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3755_1395250215">
            <w:r>
              <w:rPr>
                <w:webHidden/>
                <w:rStyle w:val="IndexLink"/>
                <w:rtl w:val="true"/>
              </w:rPr>
              <w:t>مشخصات فصلنامه</w:t>
            </w:r>
            <w:r>
              <w:rPr>
                <w:rStyle w:val="IndexLink"/>
                <w:rtl w:val="true"/>
              </w:rPr>
              <w:tab/>
            </w:r>
            <w:r>
              <w:rPr>
                <w:rStyle w:val="IndexLink"/>
              </w:rPr>
              <w:t>7</w:t>
            </w:r>
          </w:hyperlink>
        </w:p>
        <w:p>
          <w:pPr>
            <w:pStyle w:val="Contents2"/>
            <w:tabs>
              <w:tab w:val="clear" w:pos="8743"/>
              <w:tab w:val="right" w:pos="9026" w:leader="dot"/>
            </w:tabs>
            <w:rPr/>
          </w:pPr>
          <w:hyperlink w:anchor="__RefHeading___Toc603757_1395250215">
            <w:r>
              <w:rPr>
                <w:webHidden/>
                <w:rStyle w:val="IndexLink"/>
                <w:rtl w:val="true"/>
              </w:rPr>
              <w:t>رتبه علمی فصلنامه</w:t>
            </w:r>
            <w:r>
              <w:rPr>
                <w:rStyle w:val="IndexLink"/>
                <w:rtl w:val="true"/>
              </w:rPr>
              <w:tab/>
            </w:r>
            <w:r>
              <w:rPr>
                <w:rStyle w:val="IndexLink"/>
              </w:rPr>
              <w:t>7</w:t>
            </w:r>
          </w:hyperlink>
        </w:p>
        <w:p>
          <w:pPr>
            <w:pStyle w:val="Contents2"/>
            <w:tabs>
              <w:tab w:val="clear" w:pos="8743"/>
              <w:tab w:val="right" w:pos="9026" w:leader="dot"/>
            </w:tabs>
            <w:rPr/>
          </w:pPr>
          <w:hyperlink w:anchor="__RefHeading___Toc603759_1395250215">
            <w:r>
              <w:rPr>
                <w:webHidden/>
                <w:rStyle w:val="IndexLink"/>
                <w:rtl w:val="true"/>
              </w:rPr>
              <w:t>راهنمای نویسندگان</w:t>
            </w:r>
            <w:r>
              <w:rPr>
                <w:rStyle w:val="IndexLink"/>
                <w:rtl w:val="true"/>
              </w:rPr>
              <w:tab/>
            </w:r>
            <w:r>
              <w:rPr>
                <w:rStyle w:val="IndexLink"/>
              </w:rPr>
              <w:t>9</w:t>
            </w:r>
          </w:hyperlink>
        </w:p>
        <w:p>
          <w:pPr>
            <w:pStyle w:val="Contents2"/>
            <w:tabs>
              <w:tab w:val="clear" w:pos="8743"/>
              <w:tab w:val="right" w:pos="9026" w:leader="dot"/>
            </w:tabs>
            <w:rPr/>
          </w:pPr>
          <w:hyperlink w:anchor="__RefHeading___Toc603761_1395250215">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603763_1395250215">
            <w:r>
              <w:rPr>
                <w:webHidden/>
                <w:rStyle w:val="IndexLink"/>
                <w:rtl w:val="true"/>
              </w:rPr>
              <w:t>جایگاه عقل در کلام امامیه در مدرسه کلامی بغداد</w:t>
            </w:r>
            <w:r>
              <w:rPr>
                <w:rStyle w:val="IndexLink"/>
                <w:rtl w:val="true"/>
              </w:rPr>
              <w:tab/>
            </w:r>
            <w:r>
              <w:rPr>
                <w:rStyle w:val="IndexLink"/>
              </w:rPr>
              <w:t>12</w:t>
            </w:r>
          </w:hyperlink>
        </w:p>
        <w:p>
          <w:pPr>
            <w:pStyle w:val="Contents3"/>
            <w:tabs>
              <w:tab w:val="clear" w:pos="8459"/>
              <w:tab w:val="right" w:pos="9026" w:leader="dot"/>
            </w:tabs>
            <w:rPr/>
          </w:pPr>
          <w:hyperlink w:anchor="__RefHeading___Toc603765_139525021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03767_1395250215">
            <w:r>
              <w:rPr>
                <w:webHidden/>
                <w:rStyle w:val="IndexLink"/>
                <w:rtl w:val="true"/>
              </w:rPr>
              <w:t>چکیده</w:t>
            </w:r>
            <w:r>
              <w:rPr>
                <w:rStyle w:val="IndexLink"/>
                <w:rtl w:val="true"/>
              </w:rPr>
              <w:tab/>
            </w:r>
            <w:r>
              <w:rPr>
                <w:rStyle w:val="IndexLink"/>
              </w:rPr>
              <w:t>12</w:t>
            </w:r>
          </w:hyperlink>
        </w:p>
        <w:p>
          <w:pPr>
            <w:pStyle w:val="Contents3"/>
            <w:tabs>
              <w:tab w:val="clear" w:pos="8459"/>
              <w:tab w:val="right" w:pos="9026" w:leader="dot"/>
            </w:tabs>
            <w:rPr/>
          </w:pPr>
          <w:hyperlink w:anchor="__RefHeading___Toc603769_1395250215">
            <w:r>
              <w:rPr>
                <w:webHidden/>
                <w:rStyle w:val="IndexLink"/>
                <w:rtl w:val="true"/>
              </w:rPr>
              <w:t>واژگان کلیدی</w:t>
            </w:r>
            <w:r>
              <w:rPr>
                <w:rStyle w:val="IndexLink"/>
                <w:rtl w:val="true"/>
              </w:rPr>
              <w:tab/>
            </w:r>
            <w:r>
              <w:rPr>
                <w:rStyle w:val="IndexLink"/>
              </w:rPr>
              <w:t>12</w:t>
            </w:r>
          </w:hyperlink>
        </w:p>
        <w:p>
          <w:pPr>
            <w:pStyle w:val="Contents3"/>
            <w:tabs>
              <w:tab w:val="clear" w:pos="8459"/>
              <w:tab w:val="right" w:pos="9026" w:leader="dot"/>
            </w:tabs>
            <w:rPr/>
          </w:pPr>
          <w:hyperlink w:anchor="__RefHeading___Toc603771_1395250215">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603773_1395250215">
            <w:r>
              <w:rPr>
                <w:webHidden/>
                <w:rStyle w:val="IndexLink"/>
                <w:rtl w:val="true"/>
              </w:rPr>
              <w:t>جایگاه عقل در بحث معرفت</w:t>
            </w:r>
            <w:r>
              <w:rPr>
                <w:rStyle w:val="IndexLink"/>
                <w:rtl w:val="true"/>
              </w:rPr>
              <w:tab/>
            </w:r>
            <w:r>
              <w:rPr>
                <w:rStyle w:val="IndexLink"/>
              </w:rPr>
              <w:t>15</w:t>
            </w:r>
          </w:hyperlink>
        </w:p>
        <w:p>
          <w:pPr>
            <w:pStyle w:val="Contents3"/>
            <w:tabs>
              <w:tab w:val="clear" w:pos="8459"/>
              <w:tab w:val="right" w:pos="9026" w:leader="dot"/>
            </w:tabs>
            <w:rPr/>
          </w:pPr>
          <w:hyperlink w:anchor="__RefHeading___Toc603775_1395250215">
            <w:r>
              <w:rPr>
                <w:webHidden/>
                <w:rStyle w:val="IndexLink"/>
                <w:rtl w:val="true"/>
              </w:rPr>
              <w:t xml:space="preserve">وجوب نظر </w:t>
            </w:r>
            <w:r>
              <w:rPr>
                <w:rStyle w:val="IndexLink"/>
                <w:rtl w:val="true"/>
              </w:rPr>
              <w:t>(</w:t>
            </w:r>
            <w:r>
              <w:rPr>
                <w:rStyle w:val="IndexLink"/>
                <w:rtl w:val="true"/>
              </w:rPr>
              <w:t>استدلال عقلی</w:t>
            </w:r>
            <w:r>
              <w:rPr>
                <w:rStyle w:val="IndexLink"/>
                <w:rtl w:val="true"/>
              </w:rPr>
              <w:t>)</w:t>
              <w:tab/>
            </w:r>
            <w:r>
              <w:rPr>
                <w:rStyle w:val="IndexLink"/>
              </w:rPr>
              <w:t>17</w:t>
            </w:r>
          </w:hyperlink>
        </w:p>
        <w:p>
          <w:pPr>
            <w:pStyle w:val="Contents3"/>
            <w:tabs>
              <w:tab w:val="clear" w:pos="8459"/>
              <w:tab w:val="right" w:pos="9026" w:leader="dot"/>
            </w:tabs>
            <w:rPr/>
          </w:pPr>
          <w:hyperlink w:anchor="__RefHeading___Toc603777_1395250215">
            <w:r>
              <w:rPr>
                <w:webHidden/>
                <w:rStyle w:val="IndexLink"/>
                <w:rtl w:val="true"/>
              </w:rPr>
              <w:t>رابطه عقل و وحی</w:t>
            </w:r>
            <w:r>
              <w:rPr>
                <w:rStyle w:val="IndexLink"/>
                <w:rtl w:val="true"/>
              </w:rPr>
              <w:tab/>
            </w:r>
            <w:r>
              <w:rPr>
                <w:rStyle w:val="IndexLink"/>
              </w:rPr>
              <w:t>20</w:t>
            </w:r>
          </w:hyperlink>
        </w:p>
        <w:p>
          <w:pPr>
            <w:pStyle w:val="Contents3"/>
            <w:tabs>
              <w:tab w:val="clear" w:pos="8459"/>
              <w:tab w:val="right" w:pos="9026" w:leader="dot"/>
            </w:tabs>
            <w:rPr/>
          </w:pPr>
          <w:hyperlink w:anchor="__RefHeading___Toc603779_1395250215">
            <w:r>
              <w:rPr>
                <w:webHidden/>
                <w:rStyle w:val="IndexLink"/>
                <w:rtl w:val="true"/>
              </w:rPr>
              <w:t>جمع بندی</w:t>
            </w:r>
            <w:r>
              <w:rPr>
                <w:rStyle w:val="IndexLink"/>
                <w:rtl w:val="true"/>
              </w:rPr>
              <w:tab/>
            </w:r>
            <w:r>
              <w:rPr>
                <w:rStyle w:val="IndexLink"/>
              </w:rPr>
              <w:t>26</w:t>
            </w:r>
          </w:hyperlink>
        </w:p>
        <w:p>
          <w:pPr>
            <w:pStyle w:val="Contents3"/>
            <w:tabs>
              <w:tab w:val="clear" w:pos="8459"/>
              <w:tab w:val="right" w:pos="9026" w:leader="dot"/>
            </w:tabs>
            <w:rPr/>
          </w:pPr>
          <w:hyperlink w:anchor="__RefHeading___Toc603781_1395250215">
            <w:r>
              <w:rPr>
                <w:webHidden/>
                <w:rStyle w:val="IndexLink"/>
                <w:rtl w:val="true"/>
              </w:rPr>
              <w:t>منابع</w:t>
            </w:r>
            <w:r>
              <w:rPr>
                <w:rStyle w:val="IndexLink"/>
                <w:rtl w:val="true"/>
              </w:rPr>
              <w:tab/>
            </w:r>
            <w:r>
              <w:rPr>
                <w:rStyle w:val="IndexLink"/>
              </w:rPr>
              <w:t>27</w:t>
            </w:r>
          </w:hyperlink>
        </w:p>
        <w:p>
          <w:pPr>
            <w:pStyle w:val="Contents2"/>
            <w:tabs>
              <w:tab w:val="clear" w:pos="8743"/>
              <w:tab w:val="right" w:pos="9026" w:leader="dot"/>
            </w:tabs>
            <w:rPr/>
          </w:pPr>
          <w:hyperlink w:anchor="__RefHeading___Toc603783_1395250215">
            <w:r>
              <w:rPr>
                <w:webHidden/>
                <w:rStyle w:val="IndexLink"/>
                <w:rtl w:val="true"/>
              </w:rPr>
              <w:t xml:space="preserve">تطور معرفت اضطراری در مدرسه کلامی امامیه در بغداد </w:t>
            </w:r>
            <w:r>
              <w:rPr>
                <w:rStyle w:val="IndexLink"/>
                <w:rtl w:val="true"/>
              </w:rPr>
              <w:t>(</w:t>
            </w:r>
            <w:r>
              <w:rPr>
                <w:rStyle w:val="IndexLink"/>
                <w:rtl w:val="true"/>
              </w:rPr>
              <w:t>از نوبختیان تا شیخ طوسی</w:t>
            </w:r>
            <w:r>
              <w:rPr>
                <w:rStyle w:val="IndexLink"/>
                <w:rtl w:val="true"/>
              </w:rPr>
              <w:t>)</w:t>
              <w:tab/>
            </w:r>
            <w:r>
              <w:rPr>
                <w:rStyle w:val="IndexLink"/>
              </w:rPr>
              <w:t>29</w:t>
            </w:r>
          </w:hyperlink>
        </w:p>
        <w:p>
          <w:pPr>
            <w:pStyle w:val="Contents3"/>
            <w:tabs>
              <w:tab w:val="clear" w:pos="8459"/>
              <w:tab w:val="right" w:pos="9026" w:leader="dot"/>
            </w:tabs>
            <w:rPr/>
          </w:pPr>
          <w:hyperlink w:anchor="__RefHeading___Toc603785_139525021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603787_1395250215">
            <w:r>
              <w:rPr>
                <w:webHidden/>
                <w:rStyle w:val="IndexLink"/>
                <w:rtl w:val="true"/>
              </w:rPr>
              <w:t>چکیده</w:t>
            </w:r>
            <w:r>
              <w:rPr>
                <w:rStyle w:val="IndexLink"/>
                <w:rtl w:val="true"/>
              </w:rPr>
              <w:tab/>
            </w:r>
            <w:r>
              <w:rPr>
                <w:rStyle w:val="IndexLink"/>
              </w:rPr>
              <w:t>29</w:t>
            </w:r>
          </w:hyperlink>
        </w:p>
        <w:p>
          <w:pPr>
            <w:pStyle w:val="Contents3"/>
            <w:tabs>
              <w:tab w:val="clear" w:pos="8459"/>
              <w:tab w:val="right" w:pos="9026" w:leader="dot"/>
            </w:tabs>
            <w:rPr/>
          </w:pPr>
          <w:hyperlink w:anchor="__RefHeading___Toc603789_1395250215">
            <w:r>
              <w:rPr>
                <w:webHidden/>
                <w:rStyle w:val="IndexLink"/>
                <w:rtl w:val="true"/>
              </w:rPr>
              <w:t>واژگان کلیدی</w:t>
            </w:r>
            <w:r>
              <w:rPr>
                <w:rStyle w:val="IndexLink"/>
                <w:rtl w:val="true"/>
              </w:rPr>
              <w:tab/>
            </w:r>
            <w:r>
              <w:rPr>
                <w:rStyle w:val="IndexLink"/>
              </w:rPr>
              <w:t>29</w:t>
            </w:r>
          </w:hyperlink>
        </w:p>
        <w:p>
          <w:pPr>
            <w:pStyle w:val="Contents3"/>
            <w:tabs>
              <w:tab w:val="clear" w:pos="8459"/>
              <w:tab w:val="right" w:pos="9026" w:leader="dot"/>
            </w:tabs>
            <w:rPr/>
          </w:pPr>
          <w:hyperlink w:anchor="__RefHeading___Toc603791_1395250215">
            <w:r>
              <w:rPr>
                <w:webHidden/>
                <w:rStyle w:val="IndexLink"/>
                <w:rtl w:val="true"/>
              </w:rPr>
              <w:t>مقدمه</w:t>
            </w:r>
            <w:r>
              <w:rPr>
                <w:rStyle w:val="IndexLink"/>
                <w:rtl w:val="true"/>
              </w:rPr>
              <w:tab/>
            </w:r>
            <w:r>
              <w:rPr>
                <w:rStyle w:val="IndexLink"/>
              </w:rPr>
              <w:t>30</w:t>
            </w:r>
          </w:hyperlink>
        </w:p>
        <w:p>
          <w:pPr>
            <w:pStyle w:val="Contents3"/>
            <w:tabs>
              <w:tab w:val="clear" w:pos="8459"/>
              <w:tab w:val="right" w:pos="9026" w:leader="dot"/>
            </w:tabs>
            <w:rPr/>
          </w:pPr>
          <w:hyperlink w:anchor="__RefHeading___Toc603793_1395250215">
            <w:r>
              <w:rPr>
                <w:webHidden/>
                <w:rStyle w:val="IndexLink"/>
                <w:rtl w:val="true"/>
              </w:rPr>
              <w:t>مفهوم شناسی</w:t>
            </w:r>
            <w:r>
              <w:rPr>
                <w:rStyle w:val="IndexLink"/>
                <w:rtl w:val="true"/>
              </w:rPr>
              <w:tab/>
            </w:r>
            <w:r>
              <w:rPr>
                <w:rStyle w:val="IndexLink"/>
              </w:rPr>
              <w:t>31</w:t>
            </w:r>
          </w:hyperlink>
        </w:p>
        <w:p>
          <w:pPr>
            <w:pStyle w:val="Contents4"/>
            <w:tabs>
              <w:tab w:val="clear" w:pos="8176"/>
              <w:tab w:val="right" w:pos="9026" w:leader="dot"/>
            </w:tabs>
            <w:rPr/>
          </w:pPr>
          <w:hyperlink w:anchor="__RefHeading___Toc603795_139525021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03797_1395250215">
            <w:r>
              <w:rPr>
                <w:webHidden/>
                <w:rStyle w:val="IndexLink"/>
                <w:rtl w:val="true"/>
              </w:rPr>
              <w:t>الف</w:t>
            </w:r>
            <w:r>
              <w:rPr>
                <w:rStyle w:val="IndexLink"/>
                <w:rtl w:val="true"/>
              </w:rPr>
              <w:t xml:space="preserve">) </w:t>
            </w:r>
            <w:r>
              <w:rPr>
                <w:rStyle w:val="IndexLink"/>
                <w:rtl w:val="true"/>
              </w:rPr>
              <w:t>معرفت اضطراری</w:t>
            </w:r>
            <w:r>
              <w:rPr>
                <w:rStyle w:val="IndexLink"/>
                <w:rtl w:val="true"/>
              </w:rPr>
              <w:t xml:space="preserve">/ </w:t>
            </w:r>
            <w:r>
              <w:rPr>
                <w:rStyle w:val="IndexLink"/>
                <w:rtl w:val="true"/>
              </w:rPr>
              <w:t>ضروری</w:t>
            </w:r>
            <w:r>
              <w:rPr>
                <w:rStyle w:val="IndexLink"/>
                <w:rtl w:val="true"/>
              </w:rPr>
              <w:tab/>
            </w:r>
            <w:r>
              <w:rPr>
                <w:rStyle w:val="IndexLink"/>
              </w:rPr>
              <w:t>31</w:t>
            </w:r>
          </w:hyperlink>
        </w:p>
        <w:p>
          <w:pPr>
            <w:pStyle w:val="Contents4"/>
            <w:tabs>
              <w:tab w:val="clear" w:pos="8176"/>
              <w:tab w:val="right" w:pos="9026" w:leader="dot"/>
            </w:tabs>
            <w:rPr/>
          </w:pPr>
          <w:hyperlink w:anchor="__RefHeading___Toc603799_1395250215">
            <w:r>
              <w:rPr>
                <w:webHidden/>
                <w:rStyle w:val="IndexLink"/>
                <w:rtl w:val="true"/>
              </w:rPr>
              <w:t>ب</w:t>
            </w:r>
            <w:r>
              <w:rPr>
                <w:rStyle w:val="IndexLink"/>
                <w:rtl w:val="true"/>
              </w:rPr>
              <w:t xml:space="preserve">) </w:t>
            </w:r>
            <w:r>
              <w:rPr>
                <w:rStyle w:val="IndexLink"/>
                <w:rtl w:val="true"/>
              </w:rPr>
              <w:t>معرفت فطری</w:t>
            </w:r>
            <w:r>
              <w:rPr>
                <w:rStyle w:val="IndexLink"/>
                <w:rtl w:val="true"/>
              </w:rPr>
              <w:tab/>
            </w:r>
            <w:r>
              <w:rPr>
                <w:rStyle w:val="IndexLink"/>
              </w:rPr>
              <w:t>32</w:t>
            </w:r>
          </w:hyperlink>
        </w:p>
        <w:p>
          <w:pPr>
            <w:pStyle w:val="Contents4"/>
            <w:tabs>
              <w:tab w:val="clear" w:pos="8176"/>
              <w:tab w:val="right" w:pos="9026" w:leader="dot"/>
            </w:tabs>
            <w:rPr/>
          </w:pPr>
          <w:hyperlink w:anchor="__RefHeading___Toc603801_1395250215">
            <w:r>
              <w:rPr>
                <w:webHidden/>
                <w:rStyle w:val="IndexLink"/>
                <w:rtl w:val="true"/>
              </w:rPr>
              <w:t>ج</w:t>
            </w:r>
            <w:r>
              <w:rPr>
                <w:rStyle w:val="IndexLink"/>
                <w:rtl w:val="true"/>
              </w:rPr>
              <w:t xml:space="preserve">) </w:t>
            </w:r>
            <w:r>
              <w:rPr>
                <w:rStyle w:val="IndexLink"/>
                <w:rtl w:val="true"/>
              </w:rPr>
              <w:t xml:space="preserve">معرفت اکتسابی </w:t>
            </w:r>
            <w:r>
              <w:rPr>
                <w:rStyle w:val="IndexLink"/>
                <w:rtl w:val="true"/>
              </w:rPr>
              <w:t xml:space="preserve">/ </w:t>
            </w:r>
            <w:r>
              <w:rPr>
                <w:rStyle w:val="IndexLink"/>
                <w:rtl w:val="true"/>
              </w:rPr>
              <w:t>اختیاری</w:t>
            </w:r>
            <w:r>
              <w:rPr>
                <w:rStyle w:val="IndexLink"/>
                <w:rtl w:val="true"/>
              </w:rPr>
              <w:tab/>
            </w:r>
            <w:r>
              <w:rPr>
                <w:rStyle w:val="IndexLink"/>
              </w:rPr>
              <w:t>33</w:t>
            </w:r>
          </w:hyperlink>
        </w:p>
        <w:p>
          <w:pPr>
            <w:pStyle w:val="Contents3"/>
            <w:tabs>
              <w:tab w:val="clear" w:pos="8459"/>
              <w:tab w:val="right" w:pos="9026" w:leader="dot"/>
            </w:tabs>
            <w:rPr/>
          </w:pPr>
          <w:hyperlink w:anchor="__RefHeading___Toc603803_1395250215">
            <w:r>
              <w:rPr>
                <w:webHidden/>
                <w:rStyle w:val="IndexLink"/>
                <w:rtl w:val="true"/>
              </w:rPr>
              <w:t>سیر تاریخی تطور معرفت اضطراری در بغداد</w:t>
            </w:r>
            <w:r>
              <w:rPr>
                <w:rStyle w:val="IndexLink"/>
                <w:rtl w:val="true"/>
              </w:rPr>
              <w:tab/>
            </w:r>
            <w:r>
              <w:rPr>
                <w:rStyle w:val="IndexLink"/>
              </w:rPr>
              <w:t>33</w:t>
            </w:r>
          </w:hyperlink>
        </w:p>
        <w:p>
          <w:pPr>
            <w:pStyle w:val="Contents4"/>
            <w:tabs>
              <w:tab w:val="clear" w:pos="8176"/>
              <w:tab w:val="right" w:pos="9026" w:leader="dot"/>
            </w:tabs>
            <w:rPr/>
          </w:pPr>
          <w:hyperlink w:anchor="__RefHeading___Toc603805_1395250215">
            <w:r>
              <w:rPr>
                <w:webHidden/>
                <w:rStyle w:val="IndexLink"/>
                <w:rtl w:val="true"/>
              </w:rPr>
              <w:t>بنو نوبخت</w:t>
            </w:r>
            <w:r>
              <w:rPr>
                <w:rStyle w:val="IndexLink"/>
                <w:rtl w:val="true"/>
              </w:rPr>
              <w:tab/>
            </w:r>
            <w:r>
              <w:rPr>
                <w:rStyle w:val="IndexLink"/>
              </w:rPr>
              <w:t>33</w:t>
            </w:r>
          </w:hyperlink>
        </w:p>
        <w:p>
          <w:pPr>
            <w:pStyle w:val="Contents4"/>
            <w:tabs>
              <w:tab w:val="clear" w:pos="8176"/>
              <w:tab w:val="right" w:pos="9026" w:leader="dot"/>
            </w:tabs>
            <w:rPr/>
          </w:pPr>
          <w:hyperlink w:anchor="__RefHeading___Toc603807_1395250215">
            <w:r>
              <w:rPr>
                <w:webHidden/>
                <w:rStyle w:val="IndexLink"/>
                <w:rtl w:val="true"/>
              </w:rPr>
              <w:t>از بنو نوبخت تا شیخ مفید</w:t>
            </w:r>
            <w:r>
              <w:rPr>
                <w:rStyle w:val="IndexLink"/>
                <w:rtl w:val="true"/>
              </w:rPr>
              <w:tab/>
            </w:r>
            <w:r>
              <w:rPr>
                <w:rStyle w:val="IndexLink"/>
              </w:rPr>
              <w:t>35</w:t>
            </w:r>
          </w:hyperlink>
        </w:p>
        <w:p>
          <w:pPr>
            <w:pStyle w:val="Contents4"/>
            <w:tabs>
              <w:tab w:val="clear" w:pos="8176"/>
              <w:tab w:val="right" w:pos="9026" w:leader="dot"/>
            </w:tabs>
            <w:rPr/>
          </w:pPr>
          <w:hyperlink w:anchor="__RefHeading___Toc603809_1395250215">
            <w:r>
              <w:rPr>
                <w:webHidden/>
                <w:rStyle w:val="IndexLink"/>
                <w:rtl w:val="true"/>
              </w:rPr>
              <w:t>شیخ مفید</w:t>
            </w:r>
            <w:r>
              <w:rPr>
                <w:rStyle w:val="IndexLink"/>
                <w:rtl w:val="true"/>
              </w:rPr>
              <w:tab/>
            </w:r>
            <w:r>
              <w:rPr>
                <w:rStyle w:val="IndexLink"/>
              </w:rPr>
              <w:t>36</w:t>
            </w:r>
          </w:hyperlink>
        </w:p>
        <w:p>
          <w:pPr>
            <w:pStyle w:val="Contents4"/>
            <w:tabs>
              <w:tab w:val="clear" w:pos="8176"/>
              <w:tab w:val="right" w:pos="9026" w:leader="dot"/>
            </w:tabs>
            <w:rPr/>
          </w:pPr>
          <w:hyperlink w:anchor="__RefHeading___Toc603811_1395250215">
            <w:r>
              <w:rPr>
                <w:webHidden/>
                <w:rStyle w:val="IndexLink"/>
                <w:rtl w:val="true"/>
              </w:rPr>
              <w:t>سید مرتضی</w:t>
            </w:r>
            <w:r>
              <w:rPr>
                <w:rStyle w:val="IndexLink"/>
                <w:rtl w:val="true"/>
              </w:rPr>
              <w:tab/>
            </w:r>
            <w:r>
              <w:rPr>
                <w:rStyle w:val="IndexLink"/>
              </w:rPr>
              <w:t>38</w:t>
            </w:r>
          </w:hyperlink>
        </w:p>
        <w:p>
          <w:pPr>
            <w:pStyle w:val="Contents4"/>
            <w:tabs>
              <w:tab w:val="clear" w:pos="8176"/>
              <w:tab w:val="right" w:pos="9026" w:leader="dot"/>
            </w:tabs>
            <w:rPr/>
          </w:pPr>
          <w:hyperlink w:anchor="__RefHeading___Toc603813_1395250215">
            <w:r>
              <w:rPr>
                <w:webHidden/>
                <w:rStyle w:val="IndexLink"/>
                <w:rtl w:val="true"/>
              </w:rPr>
              <w:t>شیخ طوسی</w:t>
            </w:r>
            <w:r>
              <w:rPr>
                <w:rStyle w:val="IndexLink"/>
                <w:rtl w:val="true"/>
              </w:rPr>
              <w:tab/>
            </w:r>
            <w:r>
              <w:rPr>
                <w:rStyle w:val="IndexLink"/>
              </w:rPr>
              <w:t>40</w:t>
            </w:r>
          </w:hyperlink>
        </w:p>
        <w:p>
          <w:pPr>
            <w:pStyle w:val="Contents3"/>
            <w:tabs>
              <w:tab w:val="clear" w:pos="8459"/>
              <w:tab w:val="right" w:pos="9026" w:leader="dot"/>
            </w:tabs>
            <w:rPr/>
          </w:pPr>
          <w:hyperlink w:anchor="__RefHeading___Toc603815_1395250215">
            <w:r>
              <w:rPr>
                <w:webHidden/>
                <w:rStyle w:val="IndexLink"/>
                <w:rtl w:val="true"/>
              </w:rPr>
              <w:t>نتیجه گیری</w:t>
            </w:r>
            <w:r>
              <w:rPr>
                <w:rStyle w:val="IndexLink"/>
                <w:rtl w:val="true"/>
              </w:rPr>
              <w:tab/>
            </w:r>
            <w:r>
              <w:rPr>
                <w:rStyle w:val="IndexLink"/>
              </w:rPr>
              <w:t>42</w:t>
            </w:r>
          </w:hyperlink>
        </w:p>
        <w:p>
          <w:pPr>
            <w:pStyle w:val="Contents3"/>
            <w:tabs>
              <w:tab w:val="clear" w:pos="8459"/>
              <w:tab w:val="right" w:pos="9026" w:leader="dot"/>
            </w:tabs>
            <w:rPr/>
          </w:pPr>
          <w:hyperlink w:anchor="__RefHeading___Toc603817_1395250215">
            <w:r>
              <w:rPr>
                <w:webHidden/>
                <w:rStyle w:val="IndexLink"/>
                <w:rtl w:val="true"/>
              </w:rPr>
              <w:t>منابع</w:t>
            </w:r>
            <w:r>
              <w:rPr>
                <w:rStyle w:val="IndexLink"/>
                <w:rtl w:val="true"/>
              </w:rPr>
              <w:tab/>
            </w:r>
            <w:r>
              <w:rPr>
                <w:rStyle w:val="IndexLink"/>
              </w:rPr>
              <w:t>43</w:t>
            </w:r>
          </w:hyperlink>
        </w:p>
        <w:p>
          <w:pPr>
            <w:pStyle w:val="Contents2"/>
            <w:tabs>
              <w:tab w:val="clear" w:pos="8743"/>
              <w:tab w:val="right" w:pos="9026" w:leader="dot"/>
            </w:tabs>
            <w:rPr/>
          </w:pPr>
          <w:hyperlink w:anchor="__RefHeading___Toc603819_1395250215">
            <w:r>
              <w:rPr>
                <w:webHidden/>
                <w:rStyle w:val="IndexLink"/>
                <w:rtl w:val="true"/>
              </w:rPr>
              <w:t>رابطه ذات و صفات الهی از دیدگاه ابن میثم بحرانی</w:t>
            </w:r>
            <w:r>
              <w:rPr>
                <w:rStyle w:val="IndexLink"/>
                <w:rtl w:val="true"/>
              </w:rPr>
              <w:tab/>
            </w:r>
            <w:r>
              <w:rPr>
                <w:rStyle w:val="IndexLink"/>
              </w:rPr>
              <w:t>47</w:t>
            </w:r>
          </w:hyperlink>
        </w:p>
        <w:p>
          <w:pPr>
            <w:pStyle w:val="Contents3"/>
            <w:tabs>
              <w:tab w:val="clear" w:pos="8459"/>
              <w:tab w:val="right" w:pos="9026" w:leader="dot"/>
            </w:tabs>
            <w:rPr/>
          </w:pPr>
          <w:hyperlink w:anchor="__RefHeading___Toc603821_1395250215">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03823_1395250215">
            <w:r>
              <w:rPr>
                <w:webHidden/>
                <w:rStyle w:val="IndexLink"/>
                <w:rtl w:val="true"/>
              </w:rPr>
              <w:t>چکیده</w:t>
            </w:r>
            <w:r>
              <w:rPr>
                <w:rStyle w:val="IndexLink"/>
                <w:rtl w:val="true"/>
              </w:rPr>
              <w:tab/>
            </w:r>
            <w:r>
              <w:rPr>
                <w:rStyle w:val="IndexLink"/>
              </w:rPr>
              <w:t>47</w:t>
            </w:r>
          </w:hyperlink>
        </w:p>
        <w:p>
          <w:pPr>
            <w:pStyle w:val="Contents3"/>
            <w:tabs>
              <w:tab w:val="clear" w:pos="8459"/>
              <w:tab w:val="right" w:pos="9026" w:leader="dot"/>
            </w:tabs>
            <w:rPr/>
          </w:pPr>
          <w:hyperlink w:anchor="__RefHeading___Toc603825_1395250215">
            <w:r>
              <w:rPr>
                <w:webHidden/>
                <w:rStyle w:val="IndexLink"/>
                <w:rtl w:val="true"/>
              </w:rPr>
              <w:t>واژگان کلیدی</w:t>
            </w:r>
            <w:r>
              <w:rPr>
                <w:rStyle w:val="IndexLink"/>
                <w:rtl w:val="true"/>
              </w:rPr>
              <w:tab/>
            </w:r>
            <w:r>
              <w:rPr>
                <w:rStyle w:val="IndexLink"/>
              </w:rPr>
              <w:t>47</w:t>
            </w:r>
          </w:hyperlink>
        </w:p>
        <w:p>
          <w:pPr>
            <w:pStyle w:val="Contents3"/>
            <w:tabs>
              <w:tab w:val="clear" w:pos="8459"/>
              <w:tab w:val="right" w:pos="9026" w:leader="dot"/>
            </w:tabs>
            <w:rPr/>
          </w:pPr>
          <w:hyperlink w:anchor="__RefHeading___Toc603827_1395250215">
            <w:r>
              <w:rPr>
                <w:webHidden/>
                <w:rStyle w:val="IndexLink"/>
                <w:rtl w:val="true"/>
              </w:rPr>
              <w:t>مقدمه</w:t>
            </w:r>
            <w:r>
              <w:rPr>
                <w:rStyle w:val="IndexLink"/>
                <w:rtl w:val="true"/>
              </w:rPr>
              <w:tab/>
            </w:r>
            <w:r>
              <w:rPr>
                <w:rStyle w:val="IndexLink"/>
              </w:rPr>
              <w:t>48</w:t>
            </w:r>
          </w:hyperlink>
        </w:p>
        <w:p>
          <w:pPr>
            <w:pStyle w:val="Contents3"/>
            <w:tabs>
              <w:tab w:val="clear" w:pos="8459"/>
              <w:tab w:val="right" w:pos="9026" w:leader="dot"/>
            </w:tabs>
            <w:rPr/>
          </w:pPr>
          <w:hyperlink w:anchor="__RefHeading___Toc603829_1395250215">
            <w:r>
              <w:rPr>
                <w:webHidden/>
                <w:rStyle w:val="IndexLink"/>
                <w:rtl w:val="true"/>
              </w:rPr>
              <w:t>معنای اسم، صفت و ذات</w:t>
            </w:r>
            <w:r>
              <w:rPr>
                <w:rStyle w:val="IndexLink"/>
                <w:rtl w:val="true"/>
              </w:rPr>
              <w:tab/>
            </w:r>
            <w:r>
              <w:rPr>
                <w:rStyle w:val="IndexLink"/>
              </w:rPr>
              <w:t>49</w:t>
            </w:r>
          </w:hyperlink>
        </w:p>
        <w:p>
          <w:pPr>
            <w:pStyle w:val="Contents4"/>
            <w:tabs>
              <w:tab w:val="clear" w:pos="8176"/>
              <w:tab w:val="right" w:pos="9026" w:leader="dot"/>
            </w:tabs>
            <w:rPr/>
          </w:pPr>
          <w:hyperlink w:anchor="__RefHeading___Toc603831_139525021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603833_1395250215">
            <w:r>
              <w:rPr>
                <w:webHidden/>
                <w:rStyle w:val="IndexLink"/>
                <w:rtl w:val="true"/>
              </w:rPr>
              <w:t xml:space="preserve">الف </w:t>
            </w:r>
            <w:r>
              <w:rPr>
                <w:rStyle w:val="IndexLink"/>
                <w:rtl w:val="true"/>
              </w:rPr>
              <w:t xml:space="preserve">) </w:t>
            </w:r>
            <w:r>
              <w:rPr>
                <w:rStyle w:val="IndexLink"/>
                <w:rtl w:val="true"/>
              </w:rPr>
              <w:t>معنای لغوی</w:t>
            </w:r>
            <w:r>
              <w:rPr>
                <w:rStyle w:val="IndexLink"/>
                <w:rtl w:val="true"/>
              </w:rPr>
              <w:tab/>
            </w:r>
            <w:r>
              <w:rPr>
                <w:rStyle w:val="IndexLink"/>
              </w:rPr>
              <w:t>49</w:t>
            </w:r>
          </w:hyperlink>
        </w:p>
        <w:p>
          <w:pPr>
            <w:pStyle w:val="Contents4"/>
            <w:tabs>
              <w:tab w:val="clear" w:pos="8176"/>
              <w:tab w:val="right" w:pos="9026" w:leader="dot"/>
            </w:tabs>
            <w:rPr/>
          </w:pPr>
          <w:hyperlink w:anchor="__RefHeading___Toc603835_1395250215">
            <w:r>
              <w:rPr>
                <w:webHidden/>
                <w:rStyle w:val="IndexLink"/>
                <w:rtl w:val="true"/>
              </w:rPr>
              <w:t>ب</w:t>
            </w:r>
            <w:r>
              <w:rPr>
                <w:rStyle w:val="IndexLink"/>
                <w:rtl w:val="true"/>
              </w:rPr>
              <w:t xml:space="preserve">) </w:t>
            </w:r>
            <w:r>
              <w:rPr>
                <w:rStyle w:val="IndexLink"/>
                <w:rtl w:val="true"/>
              </w:rPr>
              <w:t>معنای اصطلاحی</w:t>
            </w:r>
            <w:r>
              <w:rPr>
                <w:rStyle w:val="IndexLink"/>
                <w:rtl w:val="true"/>
              </w:rPr>
              <w:tab/>
            </w:r>
            <w:r>
              <w:rPr>
                <w:rStyle w:val="IndexLink"/>
              </w:rPr>
              <w:t>49</w:t>
            </w:r>
          </w:hyperlink>
        </w:p>
        <w:p>
          <w:pPr>
            <w:pStyle w:val="Contents3"/>
            <w:tabs>
              <w:tab w:val="clear" w:pos="8459"/>
              <w:tab w:val="right" w:pos="9026" w:leader="dot"/>
            </w:tabs>
            <w:rPr/>
          </w:pPr>
          <w:hyperlink w:anchor="__RefHeading___Toc603837_1395250215">
            <w:r>
              <w:rPr>
                <w:webHidden/>
                <w:rStyle w:val="IndexLink"/>
                <w:rtl w:val="true"/>
              </w:rPr>
              <w:t>تقسیمات صفات از دیدگاه ابن میثم</w:t>
            </w:r>
            <w:r>
              <w:rPr>
                <w:rStyle w:val="IndexLink"/>
                <w:rtl w:val="true"/>
              </w:rPr>
              <w:tab/>
            </w:r>
            <w:r>
              <w:rPr>
                <w:rStyle w:val="IndexLink"/>
              </w:rPr>
              <w:t>51</w:t>
            </w:r>
          </w:hyperlink>
        </w:p>
        <w:p>
          <w:pPr>
            <w:pStyle w:val="Contents4"/>
            <w:tabs>
              <w:tab w:val="clear" w:pos="8176"/>
              <w:tab w:val="right" w:pos="9026" w:leader="dot"/>
            </w:tabs>
            <w:rPr/>
          </w:pPr>
          <w:hyperlink w:anchor="__RefHeading___Toc603839_139525021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03841_1395250215">
            <w:r>
              <w:rPr>
                <w:webHidden/>
                <w:rStyle w:val="IndexLink"/>
                <w:rtl w:val="true"/>
              </w:rPr>
              <w:t>الف</w:t>
            </w:r>
            <w:r>
              <w:rPr>
                <w:rStyle w:val="IndexLink"/>
                <w:rtl w:val="true"/>
              </w:rPr>
              <w:t xml:space="preserve">) </w:t>
            </w:r>
            <w:r>
              <w:rPr>
                <w:rStyle w:val="IndexLink"/>
                <w:rtl w:val="true"/>
              </w:rPr>
              <w:t>صفات اظافی</w:t>
            </w:r>
            <w:r>
              <w:rPr>
                <w:rStyle w:val="IndexLink"/>
                <w:rtl w:val="true"/>
              </w:rPr>
              <w:tab/>
            </w:r>
            <w:r>
              <w:rPr>
                <w:rStyle w:val="IndexLink"/>
              </w:rPr>
              <w:t>51</w:t>
            </w:r>
          </w:hyperlink>
        </w:p>
        <w:p>
          <w:pPr>
            <w:pStyle w:val="Contents4"/>
            <w:tabs>
              <w:tab w:val="clear" w:pos="8176"/>
              <w:tab w:val="right" w:pos="9026" w:leader="dot"/>
            </w:tabs>
            <w:rPr/>
          </w:pPr>
          <w:hyperlink w:anchor="__RefHeading___Toc603843_1395250215">
            <w:r>
              <w:rPr>
                <w:webHidden/>
                <w:rStyle w:val="IndexLink"/>
                <w:rtl w:val="true"/>
              </w:rPr>
              <w:t>ب</w:t>
            </w:r>
            <w:r>
              <w:rPr>
                <w:rStyle w:val="IndexLink"/>
                <w:rtl w:val="true"/>
              </w:rPr>
              <w:t xml:space="preserve">) </w:t>
            </w:r>
            <w:r>
              <w:rPr>
                <w:rStyle w:val="IndexLink"/>
                <w:rtl w:val="true"/>
              </w:rPr>
              <w:t>صفات حقیقی</w:t>
            </w:r>
            <w:r>
              <w:rPr>
                <w:rStyle w:val="IndexLink"/>
                <w:rtl w:val="true"/>
              </w:rPr>
              <w:tab/>
            </w:r>
            <w:r>
              <w:rPr>
                <w:rStyle w:val="IndexLink"/>
              </w:rPr>
              <w:t>51</w:t>
            </w:r>
          </w:hyperlink>
        </w:p>
        <w:p>
          <w:pPr>
            <w:pStyle w:val="Contents4"/>
            <w:tabs>
              <w:tab w:val="clear" w:pos="8176"/>
              <w:tab w:val="right" w:pos="9026" w:leader="dot"/>
            </w:tabs>
            <w:rPr/>
          </w:pPr>
          <w:hyperlink w:anchor="__RefHeading___Toc603845_1395250215">
            <w:r>
              <w:rPr>
                <w:webHidden/>
                <w:rStyle w:val="IndexLink"/>
                <w:rtl w:val="true"/>
              </w:rPr>
              <w:t>ج</w:t>
            </w:r>
            <w:r>
              <w:rPr>
                <w:rStyle w:val="IndexLink"/>
                <w:rtl w:val="true"/>
              </w:rPr>
              <w:t xml:space="preserve">) </w:t>
            </w:r>
            <w:r>
              <w:rPr>
                <w:rStyle w:val="IndexLink"/>
                <w:rtl w:val="true"/>
              </w:rPr>
              <w:t>صفات سلبی</w:t>
            </w:r>
            <w:r>
              <w:rPr>
                <w:rStyle w:val="IndexLink"/>
                <w:rtl w:val="true"/>
              </w:rPr>
              <w:tab/>
            </w:r>
            <w:r>
              <w:rPr>
                <w:rStyle w:val="IndexLink"/>
              </w:rPr>
              <w:t>52</w:t>
            </w:r>
          </w:hyperlink>
        </w:p>
        <w:p>
          <w:pPr>
            <w:pStyle w:val="Contents3"/>
            <w:tabs>
              <w:tab w:val="clear" w:pos="8459"/>
              <w:tab w:val="right" w:pos="9026" w:leader="dot"/>
            </w:tabs>
            <w:rPr/>
          </w:pPr>
          <w:hyperlink w:anchor="__RefHeading___Toc603847_1395250215">
            <w:r>
              <w:rPr>
                <w:webHidden/>
                <w:rStyle w:val="IndexLink"/>
                <w:rtl w:val="true"/>
              </w:rPr>
              <w:t>تغایر صفت و موصوف</w:t>
            </w:r>
            <w:r>
              <w:rPr>
                <w:rStyle w:val="IndexLink"/>
                <w:rtl w:val="true"/>
              </w:rPr>
              <w:tab/>
            </w:r>
            <w:r>
              <w:rPr>
                <w:rStyle w:val="IndexLink"/>
              </w:rPr>
              <w:t>52</w:t>
            </w:r>
          </w:hyperlink>
        </w:p>
        <w:p>
          <w:pPr>
            <w:pStyle w:val="Contents3"/>
            <w:tabs>
              <w:tab w:val="clear" w:pos="8459"/>
              <w:tab w:val="right" w:pos="9026" w:leader="dot"/>
            </w:tabs>
            <w:rPr/>
          </w:pPr>
          <w:hyperlink w:anchor="__RefHeading___Toc603849_1395250215">
            <w:r>
              <w:rPr>
                <w:webHidden/>
                <w:rStyle w:val="IndexLink"/>
                <w:rtl w:val="true"/>
              </w:rPr>
              <w:t>دیدگاههای گوناگون درباره رابطه ذات و صفات الهی</w:t>
            </w:r>
            <w:r>
              <w:rPr>
                <w:rStyle w:val="IndexLink"/>
                <w:rtl w:val="true"/>
              </w:rPr>
              <w:tab/>
            </w:r>
            <w:r>
              <w:rPr>
                <w:rStyle w:val="IndexLink"/>
              </w:rPr>
              <w:t>52</w:t>
            </w:r>
          </w:hyperlink>
        </w:p>
        <w:p>
          <w:pPr>
            <w:pStyle w:val="Contents4"/>
            <w:tabs>
              <w:tab w:val="clear" w:pos="8176"/>
              <w:tab w:val="right" w:pos="9026" w:leader="dot"/>
            </w:tabs>
            <w:rPr/>
          </w:pPr>
          <w:hyperlink w:anchor="__RefHeading___Toc603851_139525021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03853_1395250215">
            <w:r>
              <w:rPr>
                <w:webHidden/>
                <w:rStyle w:val="IndexLink"/>
                <w:rtl w:val="true"/>
              </w:rPr>
              <w:t>الف</w:t>
            </w:r>
            <w:r>
              <w:rPr>
                <w:rStyle w:val="IndexLink"/>
                <w:rtl w:val="true"/>
              </w:rPr>
              <w:t xml:space="preserve">) </w:t>
            </w:r>
            <w:r>
              <w:rPr>
                <w:rStyle w:val="IndexLink"/>
                <w:rtl w:val="true"/>
              </w:rPr>
              <w:t>زیادت صفات بر ذات</w:t>
            </w:r>
            <w:r>
              <w:rPr>
                <w:rStyle w:val="IndexLink"/>
                <w:rtl w:val="true"/>
              </w:rPr>
              <w:tab/>
            </w:r>
            <w:r>
              <w:rPr>
                <w:rStyle w:val="IndexLink"/>
              </w:rPr>
              <w:t>52</w:t>
            </w:r>
          </w:hyperlink>
        </w:p>
        <w:p>
          <w:pPr>
            <w:pStyle w:val="Contents4"/>
            <w:tabs>
              <w:tab w:val="clear" w:pos="8176"/>
              <w:tab w:val="right" w:pos="9026" w:leader="dot"/>
            </w:tabs>
            <w:rPr/>
          </w:pPr>
          <w:hyperlink w:anchor="__RefHeading___Toc603855_1395250215">
            <w:r>
              <w:rPr>
                <w:webHidden/>
                <w:rStyle w:val="IndexLink"/>
                <w:rtl w:val="true"/>
              </w:rPr>
              <w:t>ب</w:t>
            </w:r>
            <w:r>
              <w:rPr>
                <w:rStyle w:val="IndexLink"/>
                <w:rtl w:val="true"/>
              </w:rPr>
              <w:t xml:space="preserve">) </w:t>
            </w:r>
            <w:r>
              <w:rPr>
                <w:rStyle w:val="IndexLink"/>
                <w:rtl w:val="true"/>
              </w:rPr>
              <w:t>نیابت ذات از صفات</w:t>
            </w:r>
            <w:r>
              <w:rPr>
                <w:rStyle w:val="IndexLink"/>
                <w:rtl w:val="true"/>
              </w:rPr>
              <w:tab/>
            </w:r>
            <w:r>
              <w:rPr>
                <w:rStyle w:val="IndexLink"/>
              </w:rPr>
              <w:t>53</w:t>
            </w:r>
          </w:hyperlink>
        </w:p>
        <w:p>
          <w:pPr>
            <w:pStyle w:val="Contents4"/>
            <w:tabs>
              <w:tab w:val="clear" w:pos="8176"/>
              <w:tab w:val="right" w:pos="9026" w:leader="dot"/>
            </w:tabs>
            <w:rPr/>
          </w:pPr>
          <w:hyperlink w:anchor="__RefHeading___Toc603857_1395250215">
            <w:r>
              <w:rPr>
                <w:webHidden/>
                <w:rStyle w:val="IndexLink"/>
                <w:rtl w:val="true"/>
              </w:rPr>
              <w:t xml:space="preserve">ج </w:t>
            </w:r>
            <w:r>
              <w:rPr>
                <w:rStyle w:val="IndexLink"/>
                <w:rtl w:val="true"/>
              </w:rPr>
              <w:t>)</w:t>
            </w:r>
            <w:r>
              <w:rPr>
                <w:rStyle w:val="IndexLink"/>
                <w:rtl w:val="true"/>
              </w:rPr>
              <w:t>نظریه حال</w:t>
            </w:r>
            <w:r>
              <w:rPr>
                <w:rStyle w:val="IndexLink"/>
                <w:rtl w:val="true"/>
              </w:rPr>
              <w:tab/>
            </w:r>
            <w:r>
              <w:rPr>
                <w:rStyle w:val="IndexLink"/>
              </w:rPr>
              <w:t>53</w:t>
            </w:r>
          </w:hyperlink>
        </w:p>
        <w:p>
          <w:pPr>
            <w:pStyle w:val="Contents4"/>
            <w:tabs>
              <w:tab w:val="clear" w:pos="8176"/>
              <w:tab w:val="right" w:pos="9026" w:leader="dot"/>
            </w:tabs>
            <w:rPr/>
          </w:pPr>
          <w:hyperlink w:anchor="__RefHeading___Toc603859_1395250215">
            <w:r>
              <w:rPr>
                <w:webHidden/>
                <w:rStyle w:val="IndexLink"/>
                <w:rtl w:val="true"/>
              </w:rPr>
              <w:t>د</w:t>
            </w:r>
            <w:r>
              <w:rPr>
                <w:rStyle w:val="IndexLink"/>
                <w:rtl w:val="true"/>
              </w:rPr>
              <w:t>)</w:t>
            </w:r>
            <w:r>
              <w:rPr>
                <w:rStyle w:val="IndexLink"/>
                <w:rtl w:val="true"/>
              </w:rPr>
              <w:t>عینیت صفات با ذات</w:t>
            </w:r>
            <w:r>
              <w:rPr>
                <w:rStyle w:val="IndexLink"/>
                <w:rtl w:val="true"/>
              </w:rPr>
              <w:tab/>
            </w:r>
            <w:r>
              <w:rPr>
                <w:rStyle w:val="IndexLink"/>
              </w:rPr>
              <w:t>53</w:t>
            </w:r>
          </w:hyperlink>
        </w:p>
        <w:p>
          <w:pPr>
            <w:pStyle w:val="Contents3"/>
            <w:tabs>
              <w:tab w:val="clear" w:pos="8459"/>
              <w:tab w:val="right" w:pos="9026" w:leader="dot"/>
            </w:tabs>
            <w:rPr/>
          </w:pPr>
          <w:hyperlink w:anchor="__RefHeading___Toc603861_1395250215">
            <w:r>
              <w:rPr>
                <w:webHidden/>
                <w:rStyle w:val="IndexLink"/>
                <w:rtl w:val="true"/>
              </w:rPr>
              <w:t>دیدگاه ابن میثم درباره رابطه ذات الهی با صفاتش</w:t>
            </w:r>
            <w:r>
              <w:rPr>
                <w:rStyle w:val="IndexLink"/>
                <w:rtl w:val="true"/>
              </w:rPr>
              <w:tab/>
            </w:r>
            <w:r>
              <w:rPr>
                <w:rStyle w:val="IndexLink"/>
              </w:rPr>
              <w:t>53</w:t>
            </w:r>
          </w:hyperlink>
        </w:p>
        <w:p>
          <w:pPr>
            <w:pStyle w:val="Contents4"/>
            <w:tabs>
              <w:tab w:val="clear" w:pos="8176"/>
              <w:tab w:val="right" w:pos="9026" w:leader="dot"/>
            </w:tabs>
            <w:rPr/>
          </w:pPr>
          <w:hyperlink w:anchor="__RefHeading___Toc603863_139525021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03865_1395250215">
            <w:r>
              <w:rPr>
                <w:webHidden/>
                <w:rStyle w:val="IndexLink"/>
                <w:rtl w:val="true"/>
              </w:rPr>
              <w:t>الف</w:t>
            </w:r>
            <w:r>
              <w:rPr>
                <w:rStyle w:val="IndexLink"/>
                <w:rtl w:val="true"/>
              </w:rPr>
              <w:t xml:space="preserve">) </w:t>
            </w:r>
            <w:r>
              <w:rPr>
                <w:rStyle w:val="IndexLink"/>
                <w:rtl w:val="true"/>
              </w:rPr>
              <w:t>صفات خداوند، عین ذات او هستند</w:t>
            </w:r>
            <w:r>
              <w:rPr>
                <w:rStyle w:val="IndexLink"/>
                <w:rtl w:val="true"/>
              </w:rPr>
              <w:tab/>
            </w:r>
            <w:r>
              <w:rPr>
                <w:rStyle w:val="IndexLink"/>
              </w:rPr>
              <w:t>53</w:t>
            </w:r>
          </w:hyperlink>
        </w:p>
        <w:p>
          <w:pPr>
            <w:pStyle w:val="Contents4"/>
            <w:tabs>
              <w:tab w:val="clear" w:pos="8176"/>
              <w:tab w:val="right" w:pos="9026" w:leader="dot"/>
            </w:tabs>
            <w:rPr/>
          </w:pPr>
          <w:hyperlink w:anchor="__RefHeading___Toc603867_1395250215">
            <w:r>
              <w:rPr>
                <w:webHidden/>
                <w:rStyle w:val="IndexLink"/>
                <w:rtl w:val="true"/>
              </w:rPr>
              <w:t>ب</w:t>
            </w:r>
            <w:r>
              <w:rPr>
                <w:rStyle w:val="IndexLink"/>
                <w:rtl w:val="true"/>
              </w:rPr>
              <w:t xml:space="preserve">) </w:t>
            </w:r>
            <w:r>
              <w:rPr>
                <w:rStyle w:val="IndexLink"/>
                <w:rtl w:val="true"/>
              </w:rPr>
              <w:t>اوصاف الهی ، اعتبارات عقلی هستند</w:t>
            </w:r>
            <w:r>
              <w:rPr>
                <w:rStyle w:val="IndexLink"/>
                <w:rtl w:val="true"/>
              </w:rPr>
              <w:tab/>
            </w:r>
            <w:r>
              <w:rPr>
                <w:rStyle w:val="IndexLink"/>
              </w:rPr>
              <w:t>54</w:t>
            </w:r>
          </w:hyperlink>
        </w:p>
        <w:p>
          <w:pPr>
            <w:pStyle w:val="Contents3"/>
            <w:tabs>
              <w:tab w:val="clear" w:pos="8459"/>
              <w:tab w:val="right" w:pos="9026" w:leader="dot"/>
            </w:tabs>
            <w:rPr/>
          </w:pPr>
          <w:hyperlink w:anchor="__RefHeading___Toc603869_1395250215">
            <w:r>
              <w:rPr>
                <w:webHidden/>
                <w:rStyle w:val="IndexLink"/>
                <w:rtl w:val="true"/>
              </w:rPr>
              <w:t>چرایی اعتبارات</w:t>
            </w:r>
            <w:r>
              <w:rPr>
                <w:rStyle w:val="IndexLink"/>
                <w:rtl w:val="true"/>
              </w:rPr>
              <w:tab/>
            </w:r>
            <w:r>
              <w:rPr>
                <w:rStyle w:val="IndexLink"/>
              </w:rPr>
              <w:t>55</w:t>
            </w:r>
          </w:hyperlink>
        </w:p>
        <w:p>
          <w:pPr>
            <w:pStyle w:val="Contents3"/>
            <w:tabs>
              <w:tab w:val="clear" w:pos="8459"/>
              <w:tab w:val="right" w:pos="9026" w:leader="dot"/>
            </w:tabs>
            <w:rPr/>
          </w:pPr>
          <w:hyperlink w:anchor="__RefHeading___Toc603871_1395250215">
            <w:r>
              <w:rPr>
                <w:webHidden/>
                <w:rStyle w:val="IndexLink"/>
                <w:rtl w:val="true"/>
              </w:rPr>
              <w:t>برسی اشکالات وارده بر اعتباری بودن صفات و بیان پاسخها</w:t>
            </w:r>
            <w:r>
              <w:rPr>
                <w:rStyle w:val="IndexLink"/>
                <w:rtl w:val="true"/>
              </w:rPr>
              <w:tab/>
            </w:r>
            <w:r>
              <w:rPr>
                <w:rStyle w:val="IndexLink"/>
              </w:rPr>
              <w:t>55</w:t>
            </w:r>
          </w:hyperlink>
        </w:p>
        <w:p>
          <w:pPr>
            <w:pStyle w:val="Contents4"/>
            <w:tabs>
              <w:tab w:val="clear" w:pos="8176"/>
              <w:tab w:val="right" w:pos="9026" w:leader="dot"/>
            </w:tabs>
            <w:rPr/>
          </w:pPr>
          <w:hyperlink w:anchor="__RefHeading___Toc603873_1395250215">
            <w:r>
              <w:rPr>
                <w:webHidden/>
                <w:rStyle w:val="IndexLink"/>
                <w:rtl w:val="true"/>
              </w:rPr>
              <w:t>نقدها</w:t>
            </w:r>
            <w:r>
              <w:rPr>
                <w:rStyle w:val="IndexLink"/>
                <w:rtl w:val="true"/>
              </w:rPr>
              <w:tab/>
            </w:r>
            <w:r>
              <w:rPr>
                <w:rStyle w:val="IndexLink"/>
              </w:rPr>
              <w:t>55</w:t>
            </w:r>
          </w:hyperlink>
        </w:p>
        <w:p>
          <w:pPr>
            <w:pStyle w:val="Contents5"/>
            <w:tabs>
              <w:tab w:val="clear" w:pos="7892"/>
              <w:tab w:val="right" w:pos="9026" w:leader="dot"/>
            </w:tabs>
            <w:rPr/>
          </w:pPr>
          <w:hyperlink w:anchor="__RefHeading___Toc603875_1395250215">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603877_1395250215">
            <w:r>
              <w:rPr>
                <w:webHidden/>
                <w:rStyle w:val="IndexLink"/>
                <w:rtl w:val="true"/>
              </w:rPr>
              <w:t>ملاصدرا</w:t>
            </w:r>
            <w:r>
              <w:rPr>
                <w:rStyle w:val="IndexLink"/>
                <w:rtl w:val="true"/>
              </w:rPr>
              <w:tab/>
            </w:r>
            <w:r>
              <w:rPr>
                <w:rStyle w:val="IndexLink"/>
              </w:rPr>
              <w:t>56</w:t>
            </w:r>
          </w:hyperlink>
        </w:p>
        <w:p>
          <w:pPr>
            <w:pStyle w:val="Contents5"/>
            <w:tabs>
              <w:tab w:val="clear" w:pos="7892"/>
              <w:tab w:val="right" w:pos="9026" w:leader="dot"/>
            </w:tabs>
            <w:rPr/>
          </w:pPr>
          <w:hyperlink w:anchor="__RefHeading___Toc603879_1395250215">
            <w:r>
              <w:rPr>
                <w:webHidden/>
                <w:rStyle w:val="IndexLink"/>
                <w:rtl w:val="true"/>
              </w:rPr>
              <w:t>ملا مهدی نراقی</w:t>
            </w:r>
            <w:r>
              <w:rPr>
                <w:rStyle w:val="IndexLink"/>
                <w:rtl w:val="true"/>
              </w:rPr>
              <w:tab/>
            </w:r>
            <w:r>
              <w:rPr>
                <w:rStyle w:val="IndexLink"/>
              </w:rPr>
              <w:t>56</w:t>
            </w:r>
          </w:hyperlink>
        </w:p>
        <w:p>
          <w:pPr>
            <w:pStyle w:val="Contents5"/>
            <w:tabs>
              <w:tab w:val="clear" w:pos="7892"/>
              <w:tab w:val="right" w:pos="9026" w:leader="dot"/>
            </w:tabs>
            <w:rPr/>
          </w:pPr>
          <w:hyperlink w:anchor="__RefHeading___Toc603881_1395250215">
            <w:r>
              <w:rPr>
                <w:webHidden/>
                <w:rStyle w:val="IndexLink"/>
                <w:rtl w:val="true"/>
              </w:rPr>
              <w:t>آیت الله سبحانی</w:t>
            </w:r>
            <w:r>
              <w:rPr>
                <w:rStyle w:val="IndexLink"/>
                <w:rtl w:val="true"/>
              </w:rPr>
              <w:tab/>
            </w:r>
            <w:r>
              <w:rPr>
                <w:rStyle w:val="IndexLink"/>
              </w:rPr>
              <w:t>56</w:t>
            </w:r>
          </w:hyperlink>
        </w:p>
        <w:p>
          <w:pPr>
            <w:pStyle w:val="Contents4"/>
            <w:tabs>
              <w:tab w:val="clear" w:pos="8176"/>
              <w:tab w:val="right" w:pos="9026" w:leader="dot"/>
            </w:tabs>
            <w:rPr/>
          </w:pPr>
          <w:hyperlink w:anchor="__RefHeading___Toc603883_1395250215">
            <w:r>
              <w:rPr>
                <w:webHidden/>
                <w:rStyle w:val="IndexLink"/>
                <w:rtl w:val="true"/>
              </w:rPr>
              <w:t>پاسخ به نقد ها</w:t>
            </w:r>
            <w:r>
              <w:rPr>
                <w:rStyle w:val="IndexLink"/>
                <w:rtl w:val="true"/>
              </w:rPr>
              <w:tab/>
            </w:r>
            <w:r>
              <w:rPr>
                <w:rStyle w:val="IndexLink"/>
              </w:rPr>
              <w:t>56</w:t>
            </w:r>
          </w:hyperlink>
        </w:p>
        <w:p>
          <w:pPr>
            <w:pStyle w:val="Contents5"/>
            <w:tabs>
              <w:tab w:val="clear" w:pos="7892"/>
              <w:tab w:val="right" w:pos="9026" w:leader="dot"/>
            </w:tabs>
            <w:rPr/>
          </w:pPr>
          <w:hyperlink w:anchor="__RefHeading___Toc603885_1395250215">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603887_1395250215">
            <w:r>
              <w:rPr>
                <w:webHidden/>
                <w:rStyle w:val="IndexLink"/>
                <w:rtl w:val="true"/>
              </w:rPr>
              <w:t>الف</w:t>
            </w:r>
            <w:r>
              <w:rPr>
                <w:rStyle w:val="IndexLink"/>
                <w:rtl w:val="true"/>
              </w:rPr>
              <w:t>)</w:t>
              <w:tab/>
            </w:r>
            <w:r>
              <w:rPr>
                <w:rStyle w:val="IndexLink"/>
              </w:rPr>
              <w:t>56</w:t>
            </w:r>
          </w:hyperlink>
        </w:p>
        <w:p>
          <w:pPr>
            <w:pStyle w:val="Contents5"/>
            <w:tabs>
              <w:tab w:val="clear" w:pos="7892"/>
              <w:tab w:val="right" w:pos="9026" w:leader="dot"/>
            </w:tabs>
            <w:rPr/>
          </w:pPr>
          <w:hyperlink w:anchor="__RefHeading___Toc603889_1395250215">
            <w:r>
              <w:rPr>
                <w:webHidden/>
                <w:rStyle w:val="IndexLink"/>
                <w:rtl w:val="true"/>
              </w:rPr>
              <w:t>ب</w:t>
            </w:r>
            <w:r>
              <w:rPr>
                <w:rStyle w:val="IndexLink"/>
                <w:rtl w:val="true"/>
              </w:rPr>
              <w:t>)</w:t>
              <w:tab/>
            </w:r>
            <w:r>
              <w:rPr>
                <w:rStyle w:val="IndexLink"/>
              </w:rPr>
              <w:t>57</w:t>
            </w:r>
          </w:hyperlink>
        </w:p>
        <w:p>
          <w:pPr>
            <w:pStyle w:val="Contents3"/>
            <w:tabs>
              <w:tab w:val="clear" w:pos="8459"/>
              <w:tab w:val="right" w:pos="9026" w:leader="dot"/>
            </w:tabs>
            <w:rPr/>
          </w:pPr>
          <w:hyperlink w:anchor="__RefHeading___Toc603891_1395250215">
            <w:r>
              <w:rPr>
                <w:webHidden/>
                <w:rStyle w:val="IndexLink"/>
                <w:rtl w:val="true"/>
              </w:rPr>
              <w:t xml:space="preserve">تحلیل عبارت </w:t>
            </w:r>
            <w:r>
              <w:rPr>
                <w:rStyle w:val="IndexLink"/>
                <w:rtl w:val="true"/>
              </w:rPr>
              <w:t>:«</w:t>
            </w:r>
            <w:r>
              <w:rPr>
                <w:rStyle w:val="IndexLink"/>
                <w:rtl w:val="true"/>
              </w:rPr>
              <w:t>و کمال الاخلاص له نفی الصفات عنه</w:t>
            </w:r>
            <w:r>
              <w:rPr>
                <w:rStyle w:val="IndexLink"/>
                <w:rtl w:val="true"/>
              </w:rPr>
              <w:t xml:space="preserve">» </w:t>
            </w:r>
            <w:r>
              <w:rPr>
                <w:rStyle w:val="IndexLink"/>
                <w:rtl w:val="true"/>
              </w:rPr>
              <w:t>از نظر ابن میثم</w:t>
            </w:r>
            <w:r>
              <w:rPr>
                <w:rStyle w:val="IndexLink"/>
                <w:rtl w:val="true"/>
              </w:rPr>
              <w:tab/>
            </w:r>
            <w:r>
              <w:rPr>
                <w:rStyle w:val="IndexLink"/>
              </w:rPr>
              <w:t>61</w:t>
            </w:r>
          </w:hyperlink>
        </w:p>
        <w:p>
          <w:pPr>
            <w:pStyle w:val="Contents3"/>
            <w:tabs>
              <w:tab w:val="clear" w:pos="8459"/>
              <w:tab w:val="right" w:pos="9026" w:leader="dot"/>
            </w:tabs>
            <w:rPr/>
          </w:pPr>
          <w:hyperlink w:anchor="__RefHeading___Toc603893_1395250215">
            <w:r>
              <w:rPr>
                <w:webHidden/>
                <w:rStyle w:val="IndexLink"/>
                <w:rtl w:val="true"/>
              </w:rPr>
              <w:t>نتیجه گیری</w:t>
            </w:r>
            <w:r>
              <w:rPr>
                <w:rStyle w:val="IndexLink"/>
                <w:rtl w:val="true"/>
              </w:rPr>
              <w:tab/>
            </w:r>
            <w:r>
              <w:rPr>
                <w:rStyle w:val="IndexLink"/>
              </w:rPr>
              <w:t>63</w:t>
            </w:r>
          </w:hyperlink>
        </w:p>
        <w:p>
          <w:pPr>
            <w:pStyle w:val="Contents3"/>
            <w:tabs>
              <w:tab w:val="clear" w:pos="8459"/>
              <w:tab w:val="right" w:pos="9026" w:leader="dot"/>
            </w:tabs>
            <w:rPr/>
          </w:pPr>
          <w:hyperlink w:anchor="__RefHeading___Toc603895_1395250215">
            <w:r>
              <w:rPr>
                <w:webHidden/>
                <w:rStyle w:val="IndexLink"/>
                <w:rtl w:val="true"/>
              </w:rPr>
              <w:t>منابع</w:t>
            </w:r>
            <w:r>
              <w:rPr>
                <w:rStyle w:val="IndexLink"/>
                <w:rtl w:val="true"/>
              </w:rPr>
              <w:tab/>
            </w:r>
            <w:r>
              <w:rPr>
                <w:rStyle w:val="IndexLink"/>
              </w:rPr>
              <w:t>63</w:t>
            </w:r>
          </w:hyperlink>
        </w:p>
        <w:p>
          <w:pPr>
            <w:pStyle w:val="Contents2"/>
            <w:tabs>
              <w:tab w:val="clear" w:pos="8743"/>
              <w:tab w:val="right" w:pos="9026" w:leader="dot"/>
            </w:tabs>
            <w:rPr/>
          </w:pPr>
          <w:hyperlink w:anchor="__RefHeading___Toc603897_1395250215">
            <w:r>
              <w:rPr>
                <w:webHidden/>
                <w:rStyle w:val="IndexLink"/>
                <w:rtl w:val="true"/>
              </w:rPr>
              <w:t xml:space="preserve">بررسی شبهه سیاق درباره آیه ولایت </w:t>
            </w:r>
            <w:r>
              <w:rPr>
                <w:rStyle w:val="IndexLink"/>
                <w:rtl w:val="true"/>
              </w:rPr>
              <w:t>(</w:t>
            </w:r>
            <w:r>
              <w:rPr>
                <w:rStyle w:val="IndexLink"/>
                <w:rtl w:val="true"/>
              </w:rPr>
              <w:t>با تأکید بر دیدگاه فخررازی</w:t>
            </w:r>
            <w:r>
              <w:rPr>
                <w:rStyle w:val="IndexLink"/>
                <w:rtl w:val="true"/>
              </w:rPr>
              <w:t>)</w:t>
              <w:tab/>
            </w:r>
            <w:r>
              <w:rPr>
                <w:rStyle w:val="IndexLink"/>
              </w:rPr>
              <w:t>66</w:t>
            </w:r>
          </w:hyperlink>
        </w:p>
        <w:p>
          <w:pPr>
            <w:pStyle w:val="Contents3"/>
            <w:tabs>
              <w:tab w:val="clear" w:pos="8459"/>
              <w:tab w:val="right" w:pos="9026" w:leader="dot"/>
            </w:tabs>
            <w:rPr/>
          </w:pPr>
          <w:hyperlink w:anchor="__RefHeading___Toc603899_1395250215">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603901_1395250215">
            <w:r>
              <w:rPr>
                <w:webHidden/>
                <w:rStyle w:val="IndexLink"/>
                <w:rtl w:val="true"/>
              </w:rPr>
              <w:t>چکیده</w:t>
            </w:r>
            <w:r>
              <w:rPr>
                <w:rStyle w:val="IndexLink"/>
                <w:rtl w:val="true"/>
              </w:rPr>
              <w:tab/>
            </w:r>
            <w:r>
              <w:rPr>
                <w:rStyle w:val="IndexLink"/>
              </w:rPr>
              <w:t>66</w:t>
            </w:r>
          </w:hyperlink>
        </w:p>
        <w:p>
          <w:pPr>
            <w:pStyle w:val="Contents3"/>
            <w:tabs>
              <w:tab w:val="clear" w:pos="8459"/>
              <w:tab w:val="right" w:pos="9026" w:leader="dot"/>
            </w:tabs>
            <w:rPr/>
          </w:pPr>
          <w:hyperlink w:anchor="__RefHeading___Toc603903_1395250215">
            <w:r>
              <w:rPr>
                <w:webHidden/>
                <w:rStyle w:val="IndexLink"/>
                <w:rtl w:val="true"/>
              </w:rPr>
              <w:t>واژگان کلیدی</w:t>
            </w:r>
            <w:r>
              <w:rPr>
                <w:rStyle w:val="IndexLink"/>
                <w:rtl w:val="true"/>
              </w:rPr>
              <w:tab/>
            </w:r>
            <w:r>
              <w:rPr>
                <w:rStyle w:val="IndexLink"/>
              </w:rPr>
              <w:t>66</w:t>
            </w:r>
          </w:hyperlink>
        </w:p>
        <w:p>
          <w:pPr>
            <w:pStyle w:val="Contents3"/>
            <w:tabs>
              <w:tab w:val="clear" w:pos="8459"/>
              <w:tab w:val="right" w:pos="9026" w:leader="dot"/>
            </w:tabs>
            <w:rPr/>
          </w:pPr>
          <w:hyperlink w:anchor="__RefHeading___Toc603905_1395250215">
            <w:r>
              <w:rPr>
                <w:webHidden/>
                <w:rStyle w:val="IndexLink"/>
                <w:rtl w:val="true"/>
              </w:rPr>
              <w:t>مقدمه</w:t>
            </w:r>
            <w:r>
              <w:rPr>
                <w:rStyle w:val="IndexLink"/>
                <w:rtl w:val="true"/>
              </w:rPr>
              <w:tab/>
            </w:r>
            <w:r>
              <w:rPr>
                <w:rStyle w:val="IndexLink"/>
              </w:rPr>
              <w:t>67</w:t>
            </w:r>
          </w:hyperlink>
        </w:p>
        <w:p>
          <w:pPr>
            <w:pStyle w:val="Contents3"/>
            <w:tabs>
              <w:tab w:val="clear" w:pos="8459"/>
              <w:tab w:val="right" w:pos="9026" w:leader="dot"/>
            </w:tabs>
            <w:rPr/>
          </w:pPr>
          <w:hyperlink w:anchor="__RefHeading___Toc603907_1395250215">
            <w:r>
              <w:rPr>
                <w:webHidden/>
                <w:rStyle w:val="IndexLink"/>
              </w:rPr>
              <w:t>1</w:t>
            </w:r>
            <w:r>
              <w:rPr>
                <w:rStyle w:val="IndexLink"/>
                <w:rtl w:val="true"/>
              </w:rPr>
              <w:t xml:space="preserve">. </w:t>
            </w:r>
            <w:r>
              <w:rPr>
                <w:rStyle w:val="IndexLink"/>
                <w:rtl w:val="true"/>
              </w:rPr>
              <w:t>دیدگاه اهل سنت</w:t>
            </w:r>
            <w:r>
              <w:rPr>
                <w:rStyle w:val="IndexLink"/>
                <w:rtl w:val="true"/>
              </w:rPr>
              <w:tab/>
            </w:r>
            <w:r>
              <w:rPr>
                <w:rStyle w:val="IndexLink"/>
              </w:rPr>
              <w:t>68</w:t>
            </w:r>
          </w:hyperlink>
        </w:p>
        <w:p>
          <w:pPr>
            <w:pStyle w:val="Contents4"/>
            <w:tabs>
              <w:tab w:val="clear" w:pos="8176"/>
              <w:tab w:val="right" w:pos="9026" w:leader="dot"/>
            </w:tabs>
            <w:rPr/>
          </w:pPr>
          <w:hyperlink w:anchor="__RefHeading___Toc603909_1395250215">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603911_1395250215">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استناد به روایات و اقوال صحابه و تابعین</w:t>
            </w:r>
            <w:r>
              <w:rPr>
                <w:rStyle w:val="IndexLink"/>
                <w:rtl w:val="true"/>
              </w:rPr>
              <w:tab/>
            </w:r>
            <w:r>
              <w:rPr>
                <w:rStyle w:val="IndexLink"/>
              </w:rPr>
              <w:t>68</w:t>
            </w:r>
          </w:hyperlink>
        </w:p>
        <w:p>
          <w:pPr>
            <w:pStyle w:val="Contents4"/>
            <w:tabs>
              <w:tab w:val="clear" w:pos="8176"/>
              <w:tab w:val="right" w:pos="9026" w:leader="dot"/>
            </w:tabs>
            <w:rPr/>
          </w:pPr>
          <w:hyperlink w:anchor="__RefHeading___Toc603913_1395250215">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تحلیل درونی از دلالت آیات</w:t>
            </w:r>
            <w:r>
              <w:rPr>
                <w:rStyle w:val="IndexLink"/>
                <w:rtl w:val="true"/>
              </w:rPr>
              <w:tab/>
            </w:r>
            <w:r>
              <w:rPr>
                <w:rStyle w:val="IndexLink"/>
              </w:rPr>
              <w:t>69</w:t>
            </w:r>
          </w:hyperlink>
        </w:p>
        <w:p>
          <w:pPr>
            <w:pStyle w:val="Contents5"/>
            <w:tabs>
              <w:tab w:val="clear" w:pos="7892"/>
              <w:tab w:val="right" w:pos="9026" w:leader="dot"/>
            </w:tabs>
            <w:rPr/>
          </w:pPr>
          <w:hyperlink w:anchor="__RefHeading___Toc603915_1395250215">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603917_1395250215">
            <w:r>
              <w:rPr>
                <w:webHidden/>
                <w:rStyle w:val="IndexLink"/>
              </w:rPr>
              <w:t>1</w:t>
            </w:r>
            <w:r>
              <w:rPr>
                <w:rStyle w:val="IndexLink"/>
                <w:rtl w:val="true"/>
              </w:rPr>
              <w:t>ـ</w:t>
            </w:r>
            <w:r>
              <w:rPr>
                <w:rStyle w:val="IndexLink"/>
              </w:rPr>
              <w:t>2</w:t>
            </w:r>
            <w:r>
              <w:rPr>
                <w:rStyle w:val="IndexLink"/>
                <w:rtl w:val="true"/>
              </w:rPr>
              <w:t>ـ</w:t>
            </w:r>
            <w:r>
              <w:rPr>
                <w:rStyle w:val="IndexLink"/>
              </w:rPr>
              <w:t>1</w:t>
            </w:r>
            <w:r>
              <w:rPr>
                <w:rStyle w:val="IndexLink"/>
                <w:rtl w:val="true"/>
              </w:rPr>
              <w:t>. «</w:t>
            </w:r>
            <w:r>
              <w:rPr>
                <w:rStyle w:val="IndexLink"/>
                <w:rtl w:val="true"/>
              </w:rPr>
              <w:t>فسوف یأتی الله بقوم</w:t>
            </w:r>
            <w:r>
              <w:rPr>
                <w:rStyle w:val="IndexLink"/>
                <w:rtl w:val="true"/>
              </w:rPr>
              <w:t>»</w:t>
              <w:tab/>
            </w:r>
            <w:r>
              <w:rPr>
                <w:rStyle w:val="IndexLink"/>
              </w:rPr>
              <w:t>69</w:t>
            </w:r>
          </w:hyperlink>
        </w:p>
        <w:p>
          <w:pPr>
            <w:pStyle w:val="Contents5"/>
            <w:tabs>
              <w:tab w:val="clear" w:pos="7892"/>
              <w:tab w:val="right" w:pos="9026" w:leader="dot"/>
            </w:tabs>
            <w:rPr/>
          </w:pPr>
          <w:hyperlink w:anchor="__RefHeading___Toc603919_1395250215">
            <w:r>
              <w:rPr>
                <w:webHidden/>
                <w:rStyle w:val="IndexLink"/>
              </w:rPr>
              <w:t>1</w:t>
            </w:r>
            <w:r>
              <w:rPr>
                <w:rStyle w:val="IndexLink"/>
                <w:rtl w:val="true"/>
              </w:rPr>
              <w:t>ـ</w:t>
            </w:r>
            <w:r>
              <w:rPr>
                <w:rStyle w:val="IndexLink"/>
              </w:rPr>
              <w:t>2</w:t>
            </w:r>
            <w:r>
              <w:rPr>
                <w:rStyle w:val="IndexLink"/>
                <w:rtl w:val="true"/>
              </w:rPr>
              <w:t>ـ</w:t>
            </w:r>
            <w:r>
              <w:rPr>
                <w:rStyle w:val="IndexLink"/>
              </w:rPr>
              <w:t>2</w:t>
            </w:r>
            <w:r>
              <w:rPr>
                <w:rStyle w:val="IndexLink"/>
                <w:rtl w:val="true"/>
              </w:rPr>
              <w:t>. «</w:t>
            </w:r>
            <w:r>
              <w:rPr>
                <w:rStyle w:val="IndexLink"/>
                <w:rtl w:val="true"/>
              </w:rPr>
              <w:t>یُحِبُّهُمْ و یُحِبُّونه</w:t>
            </w:r>
            <w:r>
              <w:rPr>
                <w:rStyle w:val="IndexLink"/>
                <w:rtl w:val="true"/>
              </w:rPr>
              <w:t>»</w:t>
              <w:tab/>
            </w:r>
            <w:r>
              <w:rPr>
                <w:rStyle w:val="IndexLink"/>
              </w:rPr>
              <w:t>69</w:t>
            </w:r>
          </w:hyperlink>
        </w:p>
        <w:p>
          <w:pPr>
            <w:pStyle w:val="Contents5"/>
            <w:tabs>
              <w:tab w:val="clear" w:pos="7892"/>
              <w:tab w:val="right" w:pos="9026" w:leader="dot"/>
            </w:tabs>
            <w:rPr/>
          </w:pPr>
          <w:hyperlink w:anchor="__RefHeading___Toc603921_1395250215">
            <w:r>
              <w:rPr>
                <w:webHidden/>
                <w:rStyle w:val="IndexLink"/>
              </w:rPr>
              <w:t>‌</w:t>
            </w:r>
            <w:r>
              <w:rPr>
                <w:rStyle w:val="IndexLink"/>
              </w:rPr>
              <w:t>1</w:t>
            </w:r>
            <w:r>
              <w:rPr>
                <w:rStyle w:val="IndexLink"/>
                <w:rtl w:val="true"/>
              </w:rPr>
              <w:t>ـ</w:t>
            </w:r>
            <w:r>
              <w:rPr>
                <w:rStyle w:val="IndexLink"/>
              </w:rPr>
              <w:t>2</w:t>
            </w:r>
            <w:r>
              <w:rPr>
                <w:rStyle w:val="IndexLink"/>
                <w:rtl w:val="true"/>
              </w:rPr>
              <w:t>ـ</w:t>
            </w:r>
            <w:r>
              <w:rPr>
                <w:rStyle w:val="IndexLink"/>
              </w:rPr>
              <w:t>3</w:t>
            </w:r>
            <w:r>
              <w:rPr>
                <w:rStyle w:val="IndexLink"/>
                <w:rtl w:val="true"/>
              </w:rPr>
              <w:t>. «</w:t>
            </w:r>
            <w:r>
              <w:rPr>
                <w:rStyle w:val="IndexLink"/>
                <w:rtl w:val="true"/>
              </w:rPr>
              <w:t>اذِلَّةٍ عَلَی المؤمنینَ أَعِزَّةٍ عَلَی الْکافِرِین</w:t>
            </w:r>
            <w:r>
              <w:rPr>
                <w:rStyle w:val="IndexLink"/>
                <w:rtl w:val="true"/>
              </w:rPr>
              <w:t>»</w:t>
              <w:tab/>
            </w:r>
            <w:r>
              <w:rPr>
                <w:rStyle w:val="IndexLink"/>
              </w:rPr>
              <w:t>70</w:t>
            </w:r>
          </w:hyperlink>
        </w:p>
        <w:p>
          <w:pPr>
            <w:pStyle w:val="Contents5"/>
            <w:tabs>
              <w:tab w:val="clear" w:pos="7892"/>
              <w:tab w:val="right" w:pos="9026" w:leader="dot"/>
            </w:tabs>
            <w:rPr/>
          </w:pPr>
          <w:hyperlink w:anchor="__RefHeading___Toc603923_1395250215">
            <w:r>
              <w:rPr>
                <w:webHidden/>
                <w:rStyle w:val="IndexLink"/>
              </w:rPr>
              <w:t>1</w:t>
            </w:r>
            <w:r>
              <w:rPr>
                <w:rStyle w:val="IndexLink"/>
                <w:rtl w:val="true"/>
              </w:rPr>
              <w:t>ـ</w:t>
            </w:r>
            <w:r>
              <w:rPr>
                <w:rStyle w:val="IndexLink"/>
              </w:rPr>
              <w:t>2</w:t>
            </w:r>
            <w:r>
              <w:rPr>
                <w:rStyle w:val="IndexLink"/>
                <w:rtl w:val="true"/>
              </w:rPr>
              <w:t>ـ</w:t>
            </w:r>
            <w:r>
              <w:rPr>
                <w:rStyle w:val="IndexLink"/>
              </w:rPr>
              <w:t>4</w:t>
            </w:r>
            <w:r>
              <w:rPr>
                <w:rStyle w:val="IndexLink"/>
                <w:rtl w:val="true"/>
              </w:rPr>
              <w:t>. «</w:t>
            </w:r>
            <w:r>
              <w:rPr>
                <w:rStyle w:val="IndexLink"/>
                <w:rtl w:val="true"/>
              </w:rPr>
              <w:t>یُجاهِدُونَ فی سبیل اللَّهِ وَ لا یَخافُونَ لَوْمَةَ لائِم</w:t>
            </w:r>
            <w:r>
              <w:rPr>
                <w:rStyle w:val="IndexLink"/>
                <w:rtl w:val="true"/>
              </w:rPr>
              <w:t>»</w:t>
              <w:tab/>
            </w:r>
            <w:r>
              <w:rPr>
                <w:rStyle w:val="IndexLink"/>
              </w:rPr>
              <w:t>70</w:t>
            </w:r>
          </w:hyperlink>
        </w:p>
        <w:p>
          <w:pPr>
            <w:pStyle w:val="Contents5"/>
            <w:tabs>
              <w:tab w:val="clear" w:pos="7892"/>
              <w:tab w:val="right" w:pos="9026" w:leader="dot"/>
            </w:tabs>
            <w:rPr/>
          </w:pPr>
          <w:hyperlink w:anchor="__RefHeading___Toc603925_1395250215">
            <w:r>
              <w:rPr>
                <w:webHidden/>
                <w:rStyle w:val="IndexLink"/>
              </w:rPr>
              <w:t>1</w:t>
            </w:r>
            <w:r>
              <w:rPr>
                <w:rStyle w:val="IndexLink"/>
                <w:rtl w:val="true"/>
              </w:rPr>
              <w:t>ـ</w:t>
            </w:r>
            <w:r>
              <w:rPr>
                <w:rStyle w:val="IndexLink"/>
              </w:rPr>
              <w:t>2</w:t>
            </w:r>
            <w:r>
              <w:rPr>
                <w:rStyle w:val="IndexLink"/>
                <w:rtl w:val="true"/>
              </w:rPr>
              <w:t>ـ</w:t>
            </w:r>
            <w:r>
              <w:rPr>
                <w:rStyle w:val="IndexLink"/>
              </w:rPr>
              <w:t>5</w:t>
            </w:r>
            <w:r>
              <w:rPr>
                <w:rStyle w:val="IndexLink"/>
                <w:rtl w:val="true"/>
              </w:rPr>
              <w:t>. «</w:t>
            </w:r>
            <w:r>
              <w:rPr>
                <w:rStyle w:val="IndexLink"/>
                <w:rtl w:val="true"/>
              </w:rPr>
              <w:t>ذلِکَ فَضْلُ اللَّهِ یُؤْتِیهِ مَنْ یَشاءُ</w:t>
            </w:r>
            <w:r>
              <w:rPr>
                <w:rStyle w:val="IndexLink"/>
                <w:rtl w:val="true"/>
              </w:rPr>
              <w:t>»</w:t>
              <w:tab/>
            </w:r>
            <w:r>
              <w:rPr>
                <w:rStyle w:val="IndexLink"/>
              </w:rPr>
              <w:t>71</w:t>
            </w:r>
          </w:hyperlink>
        </w:p>
        <w:p>
          <w:pPr>
            <w:pStyle w:val="Contents3"/>
            <w:tabs>
              <w:tab w:val="clear" w:pos="8459"/>
              <w:tab w:val="right" w:pos="9026" w:leader="dot"/>
            </w:tabs>
            <w:rPr/>
          </w:pPr>
          <w:hyperlink w:anchor="__RefHeading___Toc603927_1395250215">
            <w:r>
              <w:rPr>
                <w:webHidden/>
                <w:rStyle w:val="IndexLink"/>
              </w:rPr>
              <w:t>2</w:t>
            </w:r>
            <w:r>
              <w:rPr>
                <w:rStyle w:val="IndexLink"/>
                <w:rtl w:val="true"/>
              </w:rPr>
              <w:t xml:space="preserve">. </w:t>
            </w:r>
            <w:r>
              <w:rPr>
                <w:rStyle w:val="IndexLink"/>
                <w:rtl w:val="true"/>
              </w:rPr>
              <w:t>ارزیابی دیدگاه اهل سنت</w:t>
            </w:r>
            <w:r>
              <w:rPr>
                <w:rStyle w:val="IndexLink"/>
                <w:rtl w:val="true"/>
              </w:rPr>
              <w:tab/>
            </w:r>
            <w:r>
              <w:rPr>
                <w:rStyle w:val="IndexLink"/>
              </w:rPr>
              <w:t>71</w:t>
            </w:r>
          </w:hyperlink>
        </w:p>
        <w:p>
          <w:pPr>
            <w:pStyle w:val="Contents4"/>
            <w:tabs>
              <w:tab w:val="clear" w:pos="8176"/>
              <w:tab w:val="right" w:pos="9026" w:leader="dot"/>
            </w:tabs>
            <w:rPr/>
          </w:pPr>
          <w:hyperlink w:anchor="__RefHeading___Toc603929_139525021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603931_1395250215">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 xml:space="preserve">بررسی </w:t>
            </w:r>
            <w:r>
              <w:rPr>
                <w:rStyle w:val="IndexLink"/>
                <w:rtl w:val="true"/>
              </w:rPr>
              <w:t>«</w:t>
            </w:r>
            <w:r>
              <w:rPr>
                <w:rStyle w:val="IndexLink"/>
                <w:rtl w:val="true"/>
              </w:rPr>
              <w:t>استناد به روایات و اقوال صحابه و تابعین</w:t>
            </w:r>
            <w:r>
              <w:rPr>
                <w:rStyle w:val="IndexLink"/>
                <w:rtl w:val="true"/>
              </w:rPr>
              <w:t>»</w:t>
              <w:tab/>
            </w:r>
            <w:r>
              <w:rPr>
                <w:rStyle w:val="IndexLink"/>
              </w:rPr>
              <w:t>71</w:t>
            </w:r>
          </w:hyperlink>
        </w:p>
        <w:p>
          <w:pPr>
            <w:pStyle w:val="Contents4"/>
            <w:tabs>
              <w:tab w:val="clear" w:pos="8176"/>
              <w:tab w:val="right" w:pos="9026" w:leader="dot"/>
            </w:tabs>
            <w:rPr/>
          </w:pPr>
          <w:hyperlink w:anchor="__RefHeading___Toc603933_1395250215">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بررسی تحلیل درونی از آیات</w:t>
            </w:r>
            <w:r>
              <w:rPr>
                <w:rStyle w:val="IndexLink"/>
                <w:rtl w:val="true"/>
              </w:rPr>
              <w:tab/>
            </w:r>
            <w:r>
              <w:rPr>
                <w:rStyle w:val="IndexLink"/>
              </w:rPr>
              <w:t>73</w:t>
            </w:r>
          </w:hyperlink>
        </w:p>
        <w:p>
          <w:pPr>
            <w:pStyle w:val="Contents5"/>
            <w:tabs>
              <w:tab w:val="clear" w:pos="7892"/>
              <w:tab w:val="right" w:pos="9026" w:leader="dot"/>
            </w:tabs>
            <w:rPr/>
          </w:pPr>
          <w:hyperlink w:anchor="__RefHeading___Toc603935_139525021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603937_1395250215">
            <w:r>
              <w:rPr>
                <w:webHidden/>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 xml:space="preserve">بررسی فراز </w:t>
            </w:r>
            <w:r>
              <w:rPr>
                <w:rStyle w:val="IndexLink"/>
                <w:rtl w:val="true"/>
              </w:rPr>
              <w:t>«</w:t>
            </w:r>
            <w:r>
              <w:rPr>
                <w:rStyle w:val="IndexLink"/>
                <w:rtl w:val="true"/>
              </w:rPr>
              <w:t>فسوف یأتی الله بقوم</w:t>
            </w:r>
            <w:r>
              <w:rPr>
                <w:rStyle w:val="IndexLink"/>
                <w:rtl w:val="true"/>
              </w:rPr>
              <w:t>»</w:t>
              <w:tab/>
            </w:r>
            <w:r>
              <w:rPr>
                <w:rStyle w:val="IndexLink"/>
              </w:rPr>
              <w:t>74</w:t>
            </w:r>
          </w:hyperlink>
        </w:p>
        <w:p>
          <w:pPr>
            <w:pStyle w:val="Contents5"/>
            <w:tabs>
              <w:tab w:val="clear" w:pos="7892"/>
              <w:tab w:val="right" w:pos="9026" w:leader="dot"/>
            </w:tabs>
            <w:rPr/>
          </w:pPr>
          <w:hyperlink w:anchor="__RefHeading___Toc603939_1395250215">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ـ بررسی فراز </w:t>
            </w:r>
            <w:r>
              <w:rPr>
                <w:rStyle w:val="IndexLink"/>
                <w:rtl w:val="true"/>
              </w:rPr>
              <w:t>«</w:t>
            </w:r>
            <w:r>
              <w:rPr>
                <w:rStyle w:val="IndexLink"/>
                <w:rtl w:val="true"/>
              </w:rPr>
              <w:t>یُحِبُّهُم و یُحبونه</w:t>
            </w:r>
            <w:r>
              <w:rPr>
                <w:rStyle w:val="IndexLink"/>
                <w:rtl w:val="true"/>
              </w:rPr>
              <w:t>»</w:t>
              <w:tab/>
            </w:r>
            <w:r>
              <w:rPr>
                <w:rStyle w:val="IndexLink"/>
              </w:rPr>
              <w:t>76</w:t>
            </w:r>
          </w:hyperlink>
        </w:p>
        <w:p>
          <w:pPr>
            <w:pStyle w:val="Contents5"/>
            <w:tabs>
              <w:tab w:val="clear" w:pos="7892"/>
              <w:tab w:val="right" w:pos="9026" w:leader="dot"/>
            </w:tabs>
            <w:rPr/>
          </w:pPr>
          <w:hyperlink w:anchor="__RefHeading___Toc603941_1395250215">
            <w:r>
              <w:rPr>
                <w:webHidden/>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 xml:space="preserve">بررسی فراز </w:t>
            </w:r>
            <w:r>
              <w:rPr>
                <w:rStyle w:val="IndexLink"/>
                <w:rtl w:val="true"/>
              </w:rPr>
              <w:t>«</w:t>
            </w:r>
            <w:r>
              <w:rPr>
                <w:rStyle w:val="IndexLink"/>
                <w:rtl w:val="true"/>
              </w:rPr>
              <w:t>اذِلَّةٍ عَلَی المؤمنینَ أَعِزَّةٍ عَلَی الْکافِرِین</w:t>
            </w:r>
            <w:r>
              <w:rPr>
                <w:rStyle w:val="IndexLink"/>
                <w:rtl w:val="true"/>
              </w:rPr>
              <w:t>»</w:t>
              <w:tab/>
            </w:r>
            <w:r>
              <w:rPr>
                <w:rStyle w:val="IndexLink"/>
              </w:rPr>
              <w:t>78</w:t>
            </w:r>
          </w:hyperlink>
        </w:p>
        <w:p>
          <w:pPr>
            <w:pStyle w:val="Contents5"/>
            <w:tabs>
              <w:tab w:val="clear" w:pos="7892"/>
              <w:tab w:val="right" w:pos="9026" w:leader="dot"/>
            </w:tabs>
            <w:rPr/>
          </w:pPr>
          <w:hyperlink w:anchor="__RefHeading___Toc603943_1395250215">
            <w:r>
              <w:rPr>
                <w:webHidden/>
                <w:rStyle w:val="IndexLink"/>
              </w:rPr>
              <w:t>2</w:t>
            </w:r>
            <w:r>
              <w:rPr>
                <w:rStyle w:val="IndexLink"/>
                <w:rtl w:val="true"/>
              </w:rPr>
              <w:t>ـ</w:t>
            </w:r>
            <w:r>
              <w:rPr>
                <w:rStyle w:val="IndexLink"/>
              </w:rPr>
              <w:t>2</w:t>
            </w:r>
            <w:r>
              <w:rPr>
                <w:rStyle w:val="IndexLink"/>
                <w:rtl w:val="true"/>
              </w:rPr>
              <w:t>ـ</w:t>
            </w:r>
            <w:r>
              <w:rPr>
                <w:rStyle w:val="IndexLink"/>
              </w:rPr>
              <w:t>4</w:t>
            </w:r>
            <w:r>
              <w:rPr>
                <w:rStyle w:val="IndexLink"/>
                <w:rtl w:val="true"/>
              </w:rPr>
              <w:t xml:space="preserve">ـ بررسی فراز </w:t>
            </w:r>
            <w:r>
              <w:rPr>
                <w:rStyle w:val="IndexLink"/>
                <w:rtl w:val="true"/>
              </w:rPr>
              <w:t>«</w:t>
            </w:r>
            <w:r>
              <w:rPr>
                <w:rStyle w:val="IndexLink"/>
                <w:rtl w:val="true"/>
              </w:rPr>
              <w:t>یُجاهِدُونَ فی سبیل اللَّهِ وَ لا یَخافُونَ لَوْمَةَ لائِم</w:t>
            </w:r>
            <w:r>
              <w:rPr>
                <w:rStyle w:val="IndexLink"/>
                <w:rtl w:val="true"/>
              </w:rPr>
              <w:t>»</w:t>
              <w:tab/>
            </w:r>
            <w:r>
              <w:rPr>
                <w:rStyle w:val="IndexLink"/>
              </w:rPr>
              <w:t>79</w:t>
            </w:r>
          </w:hyperlink>
        </w:p>
        <w:p>
          <w:pPr>
            <w:pStyle w:val="Contents5"/>
            <w:tabs>
              <w:tab w:val="clear" w:pos="7892"/>
              <w:tab w:val="right" w:pos="9026" w:leader="dot"/>
            </w:tabs>
            <w:rPr/>
          </w:pPr>
          <w:hyperlink w:anchor="__RefHeading___Toc603945_1395250215">
            <w:r>
              <w:rPr>
                <w:webHidden/>
                <w:rStyle w:val="IndexLink"/>
              </w:rPr>
              <w:t>2</w:t>
            </w:r>
            <w:r>
              <w:rPr>
                <w:rStyle w:val="IndexLink"/>
                <w:rtl w:val="true"/>
              </w:rPr>
              <w:t>ـ</w:t>
            </w:r>
            <w:r>
              <w:rPr>
                <w:rStyle w:val="IndexLink"/>
              </w:rPr>
              <w:t>2</w:t>
            </w:r>
            <w:r>
              <w:rPr>
                <w:rStyle w:val="IndexLink"/>
                <w:rtl w:val="true"/>
              </w:rPr>
              <w:t>ـ</w:t>
            </w:r>
            <w:r>
              <w:rPr>
                <w:rStyle w:val="IndexLink"/>
              </w:rPr>
              <w:t>5</w:t>
            </w:r>
            <w:r>
              <w:rPr>
                <w:rStyle w:val="IndexLink"/>
                <w:rtl w:val="true"/>
              </w:rPr>
              <w:t xml:space="preserve">. </w:t>
            </w:r>
            <w:r>
              <w:rPr>
                <w:rStyle w:val="IndexLink"/>
                <w:rtl w:val="true"/>
              </w:rPr>
              <w:t xml:space="preserve">بررسی فراز </w:t>
            </w:r>
            <w:r>
              <w:rPr>
                <w:rStyle w:val="IndexLink"/>
                <w:rtl w:val="true"/>
              </w:rPr>
              <w:t>«</w:t>
            </w:r>
            <w:r>
              <w:rPr>
                <w:rStyle w:val="IndexLink"/>
                <w:rtl w:val="true"/>
              </w:rPr>
              <w:t>ذلِک فَضْلُ اللَّهِ یُؤْتِیهِ مَن یَشاءُ</w:t>
            </w:r>
            <w:r>
              <w:rPr>
                <w:rStyle w:val="IndexLink"/>
                <w:rtl w:val="true"/>
              </w:rPr>
              <w:t>»</w:t>
              <w:tab/>
            </w:r>
            <w:r>
              <w:rPr>
                <w:rStyle w:val="IndexLink"/>
              </w:rPr>
              <w:t>80</w:t>
            </w:r>
          </w:hyperlink>
        </w:p>
        <w:p>
          <w:pPr>
            <w:pStyle w:val="Contents3"/>
            <w:tabs>
              <w:tab w:val="clear" w:pos="8459"/>
              <w:tab w:val="right" w:pos="9026" w:leader="dot"/>
            </w:tabs>
            <w:rPr/>
          </w:pPr>
          <w:hyperlink w:anchor="__RefHeading___Toc603947_1395250215">
            <w:r>
              <w:rPr>
                <w:webHidden/>
                <w:rStyle w:val="IndexLink"/>
                <w:rtl w:val="true"/>
              </w:rPr>
              <w:t>نتیجه</w:t>
            </w:r>
            <w:r>
              <w:rPr>
                <w:rStyle w:val="IndexLink"/>
                <w:rtl w:val="true"/>
              </w:rPr>
              <w:tab/>
            </w:r>
            <w:r>
              <w:rPr>
                <w:rStyle w:val="IndexLink"/>
              </w:rPr>
              <w:t>81</w:t>
            </w:r>
          </w:hyperlink>
        </w:p>
        <w:p>
          <w:pPr>
            <w:pStyle w:val="Contents3"/>
            <w:tabs>
              <w:tab w:val="clear" w:pos="8459"/>
              <w:tab w:val="right" w:pos="9026" w:leader="dot"/>
            </w:tabs>
            <w:rPr/>
          </w:pPr>
          <w:hyperlink w:anchor="__RefHeading___Toc603949_1395250215">
            <w:r>
              <w:rPr>
                <w:webHidden/>
                <w:rStyle w:val="IndexLink"/>
                <w:rtl w:val="true"/>
              </w:rPr>
              <w:t>منابع</w:t>
            </w:r>
            <w:r>
              <w:rPr>
                <w:rStyle w:val="IndexLink"/>
                <w:rtl w:val="true"/>
              </w:rPr>
              <w:tab/>
            </w:r>
            <w:r>
              <w:rPr>
                <w:rStyle w:val="IndexLink"/>
              </w:rPr>
              <w:t>82</w:t>
            </w:r>
          </w:hyperlink>
        </w:p>
        <w:p>
          <w:pPr>
            <w:pStyle w:val="Contents2"/>
            <w:tabs>
              <w:tab w:val="clear" w:pos="8743"/>
              <w:tab w:val="right" w:pos="9026" w:leader="dot"/>
            </w:tabs>
            <w:rPr/>
          </w:pPr>
          <w:hyperlink w:anchor="__RefHeading___Toc603951_1395250215">
            <w:r>
              <w:rPr>
                <w:webHidden/>
                <w:rStyle w:val="IndexLink"/>
                <w:rtl w:val="true"/>
              </w:rPr>
              <w:t xml:space="preserve">جریان‌شناسی فکری امامیه در خراسان و ماوراءالنهر </w:t>
            </w:r>
            <w:r>
              <w:rPr>
                <w:rStyle w:val="IndexLink"/>
                <w:rtl w:val="true"/>
              </w:rPr>
              <w:t>(</w:t>
            </w:r>
            <w:r>
              <w:rPr>
                <w:rStyle w:val="IndexLink"/>
                <w:rtl w:val="true"/>
              </w:rPr>
              <w:t>از آستانه غیبت صغری تا عصر شیخ صدوق</w:t>
            </w:r>
            <w:r>
              <w:rPr>
                <w:rStyle w:val="IndexLink"/>
                <w:rtl w:val="true"/>
              </w:rPr>
              <w:t>)</w:t>
              <w:tab/>
            </w:r>
            <w:r>
              <w:rPr>
                <w:rStyle w:val="IndexLink"/>
              </w:rPr>
              <w:t>89</w:t>
            </w:r>
          </w:hyperlink>
        </w:p>
        <w:p>
          <w:pPr>
            <w:pStyle w:val="Contents3"/>
            <w:tabs>
              <w:tab w:val="clear" w:pos="8459"/>
              <w:tab w:val="right" w:pos="9026" w:leader="dot"/>
            </w:tabs>
            <w:rPr/>
          </w:pPr>
          <w:hyperlink w:anchor="__RefHeading___Toc603953_1395250215">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03955_1395250215">
            <w:r>
              <w:rPr>
                <w:webHidden/>
                <w:rStyle w:val="IndexLink"/>
                <w:rtl w:val="true"/>
              </w:rPr>
              <w:t>چکیده</w:t>
            </w:r>
            <w:r>
              <w:rPr>
                <w:rStyle w:val="IndexLink"/>
                <w:rtl w:val="true"/>
              </w:rPr>
              <w:tab/>
            </w:r>
            <w:r>
              <w:rPr>
                <w:rStyle w:val="IndexLink"/>
              </w:rPr>
              <w:t>89</w:t>
            </w:r>
          </w:hyperlink>
        </w:p>
        <w:p>
          <w:pPr>
            <w:pStyle w:val="Contents3"/>
            <w:tabs>
              <w:tab w:val="clear" w:pos="8459"/>
              <w:tab w:val="right" w:pos="9026" w:leader="dot"/>
            </w:tabs>
            <w:rPr/>
          </w:pPr>
          <w:hyperlink w:anchor="__RefHeading___Toc603957_1395250215">
            <w:r>
              <w:rPr>
                <w:webHidden/>
                <w:rStyle w:val="IndexLink"/>
                <w:rtl w:val="true"/>
              </w:rPr>
              <w:t>واژگان کلیدی</w:t>
            </w:r>
            <w:r>
              <w:rPr>
                <w:rStyle w:val="IndexLink"/>
                <w:rtl w:val="true"/>
              </w:rPr>
              <w:tab/>
            </w:r>
            <w:r>
              <w:rPr>
                <w:rStyle w:val="IndexLink"/>
              </w:rPr>
              <w:t>89</w:t>
            </w:r>
          </w:hyperlink>
        </w:p>
        <w:p>
          <w:pPr>
            <w:pStyle w:val="Contents3"/>
            <w:tabs>
              <w:tab w:val="clear" w:pos="8459"/>
              <w:tab w:val="right" w:pos="9026" w:leader="dot"/>
            </w:tabs>
            <w:rPr/>
          </w:pPr>
          <w:hyperlink w:anchor="__RefHeading___Toc603959_1395250215">
            <w:r>
              <w:rPr>
                <w:webHidden/>
                <w:rStyle w:val="IndexLink"/>
                <w:rtl w:val="true"/>
              </w:rPr>
              <w:t>درآمد</w:t>
            </w:r>
            <w:r>
              <w:rPr>
                <w:rStyle w:val="IndexLink"/>
                <w:rtl w:val="true"/>
              </w:rPr>
              <w:tab/>
            </w:r>
            <w:r>
              <w:rPr>
                <w:rStyle w:val="IndexLink"/>
              </w:rPr>
              <w:t>90</w:t>
            </w:r>
          </w:hyperlink>
        </w:p>
        <w:p>
          <w:pPr>
            <w:pStyle w:val="Contents3"/>
            <w:tabs>
              <w:tab w:val="clear" w:pos="8459"/>
              <w:tab w:val="right" w:pos="9026" w:leader="dot"/>
            </w:tabs>
            <w:rPr/>
          </w:pPr>
          <w:hyperlink w:anchor="__RefHeading___Toc603961_1395250215">
            <w:r>
              <w:rPr>
                <w:webHidden/>
                <w:rStyle w:val="IndexLink"/>
                <w:rtl w:val="true"/>
              </w:rPr>
              <w:t>تاریخچه امامیه در خراسان و ماورا النهر</w:t>
            </w:r>
            <w:r>
              <w:rPr>
                <w:rStyle w:val="IndexLink"/>
                <w:rtl w:val="true"/>
              </w:rPr>
              <w:tab/>
            </w:r>
            <w:r>
              <w:rPr>
                <w:rStyle w:val="IndexLink"/>
              </w:rPr>
              <w:t>91</w:t>
            </w:r>
          </w:hyperlink>
        </w:p>
        <w:p>
          <w:pPr>
            <w:pStyle w:val="Contents4"/>
            <w:tabs>
              <w:tab w:val="clear" w:pos="8176"/>
              <w:tab w:val="right" w:pos="9026" w:leader="dot"/>
            </w:tabs>
            <w:rPr/>
          </w:pPr>
          <w:hyperlink w:anchor="__RefHeading___Toc603963_139525021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603965_1395250215">
            <w:r>
              <w:rPr>
                <w:webHidden/>
                <w:rStyle w:val="IndexLink"/>
              </w:rPr>
              <w:t>1</w:t>
            </w:r>
            <w:r>
              <w:rPr>
                <w:rStyle w:val="IndexLink"/>
                <w:rtl w:val="true"/>
              </w:rPr>
              <w:t xml:space="preserve">. </w:t>
            </w:r>
            <w:r>
              <w:rPr>
                <w:rStyle w:val="IndexLink"/>
                <w:rtl w:val="true"/>
              </w:rPr>
              <w:t>جریان هشام‌بن‌حکم و یونس‌بن‌عبدالرحمن</w:t>
            </w:r>
            <w:r>
              <w:rPr>
                <w:rStyle w:val="IndexLink"/>
                <w:rtl w:val="true"/>
              </w:rPr>
              <w:tab/>
            </w:r>
            <w:r>
              <w:rPr>
                <w:rStyle w:val="IndexLink"/>
              </w:rPr>
              <w:t>93</w:t>
            </w:r>
          </w:hyperlink>
        </w:p>
        <w:p>
          <w:pPr>
            <w:pStyle w:val="Contents5"/>
            <w:tabs>
              <w:tab w:val="clear" w:pos="7892"/>
              <w:tab w:val="right" w:pos="9026" w:leader="dot"/>
            </w:tabs>
            <w:rPr/>
          </w:pPr>
          <w:hyperlink w:anchor="__RefHeading___Toc603967_1395250215">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گرایش کلامی پیرو هشام و یونس</w:t>
            </w:r>
            <w:r>
              <w:rPr>
                <w:rStyle w:val="IndexLink"/>
                <w:rtl w:val="true"/>
              </w:rPr>
              <w:tab/>
            </w:r>
            <w:r>
              <w:rPr>
                <w:rStyle w:val="IndexLink"/>
              </w:rPr>
              <w:t>93</w:t>
            </w:r>
          </w:hyperlink>
        </w:p>
        <w:p>
          <w:pPr>
            <w:pStyle w:val="Contents6"/>
            <w:tabs>
              <w:tab w:val="clear" w:pos="7609"/>
              <w:tab w:val="right" w:pos="9026" w:leader="dot"/>
            </w:tabs>
            <w:rPr/>
          </w:pPr>
          <w:hyperlink w:anchor="__RefHeading___Toc603969_1395250215">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603971_1395250215">
            <w:r>
              <w:rPr>
                <w:webHidden/>
                <w:rStyle w:val="IndexLink"/>
              </w:rPr>
              <w:t>1</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شاخه نیشابور</w:t>
            </w:r>
            <w:r>
              <w:rPr>
                <w:rStyle w:val="IndexLink"/>
                <w:rtl w:val="true"/>
              </w:rPr>
              <w:tab/>
            </w:r>
            <w:r>
              <w:rPr>
                <w:rStyle w:val="IndexLink"/>
              </w:rPr>
              <w:t>94</w:t>
            </w:r>
          </w:hyperlink>
        </w:p>
        <w:p>
          <w:pPr>
            <w:pStyle w:val="Contents6"/>
            <w:tabs>
              <w:tab w:val="clear" w:pos="7609"/>
              <w:tab w:val="right" w:pos="9026" w:leader="dot"/>
            </w:tabs>
            <w:rPr/>
          </w:pPr>
          <w:hyperlink w:anchor="__RefHeading___Toc603973_1395250215">
            <w:r>
              <w:rPr>
                <w:webHidden/>
                <w:rStyle w:val="IndexLink"/>
              </w:rPr>
              <w:t>1</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شاخه ماوراءالنهر</w:t>
            </w:r>
            <w:r>
              <w:rPr>
                <w:rStyle w:val="IndexLink"/>
                <w:rtl w:val="true"/>
              </w:rPr>
              <w:tab/>
            </w:r>
            <w:r>
              <w:rPr>
                <w:rStyle w:val="IndexLink"/>
              </w:rPr>
              <w:t>95</w:t>
            </w:r>
          </w:hyperlink>
        </w:p>
        <w:p>
          <w:pPr>
            <w:pStyle w:val="Contents6"/>
            <w:tabs>
              <w:tab w:val="clear" w:pos="7609"/>
              <w:tab w:val="right" w:pos="9026" w:leader="dot"/>
            </w:tabs>
            <w:rPr/>
          </w:pPr>
          <w:hyperlink w:anchor="__RefHeading___Toc603975_1395250215">
            <w:r>
              <w:rPr>
                <w:webHidden/>
                <w:rStyle w:val="IndexLink"/>
              </w:rPr>
              <w:t>1</w:t>
            </w:r>
            <w:r>
              <w:rPr>
                <w:rStyle w:val="IndexLink"/>
                <w:rtl w:val="true"/>
              </w:rPr>
              <w:t>ـ</w:t>
            </w:r>
            <w:r>
              <w:rPr>
                <w:rStyle w:val="IndexLink"/>
              </w:rPr>
              <w:t>1</w:t>
            </w:r>
            <w:r>
              <w:rPr>
                <w:rStyle w:val="IndexLink"/>
                <w:rtl w:val="true"/>
              </w:rPr>
              <w:t>ـ</w:t>
            </w:r>
            <w:r>
              <w:rPr>
                <w:rStyle w:val="IndexLink"/>
              </w:rPr>
              <w:t>3</w:t>
            </w:r>
            <w:r>
              <w:rPr>
                <w:rStyle w:val="IndexLink"/>
                <w:rtl w:val="true"/>
              </w:rPr>
              <w:t xml:space="preserve">. </w:t>
            </w:r>
            <w:r>
              <w:rPr>
                <w:rStyle w:val="IndexLink"/>
                <w:rtl w:val="true"/>
              </w:rPr>
              <w:t>شاخه عراق</w:t>
            </w:r>
            <w:r>
              <w:rPr>
                <w:rStyle w:val="IndexLink"/>
                <w:rtl w:val="true"/>
              </w:rPr>
              <w:tab/>
            </w:r>
            <w:r>
              <w:rPr>
                <w:rStyle w:val="IndexLink"/>
              </w:rPr>
              <w:t>97</w:t>
            </w:r>
          </w:hyperlink>
        </w:p>
        <w:p>
          <w:pPr>
            <w:pStyle w:val="Contents6"/>
            <w:tabs>
              <w:tab w:val="clear" w:pos="7609"/>
              <w:tab w:val="right" w:pos="9026" w:leader="dot"/>
            </w:tabs>
            <w:rPr/>
          </w:pPr>
          <w:hyperlink w:anchor="__RefHeading___Toc603977_1395250215">
            <w:r>
              <w:rPr>
                <w:webHidden/>
                <w:rStyle w:val="IndexLink"/>
              </w:rPr>
              <w:t>1</w:t>
            </w:r>
            <w:r>
              <w:rPr>
                <w:rStyle w:val="IndexLink"/>
                <w:rtl w:val="true"/>
              </w:rPr>
              <w:t>ـ</w:t>
            </w:r>
            <w:r>
              <w:rPr>
                <w:rStyle w:val="IndexLink"/>
              </w:rPr>
              <w:t>1</w:t>
            </w:r>
            <w:r>
              <w:rPr>
                <w:rStyle w:val="IndexLink"/>
                <w:rtl w:val="true"/>
              </w:rPr>
              <w:t>ـ</w:t>
            </w:r>
            <w:r>
              <w:rPr>
                <w:rStyle w:val="IndexLink"/>
              </w:rPr>
              <w:t>4</w:t>
            </w:r>
            <w:r>
              <w:rPr>
                <w:rStyle w:val="IndexLink"/>
                <w:rtl w:val="true"/>
              </w:rPr>
              <w:t xml:space="preserve">. </w:t>
            </w:r>
            <w:r>
              <w:rPr>
                <w:rStyle w:val="IndexLink"/>
                <w:rtl w:val="true"/>
              </w:rPr>
              <w:t>شاخه قم</w:t>
            </w:r>
            <w:r>
              <w:rPr>
                <w:rStyle w:val="IndexLink"/>
                <w:rtl w:val="true"/>
              </w:rPr>
              <w:tab/>
            </w:r>
            <w:r>
              <w:rPr>
                <w:rStyle w:val="IndexLink"/>
              </w:rPr>
              <w:t>99</w:t>
            </w:r>
          </w:hyperlink>
        </w:p>
        <w:p>
          <w:pPr>
            <w:pStyle w:val="Contents6"/>
            <w:tabs>
              <w:tab w:val="clear" w:pos="7609"/>
              <w:tab w:val="right" w:pos="9026" w:leader="dot"/>
            </w:tabs>
            <w:rPr/>
          </w:pPr>
          <w:hyperlink w:anchor="__RefHeading___Toc603979_1395250215">
            <w:r>
              <w:rPr>
                <w:webHidden/>
                <w:rStyle w:val="IndexLink"/>
              </w:rPr>
              <w:t>5-1-1</w:t>
            </w:r>
            <w:r>
              <w:rPr>
                <w:rStyle w:val="IndexLink"/>
                <w:rtl w:val="true"/>
              </w:rPr>
              <w:t xml:space="preserve">. </w:t>
            </w:r>
            <w:r>
              <w:rPr>
                <w:rStyle w:val="IndexLink"/>
                <w:rtl w:val="true"/>
              </w:rPr>
              <w:t>گرایش پیرو یونس</w:t>
            </w:r>
            <w:r>
              <w:rPr>
                <w:rStyle w:val="IndexLink"/>
                <w:rtl w:val="true"/>
              </w:rPr>
              <w:tab/>
            </w:r>
            <w:r>
              <w:rPr>
                <w:rStyle w:val="IndexLink"/>
              </w:rPr>
              <w:t>99</w:t>
            </w:r>
          </w:hyperlink>
        </w:p>
        <w:p>
          <w:pPr>
            <w:pStyle w:val="Contents4"/>
            <w:tabs>
              <w:tab w:val="clear" w:pos="8176"/>
              <w:tab w:val="right" w:pos="9026" w:leader="dot"/>
            </w:tabs>
            <w:rPr/>
          </w:pPr>
          <w:hyperlink w:anchor="__RefHeading___Toc603981_1395250215">
            <w:r>
              <w:rPr>
                <w:webHidden/>
                <w:rStyle w:val="IndexLink"/>
                <w:rtl w:val="true"/>
              </w:rPr>
              <w:t>جریان متکلمان اعتزال گرا</w:t>
            </w:r>
            <w:r>
              <w:rPr>
                <w:rStyle w:val="IndexLink"/>
                <w:rtl w:val="true"/>
              </w:rPr>
              <w:tab/>
            </w:r>
            <w:r>
              <w:rPr>
                <w:rStyle w:val="IndexLink"/>
              </w:rPr>
              <w:t>102</w:t>
            </w:r>
          </w:hyperlink>
        </w:p>
        <w:p>
          <w:pPr>
            <w:pStyle w:val="Contents4"/>
            <w:tabs>
              <w:tab w:val="clear" w:pos="8176"/>
              <w:tab w:val="right" w:pos="9026" w:leader="dot"/>
            </w:tabs>
            <w:rPr/>
          </w:pPr>
          <w:hyperlink w:anchor="__RefHeading___Toc603983_1395250215">
            <w:r>
              <w:rPr>
                <w:webHidden/>
                <w:rStyle w:val="IndexLink"/>
                <w:rtl w:val="true"/>
              </w:rPr>
              <w:t>جریان محدثان خراسان و ماورا النهر</w:t>
            </w:r>
            <w:r>
              <w:rPr>
                <w:rStyle w:val="IndexLink"/>
                <w:rtl w:val="true"/>
              </w:rPr>
              <w:tab/>
            </w:r>
            <w:r>
              <w:rPr>
                <w:rStyle w:val="IndexLink"/>
              </w:rPr>
              <w:t>105</w:t>
            </w:r>
          </w:hyperlink>
        </w:p>
        <w:p>
          <w:pPr>
            <w:pStyle w:val="Contents4"/>
            <w:tabs>
              <w:tab w:val="clear" w:pos="8176"/>
              <w:tab w:val="right" w:pos="9026" w:leader="dot"/>
            </w:tabs>
            <w:rPr/>
          </w:pPr>
          <w:hyperlink w:anchor="__RefHeading___Toc603985_1395250215">
            <w:r>
              <w:rPr>
                <w:webHidden/>
                <w:rStyle w:val="IndexLink"/>
                <w:rtl w:val="true"/>
              </w:rPr>
              <w:t>جریان متهم به غلو</w:t>
            </w:r>
            <w:r>
              <w:rPr>
                <w:rStyle w:val="IndexLink"/>
                <w:rtl w:val="true"/>
              </w:rPr>
              <w:tab/>
            </w:r>
            <w:r>
              <w:rPr>
                <w:rStyle w:val="IndexLink"/>
              </w:rPr>
              <w:t>108</w:t>
            </w:r>
          </w:hyperlink>
        </w:p>
        <w:p>
          <w:pPr>
            <w:pStyle w:val="Contents4"/>
            <w:tabs>
              <w:tab w:val="clear" w:pos="8176"/>
              <w:tab w:val="right" w:pos="9026" w:leader="dot"/>
            </w:tabs>
            <w:rPr/>
          </w:pPr>
          <w:hyperlink w:anchor="__RefHeading___Toc603987_1395250215">
            <w:r>
              <w:rPr>
                <w:webHidden/>
                <w:rStyle w:val="IndexLink"/>
                <w:rtl w:val="true"/>
              </w:rPr>
              <w:t>طیف های ناشناخته</w:t>
            </w:r>
            <w:r>
              <w:rPr>
                <w:rStyle w:val="IndexLink"/>
                <w:rtl w:val="true"/>
              </w:rPr>
              <w:tab/>
            </w:r>
            <w:r>
              <w:rPr>
                <w:rStyle w:val="IndexLink"/>
              </w:rPr>
              <w:t>110</w:t>
            </w:r>
          </w:hyperlink>
        </w:p>
        <w:p>
          <w:pPr>
            <w:pStyle w:val="Contents5"/>
            <w:tabs>
              <w:tab w:val="clear" w:pos="7892"/>
              <w:tab w:val="right" w:pos="9026" w:leader="dot"/>
            </w:tabs>
            <w:rPr/>
          </w:pPr>
          <w:hyperlink w:anchor="__RefHeading___Toc603989_1395250215">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603991_1395250215">
            <w:r>
              <w:rPr>
                <w:webHidden/>
                <w:rStyle w:val="IndexLink"/>
                <w:rtl w:val="true"/>
              </w:rPr>
              <w:t>علمای مستبصر</w:t>
            </w:r>
            <w:r>
              <w:rPr>
                <w:rStyle w:val="IndexLink"/>
                <w:rtl w:val="true"/>
              </w:rPr>
              <w:tab/>
            </w:r>
            <w:r>
              <w:rPr>
                <w:rStyle w:val="IndexLink"/>
              </w:rPr>
              <w:t>110</w:t>
            </w:r>
          </w:hyperlink>
        </w:p>
        <w:p>
          <w:pPr>
            <w:pStyle w:val="Contents6"/>
            <w:tabs>
              <w:tab w:val="clear" w:pos="7609"/>
              <w:tab w:val="right" w:pos="9026" w:leader="dot"/>
            </w:tabs>
            <w:rPr/>
          </w:pPr>
          <w:hyperlink w:anchor="__RefHeading___Toc603993_1395250215">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603995_1395250215">
            <w:r>
              <w:rPr>
                <w:webHidden/>
                <w:rStyle w:val="IndexLink"/>
              </w:rPr>
              <w:t>1-1</w:t>
            </w:r>
            <w:r>
              <w:rPr>
                <w:rStyle w:val="IndexLink"/>
                <w:rtl w:val="true"/>
              </w:rPr>
              <w:t xml:space="preserve">. </w:t>
            </w:r>
            <w:r>
              <w:rPr>
                <w:rStyle w:val="IndexLink"/>
                <w:rtl w:val="true"/>
              </w:rPr>
              <w:t>ابن کلثوم مروزی</w:t>
            </w:r>
            <w:r>
              <w:rPr>
                <w:rStyle w:val="IndexLink"/>
                <w:rtl w:val="true"/>
              </w:rPr>
              <w:tab/>
            </w:r>
            <w:r>
              <w:rPr>
                <w:rStyle w:val="IndexLink"/>
              </w:rPr>
              <w:t>111</w:t>
            </w:r>
          </w:hyperlink>
        </w:p>
        <w:p>
          <w:pPr>
            <w:pStyle w:val="Contents6"/>
            <w:tabs>
              <w:tab w:val="clear" w:pos="7609"/>
              <w:tab w:val="right" w:pos="9026" w:leader="dot"/>
            </w:tabs>
            <w:rPr/>
          </w:pPr>
          <w:hyperlink w:anchor="__RefHeading___Toc603997_1395250215">
            <w:r>
              <w:rPr>
                <w:webHidden/>
                <w:rStyle w:val="IndexLink"/>
              </w:rPr>
              <w:t>2-1</w:t>
            </w:r>
            <w:r>
              <w:rPr>
                <w:rStyle w:val="IndexLink"/>
                <w:rtl w:val="true"/>
              </w:rPr>
              <w:t>.</w:t>
            </w:r>
            <w:r>
              <w:rPr>
                <w:rStyle w:val="IndexLink"/>
                <w:rtl w:val="true"/>
              </w:rPr>
              <w:t>ابو یحیی جرجانی</w:t>
            </w:r>
            <w:r>
              <w:rPr>
                <w:rStyle w:val="IndexLink"/>
                <w:rtl w:val="true"/>
              </w:rPr>
              <w:tab/>
            </w:r>
            <w:r>
              <w:rPr>
                <w:rStyle w:val="IndexLink"/>
              </w:rPr>
              <w:t>111</w:t>
            </w:r>
          </w:hyperlink>
        </w:p>
        <w:p>
          <w:pPr>
            <w:pStyle w:val="Contents6"/>
            <w:tabs>
              <w:tab w:val="clear" w:pos="7609"/>
              <w:tab w:val="right" w:pos="9026" w:leader="dot"/>
            </w:tabs>
            <w:rPr/>
          </w:pPr>
          <w:hyperlink w:anchor="__RefHeading___Toc603999_1395250215">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 xml:space="preserve">تاج‌العلماء نیشابوری </w:t>
            </w:r>
            <w:r>
              <w:rPr>
                <w:rStyle w:val="IndexLink"/>
                <w:rtl w:val="true"/>
              </w:rPr>
              <w:t>(</w:t>
            </w:r>
            <w:r>
              <w:rPr>
                <w:rStyle w:val="IndexLink"/>
                <w:rtl w:val="true"/>
              </w:rPr>
              <w:t>م</w:t>
            </w:r>
            <w:r>
              <w:rPr>
                <w:rStyle w:val="IndexLink"/>
                <w:rtl w:val="true"/>
              </w:rPr>
              <w:t>.</w:t>
            </w:r>
            <w:r>
              <w:rPr>
                <w:rStyle w:val="IndexLink"/>
              </w:rPr>
              <w:t>335</w:t>
            </w:r>
            <w:r>
              <w:rPr>
                <w:rStyle w:val="IndexLink"/>
                <w:rtl w:val="true"/>
              </w:rPr>
              <w:t>ق</w:t>
            </w:r>
            <w:r>
              <w:rPr>
                <w:rStyle w:val="IndexLink"/>
                <w:rtl w:val="true"/>
              </w:rPr>
              <w:t>)</w:t>
              <w:tab/>
            </w:r>
            <w:r>
              <w:rPr>
                <w:rStyle w:val="IndexLink"/>
              </w:rPr>
              <w:t>112</w:t>
            </w:r>
          </w:hyperlink>
        </w:p>
        <w:p>
          <w:pPr>
            <w:pStyle w:val="Contents5"/>
            <w:tabs>
              <w:tab w:val="clear" w:pos="7892"/>
              <w:tab w:val="right" w:pos="9026" w:leader="dot"/>
            </w:tabs>
            <w:rPr/>
          </w:pPr>
          <w:hyperlink w:anchor="__RefHeading___Toc604001_1395250215">
            <w:r>
              <w:rPr>
                <w:webHidden/>
                <w:rStyle w:val="IndexLink"/>
                <w:rtl w:val="true"/>
              </w:rPr>
              <w:t>طیف متکلمان منفرد</w:t>
            </w:r>
            <w:r>
              <w:rPr>
                <w:rStyle w:val="IndexLink"/>
                <w:rtl w:val="true"/>
              </w:rPr>
              <w:tab/>
            </w:r>
            <w:r>
              <w:rPr>
                <w:rStyle w:val="IndexLink"/>
              </w:rPr>
              <w:t>112</w:t>
            </w:r>
          </w:hyperlink>
        </w:p>
        <w:p>
          <w:pPr>
            <w:pStyle w:val="Contents6"/>
            <w:tabs>
              <w:tab w:val="clear" w:pos="7609"/>
              <w:tab w:val="right" w:pos="9026" w:leader="dot"/>
            </w:tabs>
            <w:rPr/>
          </w:pPr>
          <w:hyperlink w:anchor="__RefHeading___Toc604003_1395250215">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604005_1395250215">
            <w:r>
              <w:rPr>
                <w:webHidden/>
                <w:rStyle w:val="IndexLink"/>
              </w:rPr>
              <w:t>1-2</w:t>
            </w:r>
            <w:r>
              <w:rPr>
                <w:rStyle w:val="IndexLink"/>
                <w:rtl w:val="true"/>
              </w:rPr>
              <w:t xml:space="preserve">. </w:t>
            </w:r>
            <w:r>
              <w:rPr>
                <w:rStyle w:val="IndexLink"/>
                <w:rtl w:val="true"/>
              </w:rPr>
              <w:t>ابن شکیب مروزی</w:t>
            </w:r>
            <w:r>
              <w:rPr>
                <w:rStyle w:val="IndexLink"/>
                <w:rtl w:val="true"/>
              </w:rPr>
              <w:tab/>
            </w:r>
            <w:r>
              <w:rPr>
                <w:rStyle w:val="IndexLink"/>
              </w:rPr>
              <w:t>112</w:t>
            </w:r>
          </w:hyperlink>
        </w:p>
        <w:p>
          <w:pPr>
            <w:pStyle w:val="Contents6"/>
            <w:tabs>
              <w:tab w:val="clear" w:pos="7609"/>
              <w:tab w:val="right" w:pos="9026" w:leader="dot"/>
            </w:tabs>
            <w:rPr/>
          </w:pPr>
          <w:hyperlink w:anchor="__RefHeading___Toc604007_1395250215">
            <w:r>
              <w:rPr>
                <w:webHidden/>
                <w:rStyle w:val="IndexLink"/>
                <w:rtl w:val="true"/>
              </w:rPr>
              <w:t>علیم شاشی</w:t>
            </w:r>
            <w:r>
              <w:rPr>
                <w:rStyle w:val="IndexLink"/>
                <w:rtl w:val="true"/>
              </w:rPr>
              <w:tab/>
            </w:r>
            <w:r>
              <w:rPr>
                <w:rStyle w:val="IndexLink"/>
              </w:rPr>
              <w:t>113</w:t>
            </w:r>
          </w:hyperlink>
        </w:p>
        <w:p>
          <w:pPr>
            <w:pStyle w:val="Contents3"/>
            <w:tabs>
              <w:tab w:val="clear" w:pos="8459"/>
              <w:tab w:val="right" w:pos="9026" w:leader="dot"/>
            </w:tabs>
            <w:rPr/>
          </w:pPr>
          <w:hyperlink w:anchor="__RefHeading___Toc604009_1395250215">
            <w:r>
              <w:rPr>
                <w:webHidden/>
                <w:rStyle w:val="IndexLink"/>
                <w:rtl w:val="true"/>
              </w:rPr>
              <w:t>دست آورد</w:t>
            </w:r>
            <w:r>
              <w:rPr>
                <w:rStyle w:val="IndexLink"/>
                <w:rtl w:val="true"/>
              </w:rPr>
              <w:tab/>
            </w:r>
            <w:r>
              <w:rPr>
                <w:rStyle w:val="IndexLink"/>
              </w:rPr>
              <w:t>113</w:t>
            </w:r>
          </w:hyperlink>
        </w:p>
        <w:p>
          <w:pPr>
            <w:pStyle w:val="Contents3"/>
            <w:tabs>
              <w:tab w:val="clear" w:pos="8459"/>
              <w:tab w:val="right" w:pos="9026" w:leader="dot"/>
            </w:tabs>
            <w:rPr/>
          </w:pPr>
          <w:hyperlink w:anchor="__RefHeading___Toc604011_1395250215">
            <w:r>
              <w:rPr>
                <w:webHidden/>
                <w:rStyle w:val="IndexLink"/>
                <w:rtl w:val="true"/>
              </w:rPr>
              <w:t>منابع</w:t>
            </w:r>
            <w:r>
              <w:rPr>
                <w:rStyle w:val="IndexLink"/>
                <w:rtl w:val="true"/>
              </w:rPr>
              <w:tab/>
            </w:r>
            <w:r>
              <w:rPr>
                <w:rStyle w:val="IndexLink"/>
              </w:rPr>
              <w:t>114</w:t>
            </w:r>
          </w:hyperlink>
        </w:p>
        <w:p>
          <w:pPr>
            <w:pStyle w:val="Contents2"/>
            <w:tabs>
              <w:tab w:val="clear" w:pos="8743"/>
              <w:tab w:val="right" w:pos="9026" w:leader="dot"/>
            </w:tabs>
            <w:rPr/>
          </w:pPr>
          <w:hyperlink w:anchor="__RefHeading___Toc604013_1395250215">
            <w:r>
              <w:rPr>
                <w:webHidden/>
                <w:rStyle w:val="IndexLink"/>
                <w:rtl w:val="true"/>
              </w:rPr>
              <w:t>ابن راوندی و دفاع از اندیشه کلامی کوفه</w:t>
            </w:r>
            <w:r>
              <w:rPr>
                <w:rStyle w:val="IndexLink"/>
                <w:rtl w:val="true"/>
              </w:rPr>
              <w:tab/>
            </w:r>
            <w:r>
              <w:rPr>
                <w:rStyle w:val="IndexLink"/>
              </w:rPr>
              <w:t>119</w:t>
            </w:r>
          </w:hyperlink>
        </w:p>
        <w:p>
          <w:pPr>
            <w:pStyle w:val="Contents3"/>
            <w:tabs>
              <w:tab w:val="clear" w:pos="8459"/>
              <w:tab w:val="right" w:pos="9026" w:leader="dot"/>
            </w:tabs>
            <w:rPr/>
          </w:pPr>
          <w:hyperlink w:anchor="__RefHeading___Toc604015_1395250215">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604017_1395250215">
            <w:r>
              <w:rPr>
                <w:webHidden/>
                <w:rStyle w:val="IndexLink"/>
                <w:rtl w:val="true"/>
              </w:rPr>
              <w:t>چکیده</w:t>
            </w:r>
            <w:r>
              <w:rPr>
                <w:rStyle w:val="IndexLink"/>
                <w:rtl w:val="true"/>
              </w:rPr>
              <w:tab/>
            </w:r>
            <w:r>
              <w:rPr>
                <w:rStyle w:val="IndexLink"/>
              </w:rPr>
              <w:t>119</w:t>
            </w:r>
          </w:hyperlink>
        </w:p>
        <w:p>
          <w:pPr>
            <w:pStyle w:val="Contents3"/>
            <w:tabs>
              <w:tab w:val="clear" w:pos="8459"/>
              <w:tab w:val="right" w:pos="9026" w:leader="dot"/>
            </w:tabs>
            <w:rPr/>
          </w:pPr>
          <w:hyperlink w:anchor="__RefHeading___Toc604019_1395250215">
            <w:r>
              <w:rPr>
                <w:webHidden/>
                <w:rStyle w:val="IndexLink"/>
                <w:rtl w:val="true"/>
              </w:rPr>
              <w:t>واژگان کلیدی</w:t>
            </w:r>
            <w:r>
              <w:rPr>
                <w:rStyle w:val="IndexLink"/>
                <w:rtl w:val="true"/>
              </w:rPr>
              <w:tab/>
            </w:r>
            <w:r>
              <w:rPr>
                <w:rStyle w:val="IndexLink"/>
              </w:rPr>
              <w:t>119</w:t>
            </w:r>
          </w:hyperlink>
        </w:p>
        <w:p>
          <w:pPr>
            <w:pStyle w:val="Contents3"/>
            <w:tabs>
              <w:tab w:val="clear" w:pos="8459"/>
              <w:tab w:val="right" w:pos="9026" w:leader="dot"/>
            </w:tabs>
            <w:rPr/>
          </w:pPr>
          <w:hyperlink w:anchor="__RefHeading___Toc604021_1395250215">
            <w:r>
              <w:rPr>
                <w:webHidden/>
                <w:rStyle w:val="IndexLink"/>
                <w:rtl w:val="true"/>
              </w:rPr>
              <w:t>مقدمه</w:t>
            </w:r>
            <w:r>
              <w:rPr>
                <w:rStyle w:val="IndexLink"/>
                <w:rtl w:val="true"/>
              </w:rPr>
              <w:tab/>
            </w:r>
            <w:r>
              <w:rPr>
                <w:rStyle w:val="IndexLink"/>
              </w:rPr>
              <w:t>120</w:t>
            </w:r>
          </w:hyperlink>
        </w:p>
        <w:p>
          <w:pPr>
            <w:pStyle w:val="Contents3"/>
            <w:tabs>
              <w:tab w:val="clear" w:pos="8459"/>
              <w:tab w:val="right" w:pos="9026" w:leader="dot"/>
            </w:tabs>
            <w:rPr/>
          </w:pPr>
          <w:hyperlink w:anchor="__RefHeading___Toc604023_1395250215">
            <w:r>
              <w:rPr>
                <w:webHidden/>
                <w:rStyle w:val="IndexLink"/>
                <w:rtl w:val="true"/>
              </w:rPr>
              <w:t>ابن راوندی</w:t>
            </w:r>
            <w:r>
              <w:rPr>
                <w:rStyle w:val="IndexLink"/>
                <w:rtl w:val="true"/>
              </w:rPr>
              <w:tab/>
            </w:r>
            <w:r>
              <w:rPr>
                <w:rStyle w:val="IndexLink"/>
              </w:rPr>
              <w:t>121</w:t>
            </w:r>
          </w:hyperlink>
        </w:p>
        <w:p>
          <w:pPr>
            <w:pStyle w:val="Contents3"/>
            <w:tabs>
              <w:tab w:val="clear" w:pos="8459"/>
              <w:tab w:val="right" w:pos="9026" w:leader="dot"/>
            </w:tabs>
            <w:rPr/>
          </w:pPr>
          <w:hyperlink w:anchor="__RefHeading___Toc604025_1395250215">
            <w:r>
              <w:rPr>
                <w:webHidden/>
                <w:rStyle w:val="IndexLink"/>
                <w:rtl w:val="true"/>
              </w:rPr>
              <w:t>مدرسه کوفه و هشام بن حکم</w:t>
            </w:r>
            <w:r>
              <w:rPr>
                <w:rStyle w:val="IndexLink"/>
                <w:rtl w:val="true"/>
              </w:rPr>
              <w:tab/>
            </w:r>
            <w:r>
              <w:rPr>
                <w:rStyle w:val="IndexLink"/>
              </w:rPr>
              <w:t>122</w:t>
            </w:r>
          </w:hyperlink>
        </w:p>
        <w:p>
          <w:pPr>
            <w:pStyle w:val="Contents3"/>
            <w:tabs>
              <w:tab w:val="clear" w:pos="8459"/>
              <w:tab w:val="right" w:pos="9026" w:leader="dot"/>
            </w:tabs>
            <w:rPr/>
          </w:pPr>
          <w:hyperlink w:anchor="__RefHeading___Toc604027_1395250215">
            <w:r>
              <w:rPr>
                <w:webHidden/>
                <w:rStyle w:val="IndexLink"/>
                <w:rtl w:val="true"/>
              </w:rPr>
              <w:t>ابن راوندی و هشام</w:t>
            </w:r>
            <w:r>
              <w:rPr>
                <w:rStyle w:val="IndexLink"/>
                <w:rtl w:val="true"/>
              </w:rPr>
              <w:tab/>
            </w:r>
            <w:r>
              <w:rPr>
                <w:rStyle w:val="IndexLink"/>
              </w:rPr>
              <w:t>123</w:t>
            </w:r>
          </w:hyperlink>
        </w:p>
        <w:p>
          <w:pPr>
            <w:pStyle w:val="Contents3"/>
            <w:tabs>
              <w:tab w:val="clear" w:pos="8459"/>
              <w:tab w:val="right" w:pos="9026" w:leader="dot"/>
            </w:tabs>
            <w:rPr/>
          </w:pPr>
          <w:hyperlink w:anchor="__RefHeading___Toc604029_1395250215">
            <w:r>
              <w:rPr>
                <w:webHidden/>
                <w:rStyle w:val="IndexLink"/>
                <w:rtl w:val="true"/>
              </w:rPr>
              <w:t>تشابه های غیر محتوایی</w:t>
            </w:r>
            <w:r>
              <w:rPr>
                <w:rStyle w:val="IndexLink"/>
                <w:rtl w:val="true"/>
              </w:rPr>
              <w:tab/>
            </w:r>
            <w:r>
              <w:rPr>
                <w:rStyle w:val="IndexLink"/>
              </w:rPr>
              <w:t>124</w:t>
            </w:r>
          </w:hyperlink>
        </w:p>
        <w:p>
          <w:pPr>
            <w:pStyle w:val="Contents3"/>
            <w:tabs>
              <w:tab w:val="clear" w:pos="8459"/>
              <w:tab w:val="right" w:pos="9026" w:leader="dot"/>
            </w:tabs>
            <w:rPr/>
          </w:pPr>
          <w:hyperlink w:anchor="__RefHeading___Toc604031_1395250215">
            <w:r>
              <w:rPr>
                <w:webHidden/>
                <w:rStyle w:val="IndexLink"/>
                <w:rtl w:val="true"/>
              </w:rPr>
              <w:t>تشابه های محتوایی</w:t>
            </w:r>
            <w:r>
              <w:rPr>
                <w:rStyle w:val="IndexLink"/>
                <w:rtl w:val="true"/>
              </w:rPr>
              <w:tab/>
            </w:r>
            <w:r>
              <w:rPr>
                <w:rStyle w:val="IndexLink"/>
              </w:rPr>
              <w:t>126</w:t>
            </w:r>
          </w:hyperlink>
        </w:p>
        <w:p>
          <w:pPr>
            <w:pStyle w:val="Contents3"/>
            <w:tabs>
              <w:tab w:val="clear" w:pos="8459"/>
              <w:tab w:val="right" w:pos="9026" w:leader="dot"/>
            </w:tabs>
            <w:rPr/>
          </w:pPr>
          <w:hyperlink w:anchor="__RefHeading___Toc604033_1395250215">
            <w:r>
              <w:rPr>
                <w:webHidden/>
                <w:rStyle w:val="IndexLink"/>
                <w:rtl w:val="true"/>
              </w:rPr>
              <w:t>نتیجه گیری</w:t>
            </w:r>
            <w:r>
              <w:rPr>
                <w:rStyle w:val="IndexLink"/>
                <w:rtl w:val="true"/>
              </w:rPr>
              <w:tab/>
            </w:r>
            <w:r>
              <w:rPr>
                <w:rStyle w:val="IndexLink"/>
              </w:rPr>
              <w:t>134</w:t>
            </w:r>
          </w:hyperlink>
        </w:p>
        <w:p>
          <w:pPr>
            <w:pStyle w:val="Contents3"/>
            <w:tabs>
              <w:tab w:val="clear" w:pos="8459"/>
              <w:tab w:val="right" w:pos="9026" w:leader="dot"/>
            </w:tabs>
            <w:rPr/>
          </w:pPr>
          <w:hyperlink w:anchor="__RefHeading___Toc604035_1395250215">
            <w:r>
              <w:rPr>
                <w:webHidden/>
                <w:rStyle w:val="IndexLink"/>
                <w:rtl w:val="true"/>
              </w:rPr>
              <w:t>منابع</w:t>
            </w:r>
            <w:r>
              <w:rPr>
                <w:rStyle w:val="IndexLink"/>
                <w:rtl w:val="true"/>
              </w:rPr>
              <w:tab/>
            </w:r>
            <w:r>
              <w:rPr>
                <w:rStyle w:val="IndexLink"/>
              </w:rPr>
              <w:t>136</w:t>
            </w:r>
          </w:hyperlink>
        </w:p>
        <w:p>
          <w:pPr>
            <w:pStyle w:val="Contents3"/>
            <w:tabs>
              <w:tab w:val="clear" w:pos="8459"/>
              <w:tab w:val="right" w:pos="9026" w:leader="dot"/>
            </w:tabs>
            <w:rPr/>
          </w:pPr>
          <w:hyperlink w:anchor="__RefHeading___Toc604037_1395250215">
            <w:r>
              <w:rPr>
                <w:webHidden/>
                <w:rStyle w:val="IndexLink"/>
                <w:rtl w:val="true"/>
              </w:rPr>
              <w:t xml:space="preserve">اثرپذیری کلام یهودی از کلام اسلامی </w:t>
            </w:r>
            <w:r>
              <w:rPr>
                <w:rStyle w:val="IndexLink"/>
                <w:rtl w:val="true"/>
              </w:rPr>
              <w:t>(</w:t>
            </w:r>
            <w:r>
              <w:rPr>
                <w:rStyle w:val="IndexLink"/>
                <w:rtl w:val="true"/>
              </w:rPr>
              <w:t>با تأکید بر نقش عقل در دین</w:t>
            </w:r>
            <w:r>
              <w:rPr>
                <w:rStyle w:val="IndexLink"/>
                <w:rtl w:val="true"/>
              </w:rPr>
              <w:t>)</w:t>
              <w:tab/>
            </w:r>
            <w:r>
              <w:rPr>
                <w:rStyle w:val="IndexLink"/>
              </w:rPr>
              <w:t>138</w:t>
            </w:r>
          </w:hyperlink>
        </w:p>
        <w:p>
          <w:pPr>
            <w:pStyle w:val="Contents4"/>
            <w:tabs>
              <w:tab w:val="clear" w:pos="8176"/>
              <w:tab w:val="right" w:pos="9026" w:leader="dot"/>
            </w:tabs>
            <w:rPr/>
          </w:pPr>
          <w:hyperlink w:anchor="__RefHeading___Toc604039_139525021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604041_1395250215">
            <w:r>
              <w:rPr>
                <w:webHidden/>
                <w:rStyle w:val="IndexLink"/>
                <w:rtl w:val="true"/>
              </w:rPr>
              <w:t>چکیده</w:t>
            </w:r>
            <w:r>
              <w:rPr>
                <w:rStyle w:val="IndexLink"/>
                <w:rtl w:val="true"/>
              </w:rPr>
              <w:tab/>
            </w:r>
            <w:r>
              <w:rPr>
                <w:rStyle w:val="IndexLink"/>
              </w:rPr>
              <w:t>138</w:t>
            </w:r>
          </w:hyperlink>
        </w:p>
        <w:p>
          <w:pPr>
            <w:pStyle w:val="Contents4"/>
            <w:tabs>
              <w:tab w:val="clear" w:pos="8176"/>
              <w:tab w:val="right" w:pos="9026" w:leader="dot"/>
            </w:tabs>
            <w:rPr/>
          </w:pPr>
          <w:hyperlink w:anchor="__RefHeading___Toc604043_1395250215">
            <w:r>
              <w:rPr>
                <w:webHidden/>
                <w:rStyle w:val="IndexLink"/>
                <w:rtl w:val="true"/>
              </w:rPr>
              <w:t>واژگان کلیدی</w:t>
            </w:r>
            <w:r>
              <w:rPr>
                <w:rStyle w:val="IndexLink"/>
                <w:rtl w:val="true"/>
              </w:rPr>
              <w:tab/>
            </w:r>
            <w:r>
              <w:rPr>
                <w:rStyle w:val="IndexLink"/>
              </w:rPr>
              <w:t>138</w:t>
            </w:r>
          </w:hyperlink>
        </w:p>
        <w:p>
          <w:pPr>
            <w:pStyle w:val="Contents4"/>
            <w:tabs>
              <w:tab w:val="clear" w:pos="8176"/>
              <w:tab w:val="right" w:pos="9026" w:leader="dot"/>
            </w:tabs>
            <w:rPr/>
          </w:pPr>
          <w:hyperlink w:anchor="__RefHeading___Toc604045_1395250215">
            <w:r>
              <w:rPr>
                <w:webHidden/>
                <w:rStyle w:val="IndexLink"/>
                <w:rtl w:val="true"/>
              </w:rPr>
              <w:t>مقدمه</w:t>
            </w:r>
            <w:r>
              <w:rPr>
                <w:rStyle w:val="IndexLink"/>
                <w:rtl w:val="true"/>
              </w:rPr>
              <w:tab/>
            </w:r>
            <w:r>
              <w:rPr>
                <w:rStyle w:val="IndexLink"/>
              </w:rPr>
              <w:t>139</w:t>
            </w:r>
          </w:hyperlink>
        </w:p>
        <w:p>
          <w:pPr>
            <w:pStyle w:val="Contents4"/>
            <w:tabs>
              <w:tab w:val="clear" w:pos="8176"/>
              <w:tab w:val="right" w:pos="9026" w:leader="dot"/>
            </w:tabs>
            <w:rPr/>
          </w:pPr>
          <w:hyperlink w:anchor="__RefHeading___Toc604047_1395250215">
            <w:r>
              <w:rPr>
                <w:webHidden/>
                <w:rStyle w:val="IndexLink"/>
                <w:rtl w:val="true"/>
              </w:rPr>
              <w:t>کلام یهودی</w:t>
            </w:r>
            <w:r>
              <w:rPr>
                <w:rStyle w:val="IndexLink"/>
                <w:rtl w:val="true"/>
              </w:rPr>
              <w:tab/>
            </w:r>
            <w:r>
              <w:rPr>
                <w:rStyle w:val="IndexLink"/>
              </w:rPr>
              <w:t>140</w:t>
            </w:r>
          </w:hyperlink>
        </w:p>
        <w:p>
          <w:pPr>
            <w:pStyle w:val="Contents4"/>
            <w:tabs>
              <w:tab w:val="clear" w:pos="8176"/>
              <w:tab w:val="right" w:pos="9026" w:leader="dot"/>
            </w:tabs>
            <w:rPr/>
          </w:pPr>
          <w:hyperlink w:anchor="__RefHeading___Toc604049_1395250215">
            <w:r>
              <w:rPr>
                <w:webHidden/>
                <w:rStyle w:val="IndexLink"/>
                <w:rtl w:val="true"/>
              </w:rPr>
              <w:t>تفاوت کلام یهودی با الهیات یهودی</w:t>
            </w:r>
            <w:r>
              <w:rPr>
                <w:rStyle w:val="IndexLink"/>
                <w:rtl w:val="true"/>
              </w:rPr>
              <w:tab/>
            </w:r>
            <w:r>
              <w:rPr>
                <w:rStyle w:val="IndexLink"/>
              </w:rPr>
              <w:t>141</w:t>
            </w:r>
          </w:hyperlink>
        </w:p>
        <w:p>
          <w:pPr>
            <w:pStyle w:val="Contents4"/>
            <w:tabs>
              <w:tab w:val="clear" w:pos="8176"/>
              <w:tab w:val="right" w:pos="9026" w:leader="dot"/>
            </w:tabs>
            <w:rPr/>
          </w:pPr>
          <w:hyperlink w:anchor="__RefHeading___Toc604051_1395250215">
            <w:r>
              <w:rPr>
                <w:webHidden/>
                <w:rStyle w:val="IndexLink"/>
                <w:rtl w:val="true"/>
              </w:rPr>
              <w:t>اثر پذیری کلام یهودی از کلام اسلامی</w:t>
            </w:r>
            <w:r>
              <w:rPr>
                <w:rStyle w:val="IndexLink"/>
                <w:rtl w:val="true"/>
              </w:rPr>
              <w:tab/>
            </w:r>
            <w:r>
              <w:rPr>
                <w:rStyle w:val="IndexLink"/>
              </w:rPr>
              <w:t>141</w:t>
            </w:r>
          </w:hyperlink>
        </w:p>
        <w:p>
          <w:pPr>
            <w:pStyle w:val="Contents4"/>
            <w:tabs>
              <w:tab w:val="clear" w:pos="8176"/>
              <w:tab w:val="right" w:pos="9026" w:leader="dot"/>
            </w:tabs>
            <w:rPr/>
          </w:pPr>
          <w:hyperlink w:anchor="__RefHeading___Toc604053_1395250215">
            <w:r>
              <w:rPr>
                <w:webHidden/>
                <w:rStyle w:val="IndexLink"/>
                <w:rtl w:val="true"/>
              </w:rPr>
              <w:t>سعدیا گائون</w:t>
            </w:r>
            <w:r>
              <w:rPr>
                <w:rStyle w:val="IndexLink"/>
                <w:rtl w:val="true"/>
              </w:rPr>
              <w:tab/>
            </w:r>
            <w:r>
              <w:rPr>
                <w:rStyle w:val="IndexLink"/>
              </w:rPr>
              <w:t>144</w:t>
            </w:r>
          </w:hyperlink>
        </w:p>
        <w:p>
          <w:pPr>
            <w:pStyle w:val="Contents4"/>
            <w:tabs>
              <w:tab w:val="clear" w:pos="8176"/>
              <w:tab w:val="right" w:pos="9026" w:leader="dot"/>
            </w:tabs>
            <w:rPr/>
          </w:pPr>
          <w:hyperlink w:anchor="__RefHeading___Toc604055_1395250215">
            <w:r>
              <w:rPr>
                <w:webHidden/>
                <w:rStyle w:val="IndexLink"/>
                <w:rtl w:val="true"/>
              </w:rPr>
              <w:t>یعقوب قرقستانی</w:t>
            </w:r>
            <w:r>
              <w:rPr>
                <w:rStyle w:val="IndexLink"/>
                <w:rtl w:val="true"/>
              </w:rPr>
              <w:tab/>
            </w:r>
            <w:r>
              <w:rPr>
                <w:rStyle w:val="IndexLink"/>
              </w:rPr>
              <w:t>146</w:t>
            </w:r>
          </w:hyperlink>
        </w:p>
        <w:p>
          <w:pPr>
            <w:pStyle w:val="Contents4"/>
            <w:tabs>
              <w:tab w:val="clear" w:pos="8176"/>
              <w:tab w:val="right" w:pos="9026" w:leader="dot"/>
            </w:tabs>
            <w:rPr/>
          </w:pPr>
          <w:hyperlink w:anchor="__RefHeading___Toc604057_1395250215">
            <w:r>
              <w:rPr>
                <w:webHidden/>
                <w:rStyle w:val="IndexLink"/>
                <w:rtl w:val="true"/>
              </w:rPr>
              <w:t>عقل به مثابه منبع شناخت</w:t>
            </w:r>
            <w:r>
              <w:rPr>
                <w:rStyle w:val="IndexLink"/>
                <w:rtl w:val="true"/>
              </w:rPr>
              <w:tab/>
            </w:r>
            <w:r>
              <w:rPr>
                <w:rStyle w:val="IndexLink"/>
              </w:rPr>
              <w:t>146</w:t>
            </w:r>
          </w:hyperlink>
        </w:p>
        <w:p>
          <w:pPr>
            <w:pStyle w:val="Contents4"/>
            <w:tabs>
              <w:tab w:val="clear" w:pos="8176"/>
              <w:tab w:val="right" w:pos="9026" w:leader="dot"/>
            </w:tabs>
            <w:rPr/>
          </w:pPr>
          <w:hyperlink w:anchor="__RefHeading___Toc604059_1395250215">
            <w:r>
              <w:rPr>
                <w:webHidden/>
                <w:rStyle w:val="IndexLink"/>
                <w:rtl w:val="true"/>
              </w:rPr>
              <w:t>عقل ستیزی در یهودیت</w:t>
            </w:r>
            <w:r>
              <w:rPr>
                <w:rStyle w:val="IndexLink"/>
                <w:rtl w:val="true"/>
              </w:rPr>
              <w:tab/>
            </w:r>
            <w:r>
              <w:rPr>
                <w:rStyle w:val="IndexLink"/>
              </w:rPr>
              <w:t>151</w:t>
            </w:r>
          </w:hyperlink>
        </w:p>
        <w:p>
          <w:pPr>
            <w:pStyle w:val="Contents4"/>
            <w:tabs>
              <w:tab w:val="clear" w:pos="8176"/>
              <w:tab w:val="right" w:pos="9026" w:leader="dot"/>
            </w:tabs>
            <w:rPr/>
          </w:pPr>
          <w:hyperlink w:anchor="__RefHeading___Toc604061_1395250215">
            <w:r>
              <w:rPr>
                <w:webHidden/>
                <w:rStyle w:val="IndexLink"/>
                <w:rtl w:val="true"/>
              </w:rPr>
              <w:t>نتیجه گیری</w:t>
            </w:r>
            <w:r>
              <w:rPr>
                <w:rStyle w:val="IndexLink"/>
                <w:rtl w:val="true"/>
              </w:rPr>
              <w:tab/>
            </w:r>
            <w:r>
              <w:rPr>
                <w:rStyle w:val="IndexLink"/>
              </w:rPr>
              <w:t>153</w:t>
            </w:r>
          </w:hyperlink>
        </w:p>
        <w:p>
          <w:pPr>
            <w:pStyle w:val="Contents4"/>
            <w:tabs>
              <w:tab w:val="clear" w:pos="8176"/>
              <w:tab w:val="right" w:pos="9026" w:leader="dot"/>
            </w:tabs>
            <w:rPr/>
          </w:pPr>
          <w:hyperlink w:anchor="__RefHeading___Toc604063_1395250215">
            <w:r>
              <w:rPr>
                <w:webHidden/>
                <w:rStyle w:val="IndexLink"/>
                <w:rtl w:val="true"/>
              </w:rPr>
              <w:t>منابع</w:t>
            </w:r>
            <w:r>
              <w:rPr>
                <w:rStyle w:val="IndexLink"/>
                <w:rtl w:val="true"/>
              </w:rPr>
              <w:tab/>
            </w:r>
            <w:r>
              <w:rPr>
                <w:rStyle w:val="IndexLink"/>
              </w:rPr>
              <w:t>155</w:t>
            </w:r>
          </w:hyperlink>
        </w:p>
        <w:p>
          <w:pPr>
            <w:pStyle w:val="Contents2"/>
            <w:tabs>
              <w:tab w:val="clear" w:pos="8743"/>
              <w:tab w:val="right" w:pos="9026" w:leader="dot"/>
            </w:tabs>
            <w:rPr/>
          </w:pPr>
          <w:hyperlink w:anchor="__RefHeading___Toc604065_1395250215">
            <w:r>
              <w:rPr>
                <w:webHidden/>
                <w:rStyle w:val="IndexLink"/>
                <w:rtl w:val="true"/>
              </w:rPr>
              <w:t>چکیده عربی مقالات</w:t>
            </w:r>
            <w:r>
              <w:rPr>
                <w:rStyle w:val="IndexLink"/>
                <w:rtl w:val="true"/>
              </w:rPr>
              <w:tab/>
            </w:r>
            <w:r>
              <w:rPr>
                <w:rStyle w:val="IndexLink"/>
              </w:rPr>
              <w:t>156</w:t>
            </w:r>
          </w:hyperlink>
        </w:p>
        <w:p>
          <w:pPr>
            <w:pStyle w:val="Contents2"/>
            <w:tabs>
              <w:tab w:val="clear" w:pos="8743"/>
              <w:tab w:val="right" w:pos="9026" w:leader="dot"/>
            </w:tabs>
            <w:rPr/>
          </w:pPr>
          <w:hyperlink w:anchor="__RefHeading___Toc604067_1395250215">
            <w:r>
              <w:rPr>
                <w:webHidden/>
                <w:rStyle w:val="IndexLink"/>
                <w:rtl w:val="true"/>
              </w:rPr>
              <w:t>چکیده انگلیسی مقالات</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38_22475"/>
      <w:bookmarkStart w:id="1" w:name="pg2638_22475"/>
      <w:bookmarkEnd w:id="1"/>
    </w:p>
    <w:p>
      <w:pPr>
        <w:pStyle w:val="Heading2"/>
        <w:numPr>
          <w:ilvl w:val="1"/>
          <w:numId w:val="1"/>
        </w:numPr>
        <w:rPr/>
      </w:pPr>
      <w:bookmarkStart w:id="2" w:name="pg2638_22475"/>
      <w:bookmarkStart w:id="3" w:name="__RefHeading___Toc603755_1395250215"/>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دوم، شماره چهارم، بهار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 xml:space="preserve">اعضای هیأت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برنجکار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دانشیار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رضوی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www.tkalam.ir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3757_1395250215"/>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باتوجه به ارزیابی کمیسیون نشریات علمی حوزه، شورای اعطای مجوزها و امتیازات علمی، در جلسـه مورخ </w:t>
      </w:r>
      <w:r>
        <w:rPr>
          <w:rFonts w:eastAsia="IRNazanin" w:cs="IRNazanin"/>
          <w:color w:val="111111"/>
          <w:sz w:val="28"/>
          <w:szCs w:val="28"/>
          <w:lang w:bidi="fa-IR"/>
        </w:rPr>
        <w:t>28/3/1392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رتبـه علمی – پژوهشـی بـه</w:t>
      </w:r>
    </w:p>
    <w:p>
      <w:pPr>
        <w:pStyle w:val="BookText"/>
        <w:rPr/>
      </w:pPr>
      <w:r>
        <w:rPr>
          <w:rFonts w:ascii="IRNazanin" w:hAnsi="IRNazanin" w:eastAsia="IRNazanin"/>
          <w:color w:val="111111"/>
          <w:sz w:val="28"/>
          <w:sz w:val="28"/>
          <w:szCs w:val="28"/>
          <w:rtl w:val="true"/>
          <w:lang w:bidi="fa-IR"/>
        </w:rPr>
        <w:t>نشریه تحقیقات کلامی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حوزه، دارای اعتبار رسمی بوده و موجد امتیازات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در دانشگاه ها و حوزه های علمیه می باشد</w:t>
      </w:r>
      <w:r>
        <w:rPr>
          <w:rFonts w:eastAsia="IRNazanin" w:cs="IRNazanin"/>
          <w:color w:val="111111"/>
          <w:sz w:val="28"/>
          <w:szCs w:val="28"/>
          <w:rtl w:val="true"/>
          <w:lang w:bidi="fa-IR"/>
        </w:rPr>
        <w:t>.</w:t>
      </w:r>
      <w:bookmarkStart w:id="7" w:name="pg2638_22479"/>
    </w:p>
    <w:p>
      <w:pPr>
        <w:pStyle w:val="Heading2"/>
        <w:numPr>
          <w:ilvl w:val="1"/>
          <w:numId w:val="1"/>
        </w:numPr>
        <w:rPr/>
      </w:pPr>
      <w:bookmarkStart w:id="8" w:name="__RefHeading___Toc603759_1395250215"/>
      <w:bookmarkStart w:id="9" w:name="_Toc3"/>
      <w:bookmarkEnd w:id="7"/>
      <w:bookmarkEnd w:id="8"/>
      <w:r>
        <w:rPr>
          <w:rtl w:val="true"/>
        </w:rPr>
        <w:t>راهنمای نویسندگان</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گویی به پرسش ها و شبهات مطرح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استنادات معتبر و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اطناب و ایجاز بی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 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سال نیست</w:t>
      </w:r>
      <w:r>
        <w:rPr>
          <w:rFonts w:eastAsia="IRNazanin" w:cs="IRNazanin"/>
          <w:color w:val="111111"/>
          <w:sz w:val="28"/>
          <w:szCs w:val="28"/>
          <w:rtl w:val="true"/>
          <w:lang w:bidi="fa-IR"/>
        </w:rPr>
        <w:t>.</w:t>
      </w:r>
      <w:bookmarkStart w:id="10" w:name="pg2638_22481"/>
    </w:p>
    <w:p>
      <w:pPr>
        <w:pStyle w:val="Heading2"/>
        <w:numPr>
          <w:ilvl w:val="1"/>
          <w:numId w:val="1"/>
        </w:numPr>
        <w:rPr/>
      </w:pPr>
      <w:bookmarkStart w:id="11" w:name="__RefHeading___Toc603761_1395250215"/>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جایگاه عقل در کلام امامیه در مدرسه کلامی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رضایی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تطور معرفت اضطراری در مدرسه کلامی امامیه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نوبختیان تا شیخ 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امیرخانی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رابطه ذات و صفات الهی از دیدگاه ابن میثم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رنجبرحسینی، سیدمحمود موسوی، سیدحامد هاشمی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بررسی شبهه سیاق درباره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دیدگاه فخررازی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حامد دژآباد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جریان‌شناسی فکری امامیه در خراسان و ماوراءالنهر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آستانه غیبت صغری تا عصر شیخ صدوق</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محمدتقی سبحانی، سیداکبر موسوی تنیانی</w:t>
      </w:r>
    </w:p>
    <w:p>
      <w:pPr>
        <w:pStyle w:val="BookText"/>
        <w:rPr/>
      </w:pPr>
      <w:r>
        <w:rPr>
          <w:rFonts w:ascii="IRNazanin" w:hAnsi="IRNazanin" w:eastAsia="IRNazanin"/>
          <w:color w:val="111111"/>
          <w:sz w:val="28"/>
          <w:sz w:val="28"/>
          <w:szCs w:val="28"/>
          <w:rtl w:val="true"/>
          <w:lang w:bidi="fa-IR"/>
        </w:rPr>
        <w:t xml:space="preserve">اثرپذیری کلام یهودی از کلام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نقش عقل در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گندمی نصرآبادی </w:t>
      </w:r>
      <w:r>
        <w:rPr>
          <w:rFonts w:eastAsia="IRNazanin" w:cs="IRNazanin"/>
          <w:color w:val="111111"/>
          <w:sz w:val="28"/>
          <w:szCs w:val="28"/>
          <w:lang w:bidi="fa-IR"/>
        </w:rPr>
        <w:t>107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راوندی و دفاع از اندیشه کلامی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میرزایی </w:t>
      </w:r>
      <w:r>
        <w:rPr>
          <w:rFonts w:eastAsia="IRNazanin" w:cs="IRNazanin"/>
          <w:color w:val="111111"/>
          <w:sz w:val="28"/>
          <w:szCs w:val="28"/>
          <w:lang w:bidi="fa-IR"/>
        </w:rPr>
        <w:t>125</w:t>
      </w:r>
      <w:bookmarkStart w:id="13" w:name="pg2638_22485"/>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603763_1395250215"/>
      <w:bookmarkStart w:id="15" w:name="_Toc5"/>
      <w:bookmarkEnd w:id="14"/>
      <w:r>
        <w:rPr>
          <w:rtl w:val="true"/>
        </w:rPr>
        <w:t>جایگاه عقل در کلام امامیه در مدرسه کلامی بغداد</w:t>
      </w:r>
      <w:bookmarkEnd w:id="15"/>
    </w:p>
    <w:p>
      <w:pPr>
        <w:pStyle w:val="Heading3"/>
        <w:numPr>
          <w:ilvl w:val="2"/>
          <w:numId w:val="1"/>
        </w:numPr>
        <w:rPr/>
      </w:pPr>
      <w:bookmarkStart w:id="16" w:name="__RefHeading___Toc603765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جعفر رضایی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1392/08/25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1392/11/29</w:t>
      </w:r>
    </w:p>
    <w:p>
      <w:pPr>
        <w:pStyle w:val="Heading3"/>
        <w:numPr>
          <w:ilvl w:val="2"/>
          <w:numId w:val="1"/>
        </w:numPr>
        <w:rPr/>
      </w:pPr>
      <w:bookmarkStart w:id="18" w:name="__RefHeading___Toc603767_1395250215"/>
      <w:bookmarkStart w:id="19" w:name="_Toc7"/>
      <w:bookmarkEnd w:id="18"/>
      <w:r>
        <w:rPr>
          <w:rtl w:val="true"/>
        </w:rPr>
        <w:t>چکیده</w:t>
      </w:r>
      <w:bookmarkEnd w:id="19"/>
    </w:p>
    <w:p>
      <w:pPr>
        <w:pStyle w:val="BookText"/>
        <w:rPr/>
      </w:pPr>
      <w:r>
        <w:rPr>
          <w:rFonts w:ascii="IRNazanin" w:hAnsi="IRNazanin" w:eastAsia="IRNazanin"/>
          <w:color w:val="111111"/>
          <w:sz w:val="28"/>
          <w:sz w:val="28"/>
          <w:szCs w:val="28"/>
          <w:rtl w:val="true"/>
          <w:lang w:bidi="fa-IR"/>
        </w:rPr>
        <w:t>مدرسه کلامی بغداد در قرن چهارم، مدرسه‌ای عقل‌گرا قلمداد شده است و آثار آن بر این ادعا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پژوهش‌گران مدعی‌اند که شیخ مفید و شاگردانش در این مدرسه با نزدیک شدن به معتزله، روش عقل‌گرای اعتزالی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پی آن است که با بررسی جایگاه عقل در این مدرسه کلامی، درباره این ادعا و درستی آن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متکلمان بغداد، معرفت دینی را زاییده استدلال عقلی و اکتساب آن را بر انسان واجب می‌دانستند، اولاً، در این‌که چه کسی این امر را بر انسان‌ها واجب کرده و ثانیاً، آیا عقل در کسب این معرفت به وحی نیازمند است یا خیر،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نشان داده شد که شیخ مفید و شاگردش کراجکی، وجوب معرفت را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را در همه مراحل محتاج وحی می‌دانستند؛ در حالی که سیدمرتضی و شاگردان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معرفت را عقلی دانسته و عقل را در استدلال‌هایش بی‌نیاز از شرع می‌شمردند</w:t>
      </w:r>
      <w:r>
        <w:rPr>
          <w:rFonts w:eastAsia="IRNazanin" w:cs="IRNazanin"/>
          <w:color w:val="111111"/>
          <w:sz w:val="28"/>
          <w:szCs w:val="28"/>
          <w:rtl w:val="true"/>
          <w:lang w:bidi="fa-IR"/>
        </w:rPr>
        <w:t>.</w:t>
      </w:r>
    </w:p>
    <w:p>
      <w:pPr>
        <w:pStyle w:val="Heading3"/>
        <w:numPr>
          <w:ilvl w:val="2"/>
          <w:numId w:val="1"/>
        </w:numPr>
        <w:rPr/>
      </w:pPr>
      <w:bookmarkStart w:id="20" w:name="__RefHeading___Toc603769_1395250215"/>
      <w:bookmarkStart w:id="21" w:name="_Toc8"/>
      <w:bookmarkEnd w:id="20"/>
      <w:r>
        <w:rPr>
          <w:rtl w:val="true"/>
        </w:rPr>
        <w:t>واژگان کلیدی</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مدرسه کلامی بغداد، کلام امامیه، معتزله، عقل و وحی</w:t>
      </w:r>
      <w:r>
        <w:rPr>
          <w:rFonts w:eastAsia="IRNazanin" w:cs="IRNazanin"/>
          <w:color w:val="111111"/>
          <w:sz w:val="28"/>
          <w:szCs w:val="28"/>
          <w:rtl w:val="true"/>
          <w:lang w:bidi="fa-IR"/>
        </w:rPr>
        <w:t>.</w:t>
      </w:r>
      <w:bookmarkStart w:id="22" w:name="pg2638_22487"/>
    </w:p>
    <w:p>
      <w:pPr>
        <w:pStyle w:val="Heading3"/>
        <w:numPr>
          <w:ilvl w:val="2"/>
          <w:numId w:val="1"/>
        </w:numPr>
        <w:rPr/>
      </w:pPr>
      <w:bookmarkStart w:id="23" w:name="__RefHeading___Toc603771_1395250215"/>
      <w:bookmarkStart w:id="24" w:name="_Toc9"/>
      <w:bookmarkEnd w:id="22"/>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یکی از مباحث بنیادی و چالش‌برانگیز در تفکر کلامی مذاهب گوناگون، جایگاه عقل در معرفت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مسلمانان در دوره نخست چندان توجهی به مباحث عقلانی پیچیده نداشتند و می‌توان ادعا کرد که بیشتر آن‌ها در قرن اول نص‌گرا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نص‌گرایی گاه به افراط نیز کشیده می‌شد و سر از جبرگرایی، تشبیه و تجسیم در‌می‌آورد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از اوایل قرن دوم به آرامی جریانی در برابر نص‌گرایی افراطی شکل گرفت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تقابل اولیه این جریان با نص‌گرایان در مسائل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انکار نظریات جبر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کم کم پرده از اختلاف اصلی این دو گروه برداشته شد؛ نص‌گرایان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متون دینی پای‌بند بودند و هیچ‌گونه تأویلی را در متون دینی روا نمی‌دانستند، در حالی که معتزله با استفاده از عقل دست به تأویل متون دینی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با شکل‌گیری نظام‌های کلامی، معتزلیان ادعا کردند که همه معارف اعتقادی عقلی</w:t>
      </w:r>
      <w:r>
        <w:rPr>
          <w:rStyle w:val="FootnoteAnchor"/>
          <w:rtl w:val="true"/>
        </w:rPr>
        <w:footnoteReference w:id="4"/>
      </w:r>
      <w:r>
        <w:rPr>
          <w:rFonts w:ascii="IRNazanin" w:hAnsi="IRNazanin" w:eastAsia="IRNazanin"/>
          <w:color w:val="111111"/>
          <w:sz w:val="28"/>
          <w:sz w:val="28"/>
          <w:szCs w:val="28"/>
          <w:rtl w:val="true"/>
          <w:lang w:bidi="fa-IR"/>
        </w:rPr>
        <w:t>باید از طریق عقل و استدلال عقلی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دینی نیز اگر سخنی در این امور داشته باشد،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امامیه نگاهی متفاوت به عقل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میانه این دو گروه، هرچند بر حجیت استقلالی عقل تأکید می‌ورزیدند، عقل را نیازمند وحی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آنان، عقل نیازمند معلمی الهی است که شیوه و نحوه استدلال را به او گوش‌زد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تعلیم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تعابیر روایاتِ امامیه، این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دفینه‌های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به دلیل این گزارش‌ها گمان کرده‌اند که امامیه در این دوره از عقل تنها برای دفاع از آموزه‌های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مدرسی‌طباطبایی،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همان‌گونه که گفتیم، امامیه نخستین حجیت استقلالی عقل را قبول داشتند و دیدگاه امامیه درباره امامت و جایگاه آن در معرفت به معنای نفی حجیت عقل نبود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سه موضع متفاوت در بحث عقل روبه‌رو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حدیث که عقل را به عنوان منبع معرفت نمی‌پذیرفتند؛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که عقل را به عنوان منبع معرفت می‌پذیرفتند و</w:t>
      </w:r>
    </w:p>
    <w:p>
      <w:pPr>
        <w:pStyle w:val="BookText"/>
        <w:rPr/>
      </w:pPr>
      <w:r>
        <w:rPr>
          <w:rFonts w:ascii="IRNazanin" w:hAnsi="IRNazanin" w:eastAsia="IRNazanin"/>
          <w:color w:val="111111"/>
          <w:sz w:val="28"/>
          <w:sz w:val="28"/>
          <w:szCs w:val="28"/>
          <w:rtl w:val="true"/>
          <w:lang w:bidi="fa-IR"/>
        </w:rPr>
        <w:t xml:space="preserve">آن را بی‌نیاز از وحی می‌دانستند؛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که هرچند عقل را به عنوان منبع معرفت می‌پذیرفتند، آن را نیازمند وحی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از اوایل قرن چهارم و به‌خصوص در مدرسه کلامی بغداد</w:t>
      </w:r>
      <w:r>
        <w:rPr>
          <w:rStyle w:val="FootnoteAnchor"/>
          <w:rtl w:val="true"/>
        </w:rPr>
        <w:footnoteReference w:id="5"/>
      </w:r>
      <w:r>
        <w:rPr>
          <w:rFonts w:ascii="IRNazanin" w:hAnsi="IRNazanin" w:eastAsia="IRNazanin"/>
          <w:color w:val="111111"/>
          <w:sz w:val="28"/>
          <w:sz w:val="28"/>
          <w:szCs w:val="28"/>
          <w:rtl w:val="true"/>
          <w:lang w:bidi="fa-IR"/>
        </w:rPr>
        <w:t>روابط نزدیک‌تری با معتزله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برخی معتزلیان با پذیرش نظریه امامت به امامیه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روابط نزدیک، تأثیراتی در علم کلام امامیه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سبب شده است که برخی این دیدگاه را مطرح کنند که امامیه با ظهور مدرسه کلامی بغداد، عقل‌گرایی معتزلی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تفاوت‌هایی در تبیین این پژوهش‌گران از دیدگاه امامیه در دوره حضور و هم‌چنین عالمان مدرسه کلامی بغداد وجود دارد، ولی اتفاق نظری که بین آنان دیده می‌شود، تحول دیدگاه امامیه در این مسئله در مدرسه کلامی بغداد است؛ برای مثال، محمدعلی امیرمعزی در نظریه خود معتقد است، تا قرن چهارم عقل در اندیشه امامیه نوعی خرد قدسی است، نه عقل منطقی؛ در حالی که در مدرسه کلامی بغداد شیخ مفید و شاگردان او عقل را به عقل منطقی فروکاستند و به همین دلیل، جهان‌بینی امامیه دچار تحول بنیادین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امیرمعزی،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مقابل، مدرسی‌طباطبایی معتقد است عقل در دوره نخست، ابزاری برای دفاع از سخنان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حالی که در مدرسه کلامی بغداد با نزدیک شدن به معتزله، عقل به عنوان منبع نیز پذیرفته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مدرسی‌طباطبایی،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نیز هرچند سخنی درباره دیدگاه متکلمان امامیه در دوره نخست نمی‌گوید، ولی معتقد است در مدرسه کلامی بغداد تحول مهمی در عقل‌گرایی توسط سیدمرتضی اتفاق افتاده است، نه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شیخ مفید مانند گذشتگانش عقل را تنها ابزاری برای دفاع از اندیشه‌های امامیه می‌دانسته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آثار موجود به طور کامل به همه جوانب بحث عقل نپرداخته‌اند؛ ضمن این‌که به نظر نویسنده، نتایج مطرح‌شده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مقاله در پی آن است که به جایگاه عقل در مدرسه کلامی بغداد بپردازد و به این پرسش پاسخ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اندیشه متکلمان امامیه در بغداد چه جایگاهی داشت و آیا همه آن‌ها با یکدیگر هم‌نظر و کاملاً تحت تأثیر معتزله</w:t>
      </w:r>
      <w:bookmarkStart w:id="25" w:name="pg2638_22491"/>
    </w:p>
    <w:p>
      <w:pPr>
        <w:pStyle w:val="BookText"/>
        <w:rPr/>
      </w:pPr>
      <w:bookmarkEnd w:id="25"/>
      <w:r>
        <w:rPr>
          <w:rFonts w:ascii="IRNazanin" w:hAnsi="IRNazanin" w:eastAsia="IRNazanin"/>
          <w:color w:val="111111"/>
          <w:sz w:val="28"/>
          <w:sz w:val="28"/>
          <w:szCs w:val="28"/>
          <w:rtl w:val="true"/>
          <w:lang w:bidi="fa-IR"/>
        </w:rPr>
        <w:t>هستند یا خیر؟ با توجه به این‌که نخستین متکلمان امامیه در این دوره نوبختیان</w:t>
      </w:r>
      <w:r>
        <w:rPr>
          <w:rStyle w:val="FootnoteAnchor"/>
          <w:rtl w:val="true"/>
        </w:rPr>
        <w:footnoteReference w:id="8"/>
      </w:r>
      <w:r>
        <w:rPr>
          <w:rFonts w:ascii="IRNazanin" w:hAnsi="IRNazanin" w:eastAsia="IRNazanin"/>
          <w:color w:val="111111"/>
          <w:sz w:val="28"/>
          <w:sz w:val="28"/>
          <w:szCs w:val="28"/>
          <w:rtl w:val="true"/>
          <w:lang w:bidi="fa-IR"/>
        </w:rPr>
        <w:t>هستند، نقطه آغاز این پژوهش دیدگاه‌های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در نهایت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مدرسه کلامی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بین نظر قابل توجهی داشته باشند، به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برای پاسخ به مسئله مورد نظر، نخست درباره میزان توانایی عقل در تولید معرفت و بعداً رابطه عقل و وحی بحث خواهیم کرد</w:t>
      </w:r>
      <w:r>
        <w:rPr>
          <w:rFonts w:eastAsia="IRNazanin" w:cs="IRNazanin"/>
          <w:color w:val="111111"/>
          <w:sz w:val="28"/>
          <w:szCs w:val="28"/>
          <w:rtl w:val="true"/>
          <w:lang w:bidi="fa-IR"/>
        </w:rPr>
        <w:t>.</w:t>
      </w:r>
    </w:p>
    <w:p>
      <w:pPr>
        <w:pStyle w:val="Heading3"/>
        <w:numPr>
          <w:ilvl w:val="2"/>
          <w:numId w:val="1"/>
        </w:numPr>
        <w:rPr/>
      </w:pPr>
      <w:bookmarkStart w:id="26" w:name="__RefHeading___Toc603773_1395250215"/>
      <w:bookmarkStart w:id="27" w:name="_Toc10"/>
      <w:bookmarkEnd w:id="26"/>
      <w:r>
        <w:rPr>
          <w:rtl w:val="true"/>
        </w:rPr>
        <w:t>جایگاه عقل در بحث معرفت</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سعی خواهیم کرد به این پرسش پاسخ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متکلمان مدرسه کلامی بغداد، آیا معرفت اضطراری است یا اکتسابی؟</w:t>
      </w:r>
      <w:r>
        <w:rPr>
          <w:rStyle w:val="FootnoteAnchor"/>
          <w:rtl w:val="true"/>
        </w:rPr>
        <w:footnoteReference w:id="10"/>
      </w:r>
      <w:r>
        <w:rPr>
          <w:rFonts w:ascii="IRNazanin" w:hAnsi="IRNazanin" w:eastAsia="IRNazanin"/>
          <w:color w:val="111111"/>
          <w:sz w:val="28"/>
          <w:sz w:val="28"/>
          <w:szCs w:val="28"/>
          <w:rtl w:val="true"/>
          <w:lang w:bidi="fa-IR"/>
        </w:rPr>
        <w:t xml:space="preserve">به عبارت دیگر، آیا معرفت دینی مولود تلاش عقلانی انسان است یا این‌که معرفت اساساً امری خارج از اختیار انسان است؟ به گفته اشعری، عمده متکلمان امامیه در دوره نخست، معرفت را اضطراری می‌دانستند و از نظر آنان، معرفت زاییده استدلال عقلی انسان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هشام‌بن‌حکم و پیروانش تنها کسانی بودند که در عین اعتقاد به اضطراری بودن معرفت، شرط تحقق آن را استدلال و تلاش عقلی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بنا به گزارش اشعری، حسن‌بن‌موسی نوبختی با پذیرش معرفت اکتسابی تحولی در این نظریه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بود، همه معارف اضطراری نیست و معرفت‌الله ممکن است اضطراری یا اکتسابی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معرفت اکتسابی را ممکن می‌داند، تأییدی است بر این‌که از نظر او، استدلال‌های عقلی انسان معرفت‌زاست؛ هرچند ممکن است این معرفت از طرق دیگر نیز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ابوسهل نوبختی مطلبی در بحث معرفت نقل نشده است؛ با این حال، عباراتی از وی در بازمانده های کتاب التنبیه فی الامامة وی وجود دارد که می‌تواند نشان‌دهنده دیدگاه وی در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که به گفته امامیه غایب است، شناختید؟ این‌گونه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الدین کله بالاستدلال یعلم، فنحن عرفنا الله عز و جل بالأدلة و لم‌نشاهده و لا أخبرنا عنه من شاهده</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بیان‌گر آن است که از دیدگاه وی، معرفت امور مربوط به دین اکتسابی است، نه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گفته شود این عبارت به اندازه کافی در بحث کسبی بودن معرفت‌الله صراحت ندارد، ولی نوع بیان وی، استدلال شیخ مفید در لزوم کسبی بودن معرفت را به ذهن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معرفت به خداوند و انبیای الهی و هر آنچه ناپیداست را اکتسابی دانسته و اضطراری بودن معرفت در این امور را غیرممکن عنوان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هرچند در مورد حسن‌بن‌موسی نوبختی شواهد موجود می‌تواند بیان‌گر پذیرش امکان اضطراری بودن معرفت‌الله باشد، ولی درباره ابوسهل شاهدی بر این ادعا وجود ندارد و عبارات موجود، بیشتر حاکی از اعتقاد وی به لزوم اکتسابی بودن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نیز همان‌گونه که بیان شد، معرفت‌الله را اکتسابی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همین دلیل، معارف غیرعقلی، مانند معرفت فطری را آشکارا انکار می‌کند و همه آیات و روایات موجود در این بحث را به گونه‌ای دیگر معنا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شیخ مفید، سید مرتضی نیز همین دیدگاه را پذیرفت و معرفت‌الله را اکتسابی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مانند شیخ مفید، آیات و روایات فطرت و هم‌چنین آیات و روایات عالم ذر را تأویل و طوری معنا کرد که دلالتی بر معرفت پیشینی انسان نداشته باشد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دیگر عالمان بغداد،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معارف را اکتسابی و تولید تلاش عقلی انسان‌ها دانستند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مهم‌ترین تحول در بحث عقل‌گرایی امامیه در دوره مدرسه کلامی بغداد، همین پذیرش معرفت اکتسابی و انکار معرفت اضطراری باشد، چراکه پایه علم کلام امامیه در مدرسه بغداد بر همین اصل استوار است</w:t>
      </w:r>
      <w:r>
        <w:rPr>
          <w:rFonts w:eastAsia="IRNazanin" w:cs="IRNazanin"/>
          <w:color w:val="111111"/>
          <w:sz w:val="28"/>
          <w:szCs w:val="28"/>
          <w:rtl w:val="true"/>
          <w:lang w:bidi="fa-IR"/>
        </w:rPr>
        <w:t>.</w:t>
      </w:r>
      <w:bookmarkStart w:id="28" w:name="pg2638_22496"/>
    </w:p>
    <w:p>
      <w:pPr>
        <w:pStyle w:val="Heading3"/>
        <w:numPr>
          <w:ilvl w:val="2"/>
          <w:numId w:val="1"/>
        </w:numPr>
        <w:rPr/>
      </w:pPr>
      <w:bookmarkStart w:id="29" w:name="__RefHeading___Toc603775_1395250215"/>
      <w:bookmarkStart w:id="30" w:name="_Toc11"/>
      <w:bookmarkEnd w:id="28"/>
      <w:bookmarkEnd w:id="29"/>
      <w:r>
        <w:rPr>
          <w:rtl w:val="true"/>
        </w:rPr>
        <w:t xml:space="preserve">وجوب نظر </w:t>
      </w:r>
      <w:r>
        <w:rPr>
          <w:rtl w:val="true"/>
        </w:rPr>
        <w:t>(</w:t>
      </w:r>
      <w:r>
        <w:rPr>
          <w:rtl w:val="true"/>
        </w:rPr>
        <w:t>استدلال عقلی</w:t>
      </w:r>
      <w:r>
        <w:rPr>
          <w:rtl w:val="true"/>
        </w:rPr>
        <w:t>)</w:t>
      </w:r>
      <w:bookmarkEnd w:id="30"/>
    </w:p>
    <w:p>
      <w:pPr>
        <w:pStyle w:val="BookText"/>
        <w:rPr/>
      </w:pPr>
      <w:r>
        <w:rPr>
          <w:rFonts w:ascii="IRNazanin" w:hAnsi="IRNazanin" w:eastAsia="IRNazanin"/>
          <w:color w:val="111111"/>
          <w:sz w:val="28"/>
          <w:sz w:val="28"/>
          <w:szCs w:val="28"/>
          <w:rtl w:val="true"/>
          <w:lang w:bidi="fa-IR"/>
        </w:rPr>
        <w:t xml:space="preserve">معتزله و همه کسانی که معرفت دینی را انحصاراً اکتسابی می‌دانستند، کسب این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انسان‌ها واجب می‌دانستند؛ در مقابل، باورمندان به اضطراری بودن معرفت چنین وجوبی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حسن‌بن‌موسی نوبختی از آن روی که معرفت اضطراری را نیز می‌پذیرفت، امر به معرفت را به هیچ نحوی جایز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استدلال نوبختی در دست نیست، ولی می‌توان ادله وی را چنین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شرعی باشد، منوط به پذیرش و معرفت به خداوند است؛ بنابراین، معنایی برای امر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نمی‌ماند و اگر این امر عقلی باشد، در صورتی که مأمور‌به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باشد، تکلیف بما‌لایطاق است و در صورتی که معلوم باشد، تحصیل حاصل خواهد بود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مسئله پیش‌روی معتزلیان در وجوب نظر آن بود که چه منبعی استدلال عقلی را بر انسان‌ها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وجوب به دلیل امر الهی نیست، چراکه مکلف اگر خداوند را پیش از نظر و استدلال بشناسد که دلیلی برای شناخت دوباره او ندارد و اگر خدا را نشناسد، دلیلی برای اطاعت از اوامر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معتزله، این عقل است که نظر و استدلال را بر انسان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عقل نه تنها توانایی استدلال و کشف امور نظری را دارد، بلکه بایدها و نبایدهایی نیز برای انسان مطرح می‌کند؛ به عبارت دیگر، عقل خود حسن و قبح افعال را درک و به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نظر معتزله، مجموعه‌ای از علوم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قواعدی کلی،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 وجوب 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انسان از کجا به وجود منعمی باور کند که به شکر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شناخت، مقدمه این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 به عبارت دیگر، انسان‌ها هیچ انگیزه‌ای برای ورود به فرایند شناخت خداوند در خود نمی‌بینند؛ بنابراین، باید در انسان ترس و هراسی از خطر احتمالی ایجاد شود که به سبب آن، انگیزه ورود به فرایند شناخت خداوند در انسان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مشکل با تکیه بر عقل عملی نیز میسر نبود؛ از این رو، معتزلیان به ناچار پذیرفتند که محرک اولیه برای ورود به فرایند معرفت خداوند، بیرون از عقل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محرک ممکن است در اثر انذار باورمندان به خداوند یا هر اتفاق دیگری برای انسان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ممکن است یکی از این محرک‌ها باشند؛ با این حال، وجود آن‌ها از ابتدای تکلیف لازم نیست، چراکه خداوند می‌تواند این تحریک بیرونی را در اثر عوامل دیگری نیز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پیش از پذیرش خداوند، پیامبران با دیگر انسان‌ها تفاوتی ندارند و تنبیه آن‌ها مانند دیگران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ملاحمی‌خوارزمی،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پیش‌تر گفته شد، شیخ مفید معارف دینی را اکتسابی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مانند معتزله، به وجوب نظر باور دارد و اولین واجب را نظر و استدلال عقلی می‌داند؛ با این حال، اختلاف وی با معتزله آن است که در اندیشه وی وجوب نظر به دلیل امر الهی است، نه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با توجه به مطالب پیش‌گفته، نمی‌توان امر الهی را دلیل وجوب نظر دانست، چراکه در نهایت به دور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چالش در نظام فکری شیخ مفید در گرو فهم دیدگاه او در رابطه عقل و وحی خواهد بود که در آینده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می‌توان گفت، شیخ مفید عقل را در تمام مراحل استدلال و نتیجه‌گیری محتاج وحی می‌داند؛ به عبارت دیگر، وحی هم محرک نخستین عقل است و هم کیفیت استدلال را به مکلف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برخلاف معتزله که پایه‌های علم کلام را بر بحث وجوب نظر استوار می‌کردند، شیخ مفید علم کلام را بر پایه نیازمندی انسان‌ها به وحی و هدایت الهی استوار می‌کند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البته مهم‌ترین چالش این دیدگاه شیخ مفید، پذیرش حجیت عقل در کنار نیازمندی عقل به وحی بود که در آینده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شیخ مفید عقل نمی‌تواند از اساس پیش از ورود شرع، امر و نهی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جایی دیگر به این نکته تصریح می کند که تصور زمانی که پیامبری در میان انسان‌ها نباشد، غیرواقعی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در کلام شاگرد وی، ابوالفتح کراجکی آشکارتر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لم‌یعرف امام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معرفت خداوند را نیز در گرو معرفت امام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بنا بر این روایت، از آن‌جایی که معرفت خداوند بدون معرفت امام سودی ندارد و معرفت امام و اطاعت از او تنها بعد از معرفت‌الله سودمند است، می‌توان معرفت خداوند را همان معرفت امام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دلیل این ادعا آن است که معارف عقلی و سمعی دین تنها از</w:t>
      </w:r>
    </w:p>
    <w:p>
      <w:pPr>
        <w:pStyle w:val="BookText"/>
        <w:rPr/>
      </w:pPr>
      <w:r>
        <w:rPr>
          <w:rFonts w:ascii="IRNazanin" w:hAnsi="IRNazanin" w:eastAsia="IRNazanin"/>
          <w:color w:val="111111"/>
          <w:sz w:val="28"/>
          <w:sz w:val="28"/>
          <w:szCs w:val="28"/>
          <w:rtl w:val="true"/>
          <w:lang w:bidi="fa-IR"/>
        </w:rPr>
        <w:t xml:space="preserve">طریق امام حاصل می‌شود و این امام است که امرکننده و برانگیزاننده به آن‌هاست؛ بنابراین، شناخت و اطاعت از امام در حقیقت همان شناخت و اطاعت از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بی‌تا،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وی تا حدودی می‌تواند برطرف‌کننده چالش دور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پیامبر و امام هم خواطر</w:t>
      </w:r>
      <w:r>
        <w:rPr>
          <w:rStyle w:val="FootnoteAnchor"/>
          <w:rtl w:val="true"/>
        </w:rPr>
        <w:footnoteReference w:id="18"/>
      </w:r>
      <w:r>
        <w:rPr>
          <w:rFonts w:ascii="IRNazanin" w:hAnsi="IRNazanin" w:eastAsia="IRNazanin"/>
          <w:color w:val="111111"/>
          <w:sz w:val="28"/>
          <w:sz w:val="28"/>
          <w:szCs w:val="28"/>
          <w:rtl w:val="true"/>
          <w:lang w:bidi="fa-IR"/>
        </w:rPr>
        <w:t xml:space="preserve">انسانی را برای شناخت و معرفت خداوند تحریک می‌کنند و هم کیفیت استدلال عقلی درست را برای مکلفان عرضه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بنابراین محرک نخستین، پیامبران و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عقل، بی‌نیاز از آن‌ها نیست، بلکه پیامبرانند که کیفیت استدلال را به انسان‌ها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امام نیز در نهایت به حکم عقل پذیرفته می‌شود؛ هرچند عقل به تنهایی توان رسیدن به این استدلال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توضیح بیشتری در این باره خواهیم داد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شیخ مفید، به‌جز کراجکی، سخن او را در برابر معتزله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در بحث وجوب نظر به کلی نظر استاد خود را کنار گذاشته و همان دیدگاه معتزله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نظر و استدلال عقلی بر انسان‌ها برای کسب معرفت واجب است و این وجوب به حکم عقل است، نه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با تکرار سخن معتزله در بحث معرفت ادعا می‌کند که انسان‌ها هنگامی اختلافات در ادیان و سخنِ بیشتر آن‌ها درباره وجود خداوندی در عالم را بیینند، با توجه به برخی احکام عقلی، معرفت‌الله را بر خود واجب و ترک آن را موجب عقاب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اگر اموری از بیرون، این ترس و انگیزه را در وی ایجاد نکند، ممکن است از درون خودش این امارات برایش ایجاد شود و اگر این نیز واقع نشود، ممکن است از طریق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ترس در وی ایجاد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عقل انسان در معارف دینی هیچ نیازی به سمع ندارد و اصلاً پیش از پذیرش توحید و عدل نمی‌توان حجیت وحی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وحی بر پایه‌های استدلال عقلی بنا شده است؛ پس نمی‌توان عقل را در این حیطه به وحی نیازمند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سیدمرتضی، شیخ طوسی نیز همین دیدگاه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شیخ مفید در این امر به کلی به فراموشی سپرده شد</w:t>
      </w:r>
      <w:r>
        <w:rPr>
          <w:rFonts w:eastAsia="IRNazanin" w:cs="IRNazanin"/>
          <w:color w:val="111111"/>
          <w:sz w:val="28"/>
          <w:szCs w:val="28"/>
          <w:rtl w:val="true"/>
          <w:lang w:bidi="fa-IR"/>
        </w:rPr>
        <w:t>.</w:t>
      </w:r>
      <w:bookmarkStart w:id="31" w:name="pg2638_22502"/>
    </w:p>
    <w:p>
      <w:pPr>
        <w:pStyle w:val="Heading3"/>
        <w:numPr>
          <w:ilvl w:val="2"/>
          <w:numId w:val="1"/>
        </w:numPr>
        <w:rPr/>
      </w:pPr>
      <w:bookmarkStart w:id="32" w:name="__RefHeading___Toc603777_1395250215"/>
      <w:bookmarkStart w:id="33" w:name="_Toc12"/>
      <w:bookmarkEnd w:id="31"/>
      <w:bookmarkEnd w:id="32"/>
      <w:r>
        <w:rPr>
          <w:rtl w:val="true"/>
        </w:rPr>
        <w:t>رابطه عقل و وحی</w:t>
      </w:r>
      <w:bookmarkEnd w:id="33"/>
    </w:p>
    <w:p>
      <w:pPr>
        <w:pStyle w:val="BookText"/>
        <w:rPr/>
      </w:pPr>
      <w:r>
        <w:rPr>
          <w:rFonts w:ascii="IRNazanin" w:hAnsi="IRNazanin" w:eastAsia="IRNazanin"/>
          <w:color w:val="111111"/>
          <w:sz w:val="28"/>
          <w:sz w:val="28"/>
          <w:szCs w:val="28"/>
          <w:rtl w:val="true"/>
          <w:lang w:bidi="fa-IR"/>
        </w:rPr>
        <w:t>ارتباط عقل و وحی، مهم‌ترین مسئله در تعیین جایگاه عقل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وحی را تنها منبع معرفت دینی می‌دانستند و عقل نظری و عقل عملی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نیز در مقابل، معتقد بودند معرفت دینی باید از طریق عقل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نمی‌توان پایه‌های اعتقادی را بر وحی استوار کرد، چراکه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انجامید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همان‌گونه که پیش‌تر گفتیم، امامیه موضعی بین اهل حدیث و معتزله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عبارت شیخ مفید را در اوائل المقالات بپذیریم، امامیه تا دوران وی اتفاق نظر داشته‌اند که عقل در علم و نتایجش، نیازمند وحی است و حتی عقل کیفیت استدلال را از وحی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واتفقت الإمامیة علی أن العقل محتاج فی علمه و نتائجه إلی السمع و أنه غیر منفک عن سمع ینبه العاقل علی کیفیة الاستدلال و أنه لا بد فی أول التکلیف و ابتدائه فی العالم من رسول و وافقهم فی ذلک أصحاب الحدیث و أجمعت المعتزلة و الخوارج و الزیدیة علی خلاف ذلک و زعموا أن العقول تعمل بمجردها من السمع و التوقیف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عبارت، گویای آن است که همه امامیه در مقابل معتزله معتقدند، عقل در استدلالهایش به سمع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شیخ مفید ادعا می‌کند همه امامیان در این نظر هم‌داستانند، ولی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به یک قرن پیش از شیخ مفید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الاسلامیین سه دیدگاه متفاوت در این مسئله را به امامیه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مانند شیخ مفید معتقد بودند، عقل پس از ارسال رسل حجت است و پیش از آن توانایی استدلال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عقل را پیش از ارسال رسل و پس از آن حجت می‌دانستند و معتقد بودند</w:t>
      </w:r>
    </w:p>
    <w:p>
      <w:pPr>
        <w:pStyle w:val="BookText"/>
        <w:rPr/>
      </w:pPr>
      <w:r>
        <w:rPr>
          <w:rFonts w:ascii="IRNazanin" w:hAnsi="IRNazanin" w:eastAsia="IRNazanin"/>
          <w:color w:val="111111"/>
          <w:sz w:val="28"/>
          <w:sz w:val="28"/>
          <w:szCs w:val="28"/>
          <w:rtl w:val="true"/>
          <w:lang w:bidi="fa-IR"/>
        </w:rPr>
        <w:t>عقلِ انسان‌ها در همه احوال در مسائل مربوط به توحید، حجت است و نیازی به کمک وحی</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معتقد بودند عقل در هیچ حالتی توانایی استدلال ندارد و معارف دینی تنها از طریق پیامبران و امامان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گروه دوم که اشعری به اعتقادشان اشاره کرده، با اتفاق نظری که شیخ مفید نقل کرده است همراه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این گروه بخشی از معتزلیان شیعه‌شده در اواخر قرن سوم و اوایل قرن چهارم باشند، می‌توان این‌طور حدس زد که سخن شیخ مفید به جریان غالب تشیع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شیخ مفید در این مسئله،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ابتدایی که به نیازمندی عقل به وحی و بخش پایانی که به ضرورت ارسال رسل در ابتدای تکلیف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بخش نخست، علت بخش پایانی است؛ بنابراین، تکلیف انسان بدون ارسال رسول ممکن نیست، چراکه عقل انسان در علم و نتایجش به وحی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بخش نخست می‌توان به نکات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عقل هم در مرحله استدلال‌هایش به سمع محتاج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سمع هر سمعی نیست، بلکه سمعی است که تنبیه‌دهنده به شیوه و کیفیت استدلال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آیات و روایات، برخی از آن‌ها تنبیه‌دهنده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نوع تحریک اولیه باشد و چه خود متضمن استدلالی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و حکم عقلند و برخی این‌گونه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دوران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به سمعی محتاج است که تنبیه‌دهنده به استدلال عقلی باشد، چراکه اگر دلیل نقلی این‌گونه نباشد، پذیرش آن منوط به شناخت خداوند و پذیرش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این پرسش مطرح است که احتیاج عقل به سمع مُنَبِّه، چگونه است؟ آیا عقل بدون این سمع نمی‌تواند استدلال نماید یا این‌که تواناییِ استدلال را دارد، ولی سمع منبّه، قوی‌ترین استدلال را ارائه می‌کند؟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این پرسش، منوط به فهم دقیق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سمع نسبت به استدلال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از کراجکی، شاگرد مفید نقل شده است که در عین تأیید موضع شیخ مفید، این دیدگاه را آشکارتر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بحث از ضرورت حجت در هر دوره،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اوجد للناس فی کل زمان مسمعاً لهم من انبیائه و حججه بینه و بین الخلق ینبههم علی طریق الاستدلال</w:t>
      </w:r>
    </w:p>
    <w:p>
      <w:pPr>
        <w:pStyle w:val="BookText"/>
        <w:rPr/>
      </w:pPr>
      <w:r>
        <w:rPr>
          <w:rFonts w:ascii="IRNazanin" w:hAnsi="IRNazanin" w:eastAsia="IRNazanin"/>
          <w:color w:val="111111"/>
          <w:sz w:val="28"/>
          <w:sz w:val="28"/>
          <w:szCs w:val="28"/>
          <w:rtl w:val="true"/>
          <w:lang w:bidi="fa-IR"/>
        </w:rPr>
        <w:t>فی العقلیات و یفقههم علی ما لا یعلمونه الا به من السمعیات</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بیان‌گر آن است که در سمعیات، عقل انسان امکان دست‌رسی به آن‌ها را ندارد و بدون وجود پیامبران و امامان، امکان دست‌رسی به آن‌ها برای انسان‌ها نیست؛ ولی در عقلیات امکان این دست‌رسی وجود دارد، اما پیامبران، انسان‌ها را به شیوه‌های استدلال متنبه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در جایی دیگر، در بحث با براهمه درباره ضرورت ارسال رسل، امور را نسبت به حکم عقل به سه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جایز 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اموری مانند عبادات و علم به خواص ادویه را از نظر عقل جایز می‌داند و معتقد است، تنها راه برای قطع به آن‌ها وحی است؛ با این حال، وی نیازمندی به وحی را مختص به این امور نمی‌داند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این امور نیز صرف‌نظر کنیم، باز انسان‌ها به پیامبران نیازمندند، چراکه پیامبران شیوه استدلال را به انسان‌ها گوش‌زد و خواطر انسان را بیدار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به گفته وی، مشاهده احوال انسان‌ها حاکی از آن است که آن‌ها همیشه نیازمند کسی هستند که باب استدلال را برای آن‌ها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بنابراین می‌توان ادعا کرد که در این نظریه،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جایگاه جداگانه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اموری که عقل به آن‌ها دست‌رسی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به اموری که عقل بالقوه می‌تواند آن‌ها را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معتزله ـ برخلاف امامیه ـ آن بود که در امور عقلی، نیازی به ارسال رسولان نیست و عقل به خودی خود می‌تواند امور عقلی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در حقیقت، نقش وحی را در امور عقلی، ارشادی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عقل مستقلاً معارف را کسب می‌کند و وحی هیچ نقشی در دریافت‌های عقلی ندارد، بلکه تنها تأییدکننده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عبارات اشعری نیز معلوم شد،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امامیه نیز چنین اعتقادی داشته‌اند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دیدگاه مفید و نوبختیان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امامیه تا دوره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در عین حال که حجیت دارد و کاشف از واقع است، ولی بی‌نیاز از نبوت و شرع نیست، بلکه پیامبران و حجت‌های الهی که معلمان بشرند، آن‌ها را با کیفیت استدلال عقلی آشنا می‌کنند و عقل</w:t>
      </w:r>
    </w:p>
    <w:p>
      <w:pPr>
        <w:pStyle w:val="BookText"/>
        <w:rPr/>
      </w:pPr>
      <w:r>
        <w:rPr>
          <w:rFonts w:ascii="IRNazanin" w:hAnsi="IRNazanin" w:eastAsia="IRNazanin"/>
          <w:color w:val="111111"/>
          <w:sz w:val="28"/>
          <w:sz w:val="28"/>
          <w:szCs w:val="28"/>
          <w:rtl w:val="true"/>
          <w:lang w:bidi="fa-IR"/>
        </w:rPr>
        <w:t>همیشه به آن‌ها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شیخ مفید، ابوالفتح کراجکی نیز همان‌گونه که به برخی از عبارات او اشاره شد، با این دیدگاه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آنچه تا کنون از وی نقل شد، می‌توان به تفسیر وی از روایت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معرفت‌الله را معرفت امام دانسته‌اند،</w:t>
      </w:r>
      <w:r>
        <w:rPr>
          <w:rStyle w:val="FootnoteAnchor"/>
          <w:rtl w:val="true"/>
        </w:rPr>
        <w:footnoteReference w:id="2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از آن روی که معارف عقلی و سمعیِ دین تنها از طریق امام بدست می‌آید، می‌توان ادعا کرد که معرفت و اطاعت از امام، همچون معرفت و اطاعت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برخلاف کراجکی، دیگر شاگرد شیخ مفید، سید مرتضی جایگاه بیشتری برای عقل قائل شد و تا حدودی با معتزله و گروه دومی که اشعری به آن‌ها اشاره کرده بود، در این مسئله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عقل در معرفت خداوند مستقل بوده و نیازی به وحی و تنبه از سوی رسولان الهی و امامان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اثبات سخن خود، استناد به ادله سمعی را برای کسب معرفت مستلزم دور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به گفته او، سخن افرادی مانند شیخ مفید و کراجکی درست نیست، چراکه شناخت مقام امامت در گرو معرفت به خدا و مباحث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وی به سخنان استادش شیخ مفید نیز بی‌توجه نیست و سعی می‌کند مدعای شیخ مفید و دیگر امامیه مبنی بر نقش تنبیهی وحی نسبت به عقل را بدون نام بردن از وی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وی در ردّ این دیدگاه آن است که تنبیه امام در حالی که امامت او عقلاً اثبات نشده، مانند دیگران است و فرقی با دیگران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128</w:t>
      </w:r>
      <w:r>
        <w:rPr>
          <w:rFonts w:eastAsia="IRNazanin" w:cs="IRNazanin"/>
          <w:color w:val="111111"/>
          <w:sz w:val="28"/>
          <w:szCs w:val="28"/>
          <w:rtl w:val="true"/>
          <w:lang w:bidi="fa-IR"/>
        </w:rPr>
        <w:t>).</w:t>
      </w:r>
      <w:r>
        <w:rPr>
          <w:rStyle w:val="FootnoteAnchor"/>
          <w:rtl w:val="true"/>
        </w:rPr>
        <w:footnoteReference w:id="2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با تکرار سخن معتزله در بحث معرفت ادعا می‌کند که انسان عاقل با مشاهده اختلاف ادیان و سخنان آن‌ها درباره خداوند و ثواب و عقاب الهی، ترسی در او شکل می‌گیرد و عقل او برای دفع ضرر محتمل، به وجوب نظر، استدلال و شناخت خداوند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w:t>
      </w:r>
    </w:p>
    <w:p>
      <w:pPr>
        <w:pStyle w:val="BookText"/>
        <w:rPr/>
      </w:pPr>
      <w:r>
        <w:rPr>
          <w:rFonts w:ascii="IRNazanin" w:hAnsi="IRNazanin" w:eastAsia="IRNazanin"/>
          <w:color w:val="111111"/>
          <w:sz w:val="28"/>
          <w:sz w:val="28"/>
          <w:szCs w:val="28"/>
          <w:rtl w:val="true"/>
          <w:lang w:bidi="fa-IR"/>
        </w:rPr>
        <w:t xml:space="preserve">او، اگر اموری از بیرون، این ترس را در وی ایجاد نکند، ممکن است از درون خودش این اَمارات برایش ایجاد شود و اگر این نیز واقع نشود، ممکن است از طریق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در وی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است که خداوند در گوش عاقل ایجاد می‌کند که متضمن اَماراتی است که به واسطه آن‌ها ترس از ترک نظر و استدلال در قلب عاقل ایجاد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نگاه سید مرتضی در عقلیات نیازی به امام و رسولان الهی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سویی دیگر، در بحث ضرورت ارسال رسل 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ارسال رسولان را واجب می‌داند، ولی به نظر او نیازمندی انسان‌ها به پیامبران فقط در امور شرعی است که عقل تنها به طور اجمال از آن‌ها آگاهی دارد و برای تفصیلات امور، نیازمند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تبیین ضرورت ارسال رسولان، در عین حال که نیازمندی انسان‌ها به پیامبران را محدود به حیطه سمعیات می‌کند، انجام این تکالیف سمعیه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انجام تکالیف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ظلم، ردّ امانت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برای مثال، ما عقلاً می‌دانیم که ظلم قبیح است، اما ظالمانه زندگی نکردن در صورتی ممکن است که تکالیفی از سوی خداوند برای انسان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انجام این تکالیفِ سمعی است که می‌تواند از ظلم کردن دوری کند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این مشابه همان چیزی است که معتزله در حسن و وجوب بعثت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ملاحمی‌خوارزمی،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هرچند تنها دلیل وجوب بعثت را آنچه گفته شد می‌داند، ولی ممکن می‌داند که برخی از پیامبران تنها برای تأکید بر واجبات عقلی مبعوث شوند، چراکه ممکن است تأکید آن‌ها تأثیر بیشتری در انجام این امور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 مرتضی، این تنها بر حسن بعثت دلالت می‌کند نه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دیگر مانند بیان لغات یا بیان خواص ادویه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دلیلی بر حسن بعثت هستند، نه وجوب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در همه حال، ارسال پیامبران واجب است یا خیر؟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می‌کنند که ارسال پیامبران در همه حال و همیشه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ملاحمی‌خورزمی،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ارسال پیامبران تنها در صورتی واجب است که خداوند بداند مصالحی در این کار برای مکلفان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چون</w:t>
      </w:r>
    </w:p>
    <w:p>
      <w:pPr>
        <w:pStyle w:val="BookText"/>
        <w:rPr/>
      </w:pPr>
      <w:r>
        <w:rPr>
          <w:rFonts w:ascii="IRNazanin" w:hAnsi="IRNazanin" w:eastAsia="IRNazanin"/>
          <w:color w:val="111111"/>
          <w:sz w:val="28"/>
          <w:sz w:val="28"/>
          <w:szCs w:val="28"/>
          <w:rtl w:val="true"/>
          <w:lang w:bidi="fa-IR"/>
        </w:rPr>
        <w:t>مصالح به اقتضای افراد و شرایط زمان و مکان متفاوت است، لزوم ارسال پیامبران نیز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در حقیقت، در ردّ دیدگاه قائلان به وجوب رسالت و امامت در همه دوران‌ها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هرچند در دلیل وجوب بعثت با معتزله هم‌نظر است، اصلاً به این پرسش نمی‌پردازد و آن را طرح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سید مرتضی نیز نباید ارسال پیامبران را همیشگی بداند؛ با این حال، وی برای اثبات ضرورت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دوره‌ها طرحی نو در‌می‌اندازد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عین حال که به استقلال و انحصار عقل در شناخت معارف معتقد است و ارسال پیامبران را همیشگی نمی‌داند، قائل به وجوب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این امام، پیامبر است و گاه غیرپیامبر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ادوار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سید مرتضی آنچه این وجوب را همیشگی می‌کند، نه بیان احکام و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تنبیه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دیدگاه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نیازمندی انسان‌ها به رئیسی است که با وجود وی از اختلافات و ظلم و ستم جلوگیری شود و به وسیله آن انسان‌ها به طاعت نزدیک و از معصیت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این وجوب به دو شرط بستگی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تکلیف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نبودن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نگاه سید مرتضی، در صورت عدم تکلیف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شریعت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نصب امام از سوی خداوند واجب است و سخنان معتزله درباره امامیه نادرست است، چراکه امامیه قائل به وجوب ارسال پیامبران در همه دوره‌های تاریخ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سید مرتضی در صورت وجود تکلیف سمعی و شریعت، ادله دیگری نیز برای وجوب امامت اقامه کرده است که از آن جمله می‌توان به نبود حجتی قاطع بر شرایع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سنت متواتر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حفاظت از شرع و ممانعت از تحریف آن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نگاه سید مرتضی دلیل وجوب امامت هیچ ربطی به شرایع ندارد و حتی اگر زمانی فرض شود که شریعتی نباشد، باز هم نیازمند نصب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هستیم؛ با این حال، در دوره کنونی که شریعت اسلام وجود دارد و تا قیامت نیز ادامه خواهد داشت، ضرورت امامت و علت نیازمندی انسان‌ها به امام، به حوزه سمعیات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تبیین و تفسیر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نگاه سید مرتضی می‌توان در بحث رابطه عقل و وحی به نکات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علم و نتایجش، نیازمند سمع نیست و تنها راه اکتساب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نیازمندی انسان‌ها به وحی، تنها به حیطه سمعیات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تنبیه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ادله، تأثیر بیشتری نسبت به مُنَبِّهان دیگر دارد، ولی وجود آن ضرورت ندارد</w:t>
      </w:r>
      <w:r>
        <w:rPr>
          <w:rFonts w:eastAsia="IRNazanin" w:cs="IRNazanin"/>
          <w:color w:val="111111"/>
          <w:sz w:val="28"/>
          <w:szCs w:val="28"/>
          <w:rtl w:val="true"/>
          <w:lang w:bidi="fa-IR"/>
        </w:rPr>
        <w:t>.</w:t>
      </w:r>
      <w:bookmarkStart w:id="34" w:name="pg2638_22514"/>
    </w:p>
    <w:p>
      <w:pPr>
        <w:pStyle w:val="BookText"/>
        <w:rPr/>
      </w:pPr>
      <w:bookmarkEnd w:id="3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ابتدای تکلیف، نیازی به ارسال پیامبران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زمانی فرض شود که پیامبری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تفاوت سید مرتضی با معتزله در آن است که امامت را در همه دوره‌ها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باشد که شریعتی وجود نداشته باشد، امام تنها رئیس معصومی است که انسان‌ها را به انجام تکالیف عقلی نزدیک‌تر می‌کند و اگر زمانی باشد که شریعتی وجود دارد، برای حفظ دین و تبیین درست از شریعت، به امام محتاج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نیازمندی به امام در این امور تنها در حیطه سمعیات است، نه عقلیات</w:t>
      </w:r>
      <w:r>
        <w:rPr>
          <w:rFonts w:eastAsia="IRNazanin" w:cs="IRNazanin"/>
          <w:color w:val="111111"/>
          <w:sz w:val="28"/>
          <w:szCs w:val="28"/>
          <w:rtl w:val="true"/>
          <w:lang w:bidi="fa-IR"/>
        </w:rPr>
        <w:t>.</w:t>
      </w:r>
    </w:p>
    <w:p>
      <w:pPr>
        <w:pStyle w:val="Heading3"/>
        <w:numPr>
          <w:ilvl w:val="2"/>
          <w:numId w:val="1"/>
        </w:numPr>
        <w:rPr/>
      </w:pPr>
      <w:bookmarkStart w:id="35" w:name="__RefHeading___Toc603779_1395250215"/>
      <w:bookmarkStart w:id="36" w:name="_Toc13"/>
      <w:bookmarkEnd w:id="35"/>
      <w:r>
        <w:rPr>
          <w:rtl w:val="true"/>
        </w:rPr>
        <w:t>جمع بندی</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در مقاله مطرح شد، می‌توان نتیجه گرفت که مدرسه کلامی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حسن‌بن‌موسی نوبختی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نظریه اکتسابی بودن معرفت و ردّ معرفت اضطراری، گام نخست را به سمت عقل‌گرایی معتزله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معرفت، نتیجه و متولد از استدلال عقلی انسان است و معارف اساسی دین نیز باید از طریق عقل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شیخ مفید عقل انسان را در کسب معرفت نیازمند راهنمایی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می‌دانست و معتقد بود، عقل انسان به خودی خود نمی‌تواند معارف دینی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این نیازمندی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به شیوه و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برخلاف گمان برخی مانند مکدرموت، شیخ مفید تنها برای دفاع از سخنان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استفاده نمی‌کرد، بلکه از دیدگاه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احتمال زیاد نوبختیان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عین حال که حجیت دارد و کاشف از واقع است، بی‌نیاز از نبوت و شرع نیست، بلکه پیامبران و حجت‌های الهی که معلمان بشرند، آن‌ها را با کیفیت استدلال عقلی آشنا می‌کنند و عقل همیشه به آن‌ها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تمایز نقش و کارکرد حجت‌های الهی در عقلیات و سمعیات به همین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تلقی معتزله را نیز نقد می‌کرد، چراکه از نظر معتزله انسان‌ها در عقلیات نیازی به حجت‌های الهی و وحی ندارند و اگر در متون مقدس دینی در این باره سخنی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سیدمرتضی در این بحث اندیشه‌های استاد خود را به نقد کشید و عقل را بی‌نیاز از وحی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دیدگاه سبب شد که نظام کلامی این دو نیز تا حدودی متمایز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مفید، وجوب نظر سمعی است، در حالی که سیدمرتضی به وجوب عقلی نظر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مباحث، ابوالفتح کراجکی تنها فردی در متکلمان بغداد است که با شیخ مفید همراهی کرد، در حالی دیگر شاگردان مفید اندیشه او</w:t>
      </w:r>
      <w:bookmarkStart w:id="37" w:name="pg2638_22516"/>
    </w:p>
    <w:p>
      <w:pPr>
        <w:pStyle w:val="BookText"/>
        <w:rPr/>
      </w:pPr>
      <w:bookmarkEnd w:id="37"/>
      <w:r>
        <w:rPr>
          <w:rFonts w:ascii="IRNazanin" w:hAnsi="IRNazanin" w:eastAsia="IRNazanin"/>
          <w:color w:val="111111"/>
          <w:sz w:val="28"/>
          <w:sz w:val="28"/>
          <w:szCs w:val="28"/>
          <w:rtl w:val="true"/>
          <w:lang w:bidi="fa-IR"/>
        </w:rPr>
        <w:t>را کنار گذاشته و با سیدمرتضی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نتایج این دو دیدگاه در روش کلامی شیخ مفید و سیدمرتضی و تفاوت‌های آن‌ها در تبیین آرای کلامی‌شان می‌تواند موضوع کار دیگری باشد که به نحوی به تکمیل این مقاله کمک خواهد کرد</w:t>
      </w:r>
      <w:r>
        <w:rPr>
          <w:rFonts w:eastAsia="IRNazanin" w:cs="IRNazanin"/>
          <w:color w:val="111111"/>
          <w:sz w:val="28"/>
          <w:szCs w:val="28"/>
          <w:rtl w:val="true"/>
          <w:lang w:bidi="fa-IR"/>
        </w:rPr>
        <w:t>.</w:t>
      </w:r>
    </w:p>
    <w:p>
      <w:pPr>
        <w:pStyle w:val="Heading3"/>
        <w:numPr>
          <w:ilvl w:val="2"/>
          <w:numId w:val="1"/>
        </w:numPr>
        <w:rPr/>
      </w:pPr>
      <w:bookmarkStart w:id="38" w:name="__RefHeading___Toc603781_1395250215"/>
      <w:bookmarkStart w:id="39" w:name="_Toc14"/>
      <w:bookmarkEnd w:id="38"/>
      <w:r>
        <w:rPr>
          <w:rtl w:val="true"/>
        </w:rPr>
        <w:t>منابع</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علی‌بن‌اسماعیل،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ریتر، ویسبایدن، دارالنشر فرانز شتاینر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امیرمعزی، محمدعلی،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ملاحظاتی درباره یک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ایران‌نامه، شماره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ابوالصلاح،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المعارف، قم،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محمدتقی،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 و نص‌گرایی در کلام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حکمت، جستارهایی در باب عقل،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خدایاری، تهران، نبأ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رضی، محمد‌بن‌حسین،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مرتضی، علی‌بن‌حسین،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قم، دارالقرآن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الذخیرۀ فی علم الکلام،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قاهره، دارالفکر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ــــــــــــــــــ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 العلم و العمل، نجف، مطبعة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محمدبن‌الحسن،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محمد‌بن‌علی،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عبدالجباربن‌احمد،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قاهره، الدارالمصریه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محمد‌بن‌علی،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الفوائد، قم، دارالذخائر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مادلونگ،ویلفرد،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مکتبها و فرقه‌های اسلامی در سده‌های میانه،مشهد، بنیاد پژوهشهای اسلامی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مدرسی‌طباطبایی، سید‌حسین،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در فرایند تکامل، تهران، 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قم، کنگره هزاره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فی مقدمات الاصول، قم، کنگره هزاره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الامامیة، قم، کنگره هزاره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العکبریة، قم، کنگره هزاره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کنگره هزاره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شیخ مفید، تهران، دانشگاه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ملاحمی‌خوارزمی، محمود‌بن‌محمد،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الفائق فی اصول الدین، تهران، مؤسسه پژوهشی حکمت و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نسفی، ابی‌المعین میمون،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تبصرة الادلة فی اصول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الانور حامد عیسی، قاهره، المکتبة الازهریة للتراث</w:t>
      </w:r>
      <w:r>
        <w:rPr>
          <w:rFonts w:eastAsia="IRNazanin" w:cs="IRNazanin"/>
          <w:color w:val="111111"/>
          <w:sz w:val="28"/>
          <w:szCs w:val="28"/>
          <w:rtl w:val="true"/>
          <w:lang w:bidi="fa-IR"/>
        </w:rPr>
        <w:t>.</w:t>
      </w:r>
      <w:bookmarkStart w:id="40" w:name="pg2638_22518"/>
    </w:p>
    <w:p>
      <w:pPr>
        <w:pStyle w:val="Heading2"/>
        <w:numPr>
          <w:ilvl w:val="1"/>
          <w:numId w:val="1"/>
        </w:numPr>
        <w:rPr/>
      </w:pPr>
      <w:bookmarkStart w:id="41" w:name="__RefHeading___Toc603783_1395250215"/>
      <w:bookmarkStart w:id="42" w:name="_Toc15"/>
      <w:bookmarkEnd w:id="40"/>
      <w:bookmarkEnd w:id="41"/>
      <w:r>
        <w:rPr>
          <w:rtl w:val="true"/>
        </w:rPr>
        <w:t xml:space="preserve">تطور معرفت اضطراری در مدرسه کلامی امامیه در بغداد </w:t>
      </w:r>
      <w:r>
        <w:rPr>
          <w:rtl w:val="true"/>
        </w:rPr>
        <w:t>(</w:t>
      </w:r>
      <w:r>
        <w:rPr>
          <w:rtl w:val="true"/>
        </w:rPr>
        <w:t>از نوبختیان تا شیخ طوسی</w:t>
      </w:r>
      <w:r>
        <w:rPr>
          <w:rtl w:val="true"/>
        </w:rPr>
        <w:t>)</w:t>
      </w:r>
      <w:bookmarkEnd w:id="42"/>
    </w:p>
    <w:p>
      <w:pPr>
        <w:pStyle w:val="Heading3"/>
        <w:numPr>
          <w:ilvl w:val="2"/>
          <w:numId w:val="1"/>
        </w:numPr>
        <w:rPr/>
      </w:pPr>
      <w:bookmarkStart w:id="43" w:name="__RefHeading___Toc603785_1395250215"/>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علی امیرخانی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1392/08/25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1392/05/12</w:t>
      </w:r>
    </w:p>
    <w:p>
      <w:pPr>
        <w:pStyle w:val="Heading3"/>
        <w:numPr>
          <w:ilvl w:val="2"/>
          <w:numId w:val="1"/>
        </w:numPr>
        <w:rPr/>
      </w:pPr>
      <w:bookmarkStart w:id="45" w:name="__RefHeading___Toc603787_1395250215"/>
      <w:bookmarkStart w:id="46" w:name="_Toc17"/>
      <w:bookmarkEnd w:id="45"/>
      <w:r>
        <w:rPr>
          <w:rtl w:val="true"/>
        </w:rPr>
        <w:t>چکیده</w:t>
      </w:r>
      <w:bookmarkEnd w:id="46"/>
    </w:p>
    <w:p>
      <w:pPr>
        <w:pStyle w:val="BookText"/>
        <w:rPr/>
      </w:pPr>
      <w:r>
        <w:rPr>
          <w:rFonts w:ascii="IRNazanin" w:hAnsi="IRNazanin" w:eastAsia="IRNazanin"/>
          <w:color w:val="111111"/>
          <w:sz w:val="28"/>
          <w:sz w:val="28"/>
          <w:szCs w:val="28"/>
          <w:rtl w:val="true"/>
          <w:lang w:bidi="fa-IR"/>
        </w:rPr>
        <w:t>معرفت اضطراری که باور جمهور امامیه در دو مدرسه کلامی کوفه و قم بود، به تدریج در مدرسه کلامی بغداد دچار تحول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 تاریخی تطور معرفت اضطراری در بغداد حاکی از آن است که از نوبختیان، ابوسهل نوبختی همه معارف را نیازمند استدلال و در نتیجه کسبی می‌دانست، ولی ابومحمد با آن‌که همه معارف را اضطراری نمی‌دانست، درباره معرفت‌الله، به جواز اضطراری و اکتسابی بودن آن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نوبختیان تا شیخ مفید، تنها از ابوالقاسم کوفی عبارت مجملی از نگاشته‌های او به جا مانده که ظهور در اضطراری بودن معرفت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دوران شیخ مفید و سپس سیدمرتضی و شیخ طوسی، معرفت اضطراری به صراحت انکار شد و معرفت اکتسابی و عقلی مورد تأکید قرار گرفت</w:t>
      </w:r>
      <w:r>
        <w:rPr>
          <w:rFonts w:eastAsia="IRNazanin" w:cs="IRNazanin"/>
          <w:color w:val="111111"/>
          <w:sz w:val="28"/>
          <w:szCs w:val="28"/>
          <w:rtl w:val="true"/>
          <w:lang w:bidi="fa-IR"/>
        </w:rPr>
        <w:t>.</w:t>
      </w:r>
    </w:p>
    <w:p>
      <w:pPr>
        <w:pStyle w:val="Heading3"/>
        <w:numPr>
          <w:ilvl w:val="2"/>
          <w:numId w:val="1"/>
        </w:numPr>
        <w:rPr/>
      </w:pPr>
      <w:bookmarkStart w:id="47" w:name="__RefHeading___Toc603789_1395250215"/>
      <w:bookmarkStart w:id="48" w:name="_Toc18"/>
      <w:bookmarkEnd w:id="47"/>
      <w:r>
        <w:rPr>
          <w:rtl w:val="true"/>
        </w:rPr>
        <w:t>واژگان کلیدی</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اضطراری، معرفت اکتسابی، مدرسه بغداد، نوبختیان، شیخ مفید، سیدمرتضی، شیخ طوسی</w:t>
      </w:r>
      <w:r>
        <w:rPr>
          <w:rFonts w:eastAsia="IRNazanin" w:cs="IRNazanin"/>
          <w:color w:val="111111"/>
          <w:sz w:val="28"/>
          <w:szCs w:val="28"/>
          <w:rtl w:val="true"/>
          <w:lang w:bidi="fa-IR"/>
        </w:rPr>
        <w:t>.</w:t>
      </w:r>
      <w:bookmarkStart w:id="49" w:name="pg2638_22520"/>
    </w:p>
    <w:p>
      <w:pPr>
        <w:pStyle w:val="Heading3"/>
        <w:numPr>
          <w:ilvl w:val="2"/>
          <w:numId w:val="1"/>
        </w:numPr>
        <w:rPr/>
      </w:pPr>
      <w:bookmarkStart w:id="50" w:name="__RefHeading___Toc603791_1395250215"/>
      <w:bookmarkStart w:id="51" w:name="_Toc19"/>
      <w:bookmarkEnd w:id="49"/>
      <w:bookmarkEnd w:id="50"/>
      <w:r>
        <w:rPr>
          <w:rtl w:val="true"/>
        </w:rPr>
        <w:t>مقدمه</w:t>
      </w:r>
      <w:bookmarkEnd w:id="51"/>
    </w:p>
    <w:p>
      <w:pPr>
        <w:pStyle w:val="BookText"/>
        <w:rPr/>
      </w:pPr>
      <w:r>
        <w:rPr>
          <w:rFonts w:ascii="IRNazanin" w:hAnsi="IRNazanin" w:eastAsia="IRNazanin"/>
          <w:color w:val="111111"/>
          <w:sz w:val="28"/>
          <w:sz w:val="28"/>
          <w:szCs w:val="28"/>
          <w:rtl w:val="true"/>
          <w:lang w:bidi="fa-IR"/>
        </w:rPr>
        <w:t>موضوع معرفت‌شناسی ـ به‌ویژه معرفت‌الله ـ و چگونگی دست‌یابی به آن و به تعبیر دیگر، اکتسابی یا اضطراری بودن معارف، در محافل علمی مسلمانان و در بین طیف‌ها و جریان‌های فکری آنان، همواره مسئله و دغدغه جدی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کلی، بین اندیشمندان اسلامی سده‌های نخستین درباره معارف دست‌کم پنج دیدگاه اصلی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همه معارف از جمله معرفت‌الله را اضطراری و غیراکتسابی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چون بشربن‌معتمر، بر اکتسابی و اختیاری بودن همه معارف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چون ابوالهذیل علاف، معرفت و شناخت خداوند را اضطراری دانسته و به اکتسابی بودن بقیه معارف باور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چون نظّام، معرفت‌الله و معرفت به هر چیزی را که طریقش استدلال و نظر است، اکتسابی و معارف به‌دست‌آمده از راه حواس را اضطراری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چون ابومحمد نوبختی، هم به اضطراری بودن و هم به اکتسابی بودن معرفت‌الله نظر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دیدگاه امامیه در موضوع معرفت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امامیان در دوران حضور ـ چه محدثان و چه متکلمان ـ به اضطراری بودن همه معارف باور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اعتقاد راسخ امامیان، پس از دوران حضور با قرائتی جدید و با تغییرهایی، ابتدا در میان برخی از اندیشمندان خاندان نوبخت در مدرسه کلامی بغداد، مواجه شد و کم‌کم جهت‌گیری عالمان شیعی در بغداد به سمت و سوی پذیرش معرفت اکتسابی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معرفت اضطراری و فطری تغییر کرد، تا جایی که در دوران اوجِ پویایی و شکوفایی مدرسه کلامی بغداد و در اندیشه کلامی متکلمانی چون شیخ مفید و سیدمرتضی، معرفت اضطراری بالکل جایگاه خویش را به معرفت اکتسابی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ذکر است، در کنار اکثریت قریب به اتفاق اندیشمندان امامیه در دوران حضور که معارف را ضروری می‌دانستند، احتمالاً کسانی هم از امامیه بودند که به نوعی، به اکتسابی بودن و نیازمندی معارف به تعقل و نظر،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برخی شاگردان هشام‌بن‌حکم را که حصول بالفعلِ معارف را نیازمند به استدلال و نظر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w:t>
      </w:r>
      <w:bookmarkStart w:id="52" w:name="pg2638_22522"/>
    </w:p>
    <w:p>
      <w:pPr>
        <w:pStyle w:val="BookText"/>
        <w:rPr/>
      </w:pPr>
      <w:bookmarkEnd w:id="52"/>
      <w:r>
        <w:rPr>
          <w:rFonts w:ascii="IRNazanin" w:hAnsi="IRNazanin" w:eastAsia="IRNazanin"/>
          <w:color w:val="111111"/>
          <w:sz w:val="28"/>
          <w:sz w:val="28"/>
          <w:szCs w:val="28"/>
          <w:rtl w:val="true"/>
          <w:lang w:bidi="fa-IR"/>
        </w:rPr>
        <w:t>دسته دانست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دیدگاه احتمالی اقلیت امامیه، پس از دوران حضور به خامه متکلمان نام‌دار خاندان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و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ویژه‌ای برای عقل و استدلال عقلی در مباحث دینی از جمله معرفت‌الله قائل بودند، استمرار و استکمال یافت؛ با این حال، تبیین اصلی اندیشه اکتسابی بودن معرفت و انکار معرفت فطری و اضطراری، در بیان علمی شیخ مفید و سیدمرتضی انجام گرفت و علاوه بر آن‌که دلایل عقلی و نقلی اعتقاد به اکتسابی بودن معرفت را تبیین کردند، دلایل معتقدان به معرفت اضطراری ـ یعنی آیات و روایات ـ را توجیه و یا تأویل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در پی آن است با بررسی شواهد به‌جا‌مانده، تطور اندیشه معرفت در بین اندیشمندان امامی مدرسه کلامی بغداد در بازه زمانی نوبختیان تا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شکل‌گیری تا افول مدرسه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واکاوی کند</w:t>
      </w:r>
      <w:r>
        <w:rPr>
          <w:rFonts w:eastAsia="IRNazanin" w:cs="IRNazanin"/>
          <w:color w:val="111111"/>
          <w:sz w:val="28"/>
          <w:szCs w:val="28"/>
          <w:rtl w:val="true"/>
          <w:lang w:bidi="fa-IR"/>
        </w:rPr>
        <w:t>.</w:t>
      </w:r>
    </w:p>
    <w:p>
      <w:pPr>
        <w:pStyle w:val="Heading3"/>
        <w:numPr>
          <w:ilvl w:val="2"/>
          <w:numId w:val="1"/>
        </w:numPr>
        <w:rPr/>
      </w:pPr>
      <w:bookmarkStart w:id="53" w:name="__RefHeading___Toc603793_1395250215"/>
      <w:bookmarkStart w:id="54" w:name="_Toc20"/>
      <w:bookmarkEnd w:id="53"/>
      <w:r>
        <w:rPr>
          <w:rtl w:val="true"/>
        </w:rPr>
        <w:t>مفهوم شناسی</w:t>
      </w:r>
      <w:bookmarkEnd w:id="54"/>
    </w:p>
    <w:p>
      <w:pPr>
        <w:pStyle w:val="Heading4"/>
        <w:numPr>
          <w:ilvl w:val="3"/>
          <w:numId w:val="1"/>
        </w:numPr>
        <w:rPr/>
      </w:pPr>
      <w:bookmarkStart w:id="55" w:name="__RefHeading___Toc603795_1395250215"/>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پیش از بررسی تطور معرفت اضطراری، شایسته است اصطلاحات پرکاربرد این حوزه معرفتی مورد واکاوی و مفهوم‌شناسی قرار گیرد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57" w:name="__RefHeading___Toc603797_1395250215"/>
      <w:bookmarkStart w:id="58" w:name="_Toc22"/>
      <w:bookmarkEnd w:id="57"/>
      <w:r>
        <w:rPr>
          <w:rtl w:val="true"/>
        </w:rPr>
        <w:t>الف</w:t>
      </w:r>
      <w:r>
        <w:rPr>
          <w:rtl w:val="true"/>
        </w:rPr>
        <w:t xml:space="preserve">) </w:t>
      </w:r>
      <w:r>
        <w:rPr>
          <w:rtl w:val="true"/>
        </w:rPr>
        <w:t>معرفت اضطراری</w:t>
      </w:r>
      <w:r>
        <w:rPr>
          <w:rtl w:val="true"/>
        </w:rPr>
        <w:t xml:space="preserve">/ </w:t>
      </w:r>
      <w:r>
        <w:rPr>
          <w:rtl w:val="true"/>
        </w:rPr>
        <w:t>ضروری</w:t>
      </w:r>
      <w:bookmarkEnd w:id="58"/>
    </w:p>
    <w:p>
      <w:pPr>
        <w:pStyle w:val="BookText"/>
        <w:rPr/>
      </w:pPr>
      <w:r>
        <w:rPr>
          <w:rFonts w:ascii="IRNazanin" w:hAnsi="IRNazanin" w:eastAsia="IRNazanin"/>
          <w:color w:val="111111"/>
          <w:sz w:val="28"/>
          <w:sz w:val="28"/>
          <w:szCs w:val="28"/>
          <w:rtl w:val="true"/>
          <w:lang w:bidi="fa-IR"/>
        </w:rPr>
        <w:t xml:space="preserve">معرفت اضطراری، معرفت و شناختی است که فرایند آن در قلمرو اراده و اختیار انسان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حصول چنین معرفتی تخلف‌ناپذیر است و به عبارت دیگر، این معرفت خودبه‌خود حاصل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شده است؛ یعنی معرفتی که لزوماً و بالضروره در همه انسان‌ها وجود دارد و امکان نفی آن در نفوس نیست و ما آن را تحصیل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ملاحمی،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معلوم می‌شود معرفت اضطراری، مقوله عامی است که شامل امور حسی، امور عقلی و امور فطری می‌شود؛ یعنی ممکن است معرفت در امور حسی اضطراراً حاصل شود؛ چنان‌که نظّام معتقد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قلمرو معرفت اضطراری علاوه</w:t>
      </w:r>
      <w:bookmarkStart w:id="59" w:name="pg2638_22524"/>
    </w:p>
    <w:p>
      <w:pPr>
        <w:pStyle w:val="BookText"/>
        <w:rPr/>
      </w:pPr>
      <w:bookmarkEnd w:id="59"/>
      <w:r>
        <w:rPr>
          <w:rFonts w:ascii="IRNazanin" w:hAnsi="IRNazanin" w:eastAsia="IRNazanin"/>
          <w:color w:val="111111"/>
          <w:sz w:val="28"/>
          <w:sz w:val="28"/>
          <w:szCs w:val="28"/>
          <w:rtl w:val="true"/>
          <w:lang w:bidi="fa-IR"/>
        </w:rPr>
        <w:t xml:space="preserve">بر امور حسی، در امور عقلی نیز باشد؛ چنان‌که جاحظ معتقد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معرفت به امور فطری، اضطراری است؛ چنان‌که بسیاری از امامیان نخستین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لزوماً مرادف ضروری در اصطلاح منطق ارسطویی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همان‌گونه که دانسته است در منطق ارسطویی، ضروری همان بدیهی است که نیازمند فکر و استدلال نیست، برعکس اکتسابی که نیازمند به فکر و نظر است؛ به تعبیر دیگر،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 متکلمان دوران نخستین، معنایی اعم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منطق ارسطویی داشته است که علاوه بر بدیهی، فطریات و طبعیات را هم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60" w:name="__RefHeading___Toc603799_1395250215"/>
      <w:bookmarkStart w:id="61" w:name="_Toc23"/>
      <w:bookmarkEnd w:id="60"/>
      <w:r>
        <w:rPr>
          <w:rtl w:val="true"/>
        </w:rPr>
        <w:t>ب</w:t>
      </w:r>
      <w:r>
        <w:rPr>
          <w:rtl w:val="true"/>
        </w:rPr>
        <w:t xml:space="preserve">) </w:t>
      </w:r>
      <w:r>
        <w:rPr>
          <w:rtl w:val="true"/>
        </w:rPr>
        <w:t>معرفت فطری</w:t>
      </w:r>
      <w:bookmarkEnd w:id="61"/>
    </w:p>
    <w:p>
      <w:pPr>
        <w:pStyle w:val="BookText"/>
        <w:rPr/>
      </w:pPr>
      <w:r>
        <w:rPr>
          <w:rFonts w:ascii="IRNazanin" w:hAnsi="IRNazanin" w:eastAsia="IRNazanin"/>
          <w:color w:val="111111"/>
          <w:sz w:val="28"/>
          <w:sz w:val="28"/>
          <w:szCs w:val="28"/>
          <w:rtl w:val="true"/>
          <w:lang w:bidi="fa-IR"/>
        </w:rPr>
        <w:t xml:space="preserve">منظور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امامیانِ نخستین و اهل حدیث، آن را به کار گرفته‌اند، نوع خاصی از معرفت اضطراری است که از سوی خداوند متعال در ضمیر و نهاد انسان، به ودیعت گذاشته شده است؛ به تعبیر دیگر، خداوند متعال انسان را بر معرفت و شناخت خویش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باورمندان به معرفت فطری معتقد بودند، خداوند در عالَمی پیش از عالم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انسان‌ها عرضه داشته و از همه آن‌ها به ربوبیت خویش اقرار گرفته، به طوری که همه بنی‌آدم در آن عالَم، شهادت به ربویت حضرت حق داده‌اند و از آن‌جا که این شهادت، مبتنی بر شناخت بوده است، معلوم می‌شود همه انسان‌ها معرفت و شناخت به خداوند پیدا کرده‌اند و این معرفت در ذات انسان نهادینه شده است، به گونه‌ای که اگر نبود هیچ‌گاه معرفت‌الله برای انسان حاصل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معرفت به امور فطری که طبق روایات امامیه شامل معرفت به خدا، رسول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اضطراری بوده و در واقع، فاعل آن خداوند متعال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همین‌جا معلوم می‌شود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متکلمانِ نخستین، لزوماً به معنای اصطلاح منطق ارسطویی نیست، زیرا در منطق ارسطویی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در حالی که فطری در لسان متکلمان نخست،</w:t>
      </w:r>
      <w:bookmarkStart w:id="62" w:name="pg2638_22526"/>
    </w:p>
    <w:p>
      <w:pPr>
        <w:pStyle w:val="BookText"/>
        <w:rPr/>
      </w:pPr>
      <w:bookmarkEnd w:id="62"/>
      <w:r>
        <w:rPr>
          <w:rFonts w:ascii="IRNazanin" w:hAnsi="IRNazanin" w:eastAsia="IRNazanin"/>
          <w:color w:val="111111"/>
          <w:sz w:val="28"/>
          <w:sz w:val="28"/>
          <w:szCs w:val="28"/>
          <w:rtl w:val="true"/>
          <w:lang w:bidi="fa-IR"/>
        </w:rPr>
        <w:t>یعنی معرفت و شناختی از خداوند که در عوالم پیشین رخ داده و در سرشت انسان نهادینه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3" w:name="__RefHeading___Toc603801_1395250215"/>
      <w:bookmarkStart w:id="64" w:name="_Toc24"/>
      <w:bookmarkEnd w:id="63"/>
      <w:r>
        <w:rPr>
          <w:rtl w:val="true"/>
        </w:rPr>
        <w:t>ج</w:t>
      </w:r>
      <w:r>
        <w:rPr>
          <w:rtl w:val="true"/>
        </w:rPr>
        <w:t xml:space="preserve">) </w:t>
      </w:r>
      <w:r>
        <w:rPr>
          <w:rtl w:val="true"/>
        </w:rPr>
        <w:t xml:space="preserve">معرفت اکتسابی </w:t>
      </w:r>
      <w:r>
        <w:rPr>
          <w:rtl w:val="true"/>
        </w:rPr>
        <w:t xml:space="preserve">/ </w:t>
      </w:r>
      <w:r>
        <w:rPr>
          <w:rtl w:val="true"/>
        </w:rPr>
        <w:t>اختیاری</w:t>
      </w:r>
      <w:bookmarkEnd w:id="64"/>
    </w:p>
    <w:p>
      <w:pPr>
        <w:pStyle w:val="BookText"/>
        <w:rPr/>
      </w:pPr>
      <w:r>
        <w:rPr>
          <w:rFonts w:ascii="IRNazanin" w:hAnsi="IRNazanin" w:eastAsia="IRNazanin"/>
          <w:color w:val="111111"/>
          <w:sz w:val="28"/>
          <w:sz w:val="28"/>
          <w:szCs w:val="28"/>
          <w:rtl w:val="true"/>
          <w:lang w:bidi="fa-IR"/>
        </w:rPr>
        <w:t>اصطلاح معرفت اکتسابی، در مقابل معرفت فطری، اضطراری و ضروری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معرفت اکتسابی معتقدند، معارف در انسان خودبه‌خود حاصل نمی‌شود، بلکه بر اساس اراده و اختیار آدمی و با به‌کارگیری تعقل و اندیشه‌ورزی حاصل می‌شود؛ در نتیجه، امکان نفی آن در نفوس 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معتقدان به معرفت اکتسابی، نظر و استدلال را واجب می‌دانستند، چرا‌که تنها طریق وصول به معرفت را تفکر و نظر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65" w:name="__RefHeading___Toc603803_1395250215"/>
      <w:bookmarkStart w:id="66" w:name="_Toc25"/>
      <w:bookmarkEnd w:id="65"/>
      <w:r>
        <w:rPr>
          <w:rtl w:val="true"/>
        </w:rPr>
        <w:t>سیر تاریخی تطور معرفت اضطراری در بغداد</w:t>
      </w:r>
      <w:bookmarkEnd w:id="66"/>
    </w:p>
    <w:p>
      <w:pPr>
        <w:pStyle w:val="Heading4"/>
        <w:numPr>
          <w:ilvl w:val="3"/>
          <w:numId w:val="1"/>
        </w:numPr>
        <w:rPr/>
      </w:pPr>
      <w:bookmarkStart w:id="67" w:name="__RefHeading___Toc603805_1395250215"/>
      <w:bookmarkStart w:id="68" w:name="_Toc26"/>
      <w:bookmarkEnd w:id="67"/>
      <w:r>
        <w:rPr>
          <w:rtl w:val="true"/>
        </w:rPr>
        <w:t>بنو نوبخت</w:t>
      </w:r>
      <w:bookmarkEnd w:id="68"/>
    </w:p>
    <w:p>
      <w:pPr>
        <w:pStyle w:val="BookText"/>
        <w:rPr/>
      </w:pPr>
      <w:r>
        <w:rPr>
          <w:rFonts w:ascii="IRNazanin" w:hAnsi="IRNazanin" w:eastAsia="IRNazanin"/>
          <w:color w:val="111111"/>
          <w:sz w:val="28"/>
          <w:sz w:val="28"/>
          <w:szCs w:val="28"/>
          <w:rtl w:val="true"/>
          <w:lang w:bidi="fa-IR"/>
        </w:rPr>
        <w:t xml:space="preserve">درباره نظر دو اندیشمند مطرح خاندان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و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معرفت‌الله، گزارشی از نظر ابومحمد نوبختی در کتاب مقالات الاسلامیین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هم‌زمان با ایشان به شمار می‌آید،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ابوالحسن اشعری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الفرقة الخامسة منهم یزعمون أن المعارف لیس کلُّها اضطراراً و المعرفة باللّه یجوز أن تکون کسباً و یجوز أن تکون اضطراراً و إن کانت کسباً او کانت اضطراراً فلیس یجوز الامر بها علی وَجهٍ من الوجوه و هذا قول الحسن‌بن‌موسی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ابوسهل هم در بخش پایانی کتابش التنبیه ذکر شده که شیخ صدوق در کمال‌الدین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ابوسهل چنین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أمرَ الدین کلّه بالاستدلال یُعلم، فنحن عرفناالله عزوجل بالادلة و لم‌نشاهده و لا اخبرنا عنه مَن شاهده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کلام ابوسهل به دست میاد که برخلاف نظر جمهور اندیشمندان امامیه در دوران حضور، به اکتسابی بودن همه معارف دینی از جمله معرفت‌الله اعتقاد دارد،</w:t>
      </w:r>
      <w:r>
        <w:rPr>
          <w:rStyle w:val="FootnoteAnchor"/>
          <w:rtl w:val="true"/>
        </w:rPr>
        <w:footnoteReference w:id="35"/>
      </w:r>
      <w:r>
        <w:rPr>
          <w:rFonts w:ascii="IRNazanin" w:hAnsi="IRNazanin" w:eastAsia="IRNazanin"/>
          <w:color w:val="111111"/>
          <w:sz w:val="28"/>
          <w:sz w:val="28"/>
          <w:szCs w:val="28"/>
          <w:rtl w:val="true"/>
          <w:lang w:bidi="fa-IR"/>
        </w:rPr>
        <w:t>اما از ظاهر عبارت اشعری بر‌می‌آید که ابومحمد معتقد به اضطراری بودن همه معارف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جایز می‌دانست معرفت‌الله اضطراری باشد یا اکتسابی؛ با این حال از دیدگاه ابومحمد تکلیف و امر به معرفت‌الله</w:t>
      </w:r>
    </w:p>
    <w:p>
      <w:pPr>
        <w:pStyle w:val="BookText"/>
        <w:rPr/>
      </w:pPr>
      <w:r>
        <w:rPr>
          <w:rFonts w:ascii="IRNazanin" w:hAnsi="IRNazanin" w:eastAsia="IRNazanin"/>
          <w:color w:val="111111"/>
          <w:sz w:val="28"/>
          <w:sz w:val="28"/>
          <w:szCs w:val="28"/>
          <w:rtl w:val="true"/>
          <w:lang w:bidi="fa-IR"/>
        </w:rPr>
        <w:t>ـ چه اضطراری باشد و چه اکتسابی ـ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دقیق‌تر دیدگاه ابومحمد نوبختی با توجه به آن‌که او کتابی در ردّ نظریه ابوالهذیل علاف درباره معرفت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زیاد، دیدگاهش ناظر به نظریه ابوالهذیل و دیگر معتزلیان بوده است، بررسی دیدگاه ابوالهذیل درباره معرفت‌الله شایسته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نظرگاه ابوالهذیل در هر شخصی ضرورتاً معرفتی درباره خداوند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 احساس مخلوق بودن و آفریده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 یعنی هر کس بالضروره می‌فهمد که خودش، خودش را به وجود نیاورده و مصنوع و مخلوق است و این معرفت و شناخت، او را ضرورتاً به شناخت صانع و خدا رهنمون می‌سازد، اما سایر معارف این‌چنین نیستند و معرفت به آن‌ها اکتسابی است؛ چه از راه حس به دست آمده باشند و چه از راه غیرحس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بلافاصله پس از بلوغِ عقلی و شناخت نفس خویش، به جمیع معارف توحید و عدل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آنان واجب است که به دیگر تکالیف الهی، معرفت پیدا کنند ـ و به تعبیر دیگر آن‌ها را کسب کنند ـ، به گونه‌ای که اگر به تکالیف الهی معرفت پیدا نکنند و بمیرند، در جایگاه کافر و دشمن خدا استحقاق خلود در آتش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دیدگاه ابوالهذیل، نظرگاه شاگرد برجسته‌اش نظّام است که برخلاف او، فقط معرفت به خدا و رسل، تأویل کتاب و استنباط شریعت را اکتسابی از راه نظر و استدلال، و بقیه علوم را اضطراری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بشر‌بن‌معتمر معتقد است، جمیع معارف</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حتی معارف حاصل از راه حواس پنج‌گانه ـ اکتسابی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w:t>
      </w:r>
      <w:bookmarkStart w:id="69" w:name="pg2638_22530"/>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 از دیدگاه بشر، طفل پس از معرفت به خویش، مرحله تفکر و استدلال را دارد و پس از آن به معرفت توحید و عدل می‌رسد؛ در نتیجه در مرحله چهارم سایر تکالیف بر او واجب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دیدگاه ابوالهذیل و این‌که ابومحمد با او مخالف بوده است، و با توجه به عبارت اشعری، می‌توان دو احتمال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احتمال دو فرایند طولی برای معرفت‌الله قائل بود؛ یعنی سطحی از معرفت را که معرفت اجمالی به اصل وجود حق‌تعالی ـ به عنوان صانع و خالق جهان ـ است، اضطراری می‌دانست، اما لایه عمیق‌تر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مراتب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اکتسابی می‌دانست و از آن‌جا که معرفت به اصل وجود خدا را اضطراری می‌دانست، معتقد به وجوب نظر معتقد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معرفت‌الله را برای عده‌ای ضروری و برای عده‌ای دیگر غیرضروری و اکتسابی می‌دانست؛ یعنی برخلاف ابوالهذیل و نظّام که معرفت‌الله را برای همه انسان‌ها اضطراری یا اکتسابی می‌دانستند، ابومحمد قائل به تفصیل بوده و معتقد شده ممکن است معرفت خداوند برای برخی انسان‌ها اضطراری باشد و برای برخی دیگر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که معرفت‌الله برای عده‌ای اکتسابی است و برای عده‌ای اضطراری، یکی از اقوال مطرح درباره معرفت‌الله بوده و پیروانی هم داشته است؛ مثلاً برخی معرفت و شناخت خدا را برای انبیا و اولیا اضطراری می‌دانستند، اما برای انسان‌های عادی معرفت خداوند را اکتسابی و نیازمند کسب از راه نظر و استدلال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ابن‌صلاح،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این‌که ابومحمد در معرفت‌الله قائل به تفصیل شد، به دست می‌آید که اضطراری در دیدگاه او به معنای معرفت فطری نیست که امامیانِ دوران حضور بدان اعتقاد داشتند، چه آن‌که اگر معرفت، فطری و سرشته‌شده در نهاد آدمی باشد، عمومیت داشته و در همه انسان‌ها وجود خواهد داشت؛ بنابراین، ابومحمد برخلاف امامیان نخستین، ظاهراً اعتقادی به معرفت فطری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چرا ابومحمد معتقد بوده تکلیف و امر به معرفت‌الله جایز نیست ـ چه معرفت اکتسابی باشد و چه اضطراری ـ احتمالاً به جهت آن است که معتقد بود اگر معرفت‌الله اضطراری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دیدگاه او ممکن است برای عده‌ای اضطراری باشد؛ یا در یک سطح اضطراری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امر به آن معنا ندارد، زیرا معرفت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معرفت‌الله اکتسابی باشد،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همان‌گونه که گفته شد لایه‌ای از معرفت را اضطراری و لایه دیگر را اکتسابی می‌داند، که چون اصل وجود خداوند متعال اضطراری است، امر به معرفت و وجوب نظر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آن‌که معرفت‌الله را برای گروهی بالکل اکتسابی می‌داند که در این صورت، وی مانند آن دسته از کسانی است که تکلیف به معرفت‌الله را غیرجایز می‌دانند؛ با این استدلال که مکلف در حال تکلیف، یا علم به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یا ندارد؛ اگر علم به آن نداشته باشد تکلیف و امر به آن تکلیف ما لایطاق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بما لایُعلم، تکلیفٌ بما 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علم به مأمورٌ به داشته باشد، به نوعی تحصیل حاصل است؛ در نتیجه امر و تکلیف در هر حال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چون معرفت و شناخت خدا را غیر از ایمان به خدا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ایمان به خدا را جایز، اما امر و تکلیف به معرفت‌الله را غیرجایز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نظر بنی‌نوبخت درباره معرفت‌الله با دیدگاه امامیان نخستین هماهنگ نیست و تغییراتی دارد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این میان ابوسهل ـ ظاهراً ـ به کسبی بودن همه معارف و معرفت‌الله از طریق تعقل و استدلال اعتقاد دارد، اما دیدگاه ابومحمد ـ همان‌گونه که تبیین شد ـ از جهاتی موافق با امامیه نخستین است و از جهاتی مخالف دیدگاه آنان؛ از آن جهت که معرفت‌الله اضطراری است، با امامیه نخستین هم‌سوست و از آن جهت که معرفت‌الله را فطری نمی‌داند و نیز از آن جهت که قائل به اکتسابی بودن معرفت است، مخالف دیدگاه آنان است؛ هم‌چنین از آن جهت که امر و تکلیف به معرفت‌الله را به هیچ وجه جایز نمی‌داند، با اندیشه بسیاری از معتزلیان مخالفت دارد</w:t>
      </w:r>
      <w:r>
        <w:rPr>
          <w:rFonts w:eastAsia="IRNazanin" w:cs="IRNazanin"/>
          <w:color w:val="111111"/>
          <w:sz w:val="28"/>
          <w:szCs w:val="28"/>
          <w:rtl w:val="true"/>
          <w:lang w:bidi="fa-IR"/>
        </w:rPr>
        <w:t>.</w:t>
      </w:r>
    </w:p>
    <w:p>
      <w:pPr>
        <w:pStyle w:val="Heading4"/>
        <w:numPr>
          <w:ilvl w:val="3"/>
          <w:numId w:val="1"/>
        </w:numPr>
        <w:rPr/>
      </w:pPr>
      <w:bookmarkStart w:id="70" w:name="__RefHeading___Toc603807_1395250215"/>
      <w:bookmarkStart w:id="71" w:name="_Toc27"/>
      <w:bookmarkEnd w:id="70"/>
      <w:r>
        <w:rPr>
          <w:rtl w:val="true"/>
        </w:rPr>
        <w:t>از بنو نوبخت تا شیخ مفید</w:t>
      </w:r>
      <w:bookmarkEnd w:id="7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شاگردان ابوسهل نوبختی، همچون ناشی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سوسنجردی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نیمه اول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ابوالجیش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متکلمان نام‌دار شیعی در دوران خویش بودند و با آن‌که روش عقل‌گرایی را در مباحث کلامی در پیش داشتند،</w:t>
      </w:r>
      <w:r>
        <w:rPr>
          <w:rStyle w:val="FootnoteAnchor"/>
          <w:rtl w:val="true"/>
        </w:rPr>
        <w:footnoteReference w:id="37"/>
      </w:r>
      <w:r>
        <w:rPr>
          <w:rFonts w:ascii="IRNazanin" w:hAnsi="IRNazanin" w:eastAsia="IRNazanin"/>
          <w:color w:val="111111"/>
          <w:sz w:val="28"/>
          <w:sz w:val="28"/>
          <w:szCs w:val="28"/>
          <w:rtl w:val="true"/>
          <w:lang w:bidi="fa-IR"/>
        </w:rPr>
        <w:t>عنوان کتابی که درباره معرفت و حاکی از دیدگاه آنان درباره معرفت اکتسابی یا اضطراری باشد، یافت نشد؛ با این حال، احتمال دارد آنان نیز به واسطه شاگردی ابوسهل، مانند او معرفت را اکتسابی می‌دانستند</w:t>
      </w:r>
      <w:r>
        <w:rPr>
          <w:rFonts w:eastAsia="IRNazanin" w:cs="IRNazanin"/>
          <w:color w:val="111111"/>
          <w:sz w:val="28"/>
          <w:szCs w:val="28"/>
          <w:rtl w:val="true"/>
          <w:lang w:bidi="fa-IR"/>
        </w:rPr>
        <w:t>.</w:t>
      </w:r>
      <w:bookmarkStart w:id="72" w:name="pg2638_22533"/>
    </w:p>
    <w:p>
      <w:pPr>
        <w:pStyle w:val="BookText"/>
        <w:rPr/>
      </w:pPr>
      <w:bookmarkEnd w:id="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هم‌چنین در بازه زمانی بین نوبختیان و شیخ مفید، متکلمانی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ابوبکر‌بن‌فلاس، طاهر غلام ابوالجیش، ابوالقاسم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حسن‌بن‌حسین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که غیر از ابوالقاسم کوفی، از نظرگاه دیگران اطلاعی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کوفی</w:t>
      </w:r>
      <w:r>
        <w:rPr>
          <w:rStyle w:val="FootnoteAnchor"/>
          <w:rtl w:val="true"/>
        </w:rPr>
        <w:footnoteReference w:id="38"/>
      </w:r>
      <w:r>
        <w:rPr>
          <w:rFonts w:ascii="IRNazanin" w:hAnsi="IRNazanin" w:eastAsia="IRNazanin"/>
          <w:color w:val="111111"/>
          <w:sz w:val="28"/>
          <w:sz w:val="28"/>
          <w:szCs w:val="28"/>
          <w:rtl w:val="true"/>
          <w:lang w:bidi="fa-IR"/>
        </w:rPr>
        <w:t xml:space="preserve">ـ که در دوران خود، متکلمی برجسته به شمار می‌آمد و کتاب‌های متعددی در این باره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ظاهراً دو کتاب در موضوع معرفت داشته است؛ یکی با عنوان تحقیق وجوه المعرفة و دیگری با نام الردّ علی مَن یقول ان المعرفة من قبل الموجود ضبط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عنوان، صحیح ضبط شده باشد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او در ردّ بر کسانی بوده که معرفت را اکتسابی و از جانب مخلوق می‌دانند؛ یعنی عبارت دقیقاً این‌گونه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مَن یقول أن المعرفةَ مِن قبل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اساس ظاهراً ابوالقاسم کوفی، معتقد به معرفت اضطراری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دیگر آن است که کتاب در ردّ بر معرفت پیشینی بوده و شاید عبارت این‌گونه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الردّ علی من یقول أن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احتمال می‌رود در نسخ این عنوان، اشتباهی رخ داده و الف و لام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لذا احتمالاً عنوان کتاب در واقع این‌گونه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مَن یقول المعرفة مِن قبلُ،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الف و لام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در واقع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من یقول أن المعرفةَ من القبل،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ابوالقاسم کوفی معرفت پیشینی را رد کرده و احتمالاً قائل به معرفت اکتسابی بوده است</w:t>
      </w:r>
      <w:r>
        <w:rPr>
          <w:rFonts w:eastAsia="IRNazanin" w:cs="IRNazanin"/>
          <w:color w:val="111111"/>
          <w:sz w:val="28"/>
          <w:szCs w:val="28"/>
          <w:rtl w:val="true"/>
          <w:lang w:bidi="fa-IR"/>
        </w:rPr>
        <w:t>.</w:t>
      </w:r>
    </w:p>
    <w:p>
      <w:pPr>
        <w:pStyle w:val="Heading4"/>
        <w:numPr>
          <w:ilvl w:val="3"/>
          <w:numId w:val="1"/>
        </w:numPr>
        <w:rPr/>
      </w:pPr>
      <w:bookmarkStart w:id="73" w:name="__RefHeading___Toc603809_1395250215"/>
      <w:bookmarkStart w:id="74" w:name="_Toc28"/>
      <w:bookmarkEnd w:id="73"/>
      <w:r>
        <w:rPr>
          <w:rtl w:val="true"/>
        </w:rPr>
        <w:t>شیخ مفید</w:t>
      </w:r>
      <w:bookmarkEnd w:id="74"/>
    </w:p>
    <w:p>
      <w:pPr>
        <w:pStyle w:val="BookText"/>
        <w:rPr/>
      </w:pPr>
      <w:r>
        <w:rPr>
          <w:rFonts w:ascii="IRNazanin" w:hAnsi="IRNazanin" w:eastAsia="IRNazanin"/>
          <w:color w:val="111111"/>
          <w:sz w:val="28"/>
          <w:sz w:val="28"/>
          <w:szCs w:val="28"/>
          <w:rtl w:val="true"/>
          <w:lang w:bidi="fa-IR"/>
        </w:rPr>
        <w:t>درباره معرفت، شیخ مفید به اکتسابی بودن آن تصریح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المعرفة بالله تعالی اکتسابٌ و کذلک المعرفة بأنبیائه و کل 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اضطراری بودن معرفت‌الله و معرفت رسول و صحت دین را آشکارا مورد انکار قرار داده و حصول معرفت به آن‌ها را به قسمی از اقسام قیاس و استدلال و نظر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شیخ مفید منکر معرفت فطری است، دلایل باورمندان به معرفت فطری از آیات و روایات را به گونه‌ای دیگر تفسیر کرده است؛ برای مثال، او عهد بنی‌آدم به ربوبیت حضرت حق را که در آیه میثاق ذکر شده و یکی از مستندات قائلان به معرفت فطری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نیز به دلالت آثار صنع حضرت حق بر حدوثشان و این‌که محدَثات، صانعی دارند، تفسیر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از منظر شیخ مفید، معنای آیه با اکتسابی بودن معرفت، نه تنها تضادی ندارد، بلکه به نوعی در تأیید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روایات مطرح در این موضوع نیز ـ برای مثال ـ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فَطَرَهم للتوحید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یعنی منظور روایت آن است که خداوند مخلوقات را آفرید تا به توحید برسند، نه آن‌که همه انسان‌ها را فطرتاً بر توحید خلق کرده است؛ وگرنه از دیدگاه شیخ، اگر خداوند همه مخلوقات را بر توحید آفریده بود، هیچ‌کدام از عبادالله نمی‌بایست غیرموحد و منکر خدا باشند، در حالی که بالوجدان برخی از آنان غیرموحد و یا منکر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تلاش کرده است دیدگاهش درباره وجوب نظر و کسب معرفت را با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کند و نشان دهد که ائمه اطهار نیز بر وجوب نظر و لزوم کسب معرفت تأکید داشته‌اند؛ مثلاً در الارشاد ضمن اشاره به حدیثی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وجوب معرفت‌الله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علمَ الناس کلّهم فی اربع اوّلها أن تعرف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حدیث، کسب معرفت‌الله است، زیرا طبق مفاد آن اول چیزی که بر عبد واجب است، معرفت و شناخت پروردگارش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مفید برای اثبات وجوب معرفت‌الله با عقل، به حدیثی از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عِبَادَةِ اللهِ مَعْرفَتُهُ وَ أَصلُ مَعْرفَتِهِ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بِالْعُقُولِ تُعْتقَدُ مَعْرِفَتُهُ وَ بالنَّظَرِ تَثْبُتُ حُجَّتُهُ، جَعَلَ الخَلْقَ دَلِیلاً عَلیْهِ فَکَشَفَ بِهِ عَنْ رُبُوبِیَّتِه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مفید به قدری به وجوب کسب معرفت، اعتقاد راسخ دارد که با صراحت، کسانی از آنان را که به رغم کمال عقل و توانایی بر استدلال، از نظر و استدلال دوری می‌جویند، کافر و مستحق خلود در جهنم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Style w:val="FootnoteAnchor"/>
          <w:rtl w:val="true"/>
        </w:rPr>
        <w:footnoteReference w:id="40"/>
      </w:r>
      <w:bookmarkStart w:id="75" w:name="pg2638_22537"/>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دیدگاه مفید درباره معرفت، معلوم و ظاهر است؛ با این حال نباید فراموش کرد، شیخ مفید به رغم آن‌که معرفت و شناخت خداوند متعال را با نظر و استدلال و در یک جمله با تعقل می‌داند، عقل را در دانش و نتایجش، نیازمند به راهنمایی‌های سمع می‌داند؛ سمعی که عاقل را به کیفیت و چگونگی استدلال رهنمون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عقلی شیخ مفید به نوعی محتاج راهنمایی‌های وحی و سمع است و این نوع معرفت عقلی، اساساً با معرفت عقلی معتزلیان متفاوت است</w:t>
      </w:r>
      <w:r>
        <w:rPr>
          <w:rFonts w:eastAsia="IRNazanin" w:cs="IRNazanin"/>
          <w:color w:val="111111"/>
          <w:sz w:val="28"/>
          <w:szCs w:val="28"/>
          <w:rtl w:val="true"/>
          <w:lang w:bidi="fa-IR"/>
        </w:rPr>
        <w:t>.</w:t>
      </w:r>
    </w:p>
    <w:p>
      <w:pPr>
        <w:pStyle w:val="Heading4"/>
        <w:numPr>
          <w:ilvl w:val="3"/>
          <w:numId w:val="1"/>
        </w:numPr>
        <w:rPr/>
      </w:pPr>
      <w:bookmarkStart w:id="76" w:name="__RefHeading___Toc603811_1395250215"/>
      <w:bookmarkStart w:id="77" w:name="_Toc29"/>
      <w:bookmarkEnd w:id="76"/>
      <w:r>
        <w:rPr>
          <w:rtl w:val="true"/>
        </w:rPr>
        <w:t>سید مرتضی</w:t>
      </w:r>
      <w:bookmarkEnd w:id="77"/>
    </w:p>
    <w:p>
      <w:pPr>
        <w:pStyle w:val="BookText"/>
        <w:rPr/>
      </w:pPr>
      <w:r>
        <w:rPr>
          <w:rFonts w:ascii="IRNazanin" w:hAnsi="IRNazanin" w:eastAsia="IRNazanin"/>
          <w:color w:val="111111"/>
          <w:sz w:val="28"/>
          <w:sz w:val="28"/>
          <w:szCs w:val="28"/>
          <w:rtl w:val="true"/>
          <w:lang w:bidi="fa-IR"/>
        </w:rPr>
        <w:t>سیدمرتضی نیز، معارف را غیراضطراری و غیرفطری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ردّ دلایل معتقدان به معرفت فطری از امامیان نخستین و درباره عالم ذر و اقرار بنی‌آدم بر ربوبیت حضرت حق، بیان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این باب، اخبار آحاد است و مفید یقین نیست؛ لذا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دیدگاه او ظاهر این اخبار با ادله عقلی و بیّنات واضحه در تعارض است؛ در نتیجه، انسان به کاذب بودن راویان آن‌ها و نیز به واجب‌الطرح بودن آن‌ها قطع پیدا می‌کند؛ مگر آن‌که ظاهر اخبار به گونه‌ای تأویل برده شود که با دلایل عقلی متعارض نباشد که البته در این صورت، قطع بر کذب راویان حاصل نمی‌شود؛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توجیه آیاتی که به عالم ذر اشاره دارند،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آیات کتاب‌الله قطعی‌الصدور هستند، باید ظاهر آن‌ها را به گونه‌ای تأویل برد که مخالف ادله عقلی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توجیه و تأویل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ألَسْتُ بِرَبِّکُمْ قالُوا بَلی شَهِدْنا أَنْ تَقُولُوا یَوْمَ الْقِیامَةِ إِنَّا کُنَّا عَنْ هذا غافِلینَ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با قول اهل 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 چراکه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امتناعی ندارد خداوند متعال، از جماعتی از بنی‌آدم بر آنچه از معارف بر آنان واجب است، اقرار گرفته و سپس از خودشان بر آن شهادت گرفته باشد؛ علاوه بر آن، اطلاق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بالغان و عاقلان هم جایز است و استعمال 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مرتضی هم‌چنین در تبیینی دیگر ـ که آن را بهتر از توجیه اول می‌داند ـ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خلقت ذریه انسان به گونه‌ای است که برای ناظر متأمل، بر خداوند دلالت دارد و به معرفت او منجر می‌شود، که از آن مجازاً به اقرار گرفتن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استعمال نه تنها در عرب کاربرد دارد، بلکه به لحاظ بلاغت و فصاحت هم نیکوست؛ وگرنه اگر عالم ذری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 در آن‌جا شناخت خدا و اقرار بر آن رخ می‌داد، نباید مورد فراموشی و نسیان قرار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استدلال سیدمرتضی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نظر و تفکر، تولید علم می‌کند نه ظن و شک؛ ثانیاً، مردم قادر بر کسب معارف هستند؛ ثالثاً، نظر همان فکر است و فکر، تأمل در چیزی است که درباره آن فکر می‌شود؛ رابعاً، اگر هنگام نظر، شرایط کامل باشد حتماً علم تولید می‌شود، نه این‌که عادتاً علم تولید شود؛ خامساً، جهت وجوب نظر، خوفی است که در ترک آن وجود دارد؛ سادساً، راه‌های حصول خوف را بررسی و بحث خاطر را تبیین می‌کند؛ سابعاً، نتیجه می‌گیرد که نظر و تأمل واجب است، بلکه اولین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این‌که مردم، قادر بر کسب معارف هستند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 قدرت بر جهل داریم،</w:t>
      </w:r>
      <w:r>
        <w:rPr>
          <w:rStyle w:val="FootnoteAnchor"/>
          <w:rtl w:val="true"/>
        </w:rPr>
        <w:footnoteReference w:id="41"/>
      </w:r>
      <w:r>
        <w:rPr>
          <w:rFonts w:ascii="IRNazanin" w:hAnsi="IRNazanin" w:eastAsia="IRNazanin"/>
          <w:color w:val="111111"/>
          <w:sz w:val="28"/>
          <w:sz w:val="28"/>
          <w:szCs w:val="28"/>
          <w:rtl w:val="true"/>
          <w:lang w:bidi="fa-IR"/>
        </w:rPr>
        <w:t xml:space="preserve">معلوم می‌شود قدرت بر ضدش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داریم و از آن‌جا که حصول نظر به حسب احوال و انگیزه‌های ما واجب و به حسب نخواستن‌های ما منتفی می‌شود،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 و به‌وجود‌آمده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مانند دیگر افعال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پیش‌تر اثبات شد که نظر تولید علم می‌کند، پس قطعاً علم و معارف از افعال ما هستند، چرا‌که از اسبابی تولید می‌شوند که آن‌ها فعل ما و در اختیار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با این بیان، در واقع حصول معارف بالطبع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می‌کند، زیرا اگر معارف، بالطبع حاصل شود دیگر به نظر، تأمل و تدبر احتیاج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وجوب نظر در نظام فکری شریف مرتضی، خوف ضرر در ترک آن و امید به دفع ضرر در انجام آن است؛ به تعبیر دیگر، به جهت اجتناب از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هم ندارد ضرر معلوم باشد یا مظنون؛ در هر دو صورت، وجوب نظر را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معتقد است این خوف، برای اکثریت مردم از طریق دعاة الی‌الله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احتمال دارد برای عده‌ای خاص این طریق، وصول نشده باشد و چیزی از طریق آنان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یا اتفاقی به فکر فرو‌می‌روند و در حدوث خود و پیرامون خود به فکر و اندیشه می‌افتند و یا این‌که اگر این هم اتفاق نیفتاد، بر خداوند واجب است فکر او را بر چیزی که مقتضای وجوب نظر هست، متوجه سازد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bookmarkStart w:id="78" w:name="pg2638_22541"/>
    </w:p>
    <w:p>
      <w:pPr>
        <w:pStyle w:val="BookText"/>
        <w:rPr/>
      </w:pPr>
      <w:bookmarkEnd w:id="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نکته دیگری که در لابه‌لای مطالب سید بسیار بر آن تأکید شده، آن است که از دیدگاه او علم به وجوب نظر، اکتسابی است نه ضروری؛ از این رو، نظر در طریق معرفت‌الله اولین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آن‌که، خداوند متعال معرفتش را بر هر عاقلی واجب می‌گرداند تا آن را کسب کند، و اگر جهت وجوب معرفت‌الله را لطف در تکلیف بدانیم، این لطف فقط در معرفت اکتسابی است نه معرفت اضطراری؛ زیرا معرفت اکتسابی مشقت دارد، ولی معرفت ضروری آن را ندارد، و کسی که مشقت عظیمه‌ای متحمل می‌شود تا به غرضی برسد، از کسی که چنین مشقتی را متحمل نمی‌شود، بر فعل آن غرض، اقرب و نزدیک‌تر است؛ از این رو، معرفت اضطراری جای معرفت اکتسابی را در لطف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79" w:name="__RefHeading___Toc603813_1395250215"/>
      <w:bookmarkStart w:id="80" w:name="_Toc30"/>
      <w:bookmarkEnd w:id="79"/>
      <w:r>
        <w:rPr>
          <w:rtl w:val="true"/>
        </w:rPr>
        <w:t>شیخ طوسی</w:t>
      </w:r>
      <w:bookmarkEnd w:id="80"/>
    </w:p>
    <w:p>
      <w:pPr>
        <w:pStyle w:val="BookText"/>
        <w:rPr/>
      </w:pPr>
      <w:r>
        <w:rPr>
          <w:rFonts w:ascii="IRNazanin" w:hAnsi="IRNazanin" w:eastAsia="IRNazanin"/>
          <w:color w:val="111111"/>
          <w:sz w:val="28"/>
          <w:sz w:val="28"/>
          <w:szCs w:val="28"/>
          <w:rtl w:val="true"/>
          <w:lang w:bidi="fa-IR"/>
        </w:rPr>
        <w:t>شیخ طوسی نیز معتقد است، راهی جز طریقِ استدلال و نظر، به معرفت بر اصول اعتقادی</w:t>
      </w:r>
    </w:p>
    <w:p>
      <w:pPr>
        <w:pStyle w:val="BookText"/>
        <w:rPr/>
      </w:pPr>
      <w:r>
        <w:rPr>
          <w:rFonts w:ascii="IRNazanin" w:hAnsi="IRNazanin" w:eastAsia="IRNazanin"/>
          <w:color w:val="111111"/>
          <w:sz w:val="28"/>
          <w:sz w:val="28"/>
          <w:szCs w:val="28"/>
          <w:rtl w:val="true"/>
          <w:lang w:bidi="fa-IR"/>
        </w:rPr>
        <w:t>ـ و از جمله معرفت‌الله ـ نیست و بدون نظر و فکر، وصول به معرفت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راه‌های معرفت به اشیا را منحصر در چهار طریق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بداهت و ضرورت،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به وسیله حواس،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خبررسانی و اِخبار،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استدلال 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می‌کند هیچ کدام از راه‌های مزبور ـ به‌جز استدلال ـ در مباحث اعتقادی مفید نیست و تک تک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تبیین می‌کند علم و معرفت به خدا، بدیهی و ضروری نیست، زیرا اگر معرفت به خدا ضروری بود، هیچ‌گاه مورد اختلاف عقلا واقع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در تفسیر التبیان در موارد متعددی شواهد این مطلب را ذکر می‌کند؛ مثلاً ذیل آیات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ماجرای پرستش ظاهری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ستارگان، ماه و سپس بر خورشید و در نهایت، روی برگرداندن از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الآیة دلالةٌ علی ان معرفة الله لیست ضروریة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معرفت‌الله ضروری بود،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انکار الوهیت ستارگان، ماه و خورشید، به استدلال احتیاجی نداشت، بلکه با آنان می‌بایست چنین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ستارگان را می‌پرستید، در حالی که بالضروره می‌دانید آن‌ها حادثند؟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طوسی درباره تقلید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تقلید اگر بدون استدلال و حجت باشد، عقلاً قبیح است و اگر از راه حجت و استدلال باشد، همان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بنابراین، تقلید بدونِ دلیل حتی اگر از موحد هم باشد، ارزش‌مندتر از تقلیدکردنِ ملحد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با اشاره به شبهات معتقدان به ضروری بودن خداشناسی و این‌که اگر خدا فقط از راه استدلال نظری و تفکر شناخته می‌شد، لازمه‌اش آن بود که ایمان بسیاری از عوام و حتی برخی از علمای فقه، ادبا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ایمان اکثر صحابه و تابعین ناصحیح و باطل باشد، چون از راه استدلال نظری به خداشناسی نرسیده‌اند، و لازمه‌اش آن است که تنها عده‌ای از متکلمان، ایمان درست و صحیح داشته باشند، چنین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غلط فاحش و مغالطه است، چراکه منظور از استدلال و نظر، مناظره و محاجه نیست که متکلمان انجام می‌دهند، بلکه منظور وجوب نظر و فکر در ادله توحید، عدل و دیگر اصول اعتقادی است که در قرآن تنبّه به آن فراوان آمده و در بسیاری از موارد، به تفکر و نظر سفارش کرده است و این‌که مؤمن در درون خود با حجت و دلیل به اعتقادش رسیده باشد؛ در حالی که در کلامِ بسیاری از صحابه و تابعین و حتی مردمِ عوام، استدلال‌هایی برای اثبات توحید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بسیاری از استدلال‌های متکلمان در زمان صحابه و تابعین نبوده، این استدلال درباره بسیاری از فروعات فقهی نیز صادق است؛ یعنی بسیاری از استدلال‌های فقها در زمان صحابه و تابعین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بگوییم برای عوام و غیرمتخصصان، علم اجمالی کفایت می‌کند و مادامی که شبهات، آن‌ها را به شک و تحیّر نیندازند، همین مقدار کفایت می‌کند و اگر شبهه‌ای وارد شود، در حد رفع همان شبهه باید تلاش کنند و پی‌گیر باشند و این در مورد افراد، به اختلاف احوال آنان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در تبیین اکتسابی و عقلی بودن معرفت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2"/>
      </w:r>
      <w:r>
        <w:rPr>
          <w:rFonts w:ascii="IRNazanin" w:hAnsi="IRNazanin" w:eastAsia="IRNazanin"/>
          <w:color w:val="111111"/>
          <w:sz w:val="28"/>
          <w:sz w:val="28"/>
          <w:szCs w:val="28"/>
          <w:rtl w:val="true"/>
          <w:lang w:bidi="fa-IR"/>
        </w:rPr>
        <w:t>و علمْ آن چیزی است که سکون و آرامش نفس را به همراه دارد و علم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اکتسابی؛ علم ضروری آن علمی است که فعلِ غیرِما در ماست و در اختیار ما نیست، اما</w:t>
      </w:r>
      <w:bookmarkStart w:id="81" w:name="pg2638_22545"/>
    </w:p>
    <w:p>
      <w:pPr>
        <w:pStyle w:val="BookText"/>
        <w:rPr/>
      </w:pPr>
      <w:bookmarkEnd w:id="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علم مکتسب از افعال خود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تفکر یعنی تأمل کردن در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این‌که چرا نظر و تفکر بر انسان واجب است، مانند سیدمرتضی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نظر و فکر، خوف و ترس از ضرری است که در ترکِ آن وجود دارد، به گونه‌ای که این ترسِ نفسانی، فقط با نظر و تفکر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ترس، احتمال دارد از خارج، از طریق شنیدنِ تهدیدی که یکی به دیگری می‌کند، یا از طریق گوش دادن به سخنان مردمان که یکدیگر را به بی‌ایمانی و کیفری که نتیجه آن است بیم می‌دهند، و یا در نفسِ خودش هنگامی که امارات و نشانه‌های خوف را می‌بیند، حاصل شود؛ بنابراین خوف، موجب می‌شود معرفت‌الله بر هر مکلفی واجب گردد و چون معرفت خدا به‌جز از طریق نظر و تفکر حاصل نمی‌شود، پس اولین تکلیف بندگان، وجوب نظر و استدلال برای شناخت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در نظام فکری طوسی، اگر به صورت عادی این خوف در شخصی ایجاد نگردد، خداوند متعال به نوعی خوف را در دل آن شخص خطور می‌سازد که به آن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یا از طریق کلامی است که در گوشش می‌شنود، یا در هوا ایجاد می‌شود و یا از طریق ارسال شخصی است که او را می‌ترساند و خوف را در او ایجاد می‌کند؛ به هر حال خوف که حاصل شد، نظر و تفکر واجب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معرفت‌الله بر هر مکلفی واجب است، زیرا علم به استحقاق ثواب و عقاب ـ که برای مکلفان لطف است ـ فقط با معرفت خداوند و صفاتش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پس از آن‌که معرفت‌الله را به جهت آن‌که لطف در تکالیفْ فقط با آن تمام می‌شود، واجب دانست،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لطف بودن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معرفت اضطراری لطف باشد، لطف بودن معرفتِ اکتسابی مؤکد است، زیرا مشقت و تکلّفش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3"/>
        <w:numPr>
          <w:ilvl w:val="2"/>
          <w:numId w:val="1"/>
        </w:numPr>
        <w:rPr/>
      </w:pPr>
      <w:bookmarkStart w:id="82" w:name="__RefHeading___Toc603815_1395250215"/>
      <w:bookmarkStart w:id="83" w:name="_Toc31"/>
      <w:bookmarkEnd w:id="82"/>
      <w:r>
        <w:rPr>
          <w:rtl w:val="true"/>
        </w:rPr>
        <w:t>نتیجه گیری</w:t>
      </w:r>
      <w:bookmarkEnd w:id="8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بررسی تطور و تحول اندیشه معرفت اضطراری در مدرسه کلامی امامیه در بغداد در بازه زمانی نوبختیان تا شیخ طوسی، آن‌که ابوسهل نوبختی، به اکتسابی بودن همه معارف اعتقاد دارد، اما ابومحمد ـ فقط درباره معرفت‌الله ـ اعتقاد به جواز کسبی و اضطراری بودن آن دارد که احتمالاً به دو فرآیند طولی برای معرفت‌الله معتقد بوده و یا این‌که معرفت‌الله را برای عده‌ای اضطراری و برای برخی اکتسابی و نیازمند تأمل و استدلال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شاگردان</w:t>
      </w:r>
      <w:bookmarkStart w:id="84" w:name="pg2638_22547"/>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نوبختیان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اصغر، سوسنجردی و ابوالجیش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در نظر گرفتن رویکرد عقل‌گرایانه آنان و با توجه به دیدگاه استادشان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اکتسابی بودن همه معارف باور داشت، به احتمال فراوان آنان نیز مانند استاد، به معرفت اکتسابی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فاصله زمانی نوبختیان تا شیخ مفید، ابوالقاسم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نام‌دار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باورمندان به معرفت اضطراری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دوران شکوفایی کلام امامیه در بغداد، شیخ مفید و شاگردان برجسته‌اش سیدمرتضی و شیخ طوسی، به اکتسابی و عقلی بودن معارف اعتقاد راسخ دارند و از منکران و مخالفان جدی اندیشه معرفت فطری و اضطراری هستند، به گونه‌ای که در مدرسه بغداد، معرفت فطری که یکی از منابع معرفتی امامیانِ نخستین به شمار می‌آمد، مورد رد و انکار قرار گرفت؛ اما دو منبع معرفتی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عقل، هم‌چنان مورد پذیرش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قلمرو معرفتی هر یک از منابع معرفتی یاد‌شده و نیز درباره رابطه منبع وحی و عقل و نیز تقدم عقل یا وحی، بین شیخ مفید و سیدمرتضی اختلاف‌هایی وجود دارد که شیخ مفید عقل را در پرتو راهنمایی‌های وحی قبول می‌کند، اما سیدمرتضی در مباحث اصول اعتقادی به حجیت انحصاری عقل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پیرو و هم‌رأی سید مرتضاست</w:t>
      </w:r>
      <w:r>
        <w:rPr>
          <w:rFonts w:eastAsia="IRNazanin" w:cs="IRNazanin"/>
          <w:color w:val="111111"/>
          <w:sz w:val="28"/>
          <w:szCs w:val="28"/>
          <w:rtl w:val="true"/>
          <w:lang w:bidi="fa-IR"/>
        </w:rPr>
        <w:t>.</w:t>
      </w:r>
    </w:p>
    <w:p>
      <w:pPr>
        <w:pStyle w:val="Heading3"/>
        <w:numPr>
          <w:ilvl w:val="2"/>
          <w:numId w:val="1"/>
        </w:numPr>
        <w:rPr/>
      </w:pPr>
      <w:bookmarkStart w:id="85" w:name="__RefHeading___Toc603817_1395250215"/>
      <w:bookmarkStart w:id="86" w:name="_Toc32"/>
      <w:bookmarkEnd w:id="85"/>
      <w:r>
        <w:rPr>
          <w:rtl w:val="true"/>
        </w:rPr>
        <w:t>منابع</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ابن‌شعبه حرانی، حسن‌بن‌علی،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تحف‌العقول عن آل‌الرسول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انتشارات جامعه مدرسین،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ابن‌صلاح شرفی، احمد‌بن‌محمد،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الاساس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عارف،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دار‌الحکمة الیمانیة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المصلیین، آلمان، انتشارات فرانس شتاینر،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رمضان،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ابوعثمان عمرو‌بن‌بحر،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و الجوابات فی المعرفة،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الجاحظ، تقدیم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بوملحم، بیروت، دار و 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حسینی‌زاده خضرآباد، سیدعلی،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آراء متکلمان نوبختی و تأثیر آن بر اندیشه‌های امامیه، پایان‌نامه کارشناسی ارشد، دانشگاه ادیامن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حسن‌بن‌یوسف‌بن‌مطهّر،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الجوهر النضید فی شرح منطق التجرید، قم،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جوابات المسائل الطرابلسیه، نسخه خطی به شماره </w:t>
      </w:r>
      <w:r>
        <w:rPr>
          <w:rFonts w:eastAsia="IRNazanin" w:cs="IRNazanin"/>
          <w:color w:val="111111"/>
          <w:sz w:val="28"/>
          <w:szCs w:val="28"/>
          <w:lang w:bidi="fa-IR"/>
        </w:rPr>
        <w:t>3/1690</w:t>
      </w:r>
      <w:r>
        <w:rPr>
          <w:rFonts w:ascii="IRNazanin" w:hAnsi="IRNazanin" w:eastAsia="IRNazanin"/>
          <w:color w:val="111111"/>
          <w:sz w:val="28"/>
          <w:sz w:val="28"/>
          <w:szCs w:val="28"/>
          <w:rtl w:val="true"/>
          <w:lang w:bidi="fa-IR"/>
        </w:rPr>
        <w:t>، کتاب‌خانه مرکز احیاء التراث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الحسینی، قم، مؤسسة النشر الاسلامی، الطبعة الثالثه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الامامة،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سید‌عبدالزهرا حسینی، تهران، مؤسسة الصادق،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محمد‌بن‌علی‌بن‌بابویه،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قم، جامعه مدرسین،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النعمه، تهران، اسلامیه،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محمد‌بن‌حسن،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بصائر الدرجات فی فضائل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کوچه‌باغی، قم، مکتبة آیة‌الله مرعشی نجفی،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محمد‌بن‌حسن،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فیما یتعلق بالاعتقاد،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سید‌محمدکاظم موسوی، قم، دلیل ما،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تصحیح مؤسسة البعثة، قم، دار‌الثقافه،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عبدالجبار، احمد‌بن‌خلیل،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الاصول الخمسة،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احمد‌بن‌حسین‌بن‌ابی‌هاشم،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عثمان، مصر، الهیئة المصریة العامة للکتاب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محمد آخوندی، تهران، دارالکتب الاسلامیه،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المؤتمر العالمی للشیخ المفید،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ولی و علی‌اکبر غفاری، قم، کنگره شیخ مفید،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فی المذاهب و المختارات، قم، المؤتمر العالمی للشیخ المفید،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الاعتقادات، قم، المؤتمر العالمی للشیخ المفید،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المختارة، قم، المؤتمر العالمی للشیخ المفید،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السرویة، قم، المؤتمر العالمی للشیخ المفید، الطبعة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ملاحمی‌خوارزمی، محمود‌بن‌محمد،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المعتمد فی اصول الدین،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مادلونگ، تهران، میراث مکتوب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احمد‌بن‌علی‌بن‌احمد،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سیدموسی شبیری‌زنجانی، قم، مؤسسة النشر الاسلامی التابعة لجماعة المدرسین بقم المشرفة، الطبعة السابعه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یاقوت،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الادباء، بیروت، دارالغرب الاسلامی، چاپ اول</w:t>
      </w:r>
      <w:r>
        <w:rPr>
          <w:rFonts w:eastAsia="IRNazanin" w:cs="IRNazanin"/>
          <w:color w:val="111111"/>
          <w:sz w:val="28"/>
          <w:szCs w:val="28"/>
          <w:rtl w:val="true"/>
          <w:lang w:bidi="fa-IR"/>
        </w:rPr>
        <w:t>.</w:t>
      </w:r>
      <w:bookmarkStart w:id="87" w:name="pg2638_22554"/>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2"/>
        <w:numPr>
          <w:ilvl w:val="1"/>
          <w:numId w:val="1"/>
        </w:numPr>
        <w:rPr/>
      </w:pPr>
      <w:bookmarkStart w:id="88" w:name="__RefHeading___Toc603819_1395250215"/>
      <w:bookmarkStart w:id="89" w:name="_Toc33"/>
      <w:bookmarkEnd w:id="88"/>
      <w:r>
        <w:rPr>
          <w:rtl w:val="true"/>
        </w:rPr>
        <w:t>رابطه ذات و صفات الهی از دیدگاه ابن میثم بحرانی</w:t>
      </w:r>
      <w:bookmarkEnd w:id="89"/>
    </w:p>
    <w:p>
      <w:pPr>
        <w:pStyle w:val="Heading3"/>
        <w:numPr>
          <w:ilvl w:val="2"/>
          <w:numId w:val="1"/>
        </w:numPr>
        <w:rPr/>
      </w:pPr>
      <w:bookmarkStart w:id="90" w:name="__RefHeading___Toc603821_1395250215"/>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محمد رنجبرحسینی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سیدمحمود موسوی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سیدحامد هاشمی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1393/01/17</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1393/02/30</w:t>
      </w:r>
    </w:p>
    <w:p>
      <w:pPr>
        <w:pStyle w:val="Heading3"/>
        <w:numPr>
          <w:ilvl w:val="2"/>
          <w:numId w:val="1"/>
        </w:numPr>
        <w:rPr/>
      </w:pPr>
      <w:bookmarkStart w:id="92" w:name="__RefHeading___Toc603823_1395250215"/>
      <w:bookmarkStart w:id="93" w:name="_Toc35"/>
      <w:bookmarkEnd w:id="92"/>
      <w:r>
        <w:rPr>
          <w:rtl w:val="true"/>
        </w:rPr>
        <w:t>چکیده</w:t>
      </w:r>
      <w:bookmarkEnd w:id="93"/>
    </w:p>
    <w:p>
      <w:pPr>
        <w:pStyle w:val="BookText"/>
        <w:rPr/>
      </w:pPr>
      <w:r>
        <w:rPr>
          <w:rFonts w:ascii="IRNazanin" w:hAnsi="IRNazanin" w:eastAsia="IRNazanin"/>
          <w:color w:val="111111"/>
          <w:sz w:val="28"/>
          <w:sz w:val="28"/>
          <w:szCs w:val="28"/>
          <w:rtl w:val="true"/>
          <w:lang w:bidi="fa-IR"/>
        </w:rPr>
        <w:t>رابطه ذات و صفات الهی، یکی از مهم‌ترین مباحث کلامی، فلسفی و عرفانی است که درباره آن، نظریات گوناگونی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ابن‌میثم، متکلم، فیلسوف و عارف شاخص قرن هفتم، در بین نظریات ارائه‌شده، نظریه عینیت صفات با ذات را پذیرفته است، اما در تبیین فلسفه توصیف خداوند و وجود صفات او، اعتباری بودن اوصاف الهی را مطرح می‌کند که به نظر می‌رسد نه تنها با نظریه عینیت، تناقضی ندارد، بلکه تبیین دقیقی از همان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ابن‌میثم، با الهام از بیان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نفی صفات، توصیف خداوند با این اوصاف اعتباری را از مراتب آغازین معرفت حق می‌شمارد و کمال اخلاص در معرفت را که غایت سیر عارف است، در نفی صفات از خداوند و لحاظ ذات او بدون در نظر گرفتن چیز دیگر، می‌داند</w:t>
      </w:r>
      <w:r>
        <w:rPr>
          <w:rFonts w:eastAsia="IRNazanin" w:cs="IRNazanin"/>
          <w:color w:val="111111"/>
          <w:sz w:val="28"/>
          <w:szCs w:val="28"/>
          <w:rtl w:val="true"/>
          <w:lang w:bidi="fa-IR"/>
        </w:rPr>
        <w:t>.</w:t>
      </w:r>
    </w:p>
    <w:p>
      <w:pPr>
        <w:pStyle w:val="Heading3"/>
        <w:numPr>
          <w:ilvl w:val="2"/>
          <w:numId w:val="1"/>
        </w:numPr>
        <w:rPr/>
      </w:pPr>
      <w:bookmarkStart w:id="94" w:name="__RefHeading___Toc603825_1395250215"/>
      <w:bookmarkStart w:id="95" w:name="_Toc36"/>
      <w:bookmarkEnd w:id="94"/>
      <w:r>
        <w:rPr>
          <w:rtl w:val="true"/>
        </w:rPr>
        <w:t>واژگان کلیدی</w:t>
      </w:r>
      <w:bookmarkEnd w:id="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ابن‌میثم، رابطه ذات و صفات، اعتبارات عقلی، نفی صفات، عینیت صفات با ذات</w:t>
      </w:r>
      <w:r>
        <w:rPr>
          <w:rFonts w:eastAsia="IRNazanin" w:cs="IRNazanin"/>
          <w:color w:val="111111"/>
          <w:sz w:val="28"/>
          <w:szCs w:val="28"/>
          <w:rtl w:val="true"/>
          <w:lang w:bidi="fa-IR"/>
        </w:rPr>
        <w:t>.</w:t>
      </w:r>
      <w:bookmarkStart w:id="96" w:name="pg2638_22556"/>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3"/>
        <w:numPr>
          <w:ilvl w:val="2"/>
          <w:numId w:val="1"/>
        </w:numPr>
        <w:rPr/>
      </w:pPr>
      <w:bookmarkStart w:id="97" w:name="__RefHeading___Toc603827_1395250215"/>
      <w:bookmarkStart w:id="98" w:name="_Toc37"/>
      <w:bookmarkEnd w:id="97"/>
      <w:r>
        <w:rPr>
          <w:rtl w:val="true"/>
        </w:rPr>
        <w:t>مقدمه</w:t>
      </w:r>
      <w:bookmarkEnd w:id="98"/>
    </w:p>
    <w:p>
      <w:pPr>
        <w:pStyle w:val="BookText"/>
        <w:rPr/>
      </w:pPr>
      <w:r>
        <w:rPr>
          <w:rFonts w:ascii="IRNazanin" w:hAnsi="IRNazanin" w:eastAsia="IRNazanin"/>
          <w:color w:val="111111"/>
          <w:sz w:val="28"/>
          <w:sz w:val="28"/>
          <w:szCs w:val="28"/>
          <w:rtl w:val="true"/>
          <w:lang w:bidi="fa-IR"/>
        </w:rPr>
        <w:t>از مهم‌ترین بحث‌هایی که در تاریخ عقاید ادیان الهی، به‌خصوص دین اسلام، در بین آثار اندیشمندان و متفکران دیده می‌شود، بحث از صفات الهی و مسائل و فروعات گوناگون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آیات قرآنیِ فراوان، روایات کثیری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رساله‌های فراوان تألیف‌شده در این موضوع از جانب اندیشمندان ادوار گوناگون، ابراز نظرهای متفاوت از سوی دانشمندان رشته‌هایی چون عرفان، فلسفه، کلام،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وجود اختلافات اساسی بین فرقه‌های اسلامی در این موضوع، نشان‌دهنده ارزش،اهمیت و آثار بحث از چنین موضوعی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مباحث در حوزه صفات الهی، در 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وجودشناسی صفات الهی، محور اصلی بحث، ماهیت وجودی صفات و چگونگی رابطه آن با ذات است که در تبیین این بحث، آرا و نظریات مختلفی از سوی مکاتب و فرقه‌های گوناگون، ارائه شده که قابل تأمل و بررسی است؛ اما در حوزه معناشناسی، همان‌گونه که از اسم آن پیداست، به معانی صفات الهی و چگونگی فهم آن معانی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نظریاتی چون تشبیه، تعطیل، تأویل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حوزه ارائه شده‌اند؛ هم‌چنین در کلام جدید، بحث از معانی اوصاف الهی،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مورد کنکاش واقع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حاضر بر آن است با محوریت نظر ابن‌میثم بحرانی که یکی از متکلمان، فیلسوفان و عرفای شاخص قرن هفتم هجری است، صفات الهی را حول محور اول، یعنی از حیث وجودشناسی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سؤالات مهم در این بحث،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صفت دارد؟ اگر برای خداوند صفاتی اثبات شوند، رابطه وجودی این صفات با ذات چگونه است؟ صفات الهی، زاید بر ذاتند یا عین ذات؟ هر کدام از این حالات به چه نحوی قابل تبیین هستند و کدام‌یک از این تبیین‌ها، صحیح یا صحیح‌تر و کدام، ناصحیح است؟ و اگر بگوییم خداوند صفت ندارد، وجود کمالات الهی به چه نحوی قابل توجیه و تبیین است؟ این سؤالات، نمونه‌هایی از پرسش‌های اساسی در مبحث وجودشناسی صفات الهی است که در مقام پاسخ به آن‌ها، نظریات گوناگون و اختلافات اساسی از دانشمندان نحله‌های مختلف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بحرانی در این زمینه، نظریه‌ای را مطرح کرده که هرچند، دانشمندان دیگری ـ که در بحث‌های بعدی بدان اشاره خواهد شد ـ نیز آن را ارائه کرده‌اند، اما خیلی مورد توجه قرار نگرفته است؛ حتی گاهی به خاطر عدم فهم صحیح آن، مورد نقد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ضمن تبیین نظر وی در این موضوع، این نظر را اصحّ اقوال می‌داند و ادله‌ای را در این مورد ارائه می‌دهد</w:t>
      </w:r>
      <w:r>
        <w:rPr>
          <w:rFonts w:eastAsia="IRNazanin" w:cs="IRNazanin"/>
          <w:color w:val="111111"/>
          <w:sz w:val="28"/>
          <w:szCs w:val="28"/>
          <w:rtl w:val="true"/>
          <w:lang w:bidi="fa-IR"/>
        </w:rPr>
        <w:t>.</w:t>
      </w:r>
      <w:bookmarkStart w:id="99" w:name="pg2638_22558"/>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نکته جالب درباره شخصیت علمی ابن‌میثم بحرانی این است که وی در هر سه دریای کلام، فلسفه و عرفان، غواصی کرده و نظریات وی برای متخصصان هر سه رشته، قابل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آثار خود، هم از شیوه عقلی بهره برده و هم از طریق نقلی استمداد جسته و همواره سعی داشته است تا در آرای خود، بین عقل و نقل هماهنگی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عبارات او حاکی از این است که وی به معرفت شهودی نیز قائل بوده است که نمونه‌ای از آن را در انتهای مقاله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رابطه ذات و صفات الهی نیز او در تبیین نظریه خود، هم دلایل عقلی را ذکر کرده، هم به آیات و روایات عنایت داشته و هم به معرفت شهودی در درجات بالاتر معرفت قائل بوده است</w:t>
      </w:r>
      <w:r>
        <w:rPr>
          <w:rFonts w:eastAsia="IRNazanin" w:cs="IRNazanin"/>
          <w:color w:val="111111"/>
          <w:sz w:val="28"/>
          <w:szCs w:val="28"/>
          <w:rtl w:val="true"/>
          <w:lang w:bidi="fa-IR"/>
        </w:rPr>
        <w:t>.</w:t>
      </w:r>
    </w:p>
    <w:p>
      <w:pPr>
        <w:pStyle w:val="Heading3"/>
        <w:numPr>
          <w:ilvl w:val="2"/>
          <w:numId w:val="1"/>
        </w:numPr>
        <w:rPr/>
      </w:pPr>
      <w:bookmarkStart w:id="100" w:name="__RefHeading___Toc603829_1395250215"/>
      <w:bookmarkStart w:id="101" w:name="_Toc38"/>
      <w:bookmarkEnd w:id="100"/>
      <w:r>
        <w:rPr>
          <w:rtl w:val="true"/>
        </w:rPr>
        <w:t>معنای اسم، صفت و ذات</w:t>
      </w:r>
      <w:bookmarkEnd w:id="101"/>
    </w:p>
    <w:p>
      <w:pPr>
        <w:pStyle w:val="Heading4"/>
        <w:numPr>
          <w:ilvl w:val="3"/>
          <w:numId w:val="1"/>
        </w:numPr>
        <w:rPr/>
      </w:pPr>
      <w:bookmarkStart w:id="102" w:name="__RefHeading___Toc603831_1395250215"/>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یکی از مباحث مهمی که توجه نداشتن به آن، موجب به وجود آمدن اختلاف نظرهای فراوانی در بحث اسما و صفات الهی می‌شود، بحث معناشناسی اسم، صفت و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در این بحث دقت کافی انجام بگیرد، برخی از نظریاتی که در بدو نظر، متفاوت و حتی مخالف همدیگر به نظر می‌رسند، به نظر واحدی منتهی شوند و بسیاری از اختلافاتی که ریشه آن‌ها در مسائل لفظی است، حل شود</w:t>
      </w:r>
      <w:r>
        <w:rPr>
          <w:rFonts w:eastAsia="IRNazanin" w:cs="IRNazanin"/>
          <w:color w:val="111111"/>
          <w:sz w:val="28"/>
          <w:szCs w:val="28"/>
          <w:rtl w:val="true"/>
          <w:lang w:bidi="fa-IR"/>
        </w:rPr>
        <w:t>.</w:t>
      </w:r>
    </w:p>
    <w:p>
      <w:pPr>
        <w:pStyle w:val="Heading4"/>
        <w:numPr>
          <w:ilvl w:val="3"/>
          <w:numId w:val="1"/>
        </w:numPr>
        <w:rPr/>
      </w:pPr>
      <w:bookmarkStart w:id="104" w:name="__RefHeading___Toc603833_1395250215"/>
      <w:bookmarkStart w:id="105" w:name="_Toc40"/>
      <w:bookmarkEnd w:id="104"/>
      <w:r>
        <w:rPr>
          <w:rtl w:val="true"/>
        </w:rPr>
        <w:t xml:space="preserve">الف </w:t>
      </w:r>
      <w:r>
        <w:rPr>
          <w:rtl w:val="true"/>
        </w:rPr>
        <w:t xml:space="preserve">) </w:t>
      </w:r>
      <w:r>
        <w:rPr>
          <w:rtl w:val="true"/>
        </w:rPr>
        <w:t>معنای لغوی</w:t>
      </w:r>
      <w:bookmarkEnd w:id="105"/>
    </w:p>
    <w:p>
      <w:pPr>
        <w:pStyle w:val="BookText"/>
        <w:rPr/>
      </w:pPr>
      <w:r>
        <w:rPr>
          <w:rFonts w:ascii="IRNazanin" w:hAnsi="IRNazanin" w:eastAsia="IRNazanin"/>
          <w:color w:val="111111"/>
          <w:sz w:val="28"/>
          <w:sz w:val="28"/>
          <w:szCs w:val="28"/>
          <w:rtl w:val="true"/>
          <w:lang w:bidi="fa-IR"/>
        </w:rPr>
        <w:t xml:space="preserve">ادیبان و لغت‌شناسان عرب، با وجود اختلاف در 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نشانه و علامت مسما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 با این تفاوت که صفت، نشانه و علامتی است که حالت و ویژگی خاصی از موصوف را بیان می‌کند؛ بنابراین اسم، اعم از صفت است و به عبارت دیگر، هر صفتی، اسم است، ولی هر اسمی، صفت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لغت به معنای نفس و حقیقت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هستی و حقیقت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106" w:name="__RefHeading___Toc603835_1395250215"/>
      <w:bookmarkStart w:id="107" w:name="_Toc41"/>
      <w:bookmarkEnd w:id="106"/>
      <w:r>
        <w:rPr>
          <w:rtl w:val="true"/>
        </w:rPr>
        <w:t>ب</w:t>
      </w:r>
      <w:r>
        <w:rPr>
          <w:rtl w:val="true"/>
        </w:rPr>
        <w:t xml:space="preserve">) </w:t>
      </w:r>
      <w:r>
        <w:rPr>
          <w:rtl w:val="true"/>
        </w:rPr>
        <w:t>معنای اصطلاحی</w:t>
      </w:r>
      <w:bookmarkEnd w:id="10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صفت، اسم و ذات، تعاریف متعددی از متکلمان، فلاسفه و عرفا ارائه شده که ذکر همه آن‌ها از حوصله این بحث،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احمدوند،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می‌توان تقریباً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هسته مشترکی از این تعاریف را در هر گروه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لفظی می‌دانند که بر خود ذات، بدون در نظر گرفتن چیز دیگری در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امری می‌دانند که قائم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یا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برخی از احوالات ذات،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متکلمان، مراد از صفت، مفاهیم مشتقی مثل عالِم، قادر و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لغوی آن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دغیم،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خاتمی،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آن را به معنای موجود خارجی‌ای می‌دانند که جوهر و قائم به نفس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اسم را آن چیزی می‌دانند که بر ذات متصف به صفتی، دلالت کند؛ یعنی همان چیزی که متکلمان آن را صفت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صفت را معنایی می‌دانند که ذات، به آن متصف است، اعم از این‌که آن معنا، عین ذات باشد یا غیرذات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در اصطلاح فلاسفه، مبادی مشتقات، مانند علم، قدرت و حیات است که از سنخ عرض در مقابل جوهر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ـ سبحانی،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ذات، از دیدگاه ایشان، هویت و وجود خاص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عرفان نیز حقیقت وجود به طور مطلق و بدون هیچ تعینی، ذات نامیده می‌شود و اگر این ذات با یکی از تعینات و اوصاف ملاحظه شود، اسم است و هم‌چنین صفات، نفس همان تعینات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عرفا، اسم و صفت، به حقیقت خارجی اطلاق می‌شود و آنچه در لفظ، اسم و صفت نامیده می‌شود، اسم اسم و اسم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قیصری،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بحرانی در تعریف صفت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الصفة أمر یعتبره العقل لأمر آخر و لایمکن أن یعقل إلا باعتباره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چیزی است که عقل، آن را برای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می‌کند و تعقل آن، جز به اعتبار موصوف به همراه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ابن‌میثم، شبیه تعریف استادش خواجه‌نصیر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یمکن أن یتصور فإن أمکن تصوره لا مع غیره فهو ذات و إلا فهو 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ـ سبحانی،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که بدون لحاظ غیر، قابل تصور و ادراک باشد، ذات است و اگر قابل تصور نباشد، صفت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دو تعریف، صفت امری است که قائم به موصوف بوده، بدون آن، قابل تعقل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ابن‌میثم از صفت، با تعریف متکلمان تطابق دارد، زیرا همان‌گونه که گذشت، متکلمان مفاهیم مشتق را که عبارت از عالم، قادر، حی و مانند آن باشد، صفات می‌دانند و واضح است که</w:t>
      </w:r>
      <w:bookmarkStart w:id="108" w:name="pg2638_22562"/>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این صفات، بدون تصور ذاتی که متصف به آن‌ها باشد، قابل تصور نخواهند بود؛ به عبارتی دیگر صفات، عرضیاتی هستند که هم در عالم ذهن و تصور و هم در عالم واقع و خارج، متقوّم معروضات خویشند</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طوسی‌ـ سبحانی،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اگر صفت، به معنای مدنظر فلاسفه گرفته شود، تعریف مزبور، صحیح نخواهد بود، زیرا در آن صورت این اشکال مطرح می‌شد که تعریف مزبور، مختص وجود فی‌غیره است، در حالی که دست‌کم برخی از صفات، وجود فی‌نفسه لغیره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تعریف ابن‌میثم به انضمام تعریف مذکور از خواجه‌نصیر، مشخص می‌شود که در نظر او ذات، برخلاف صفت، به تنهایی قابل تصور و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اسم، تعریفی در آثار ابن‌میثم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علتش این باشد که کارکرد این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صفت 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خداوند است و بنا به تصریح روایات، اسم و صفت درباره خداوند به یک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ابن‌میثم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این‌که عقل، چیزی را برای چیز دیگر تصور کند، این نیست که شیء مورد تصور حتماً در عالم خارج و واقع،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توضیح این مطلب،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با این‌که تعقل ماهیت مضاف، در مقایسه با غیرش، ممکن است، اما وجود این مضاف در مقایسه با غیر، فقط در عالم تعقل است نه در عالم خارج و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مذکور، در حقیقت، مبنای اعتقادی محقق بحرانی درباره صفات الهی است که در صفحات بعدی، مورد بحث قرار خواهد گرفت</w:t>
      </w:r>
      <w:r>
        <w:rPr>
          <w:rFonts w:eastAsia="IRNazanin" w:cs="IRNazanin"/>
          <w:color w:val="111111"/>
          <w:sz w:val="28"/>
          <w:szCs w:val="28"/>
          <w:rtl w:val="true"/>
          <w:lang w:bidi="fa-IR"/>
        </w:rPr>
        <w:t>.</w:t>
      </w:r>
    </w:p>
    <w:p>
      <w:pPr>
        <w:pStyle w:val="Heading3"/>
        <w:numPr>
          <w:ilvl w:val="2"/>
          <w:numId w:val="1"/>
        </w:numPr>
        <w:rPr/>
      </w:pPr>
      <w:bookmarkStart w:id="109" w:name="__RefHeading___Toc603837_1395250215"/>
      <w:bookmarkStart w:id="110" w:name="_Toc42"/>
      <w:bookmarkEnd w:id="109"/>
      <w:r>
        <w:rPr>
          <w:rtl w:val="true"/>
        </w:rPr>
        <w:t>تقسیمات صفات از دیدگاه ابن میثم</w:t>
      </w:r>
      <w:bookmarkEnd w:id="110"/>
    </w:p>
    <w:p>
      <w:pPr>
        <w:pStyle w:val="Heading4"/>
        <w:numPr>
          <w:ilvl w:val="3"/>
          <w:numId w:val="1"/>
        </w:numPr>
        <w:rPr/>
      </w:pPr>
      <w:bookmarkStart w:id="111" w:name="__RefHeading___Toc603839_1395250215"/>
      <w:bookmarkStart w:id="112" w:name="_Toc43"/>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ابن‌میثم، صفات را به اعتبار عقل، به سه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اضافیه، حقیقیه و سلبیه</w:t>
      </w:r>
      <w:r>
        <w:rPr>
          <w:rFonts w:eastAsia="IRNazanin" w:cs="IRNazanin"/>
          <w:color w:val="111111"/>
          <w:sz w:val="28"/>
          <w:szCs w:val="28"/>
          <w:rtl w:val="true"/>
          <w:lang w:bidi="fa-IR"/>
        </w:rPr>
        <w:t>.</w:t>
      </w:r>
    </w:p>
    <w:p>
      <w:pPr>
        <w:pStyle w:val="Heading4"/>
        <w:numPr>
          <w:ilvl w:val="3"/>
          <w:numId w:val="1"/>
        </w:numPr>
        <w:rPr/>
      </w:pPr>
      <w:bookmarkStart w:id="113" w:name="__RefHeading___Toc603841_1395250215"/>
      <w:bookmarkStart w:id="114" w:name="_Toc44"/>
      <w:bookmarkEnd w:id="113"/>
      <w:r>
        <w:rPr>
          <w:rtl w:val="true"/>
        </w:rPr>
        <w:t>الف</w:t>
      </w:r>
      <w:r>
        <w:rPr>
          <w:rtl w:val="true"/>
        </w:rPr>
        <w:t xml:space="preserve">) </w:t>
      </w:r>
      <w:r>
        <w:rPr>
          <w:rtl w:val="true"/>
        </w:rPr>
        <w:t>صفات اظافی</w:t>
      </w:r>
      <w:bookmarkEnd w:id="114"/>
    </w:p>
    <w:p>
      <w:pPr>
        <w:pStyle w:val="BookText"/>
        <w:rPr/>
      </w:pPr>
      <w:r>
        <w:rPr>
          <w:rFonts w:ascii="IRNazanin" w:hAnsi="IRNazanin" w:eastAsia="IRNazanin"/>
          <w:color w:val="111111"/>
          <w:sz w:val="28"/>
          <w:sz w:val="28"/>
          <w:szCs w:val="28"/>
          <w:rtl w:val="true"/>
          <w:lang w:bidi="fa-IR"/>
        </w:rPr>
        <w:t>صفات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هستند که درک آن‌ها در رابطه با موصوف، همراه با نسبت شیء خارجی است و در حقیقت، تحقق وجودی صفت، به شیء خارجی وابسته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و رازقیت که درک حقیقت آن‌ها با توجه به مخلوقیت و مرزوقیت است</w:t>
      </w:r>
      <w:r>
        <w:rPr>
          <w:rFonts w:eastAsia="IRNazanin" w:cs="IRNazanin"/>
          <w:color w:val="111111"/>
          <w:sz w:val="28"/>
          <w:szCs w:val="28"/>
          <w:rtl w:val="true"/>
          <w:lang w:bidi="fa-IR"/>
        </w:rPr>
        <w:t>.</w:t>
      </w:r>
    </w:p>
    <w:p>
      <w:pPr>
        <w:pStyle w:val="Heading4"/>
        <w:numPr>
          <w:ilvl w:val="3"/>
          <w:numId w:val="1"/>
        </w:numPr>
        <w:rPr/>
      </w:pPr>
      <w:bookmarkStart w:id="115" w:name="__RefHeading___Toc603843_1395250215"/>
      <w:bookmarkStart w:id="116" w:name="_Toc45"/>
      <w:bookmarkEnd w:id="115"/>
      <w:r>
        <w:rPr>
          <w:rtl w:val="true"/>
        </w:rPr>
        <w:t>ب</w:t>
      </w:r>
      <w:r>
        <w:rPr>
          <w:rtl w:val="true"/>
        </w:rPr>
        <w:t xml:space="preserve">) </w:t>
      </w:r>
      <w:r>
        <w:rPr>
          <w:rtl w:val="true"/>
        </w:rPr>
        <w:t>صفات حقیقی</w:t>
      </w:r>
      <w:bookmarkEnd w:id="11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است که درک ما از آن‌ها، صرف انتساب به موصوف است و این صفات برای موصوف، موجودند؛ مانند این‌که خداوند تعالی حیّ است، زیرا تعقل حیّ برای خداوند، به دلیل صحت انتساب علم و قدرت به ذات حق می‌باشد و اضافه بر درک موصوف، نسبت دیگری وجود ندارد</w:t>
      </w:r>
      <w:r>
        <w:rPr>
          <w:rFonts w:eastAsia="IRNazanin" w:cs="IRNazanin"/>
          <w:color w:val="111111"/>
          <w:sz w:val="28"/>
          <w:szCs w:val="28"/>
          <w:rtl w:val="true"/>
          <w:lang w:bidi="fa-IR"/>
        </w:rPr>
        <w:t>.</w:t>
      </w:r>
      <w:bookmarkStart w:id="117" w:name="pg2638_22564"/>
    </w:p>
    <w:p>
      <w:pPr>
        <w:pStyle w:val="BookText"/>
        <w:rPr/>
      </w:pPr>
      <w:bookmarkEnd w:id="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4"/>
        <w:numPr>
          <w:ilvl w:val="3"/>
          <w:numId w:val="1"/>
        </w:numPr>
        <w:rPr/>
      </w:pPr>
      <w:bookmarkStart w:id="118" w:name="__RefHeading___Toc603845_1395250215"/>
      <w:bookmarkStart w:id="119" w:name="_Toc46"/>
      <w:bookmarkEnd w:id="118"/>
      <w:r>
        <w:rPr>
          <w:rtl w:val="true"/>
        </w:rPr>
        <w:t>ج</w:t>
      </w:r>
      <w:r>
        <w:rPr>
          <w:rtl w:val="true"/>
        </w:rPr>
        <w:t xml:space="preserve">) </w:t>
      </w:r>
      <w:r>
        <w:rPr>
          <w:rtl w:val="true"/>
        </w:rPr>
        <w:t>صفات سلبی</w:t>
      </w:r>
      <w:bookmarkEnd w:id="11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است که درک ما از آن‌ها، صرف انتساب به موصوف است و این صفات برای موصوف، موجود نیستند؛ مانند این که خداوند متعال، جسم، عَرَض و امثال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صفات، اموری‌اند که در غیر ذات خداوند تحقق پیدا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بحرانی درباره چگونگی اتصاف خداوند به این اوصاف سه گانه، بیانی دارد که بعداً ذکر خواهد شد</w:t>
      </w:r>
      <w:r>
        <w:rPr>
          <w:rFonts w:eastAsia="IRNazanin" w:cs="IRNazanin"/>
          <w:color w:val="111111"/>
          <w:sz w:val="28"/>
          <w:szCs w:val="28"/>
          <w:rtl w:val="true"/>
          <w:lang w:bidi="fa-IR"/>
        </w:rPr>
        <w:t>.</w:t>
      </w:r>
    </w:p>
    <w:p>
      <w:pPr>
        <w:pStyle w:val="Heading3"/>
        <w:numPr>
          <w:ilvl w:val="2"/>
          <w:numId w:val="1"/>
        </w:numPr>
        <w:rPr/>
      </w:pPr>
      <w:bookmarkStart w:id="120" w:name="__RefHeading___Toc603847_1395250215"/>
      <w:bookmarkStart w:id="121" w:name="_Toc47"/>
      <w:bookmarkEnd w:id="120"/>
      <w:r>
        <w:rPr>
          <w:rtl w:val="true"/>
        </w:rPr>
        <w:t>تغایر صفت و موصوف</w:t>
      </w:r>
      <w:bookmarkEnd w:id="121"/>
    </w:p>
    <w:p>
      <w:pPr>
        <w:pStyle w:val="BookText"/>
        <w:rPr/>
      </w:pPr>
      <w:r>
        <w:rPr>
          <w:rFonts w:ascii="IRNazanin" w:hAnsi="IRNazanin" w:eastAsia="IRNazanin"/>
          <w:color w:val="111111"/>
          <w:sz w:val="28"/>
          <w:sz w:val="28"/>
          <w:szCs w:val="28"/>
          <w:rtl w:val="true"/>
          <w:lang w:bidi="fa-IR"/>
        </w:rPr>
        <w:t>یکی از سؤالات مهم در باب رابطه صفت و موصوف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صفت می‌تواند، عین موصوف باشد؟ به عبارت دیگر، آیا تغایر بین صفت و موصوف، ضروری است یا نه؟ ابن‌میثم با الهام از سخنان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غیریت صفت و موصوف، قائل است که حالِ صفت شهادت می‌دهد که به موصوف، محتاج است و بدون آن، قیامی ندارد؛ هم‌چنین حالِ موصوف شهادت می‌دهد که بی‌نیاز از صفت بوده، بدون صفت، قیام به 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بیان، این‌چنین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نمی‌تواند خود موصوف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به تغایر صفت و موصوف قائل بوده، عینیت صفت و موصوف را امری محال می‌شمردند، ملارجبعلی تبریزی و قاضی سعید قمی بودند؛ البته ایشان این مسئله را حتی درباره واجب هم صحیح نمی‌دانستند و به سبب همین عقیده، عینیت صفات خداوند با ذات او را قبول نداشتند و چه به نحو زیادت و چه به نحو عینیت، خداوند را فاقد صفات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قاضی‌سعید،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همان‌گونه که ذکر خواهد شد، ابن‌میثم با وجود اعتقاد به تغایر صفت و موصوف، عینیت صفات و ذات را درباره خداوند می‌پذیرد؛ هرچند در تبیین این مسئله، شیوه‌ای خاص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می‌رسد، عبارت مزبور او درباره تغایر صفت و موصوف، به عنوان معقول اولی بوده و او خداوند را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صفت بر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متصف به صفات نمی‌داند</w:t>
      </w:r>
      <w:r>
        <w:rPr>
          <w:rFonts w:eastAsia="IRNazanin" w:cs="IRNazanin"/>
          <w:color w:val="111111"/>
          <w:sz w:val="28"/>
          <w:szCs w:val="28"/>
          <w:rtl w:val="true"/>
          <w:lang w:bidi="fa-IR"/>
        </w:rPr>
        <w:t>.</w:t>
      </w:r>
    </w:p>
    <w:p>
      <w:pPr>
        <w:pStyle w:val="Heading3"/>
        <w:numPr>
          <w:ilvl w:val="2"/>
          <w:numId w:val="1"/>
        </w:numPr>
        <w:rPr/>
      </w:pPr>
      <w:bookmarkStart w:id="122" w:name="__RefHeading___Toc603849_1395250215"/>
      <w:bookmarkStart w:id="123" w:name="_Toc48"/>
      <w:bookmarkEnd w:id="122"/>
      <w:r>
        <w:rPr>
          <w:rtl w:val="true"/>
        </w:rPr>
        <w:t>دیدگاههای گوناگون درباره رابطه ذات و صفات الهی</w:t>
      </w:r>
      <w:bookmarkEnd w:id="123"/>
    </w:p>
    <w:p>
      <w:pPr>
        <w:pStyle w:val="Heading4"/>
        <w:numPr>
          <w:ilvl w:val="3"/>
          <w:numId w:val="1"/>
        </w:numPr>
        <w:rPr/>
      </w:pPr>
      <w:bookmarkStart w:id="124" w:name="__RefHeading___Toc603851_1395250215"/>
      <w:bookmarkStart w:id="125" w:name="_Toc49"/>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درباره رابطه ذات و صفات الهی، چند دیدگاه معروف بیان شده است</w:t>
      </w:r>
      <w:r>
        <w:rPr>
          <w:rFonts w:eastAsia="IRNazanin" w:cs="IRNazanin"/>
          <w:color w:val="111111"/>
          <w:sz w:val="28"/>
          <w:szCs w:val="28"/>
          <w:rtl w:val="true"/>
          <w:lang w:bidi="fa-IR"/>
        </w:rPr>
        <w:t>:</w:t>
      </w:r>
    </w:p>
    <w:p>
      <w:pPr>
        <w:pStyle w:val="Heading4"/>
        <w:numPr>
          <w:ilvl w:val="3"/>
          <w:numId w:val="1"/>
        </w:numPr>
        <w:rPr/>
      </w:pPr>
      <w:bookmarkStart w:id="126" w:name="__RefHeading___Toc603853_1395250215"/>
      <w:bookmarkStart w:id="127" w:name="_Toc50"/>
      <w:bookmarkEnd w:id="126"/>
      <w:r>
        <w:rPr>
          <w:rtl w:val="true"/>
        </w:rPr>
        <w:t>الف</w:t>
      </w:r>
      <w:r>
        <w:rPr>
          <w:rtl w:val="true"/>
        </w:rPr>
        <w:t xml:space="preserve">) </w:t>
      </w:r>
      <w:r>
        <w:rPr>
          <w:rtl w:val="true"/>
        </w:rPr>
        <w:t>زیادت صفات بر ذات</w:t>
      </w:r>
      <w:bookmarkEnd w:id="12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صفات بر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دیدگاه از سوی اشاعره،کرامیه و گروهی از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پـذیرفته شـده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طبـق این نظـریه، صفات ذاتی خداوند، مانند صفـات مخلـوقات، متمایـز</w:t>
      </w:r>
      <w:bookmarkStart w:id="128" w:name="pg2638_22566"/>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از ذات اوست و تنها تفاوت آن با صفات مخلوقات، قدیم بودن آن‌هاست</w:t>
      </w:r>
      <w:r>
        <w:rPr>
          <w:rFonts w:eastAsia="IRNazanin" w:cs="IRNazanin"/>
          <w:color w:val="111111"/>
          <w:sz w:val="28"/>
          <w:szCs w:val="28"/>
          <w:rtl w:val="true"/>
          <w:lang w:bidi="fa-IR"/>
        </w:rPr>
        <w:t>.</w:t>
      </w:r>
    </w:p>
    <w:p>
      <w:pPr>
        <w:pStyle w:val="Heading4"/>
        <w:numPr>
          <w:ilvl w:val="3"/>
          <w:numId w:val="1"/>
        </w:numPr>
        <w:rPr/>
      </w:pPr>
      <w:bookmarkStart w:id="129" w:name="__RefHeading___Toc603855_1395250215"/>
      <w:bookmarkStart w:id="130" w:name="_Toc51"/>
      <w:bookmarkEnd w:id="129"/>
      <w:r>
        <w:rPr>
          <w:rtl w:val="true"/>
        </w:rPr>
        <w:t>ب</w:t>
      </w:r>
      <w:r>
        <w:rPr>
          <w:rtl w:val="true"/>
        </w:rPr>
        <w:t xml:space="preserve">) </w:t>
      </w:r>
      <w:r>
        <w:rPr>
          <w:rtl w:val="true"/>
        </w:rPr>
        <w:t>نیابت ذات از صفات</w:t>
      </w:r>
      <w:bookmarkEnd w:id="1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ذات از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مربوط به ابو‌علی جبّائی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خداوند، فاقد اوصاف کمالی، مانند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ذات حق‌تعالی به گونه‌ای است که از همه صفات کمالی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قدرت،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می‌کند؛ البته این نظریه به شکل دیگری هم که اشکالی بر آن وارد نباشد، قابل تبیین است که در مباحث بعدی ذکر خواهد شد</w:t>
      </w:r>
      <w:r>
        <w:rPr>
          <w:rFonts w:eastAsia="IRNazanin" w:cs="IRNazanin"/>
          <w:color w:val="111111"/>
          <w:sz w:val="28"/>
          <w:szCs w:val="28"/>
          <w:rtl w:val="true"/>
          <w:lang w:bidi="fa-IR"/>
        </w:rPr>
        <w:t>.</w:t>
      </w:r>
    </w:p>
    <w:p>
      <w:pPr>
        <w:pStyle w:val="Heading4"/>
        <w:numPr>
          <w:ilvl w:val="3"/>
          <w:numId w:val="1"/>
        </w:numPr>
        <w:rPr/>
      </w:pPr>
      <w:bookmarkStart w:id="131" w:name="__RefHeading___Toc603857_1395250215"/>
      <w:bookmarkStart w:id="132" w:name="_Toc52"/>
      <w:bookmarkEnd w:id="131"/>
      <w:r>
        <w:rPr>
          <w:rtl w:val="true"/>
        </w:rPr>
        <w:t xml:space="preserve">ج </w:t>
      </w:r>
      <w:r>
        <w:rPr>
          <w:rtl w:val="true"/>
        </w:rPr>
        <w:t>)</w:t>
      </w:r>
      <w:r>
        <w:rPr>
          <w:rtl w:val="true"/>
        </w:rPr>
        <w:t>نظریه حال</w:t>
      </w:r>
      <w:bookmarkEnd w:id="1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مربوط به ابوهاشم جبّایی است که برخلاف پدرش، صفات الهی را پذیرفت، اما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که می‌خواست نظری میان دو دیدگاه انکار صفات و اثبات صفات ارائه دهد، قائل شد که احوال، صفاتی‌اند که نه موجودند و نه معدوم، نه معلومند و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حال، به تنهایی قابل شناخت نیست و به همراه ذات،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133" w:name="__RefHeading___Toc603859_1395250215"/>
      <w:bookmarkStart w:id="134" w:name="_Toc53"/>
      <w:bookmarkEnd w:id="133"/>
      <w:r>
        <w:rPr>
          <w:rtl w:val="true"/>
        </w:rPr>
        <w:t>د</w:t>
      </w:r>
      <w:r>
        <w:rPr>
          <w:rtl w:val="true"/>
        </w:rPr>
        <w:t>)</w:t>
      </w:r>
      <w:r>
        <w:rPr>
          <w:rtl w:val="true"/>
        </w:rPr>
        <w:t>عینیت صفات با ذات</w:t>
      </w:r>
      <w:bookmarkEnd w:id="13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صفات با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نظر متکلمان امامیه، معتزله متأخر و نیز بسیاری از فلاسفه و عرفای مسلمان،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ذات و اوصاف الهی از نظر مفهوم، مغایرند، اما از جهت مصداق و وجود خارجی، وحدت و عینیت دارند</w:t>
      </w:r>
      <w:r>
        <w:rPr>
          <w:rFonts w:eastAsia="IRNazanin" w:cs="IRNazanin"/>
          <w:color w:val="111111"/>
          <w:sz w:val="28"/>
          <w:szCs w:val="28"/>
          <w:rtl w:val="true"/>
          <w:lang w:bidi="fa-IR"/>
        </w:rPr>
        <w:t>.</w:t>
      </w:r>
    </w:p>
    <w:p>
      <w:pPr>
        <w:pStyle w:val="Heading3"/>
        <w:numPr>
          <w:ilvl w:val="2"/>
          <w:numId w:val="1"/>
        </w:numPr>
        <w:rPr/>
      </w:pPr>
      <w:bookmarkStart w:id="135" w:name="__RefHeading___Toc603861_1395250215"/>
      <w:bookmarkStart w:id="136" w:name="_Toc54"/>
      <w:bookmarkEnd w:id="135"/>
      <w:r>
        <w:rPr>
          <w:rtl w:val="true"/>
        </w:rPr>
        <w:t>دیدگاه ابن میثم درباره رابطه ذات الهی با صفاتش</w:t>
      </w:r>
      <w:bookmarkEnd w:id="136"/>
    </w:p>
    <w:p>
      <w:pPr>
        <w:pStyle w:val="Heading4"/>
        <w:numPr>
          <w:ilvl w:val="3"/>
          <w:numId w:val="1"/>
        </w:numPr>
        <w:rPr/>
      </w:pPr>
      <w:bookmarkStart w:id="137" w:name="__RefHeading___Toc603863_1395250215"/>
      <w:bookmarkStart w:id="138" w:name="_Toc55"/>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ابن‌میثم عقیده خود را در این مورد، در جاهای مختلفی از کتاب شرح نهج‌البلاغه و نیز کتاب قواعد‌المرام، به دو بیان ذکر کرده و توضیح داده است که در ادامه به آن‌ها اشاره می‌شود</w:t>
      </w:r>
      <w:r>
        <w:rPr>
          <w:rFonts w:eastAsia="IRNazanin" w:cs="IRNazanin"/>
          <w:color w:val="111111"/>
          <w:sz w:val="28"/>
          <w:szCs w:val="28"/>
          <w:rtl w:val="true"/>
          <w:lang w:bidi="fa-IR"/>
        </w:rPr>
        <w:t>.</w:t>
      </w:r>
    </w:p>
    <w:p>
      <w:pPr>
        <w:pStyle w:val="Heading4"/>
        <w:numPr>
          <w:ilvl w:val="3"/>
          <w:numId w:val="1"/>
        </w:numPr>
        <w:rPr/>
      </w:pPr>
      <w:bookmarkStart w:id="139" w:name="__RefHeading___Toc603865_1395250215"/>
      <w:bookmarkStart w:id="140" w:name="_Toc56"/>
      <w:bookmarkEnd w:id="139"/>
      <w:r>
        <w:rPr>
          <w:rtl w:val="true"/>
        </w:rPr>
        <w:t>الف</w:t>
      </w:r>
      <w:r>
        <w:rPr>
          <w:rtl w:val="true"/>
        </w:rPr>
        <w:t xml:space="preserve">) </w:t>
      </w:r>
      <w:r>
        <w:rPr>
          <w:rtl w:val="true"/>
        </w:rPr>
        <w:t>صفات خداوند، عین ذات او هستند</w:t>
      </w:r>
      <w:bookmarkEnd w:id="140"/>
    </w:p>
    <w:p>
      <w:pPr>
        <w:pStyle w:val="BookText"/>
        <w:rPr/>
      </w:pPr>
      <w:r>
        <w:rPr>
          <w:rFonts w:ascii="IRNazanin" w:hAnsi="IRNazanin" w:eastAsia="IRNazanin"/>
          <w:color w:val="111111"/>
          <w:sz w:val="28"/>
          <w:sz w:val="28"/>
          <w:szCs w:val="28"/>
          <w:rtl w:val="true"/>
          <w:lang w:bidi="fa-IR"/>
        </w:rPr>
        <w:t xml:space="preserve">محقق بحرانی اختلافی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صفات و هم‌چنین هر یک از صفات نسبت به هم دارند، ناشی از عقل‌های ناتوان و محدود انسان‌ها می‌داند که آن‌ها را در مقایسه با مخلوقات،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خداوند، هیچ صفت زاید بر ذات ندارد و ذات، علم، قدرت و اراده او، شیء واحدی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ابن‌میثم اوصاف الهی را به اعتبار عقل، متغایر می‌داند، ولی قائل است که همه این اوصاف، به اعتبار خارج و واقع، عین حقیقت خداوندند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عینیت صفات خداوند با ذاتش، دو دلیل، ذکر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صفات الهی، در خارج، زاید بر ذات او باشد، یا واجب است و یا ممکن؛ اوّلی به خاطر تعدد واجب‌الوجود،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نیز باطل است، زیرا اگر ممکن باشد،</w:t>
      </w:r>
      <w:bookmarkStart w:id="141" w:name="pg2638_22568"/>
    </w:p>
    <w:p>
      <w:pPr>
        <w:pStyle w:val="BookText"/>
        <w:rPr/>
      </w:pPr>
      <w:bookmarkEnd w:id="1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نیازمند مؤثر می‌شود و این مؤثر یا همان ذات است و یا غیر آن ذات؛ حال اگر مؤثر، همان ذات باشد، یا در مؤثریت آن ذات بر وجود ممکنات، همه صفات شایسته او معتبر است و یا معتبر نیست؛ در صورت اول، تقدم ذات با همه صفات بر همه صفات، نتیجه می‌شود که محال است، و در صورت دوم، آن صفات، زیادی می‌شوند و خداوند از آن‌ها بی‌نیاز می‌شود 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مؤثر، غیر آن ذات باشد، ذات خداوند در تحقق صفاتش، نیازمند به غیر می‌شود که این،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یا عبارت از ذات بدون صفات شایسته الوهیت است و یا ذات به همراه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بحرانی، احتمال اول را باطل می‌شمارد و دلیل آن را این‌گونه بیان می‌کند که ذات بدون این صفات، صلاحیت و شایستگی الوهیت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نیز در نظر او باطل است، زیرا در این صورت، واجب‌الوجود عبارت از کثرت اموری می‌شود که یک‌جا جمع شده‌اند و موجب مرکب بودن و در نتیجه، ممکن بودن وی می‌شود که خلاف فرض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142" w:name="__RefHeading___Toc603867_1395250215"/>
      <w:bookmarkStart w:id="143" w:name="_Toc57"/>
      <w:bookmarkEnd w:id="142"/>
      <w:r>
        <w:rPr>
          <w:rtl w:val="true"/>
        </w:rPr>
        <w:t>ب</w:t>
      </w:r>
      <w:r>
        <w:rPr>
          <w:rtl w:val="true"/>
        </w:rPr>
        <w:t xml:space="preserve">) </w:t>
      </w:r>
      <w:r>
        <w:rPr>
          <w:rtl w:val="true"/>
        </w:rPr>
        <w:t>اوصاف الهی ، اعتبارات عقلی هستند</w:t>
      </w:r>
      <w:bookmarkEnd w:id="143"/>
    </w:p>
    <w:p>
      <w:pPr>
        <w:pStyle w:val="BookText"/>
        <w:rPr/>
      </w:pPr>
      <w:r>
        <w:rPr>
          <w:rFonts w:ascii="IRNazanin" w:hAnsi="IRNazanin" w:eastAsia="IRNazanin"/>
          <w:color w:val="111111"/>
          <w:sz w:val="28"/>
          <w:sz w:val="28"/>
          <w:szCs w:val="28"/>
          <w:rtl w:val="true"/>
          <w:lang w:bidi="fa-IR"/>
        </w:rPr>
        <w:t xml:space="preserve">ابن‌میثم پس از ذکر اقسام صفات، لازمه اتصاف خداوند به این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 حقیقی و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ترکیب و کثرت در ذات نمی‌داند، زیرا معتقد است آن‌ها، اعتبارات عقلی هستند که عقول ما هنگام مقایسه با غیر، آن‌ها را ایجاد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جای دیگر تصریح می‌کند که هیچ‌کدام از صفات اعتبارشده برای خداوند، در عالم واقع، زاید بر ذات او نیستند، اما این زیادت به حسب اعتبار عقل، هنگام مقایسه ذات با غیر،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ابن‌میثم از اعتبارات عقلی، همان معقولات ثانیه فلسفی است که منشأ انتزاع آن‌ها خارج است، اما مصداق مستقلی در عالم خارج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مفاهیم، این است که بدون مقایسه و تحلیل عقلی به وجود نمی‌آیند؛ مانند مفهوم علت و معلول که در مقایسه آتش با حرارت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مصباح‌یزدی،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طبق تعریف ابن‌میثم، صفات الهی از معقولات ثانیه فلسفی هستند که محصول انتزاعِ ذهن از عالم خارج بوده، مابازای مستقل خارجی ندارند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ابن‌میثم، خداوند در عالم خارج و واقع، ذات واحد و بسیطی است که هیچ‌گونه ترکیب و کثرتی در او راه ندارد و وقتی خداوند به صفاتی متصف می شود، به این معنا نیست که</w:t>
      </w:r>
      <w:bookmarkStart w:id="144" w:name="pg2638_22570"/>
    </w:p>
    <w:p>
      <w:pPr>
        <w:pStyle w:val="BookText"/>
        <w:rPr/>
      </w:pPr>
      <w:bookmarkEnd w:id="1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این صفات، حقیقت خارجی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این عقل است که وقتی ذات مقدس خداوند را با مخلوقات و آثارش مقایسه می‌کند، این اوصاف را برای او استنباط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نمونه، وقتی ذات خداوند با عجایب، لطایف و عظمت خلقت مقایسه می‌گردد، صفت قادر بودن و عالم بودن، توسط عقل برای ذات خداوند انتزاع می‌شود؛ البته این انتزاع به معنای وجود خارجی و مستقل این صفات نیست، بلکه در عالم خارج، ذات واحد بدون هیچ‌گونه کثرتی وجود دارد و این اوصاف، از مقایسه ذات خداوند با مخلوقات، اعتبار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ذاتی که در این‌جا مطرح می‌شود، به معنای وجود بسیطی است که مصداق همه صفات و کمالات است، نه ذاتی که در مقابل صفت، استعمال می‌شود و خالی از آن است</w:t>
      </w:r>
      <w:r>
        <w:rPr>
          <w:rFonts w:eastAsia="IRNazanin" w:cs="IRNazanin"/>
          <w:color w:val="111111"/>
          <w:sz w:val="28"/>
          <w:szCs w:val="28"/>
          <w:rtl w:val="true"/>
          <w:lang w:bidi="fa-IR"/>
        </w:rPr>
        <w:t>.</w:t>
      </w:r>
    </w:p>
    <w:p>
      <w:pPr>
        <w:pStyle w:val="Heading3"/>
        <w:numPr>
          <w:ilvl w:val="2"/>
          <w:numId w:val="1"/>
        </w:numPr>
        <w:rPr/>
      </w:pPr>
      <w:bookmarkStart w:id="145" w:name="__RefHeading___Toc603869_1395250215"/>
      <w:bookmarkStart w:id="146" w:name="_Toc58"/>
      <w:bookmarkEnd w:id="145"/>
      <w:r>
        <w:rPr>
          <w:rtl w:val="true"/>
        </w:rPr>
        <w:t>چرایی اعتبارات</w:t>
      </w:r>
      <w:bookmarkEnd w:id="146"/>
    </w:p>
    <w:p>
      <w:pPr>
        <w:pStyle w:val="BookText"/>
        <w:rPr/>
      </w:pPr>
      <w:r>
        <w:rPr>
          <w:rFonts w:ascii="IRNazanin" w:hAnsi="IRNazanin" w:eastAsia="IRNazanin"/>
          <w:color w:val="111111"/>
          <w:sz w:val="28"/>
          <w:sz w:val="28"/>
          <w:szCs w:val="28"/>
          <w:rtl w:val="true"/>
          <w:lang w:bidi="fa-IR"/>
        </w:rPr>
        <w:t>یکی از پرسش‌هایی که پس از ارائه نظر ابن‌میثم به ذهن خطور می‌کند، درباره علت و ضرورت اعتبار کردن صفات الهی توسط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بر مقایسه وجود خداوند متعال با غیرش، توسط عقول انسان‌ها وجود دارد؟ اعتباراتی که حاصل این مقایسه بوده و صفات الهی خوانده می‌شوند، چه فایده‌ای دارند؟</w:t>
      </w:r>
    </w:p>
    <w:p>
      <w:pPr>
        <w:pStyle w:val="BookText"/>
        <w:rPr/>
      </w:pPr>
      <w:r>
        <w:rPr>
          <w:rFonts w:ascii="IRNazanin" w:hAnsi="IRNazanin" w:eastAsia="IRNazanin"/>
          <w:color w:val="111111"/>
          <w:sz w:val="28"/>
          <w:sz w:val="28"/>
          <w:szCs w:val="28"/>
          <w:rtl w:val="true"/>
          <w:lang w:bidi="fa-IR"/>
        </w:rPr>
        <w:t>در پاسخ به این سؤال گفته می‌شود که در سیر معرفت عقلیِ پروردگار، ابتدا با براهین عقلی اصل وجود خداوند اثبات می‌شود و سپس عقولِ محدود انسان‌ها، عجز خود را در معرفت به این ذات بسیط و لایتناهی اعلام می‌دارند؛ در نهایت تنها راهی که برای معرفت عقلی خداوند باقی می‌ماند، معرفت به صفات و ویژگی‌های اوست که از طریق مشاهده آثار، افعال و نیز مقایسه او با غیرش، حاصل می‌شود که نتیجه آن، اعتبار کردن صفاتی برای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ابن‌میثم معتقد است، عقول انسان‌ها به خاطر محدودیت و هم‌چنین ناتوانی از درک کنه ذات پروردگار، در ابتدای مسیر معرفت، راهی جز همین اوصاف اعتباری که توسط عقل در مقایسه ذات خدا با غیر ایجاد می‌شود و عقل، آن‌ها را برای ذات، لازم و ضروری می‌شمارد،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درجات بالاتر که همراه با کشف و شهود است، این معرفت می‌تواند بیشتر شود که در بحث‌های بعدی به آن اشاره خواهد شد</w:t>
      </w:r>
      <w:r>
        <w:rPr>
          <w:rFonts w:eastAsia="IRNazanin" w:cs="IRNazanin"/>
          <w:color w:val="111111"/>
          <w:sz w:val="28"/>
          <w:szCs w:val="28"/>
          <w:rtl w:val="true"/>
          <w:lang w:bidi="fa-IR"/>
        </w:rPr>
        <w:t>.</w:t>
      </w:r>
    </w:p>
    <w:p>
      <w:pPr>
        <w:pStyle w:val="Heading3"/>
        <w:numPr>
          <w:ilvl w:val="2"/>
          <w:numId w:val="1"/>
        </w:numPr>
        <w:rPr/>
      </w:pPr>
      <w:bookmarkStart w:id="147" w:name="__RefHeading___Toc603871_1395250215"/>
      <w:bookmarkStart w:id="148" w:name="_Toc59"/>
      <w:bookmarkEnd w:id="147"/>
      <w:r>
        <w:rPr>
          <w:rtl w:val="true"/>
        </w:rPr>
        <w:t>برسی اشکالات وارده بر اعتباری بودن صفات و بیان پاسخها</w:t>
      </w:r>
      <w:bookmarkEnd w:id="148"/>
    </w:p>
    <w:p>
      <w:pPr>
        <w:pStyle w:val="Heading4"/>
        <w:numPr>
          <w:ilvl w:val="3"/>
          <w:numId w:val="1"/>
        </w:numPr>
        <w:rPr/>
      </w:pPr>
      <w:bookmarkStart w:id="149" w:name="__RefHeading___Toc603873_1395250215"/>
      <w:bookmarkStart w:id="150" w:name="_Toc60"/>
      <w:bookmarkEnd w:id="149"/>
      <w:r>
        <w:rPr>
          <w:rtl w:val="true"/>
        </w:rPr>
        <w:t>نقدها</w:t>
      </w:r>
      <w:bookmarkEnd w:id="150"/>
    </w:p>
    <w:p>
      <w:pPr>
        <w:pStyle w:val="Heading5"/>
        <w:numPr>
          <w:ilvl w:val="4"/>
          <w:numId w:val="1"/>
        </w:numPr>
        <w:rPr/>
      </w:pPr>
      <w:bookmarkStart w:id="151" w:name="__RefHeading___Toc603875_1395250215"/>
      <w:bookmarkStart w:id="152" w:name="_Toc61"/>
      <w:bookmarkEnd w:id="151"/>
      <w:r>
        <w:rPr>
          <w:rtl w:val="true"/>
        </w:rPr>
        <w:t>اشاره</w:t>
      </w:r>
      <w:bookmarkEnd w:id="1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 اساسی که متکلمان و فیلسوفان بر اعتباری بودن صفات وارد کرده‌اند، این است که قائل شدن به اعتباری بودن صفات، به نفی صفات از ذات و خالی شدن آن از کمالات</w:t>
      </w:r>
      <w:bookmarkStart w:id="153" w:name="pg2638_22573"/>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منجر می‌شود؛ در حالی که آن، به تصریح عقل،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نقدها اشاره می‌شود</w:t>
      </w:r>
      <w:r>
        <w:rPr>
          <w:rFonts w:eastAsia="IRNazanin" w:cs="IRNazanin"/>
          <w:color w:val="111111"/>
          <w:sz w:val="28"/>
          <w:szCs w:val="28"/>
          <w:rtl w:val="true"/>
          <w:lang w:bidi="fa-IR"/>
        </w:rPr>
        <w:t>:</w:t>
      </w:r>
    </w:p>
    <w:p>
      <w:pPr>
        <w:pStyle w:val="Heading5"/>
        <w:numPr>
          <w:ilvl w:val="4"/>
          <w:numId w:val="1"/>
        </w:numPr>
        <w:rPr/>
      </w:pPr>
      <w:bookmarkStart w:id="154" w:name="__RefHeading___Toc603877_1395250215"/>
      <w:bookmarkStart w:id="155" w:name="_Toc62"/>
      <w:bookmarkEnd w:id="154"/>
      <w:r>
        <w:rPr>
          <w:rtl w:val="true"/>
        </w:rPr>
        <w:t>ملاصدرا</w:t>
      </w:r>
      <w:bookmarkEnd w:id="1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پس از نقل قول ابن‌میثم درباره اعتباری بودن صفات الهی، سخن وی را نقد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اعتباراتی نیست که فقط در ذهن، وجود داشته باشند؛ مانند نسب و اضافات محض، بلکه برهان، همان‌گونه که بر وجود خداوند تعالی در خارج دلالت دارد، همین‌طور بر عالِم، قادر، حیّ، سمیع و بصیر بودن او دلالت دارد؛ بنابراین گریزی نیست، جز قائل شدن بر این‌که این مشتقات و مبادی آن‌ها، همگی موجودند به وجود واحد عینی که حق است و هیچ کثرتی در خارج و عقل، بر او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5"/>
        <w:numPr>
          <w:ilvl w:val="4"/>
          <w:numId w:val="1"/>
        </w:numPr>
        <w:rPr/>
      </w:pPr>
      <w:bookmarkStart w:id="156" w:name="__RefHeading___Toc603879_1395250215"/>
      <w:bookmarkStart w:id="157" w:name="_Toc63"/>
      <w:bookmarkEnd w:id="156"/>
      <w:r>
        <w:rPr>
          <w:rtl w:val="true"/>
        </w:rPr>
        <w:t>ملا مهدی نراقی</w:t>
      </w:r>
      <w:bookmarkEnd w:id="1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ملامهدی نراقی نیز پس از نقل قول ابن‌میثم، این‌چنین به نقد او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بنا بر ظاهر، حاصل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در عالم واقع و نفس‌الامر برای خداوند سبحان، صفتی نیست، لذا ما آن را از مذاهب معروفی که عینیت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بدانند، نشمردیم، زیرا عینیت، فرع بر اثبات صفت است و در این مذهب، صفت به هیچ وجهی اثبات نشده است؛ پس آن، موجب تعطیل در حق خداوند سبحان است، درحالی که شرایع انبیا، آن را باطل دانسته و بزرگان حکما به فسادِ آن تصریح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5"/>
        <w:numPr>
          <w:ilvl w:val="4"/>
          <w:numId w:val="1"/>
        </w:numPr>
        <w:rPr/>
      </w:pPr>
      <w:bookmarkStart w:id="158" w:name="__RefHeading___Toc603881_1395250215"/>
      <w:bookmarkStart w:id="159" w:name="_Toc64"/>
      <w:bookmarkEnd w:id="158"/>
      <w:r>
        <w:rPr>
          <w:rtl w:val="true"/>
        </w:rPr>
        <w:t>آیت الله سبحانی</w:t>
      </w:r>
      <w:bookmarkEnd w:id="15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سبحانی در کتاب بحوث فی الملل و النحل، پس از نقل اعتباری بودن صفات که به معتزله نسبت داده شده است، ضمن این‌که این برداشت را ناصحیح و این نسبت به معتزله را ناشی از تفسیر دشمنان آنان دانسته، این‌چنین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مراد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واقعیتی خارجی و بسیط، همه این واقعیات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بساطت و وحدت خویش جمع کرده است؛ نه این‌که صفات، اعتبارات ذهنی باشند و واقعیتی خارجی برای آن‌ها نباشد، زیرا این قول، جز بر نظریه نیابت، منطبق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4"/>
        <w:numPr>
          <w:ilvl w:val="3"/>
          <w:numId w:val="1"/>
        </w:numPr>
        <w:rPr/>
      </w:pPr>
      <w:bookmarkStart w:id="160" w:name="__RefHeading___Toc603883_1395250215"/>
      <w:bookmarkStart w:id="161" w:name="_Toc65"/>
      <w:bookmarkEnd w:id="160"/>
      <w:r>
        <w:rPr>
          <w:rtl w:val="true"/>
        </w:rPr>
        <w:t>پاسخ به نقد ها</w:t>
      </w:r>
      <w:bookmarkEnd w:id="161"/>
    </w:p>
    <w:p>
      <w:pPr>
        <w:pStyle w:val="Heading5"/>
        <w:numPr>
          <w:ilvl w:val="4"/>
          <w:numId w:val="1"/>
        </w:numPr>
        <w:rPr/>
      </w:pPr>
      <w:bookmarkStart w:id="162" w:name="__RefHeading___Toc603885_1395250215"/>
      <w:bookmarkStart w:id="163" w:name="_Toc66"/>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در پاسخ به اشکالات مزبور، به دو مسئله اشاره می‌شود</w:t>
      </w:r>
      <w:r>
        <w:rPr>
          <w:rFonts w:eastAsia="IRNazanin" w:cs="IRNazanin"/>
          <w:color w:val="111111"/>
          <w:sz w:val="28"/>
          <w:szCs w:val="28"/>
          <w:rtl w:val="true"/>
          <w:lang w:bidi="fa-IR"/>
        </w:rPr>
        <w:t>:</w:t>
      </w:r>
    </w:p>
    <w:p>
      <w:pPr>
        <w:pStyle w:val="Heading5"/>
        <w:numPr>
          <w:ilvl w:val="4"/>
          <w:numId w:val="1"/>
        </w:numPr>
        <w:rPr/>
      </w:pPr>
      <w:bookmarkStart w:id="164" w:name="__RefHeading___Toc603887_1395250215"/>
      <w:bookmarkStart w:id="165" w:name="_Toc67"/>
      <w:bookmarkEnd w:id="164"/>
      <w:r>
        <w:rPr>
          <w:rtl w:val="true"/>
        </w:rPr>
        <w:t>الف</w:t>
      </w:r>
      <w:r>
        <w:rPr>
          <w:rtl w:val="true"/>
        </w:rPr>
        <w:t>)</w:t>
      </w:r>
      <w:bookmarkEnd w:id="1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ابن‌میثم از اعتباری بودن صفات، خالی بودن ذات الهی از اوصاف کمالی نیست، بلکه مراد وی نفی صفات زاید بر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هم اشاره شد، منظور ابن‌میثم از اعتباری بودن صفات الهی این است که این صفات، از معقولات ثانیه فلسفی هستند که مابازای مستقل خارجی ندارند؛ یعنی نمی‌توان در عالم خارج، به وجود</w:t>
      </w:r>
      <w:bookmarkStart w:id="166" w:name="pg2638_22575"/>
    </w:p>
    <w:p>
      <w:pPr>
        <w:pStyle w:val="BookText"/>
        <w:rPr/>
      </w:pPr>
      <w:bookmarkEnd w:id="1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صفات، به نحو مستقل از ذات،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کنار هم گذاشتن عبارات ابن‌میثم،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عبارات ابن‌میثم آورده می‌شود تا این ادعا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بحرانی در شرح خطبه اول نهج‌البلاغه، درباره اعتباری بودن صفات الهی این‌چنین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 یلزم من اتّصاف ذاته سبحانه بهذه الأنواع الثلاثة من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اضافی و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و لا کثرة فی ذاته لأنّها اعتبارات عقلیّة تحدثها عقولنا عند المقائسة إلی الغیر و لم‌یلزم من ذلک أن تکون موجودة فی نفس الأمر و إن لم‌تعقل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شده است تا برخی بپندارند نظر وی، خالی بودن ذات الهی از صفات است و این نظر با عینیت ذات و صفات، مغایرت دارد این عبارتِ ابن‌میثم است که در نتیجه اعتباری دانستن صفات، به عدم وجود آن‌ها در نفس‌الامر و عالم خارج قائل شده است؛ اما با مطالعه سایر عبارات ابن‌میثم فهمیده می‌شود که منظور وی، نفی صفات زاید بر ذات است؛ برای نمونه، یک مورد از این عبارات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 صفة له تعالی تزید علی ذاته و کانت ذاته و علمه و قدرته و إرادته شیئا واحدا و إنّما تختلف بحسب اعتبارات تحدثها عقولنا الضعیفة بالقیاس إلی مخلوقاته کما سبق بیانه فی الخطبة الاولی لم‌یبق تفاوت فی أن یستند المخلوقات إلی ذاته أو إلی علمه أو إلی قدرته 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می‌شود، ابن‌میثم با این عبارت، به همان عبارت پیشین اشاره می‌کند که در شرح خطبه اول گفته بود و در این‌جا تصریح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صفة له تعالی تزید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دلالت واضح بر این مسئله دارد که منظور وی از نفی صفات، صفات زاید بر ذات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این‌که، بیان ابن‌میثم در ابتدا و انتهای عبارت مزبور، نشان‌گر این است که او مصداق ذات و صفات را واحد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ابن‌میثم عبارات دیگری در آثارش دارد که به نفی صفات زاید بر ذات خداوند، تصریح می‌کند و صفات الهی را به اعتبار عالم خارج، عین ذات او می‌داند و نیز تغایر صفات و ذات را ناشی از اعتبار عقل در مقام مقایسه ذات الهی با مخلوقات و آثارش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167" w:name="__RefHeading___Toc603889_1395250215"/>
      <w:bookmarkStart w:id="168" w:name="_Toc68"/>
      <w:bookmarkEnd w:id="167"/>
      <w:r>
        <w:rPr>
          <w:rtl w:val="true"/>
        </w:rPr>
        <w:t>ب</w:t>
      </w:r>
      <w:r>
        <w:rPr>
          <w:rtl w:val="true"/>
        </w:rPr>
        <w:t>)</w:t>
      </w:r>
      <w:bookmarkEnd w:id="16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خداوند، وجود خارجی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یک گام، فراتر گذاشته می‌شود و به اشکال اساسی که بر نظریه اعتباری بودن صفات الهی گرفته می‌شود، به شیوه‌ای جدید پاسخ داده می‌شود که این پاسخ، در تفسیر بیان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نفی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صفات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ابتدای مقاله نیز اشاره شد، بسیاری از اختلافات در نظریه‌ها، به الفاظ و معانی آن‌ها در استعمال برمی‌گردد و در این قسمت، ما روی همین مسئله تمرکز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عقلی در گزاره مزبور، روشن می‌شود که در آن، صفات از ذات، مجزا شده‌اند؛ یعنی از وجود بسیط و خارجیِ خداوند، دو مفهوم انتزاع شده است که یکی مفهوم صفات است و دیگری مفهوم ذات، و واضح است که این دو مفهوم، غیر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این است که نمی‌توان هر یک از این دو مفهوم منتزع و متفاوت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زیرا وقتی صفات لحاظ می‌شوند، مفهومی جدا از ذات برای آن‌ها تصور می‌شود و وقتی ذات لحاظ می‌شوند، مفهومی غیر از صفات برای آن تصور می‌شود؛ بنابراین استقلال و غیریت، در ذات این دو معناست و قابل انفکاک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خداوند، وجود خارجی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مشخص است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معنایی است که غیر از ذات است و حتی اگر پس از انتزاع این دو مفهوم از وجود بسیط خداوند،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خداوند، وجود خارجی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گزاره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غیر از صفات و جدای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وجود هر یک از این‌ها را به صورت مستقل اثبات کنیم، باید مشخص کنیم که وجودشان فی‌نفسه است یا فی‌غیره؟</w:t>
      </w:r>
    </w:p>
    <w:p>
      <w:pPr>
        <w:pStyle w:val="BookText"/>
        <w:rPr/>
      </w:pPr>
      <w:r>
        <w:rPr>
          <w:rFonts w:ascii="IRNazanin" w:hAnsi="IRNazanin" w:eastAsia="IRNazanin"/>
          <w:color w:val="111111"/>
          <w:sz w:val="28"/>
          <w:sz w:val="28"/>
          <w:szCs w:val="28"/>
          <w:rtl w:val="true"/>
          <w:lang w:bidi="fa-IR"/>
        </w:rPr>
        <w:t>مسلماً وجود فی‌غیره را نمی توان برای ذات و صفات اثبات کرد، زیرا اگر ذات، وجود فی‌غیره داشته باشد، مستلزم نیاز و امکان خواهد بود، و اگر صفات، وجود فی‌غیره داشته باشد، یا معلول ذاتِ خالی از کمالات و یا معلول چیزی خارج از ذات خواهد بود که همه حالات مذکور، عقلاً محال است؛ اما اگر وجود هر یک از ذات و صفات را فی‌نفسه بدانیم، در این صورت، عینیت ذات با صفات پذیرفته نمی‌شود، زیرا محال است که دو وجود فی‌نفسه، در عین این‌که فی‌نفسه هستند، عین هم 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آنچه گفته شد، این نتیجه به دست می‌آید که اگر گزاره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خداوند، وجود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شود، برابر گزاره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مستقل و زاید بر ذات خداوند، وجود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آن هم گزاره‌ای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درباره ذات هم صادق است؛ یعنی گزاره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خداوند، وجود خارجی ندارد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از لحاظ معنایی برابر گزاره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مستقل و خالی از صفات خداوند،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ثابت شد، هر یک از مفاهیم ذات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صفات را پس از انتزاع از وجود بسیط خداوند، نمی‌توان به صورت مستقل، موجود دانست،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وجود نسبت داده می‌شود، صفاتی است که در خارج، عین ذات است و یا ذاتی است که در خارج، عین صفات است، که هر دو به یک معناست؛ به عبارت دیگر، گزاره صحیح درباره وجود ذات و صفات خداوند، به این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صفاتی که در خارج، عین ذات خداوند هستند،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که در خارج، عین صفات خداوند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دقیق‌تر از این گزاره‌ها،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خداوند در عالم خارج وجود دارد، وجود بسیط و واحدی است که دو مفهوم ذات و صفات، از آن منتزع می‌شوند که به یک اعتبار، به آن ذات گفته می‌شود و به یک اعتبار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پیشین، صفات به معنای زاید بر ذات گرفته شده، در حالی که می‌توان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وجود دارند، که در این صورت، گزاره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خداوند،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ناصحیح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درباره ذات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گزاره‌هایی که ذکر شد، صفات و ذات به معنای مستقل از هم استعمال شده‌اند و این‌چنین نیست که ما آن‌ها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زاید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زاید بر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باشیم، بلکه معنای زیادت، به سبب انتزاع دو مفهوم مختلف از یک وجود بسیط، در ذات آن دو لفظ است؛ یعنی چون دو مفهوم، مختلفند، پس هر یک در مفهوم، زاید بر دیگری است؛ پس اگر هر یک را مستقلاً به وجود نسبت دهیم، در حقیقت وجود زاید بر دیگری را برای آن اثبات کرده‌ایم؛ به همین دلیل است که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صفات از وجود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علت آن را این‌چنین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کُلِّ صِفَةٍ أَنَّهَا غَیْرُ الْمَوْصُوفِ وَ شَهَادَةِ کُلِّ مَوْصُوفٍ أَنَّهُ غَیْرُ الصِّفَة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صفتی که موجود باشد ـ چه در ذهن و چه در عالم خارج ـ گواهی می‌دهد که غیر از موصوف است و هم‌چنین است درباره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عینیت با ذات را در صفت لحاظ کنیم و بعد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وجود خارجی دارند،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ذات، دو مفهوم مغایر هم هستند که با اعتباراتی، از وجود بسیط و واحد خداوند انتزاع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عینیت ذات و صفات گفته می‌شود، در عالم مصداق و خارج است، نه در عالم معنا و مفهوم، و به همین دلیل است که بسیاری از قائلان به عینیت ذات و صفات، آن را با تغایر مفهومی و وحدت مصداقی ذات و صفات تبیین می‌کنند؛ یعنی ذات، به معنای صفت نیست و برعکس؛ اما در مصداق، یکی هستند؛ بنابراین ادعای این‌که معنای عینیت با ذات را می‌توان در معنای صفت لحاظ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ناشی از خلط مفهوم 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گفت، برخلاف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خداوند در عبارات دانشمندان مختلف، به معنای اعم آن نیز استعمال شده است؛ در نتیجه از حیث استعمال، برای لفظ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معنا لحاظ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وجودی که در مقابل صفات بوده، به اعتبار جنبه وجودی و شیئیت خدا بدون لحاظ صفات، استعمال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وجود بسیطی که مصداق همه صفات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مبناست که نظریه نیابت ذات از صفات، به دو شکل تقریر می‌شود که اگر در آن، ذات به معنای اول لحاظ شود، این نظریه به حکم صریح عقل باطل است، ولی اگر به معنای دوم لحاظ شود، یکی از تبیین‌های نظریه عینیت ذات با صفات بوده و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ملامهدی نراقی درباره نظریه نیابت، قائل است اگر مراد از این نظریه این باشد که ذات خداوند، مصداق همه اوصاف کمالی است، این نظریه، مصحح عینیت صفات با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ذکر در آخر این بحث این است که بنا بر آنچه بیان شد، معلوم می‌شود بر عبارات خود اشکال‌کنندگانِ به اعتباری بودن صفات که قائل به عینیت هستند، ایراد وارد است؛ هرچند واضح است که مقصود هر دو گروه،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آنچه گفته شد، این است که ابن‌میثم به عینیت صفات و ذات خداوند معتقد است، اما آن را با اعتباری دانستن صفات الهی تبیین می‌کند که به نظر می‌رسد، دقیق‌ترین تبیین عینیت خارجیِ ذات و صفات است؛ البته شایان ذکر است که غیر از ابن‌میثم، دانشمندان دیگری نیز معتقد به این نظریه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خواجه‌نصیر‌الدین طوسی در شرح مسألة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احمدوند،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عبدالرزاق کاشانی در مجموعه رسائل و مصنفات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عبد‌الجبار در المنیة و الأمل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جامی در الدرة الفاخره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ملاصالح مازندرانی در شرح اصول الکافی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سیدعبدالله شبّر در حق الیقین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اعتباری بودن صفات الهی تصریح کرده‌اند، اما در بین قدما، ابن‌میثم این بحث را بیش از بقیه در کتاب‌هایش منعکس کرده و توضیح داده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با مطالعه نظریات دانشمندان به نظر می‌رسد، هردو نظریه نیابت ذات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اعتباری بودن صفات، مصحح نظریه عینیت ذات با صفات در عالم خارجند و در مجموع، این سه نظریه، هرچند ظاهرشان مخالف یکدیگر به نظر می‌رسد، با دقت در آن‌ها می‌توان دریافت که به یک مقصد منتهی می‌شوند و آن، وجود خداوند در عالم خارج، به صورت وجود بسیط و واحد است که منشأ و مصداق واقعی همه کمالات است؛ اما آنچه</w:t>
      </w:r>
      <w:bookmarkStart w:id="169" w:name="pg2638_22583"/>
    </w:p>
    <w:p>
      <w:pPr>
        <w:pStyle w:val="BookText"/>
        <w:rPr/>
      </w:pPr>
      <w:bookmarkEnd w:id="1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موجب به وجود آمدن این تبیین‌ها شده، معانی مختلفی است که از ذات و صفت،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صفت داشتن خداوند را انکار می‌کنند تصورشان از صفت، چیزی است که موجب ترکیب و نیاز ذات می‌شود و آن‌هایی که صفات را برای خداوند اثبات می‌کنند، آن را به گونه‌ای لحاظ می‌کنند که این محظورات را نداشته باشد؛ نفی‌کنندگان اوصاف الهی، در حقیقت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نفی می‌کنند و معنای آن اوصاف را برای ذات بسیط خداوند اثبات می‌کنند؛ بنابراین، بیشتر اختلافات در این زمینه، اختلافاتی لفظی است نه حقیقی</w:t>
      </w:r>
      <w:r>
        <w:rPr>
          <w:rFonts w:eastAsia="IRNazanin" w:cs="IRNazanin"/>
          <w:color w:val="111111"/>
          <w:sz w:val="28"/>
          <w:szCs w:val="28"/>
          <w:rtl w:val="true"/>
          <w:lang w:bidi="fa-IR"/>
        </w:rPr>
        <w:t>.</w:t>
      </w:r>
    </w:p>
    <w:p>
      <w:pPr>
        <w:pStyle w:val="Heading3"/>
        <w:numPr>
          <w:ilvl w:val="2"/>
          <w:numId w:val="1"/>
        </w:numPr>
        <w:rPr/>
      </w:pPr>
      <w:bookmarkStart w:id="170" w:name="__RefHeading___Toc603891_1395250215"/>
      <w:bookmarkStart w:id="171" w:name="_Toc69"/>
      <w:bookmarkEnd w:id="170"/>
      <w:r>
        <w:rPr>
          <w:rtl w:val="true"/>
        </w:rPr>
        <w:t xml:space="preserve">تحلیل عبارت </w:t>
      </w:r>
      <w:r>
        <w:rPr>
          <w:rtl w:val="true"/>
        </w:rPr>
        <w:t>:«</w:t>
      </w:r>
      <w:r>
        <w:rPr>
          <w:rtl w:val="true"/>
        </w:rPr>
        <w:t>و کمال الاخلاص له نفی الصفات عنه</w:t>
      </w:r>
      <w:r>
        <w:rPr>
          <w:rtl w:val="true"/>
        </w:rPr>
        <w:t xml:space="preserve">» </w:t>
      </w:r>
      <w:r>
        <w:rPr>
          <w:rtl w:val="true"/>
        </w:rPr>
        <w:t>از نظر ابن میثم</w:t>
      </w:r>
      <w:bookmarkEnd w:id="171"/>
    </w:p>
    <w:p>
      <w:pPr>
        <w:pStyle w:val="BookText"/>
        <w:rPr/>
      </w:pPr>
      <w:r>
        <w:rPr>
          <w:rFonts w:ascii="IRNazanin" w:hAnsi="IRNazanin" w:eastAsia="IRNazanin"/>
          <w:color w:val="111111"/>
          <w:sz w:val="28"/>
          <w:sz w:val="28"/>
          <w:szCs w:val="28"/>
          <w:rtl w:val="true"/>
          <w:lang w:bidi="fa-IR"/>
        </w:rPr>
        <w:t>یکی از روایاتی که درباره رابطه ذات و صفات خداوند وارد شده، سخنان 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خطبه اول نهج‌البلاغه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فَمَنْ وَصَفَ اللَّهَ سُبْحَانَهُ فَقَدْ قَرَنَهُ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سر‌آغاز دین، شناخت خداست و کمال شناخت او، تصدیق اوست و کمال تصدیق او، یگانه‌دانستن اوست و کمال یگانه‌دانستن او، اخلاص برای اوست و کمال اخلاص او، نفی صفات از اوست، زیرا هر صفتی گواهی می‌دهد که غیر از موصوف است و هر موصوفی گواهی می‌دهد که غیر از صفت است؛ پس کسی که خدا را وصف کند، او را قرین چیزی کرده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محقق بحرانی،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عبارات مزبور، دالّ بر تشکیکی بودن معرفت خداوند می‌داند، زیرا قابلیت زیادی و نقصان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به این شکل تبیین می‌کند که چون در ذات خداوند متعال، هیچ‌گونه ترکیبی وجود ندارد، لذا معرفت او فقط به حسب رسوم ناقصی خواهد بود که مرکب از سلب‌ها و اضافاتی هستند که عقلاً لازمه ذات خداوند متعال بوده، متناهی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ابن‌میثم معرفت بر اساس این سلب‌ها و اضافات نامتناهی را متوقف به حد واحدی نمی‌داند، بلکه آن را به حسب زیادی، نقصان، نهان و آشکار شدنشان، متفاوت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ابن‌میثم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عالم خارج و واقع می‌داند و با الهام از سخن 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کمال اخلاص در معرفت را در این می‌داند که انسان در عالم خارج، برای خداوند هیچ ترکیب و تکثری ـ حتی ترکیب و تکثر ذات و صفات ـ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بحرانی رسیدن به این معرفت را نهایت عرفان و سرانجام سعی عارف از هر حرکت حسی و عقلی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می‌داند و آن را مقامی می‌خواند که چشمان تیزبین از درک آن فرومانده، افکار بلند از تحقیق آن درمانده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ابن‌میثم پس از بیان مزبور، درباره نفی صفات از ذات مقدس پروردگار، دو اشکال مطرح‌شده را ذکر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 است از اوصاف الهی، ولی لازمه بیان مزبور، عدم توصیف خدا به این صفات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کلام 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لصفته حدّ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اثبات صفت برای خدا تصریح شده و لازمه بیان مزبور، وجود تناقض در کلام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ابن‌میثم پس از ذکر اشکالات مزبور، چند نمونه از نظریاتی را که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مصون ماندن از اشکالات مزبور ارائه شده است، بیان می‌کند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نفی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اشعری قائل بود که برای خداوند، معانی‌ای است که قائم به ذاتش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اراده، حیات، کلام، سمع و بصر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نفی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معتقد بود که برای خدا، احوالی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عالمیت، قادریت، مریدیت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نفی صفات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آخر خطبه و نیز در جاهای دیگر، به همین مطلب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بحرانی در پاسخ به اشکالات مزبور، ضمن تأکید بر نظریه خود مبنی بر این‌که صفات، اعتبارات عقلی ما در مقایسه ذات حق با غیر اوست و لازمه آن، ترکیب و کثرت در ذات خداوند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توصیفاتی که در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همین اعتبارات اشاره دارد، برای این است که توحید و تنزیه خداوند در همه طبقات مردم، عمومیت پیدا کند، زیرا عقول مردم در مراتب گوناگونی هستند و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بحرانی، کمال اخلاص در معرفت را که 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ذکر می‌کند، نهایت چیزی می‌داند که قوای بشری هنگام غرق شدن در انوار کبریای الهی به آن می‌رسند و آن، ملاحظه خدا بدون در نظر گرفتن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معرفت خدا با لحاظ صفات را درجه پایین‌تری از اخلاص می‌داند و قائل است کسی که در این درجه از معرفت قرار گرفته است، ممکن نیست بدون صفات ـ که همان اعتبارات مذکور است ـ به خداوند، معرفت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ابن‌میثم در جایی دیگر به همین اختلاف مرتبه معرفتی اشاره می‌کند و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عبد به سمت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مقام صفت و مقام ذات یاد می‌کند و مقام ذات را در مرتبه‌ای بالاتر از مقام صفات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bookmarkStart w:id="172" w:name="pg2638_22588"/>
    </w:p>
    <w:p>
      <w:pPr>
        <w:pStyle w:val="BookText"/>
        <w:rPr/>
      </w:pPr>
      <w:bookmarkEnd w:id="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3"/>
        <w:numPr>
          <w:ilvl w:val="2"/>
          <w:numId w:val="1"/>
        </w:numPr>
        <w:rPr/>
      </w:pPr>
      <w:bookmarkStart w:id="173" w:name="__RefHeading___Toc603893_1395250215"/>
      <w:bookmarkStart w:id="174" w:name="_Toc70"/>
      <w:bookmarkEnd w:id="173"/>
      <w:r>
        <w:rPr>
          <w:rtl w:val="true"/>
        </w:rPr>
        <w:t>نتیجه گیری</w:t>
      </w:r>
      <w:bookmarkEnd w:id="174"/>
    </w:p>
    <w:p>
      <w:pPr>
        <w:pStyle w:val="BookText"/>
        <w:rPr/>
      </w:pPr>
      <w:r>
        <w:rPr>
          <w:rFonts w:ascii="IRNazanin" w:hAnsi="IRNazanin" w:eastAsia="IRNazanin"/>
          <w:color w:val="111111"/>
          <w:sz w:val="28"/>
          <w:sz w:val="28"/>
          <w:szCs w:val="28"/>
          <w:rtl w:val="true"/>
          <w:lang w:bidi="fa-IR"/>
        </w:rPr>
        <w:t>ابن‌میثم بحرانی درباره رابطه ذات و صفات الهی به نظریه عینیت قائل است، اما آن را با اعتباری بودن صفات الهی تبیین می‌کند که طبق آن، چند نتیجه مهم در بحث معرفت به ذات و صفات الهی از حیث وجودشناسی،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خداوند، وجودی بسیط و واحد است و اتصاف او به اوصاف، موجب تکثر و ترکیب در ذات او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اعتباراتی هستند که در مقام مقایسه با غیر برای او لحاظ می‌شوند و این صفات، وجود مستقل خارجی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اخبار دالّ بر اثبات صفات برای ذات خداوند و احادیث دالّ بر نفی صفات از او، هیچ تناقضی با یکدیگر ندارند، بلکه هر کدام ناظر به یک بُعد معرفتی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متعال با لحاظ صفات، برای عموم مردم و برای ابتدای مسیر معرفت، مناسب است، اما اوج معرفت و کمال اخلاص در معرفت خداوند، در نفی صفات از ذات واحد و بسیط او، در عالم خارج و لحاظ خداوند بدون ملاحظه چیز دیگر بهمراه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ابن‌میثم وصول به این معرفت را نهایت عرفان وغایت سعی عارف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باید گفت، قول به اعتباری بودن صفات الهی در آثار عرفای اسلامی، به‌خصوص محیی‌الدین ابن‌عربی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ابن‌عربی،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تبیین ابن‌عربی با تبیین ابن‌میثم یکی است یا نه، و این‌که آیا بین این دو تبیین می‌توان وجوه افتراقی یافت یا خیر؟ نیازمند تحقیق و پژوهشی مجزّاست</w:t>
      </w:r>
      <w:r>
        <w:rPr>
          <w:rFonts w:eastAsia="IRNazanin" w:cs="IRNazanin"/>
          <w:color w:val="111111"/>
          <w:sz w:val="28"/>
          <w:szCs w:val="28"/>
          <w:rtl w:val="true"/>
          <w:lang w:bidi="fa-IR"/>
        </w:rPr>
        <w:t>.</w:t>
      </w:r>
    </w:p>
    <w:p>
      <w:pPr>
        <w:pStyle w:val="Heading3"/>
        <w:numPr>
          <w:ilvl w:val="2"/>
          <w:numId w:val="1"/>
        </w:numPr>
        <w:rPr/>
      </w:pPr>
      <w:bookmarkStart w:id="175" w:name="__RefHeading___Toc603895_1395250215"/>
      <w:bookmarkStart w:id="176" w:name="_Toc71"/>
      <w:bookmarkEnd w:id="175"/>
      <w:r>
        <w:rPr>
          <w:rtl w:val="true"/>
        </w:rPr>
        <w:t>منابع</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سید‌جلال‌الدین،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منتخباتی از آثار حکمای الهی ایران، قم، دفتر تبلیغات اسلامی، ویرایش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ابن‌عربی، محیی‌الدین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الفتوحات المکیّه،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احمدوند، معروف‌علی،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ذات و صفات الهی، قم، دفتر تبلیغات اسلامی حوزه علمیه قم، بوستان کتاب،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کمال‌الدین میثم،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قم، دفتر تبلیغات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قم، مکتبة آیة‌الله المرعشی‌النجفی،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فرق و مذاهب اسلامی، قم، کتاب طه، چاپ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سمت،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نورالدین عبدالرحمان،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الدرة الفاخرة فی تحقیق مذهب الصوفیة و المتکلمین و الحکماء المتقدمین،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لاهیر و علی موسوی‌بهبهانی، تهران، مؤسسة مطالعات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احمد،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علم کلام، تهران، صبا،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دغیم، سمیح،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مصطلحات علم الکلام الإسلامی،بیروت،مکتبة لبنان ناشرون،چاپ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لغت‌نامه، دانشگاه تهران، مؤسسه لغت‌نامه دهخدا،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و مذاهب کلامی، قم، مرکز جهانی علوم اسلامی،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الملل و النحل، قم،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سید‌عبدالله،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الیقین فی معرفة أصول الدین، قم، انوارالهدی،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،محمدبن 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 دارالحدیث،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محمد‌بن‌عبدالکریم،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بدران، قم، الشریف الرضی،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صدرالدین‌شیرازی، محمدبن‌ابراهیم،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 مؤسسة مطالعات و تحقیقات فرهنگی،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الشواهد الربوبیه فی المناهج السلوکیه،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سیدجلال‌الدین آشتیانی، تهران، مرکز نشر دانشگاهی،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الکافی،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 مؤسسة مطالعات و تحقیقات فرهنگی،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 جامعه مدرسین حوزه علمیه قم،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فخرالدین‌بن‌محمد،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تهران، کتابفروشی مرتضوی،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نصیرالدین و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تعلیقات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عبدالجباربن‌احمد،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المنیة و الأمل،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نشار و عصام‌الدین محمد، اسکندریه، دارالمطبوعات الجامعیه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سعید، محمدبن‌محمد،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توحید الصدوق،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نجفقلی حبیبی، تهران، وزارت فرهنگ و ارشاد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قیصری، داود،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فصوص الحکم،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الساعدی، قم، انوارالهدی،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کمال‌الدین عبدالرّزاق،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رسائل و مصنفات کاشانی، تهران، میراث مکتوب،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عبدالرزاق،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مراد،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قربانی، تهران، سایه،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محمد‌صالح،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الکافی،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شعرانی،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 دار‌الکتب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مصباح‌یزدی، محمدتقی،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فلسفه، تهران، شرکت چاپ و نشر بین‌الملل،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ملا‌مهدی،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جامع‌الأفکار و ناقد‌الأنظار، تهران، حکمت، چاپ اول</w:t>
      </w:r>
      <w:r>
        <w:rPr>
          <w:rFonts w:eastAsia="IRNazanin" w:cs="IRNazanin"/>
          <w:color w:val="111111"/>
          <w:sz w:val="28"/>
          <w:szCs w:val="28"/>
          <w:rtl w:val="true"/>
          <w:lang w:bidi="fa-IR"/>
        </w:rPr>
        <w:t>.</w:t>
      </w:r>
      <w:bookmarkStart w:id="177" w:name="pg2638_22593"/>
    </w:p>
    <w:p>
      <w:pPr>
        <w:pStyle w:val="BookText"/>
        <w:rPr/>
      </w:pPr>
      <w:bookmarkEnd w:id="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2"/>
        <w:numPr>
          <w:ilvl w:val="1"/>
          <w:numId w:val="1"/>
        </w:numPr>
        <w:rPr/>
      </w:pPr>
      <w:bookmarkStart w:id="178" w:name="__RefHeading___Toc603897_1395250215"/>
      <w:bookmarkStart w:id="179" w:name="_Toc72"/>
      <w:bookmarkEnd w:id="178"/>
      <w:r>
        <w:rPr>
          <w:rtl w:val="true"/>
        </w:rPr>
        <w:t xml:space="preserve">بررسی شبهه سیاق درباره آیه ولایت </w:t>
      </w:r>
      <w:r>
        <w:rPr>
          <w:rtl w:val="true"/>
        </w:rPr>
        <w:t>(</w:t>
      </w:r>
      <w:r>
        <w:rPr>
          <w:rtl w:val="true"/>
        </w:rPr>
        <w:t>با تأکید بر دیدگاه فخررازی</w:t>
      </w:r>
      <w:r>
        <w:rPr>
          <w:rtl w:val="true"/>
        </w:rPr>
        <w:t>)</w:t>
      </w:r>
      <w:bookmarkEnd w:id="179"/>
    </w:p>
    <w:p>
      <w:pPr>
        <w:pStyle w:val="Heading3"/>
        <w:numPr>
          <w:ilvl w:val="2"/>
          <w:numId w:val="1"/>
        </w:numPr>
        <w:rPr/>
      </w:pPr>
      <w:bookmarkStart w:id="180" w:name="__RefHeading___Toc603899_1395250215"/>
      <w:bookmarkStart w:id="181" w:name="_Toc73"/>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حامد دژآباد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1392/09/10</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1392/11/24</w:t>
      </w:r>
    </w:p>
    <w:p>
      <w:pPr>
        <w:pStyle w:val="Heading3"/>
        <w:numPr>
          <w:ilvl w:val="2"/>
          <w:numId w:val="1"/>
        </w:numPr>
        <w:rPr/>
      </w:pPr>
      <w:bookmarkStart w:id="182" w:name="__RefHeading___Toc603901_1395250215"/>
      <w:bookmarkStart w:id="183" w:name="_Toc74"/>
      <w:bookmarkEnd w:id="182"/>
      <w:r>
        <w:rPr>
          <w:rtl w:val="true"/>
        </w:rPr>
        <w:t>چکیده</w:t>
      </w:r>
      <w:bookmarkEnd w:id="183"/>
    </w:p>
    <w:p>
      <w:pPr>
        <w:pStyle w:val="BookText"/>
        <w:rPr/>
      </w:pPr>
      <w:r>
        <w:rPr>
          <w:rFonts w:ascii="IRNazanin" w:hAnsi="IRNazanin" w:eastAsia="IRNazanin"/>
          <w:color w:val="111111"/>
          <w:sz w:val="28"/>
          <w:sz w:val="28"/>
          <w:szCs w:val="28"/>
          <w:rtl w:val="true"/>
          <w:lang w:bidi="fa-IR"/>
        </w:rPr>
        <w:t xml:space="preserve">مخالفان شیعه، شبهات و اشکالات بسیاری درباره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شبهات، شبهه چهارم فخررازی ذیل آیه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با توجه به سیاق، ادعا می‌کند که چون آیه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بوده و از قوی‌ترین دلایل بر صحت امامت و خلافتِ اوست، پس آیه بعد ـ یعنی آیه ولایت ـ نمی‌تواند درباره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چراکه در غیر این صورت تناقض لازم می‌آید؛ به همین دلیل، استدلال شیعیان به آیه ولایت برای اثبات امامت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دیدگاه مفسران و متکلمان شیعه، آیه مورد نظر فخررازی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بر امامت و خلافت ابوبکر دلالت ندارد، بلکه اساساً این آیه در رابطه با ابوبکر نیست و روایات مورد ادعای وی نیز سنداً و دلالتاً مخدوش و نامعتبرند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مدعای فخررازی پس از تبیین کامل، در قالب بحث تطبیقی ارزیابی گردیده و نشان داده خواهد شد که میان این دو آیه، هماهنگی و هم‌سویی کاملی وجود دارد</w:t>
      </w:r>
      <w:r>
        <w:rPr>
          <w:rFonts w:eastAsia="IRNazanin" w:cs="IRNazanin"/>
          <w:color w:val="111111"/>
          <w:sz w:val="28"/>
          <w:szCs w:val="28"/>
          <w:rtl w:val="true"/>
          <w:lang w:bidi="fa-IR"/>
        </w:rPr>
        <w:t>.</w:t>
      </w:r>
    </w:p>
    <w:p>
      <w:pPr>
        <w:pStyle w:val="Heading3"/>
        <w:numPr>
          <w:ilvl w:val="2"/>
          <w:numId w:val="1"/>
        </w:numPr>
        <w:rPr/>
      </w:pPr>
      <w:bookmarkStart w:id="184" w:name="__RefHeading___Toc603903_1395250215"/>
      <w:bookmarkStart w:id="185" w:name="_Toc75"/>
      <w:bookmarkEnd w:id="184"/>
      <w:r>
        <w:rPr>
          <w:rtl w:val="true"/>
        </w:rPr>
        <w:t>واژگان کلیدی</w:t>
      </w:r>
      <w:bookmarkEnd w:id="18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امامت،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ابوبکر، فخررازی</w:t>
      </w:r>
      <w:r>
        <w:rPr>
          <w:rFonts w:eastAsia="IRNazanin" w:cs="IRNazanin"/>
          <w:color w:val="111111"/>
          <w:sz w:val="28"/>
          <w:szCs w:val="28"/>
          <w:rtl w:val="true"/>
          <w:lang w:bidi="fa-IR"/>
        </w:rPr>
        <w:t>.</w:t>
      </w:r>
      <w:bookmarkStart w:id="186" w:name="pg2638_22595"/>
    </w:p>
    <w:p>
      <w:pPr>
        <w:pStyle w:val="BookText"/>
        <w:rPr/>
      </w:pPr>
      <w:bookmarkEnd w:id="1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3"/>
        <w:numPr>
          <w:ilvl w:val="2"/>
          <w:numId w:val="1"/>
        </w:numPr>
        <w:rPr/>
      </w:pPr>
      <w:bookmarkStart w:id="187" w:name="__RefHeading___Toc603905_1395250215"/>
      <w:bookmarkStart w:id="188" w:name="_Toc76"/>
      <w:bookmarkEnd w:id="187"/>
      <w:r>
        <w:rPr>
          <w:rtl w:val="true"/>
        </w:rPr>
        <w:t>مقدمه</w:t>
      </w:r>
      <w:bookmarkEnd w:id="188"/>
    </w:p>
    <w:p>
      <w:pPr>
        <w:pStyle w:val="BookText"/>
        <w:rPr/>
      </w:pPr>
      <w:r>
        <w:rPr>
          <w:rFonts w:ascii="IRNazanin" w:hAnsi="IRNazanin" w:eastAsia="IRNazanin"/>
          <w:color w:val="111111"/>
          <w:sz w:val="28"/>
          <w:sz w:val="28"/>
          <w:szCs w:val="28"/>
          <w:rtl w:val="true"/>
          <w:lang w:bidi="fa-IR"/>
        </w:rPr>
        <w:t>آیه ولایت، یکی از دلایل مهمّ قرآنی شیعه برای اثبات امامت و ولایت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در کتب کلامی و تفسیری شیعه، از دوره متقدمان تا دوره معاصر بسیار مورد توجه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دلالت روشن آیه شریفه بر ولایت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مخالفان شیعه در طول تاریخ، شبهات و اشکالات متعددی درباره دلالت آیه مطرح کرده‌اند و در مقابل نیز متکلمان و مفسران شیعه به خوبی به این شبهات و اشکالات، پاسخ درخور داده و از دلایل خود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یکی از اشکالات فخررازی مورد غفلت واقع شده و این اشکال یا در کتب تفسیری یا کلامی شیعه ذکر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لاهیجی،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شوشتری،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همو، بی‌تا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بروجردی،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ذکر شده، اما پاسخ کامل و جامعی که ناظر بر تمام ادله قرآنی و روایی فخررازی و سایر مفسران اهل سنت باشد،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فخررازی ذیل آیه ولایت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بینا بالبرهان البین أن الآیة المتقدمة و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مَنْ یَرْتَدَّ مِنْکُمْ عَنْ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من أقوی الدلائل علی صحة إمامة أبی‌بکر، فلو دلّت هذه الآیة علی صحة إمامة علی بعد الرسول لزم التناقض بین الآیتین، و ذلک باطل، فوجب القطع بأن هذه الآیة لا دلالة فیها علی أن علیا هو الإمام بعد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فخررازی پیش از بیان مزبور و ذیل آیه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 الثالث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أنا ندعی دلالة هذه الآیة علی صحة إمامة أبی‌بکر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نیز که برخلاف جمهور اهل‌سنت قائل به وجود نص جلی و ظاهر برای خلافت ابوبکر</w:t>
      </w:r>
      <w:bookmarkStart w:id="189" w:name="pg2638_22597"/>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است، در کتاب الصواعق المحرقه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فی النصوص السمعیة الدالة علی خلافته ـ رضی الله عنه ـ من القرآن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النصوص القرآنیة فمنها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من یرتد منکم عن 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اهل‌سنت پا را از این هم فراتر نهاده و علاوه بر این ادعا، مدعی دلالت این آیه بر صحت و تثبیت امامت و خلافت عمر و عثمان نیز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جصاص،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کیا‌هراسی،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ضمن بیان کامل دلایل و مستندات این مفسران درباره آیه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هریک از این دلایل را به تفکیک ارزیابی و بررسی می‌کند و در اشکال به این دلایل از منابع مورد اعتماد اهل‌سنت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قضاوت بهتر درباره دلایل فریقین و روشن شدن نقاط قوت در این رابطه، بررسی این دلایل در قالب بحث تطبیقی ذکر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با اثبات نادرستی دلایل این مفسران درباره تحلیل آیه ارتداد، شبهه و اشکال پیش‌گفته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چهارم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ولایت، باطل و نادرست خواهد بود</w:t>
      </w:r>
      <w:r>
        <w:rPr>
          <w:rFonts w:eastAsia="IRNazanin" w:cs="IRNazanin"/>
          <w:color w:val="111111"/>
          <w:sz w:val="28"/>
          <w:szCs w:val="28"/>
          <w:rtl w:val="true"/>
          <w:lang w:bidi="fa-IR"/>
        </w:rPr>
        <w:t>.</w:t>
      </w:r>
    </w:p>
    <w:p>
      <w:pPr>
        <w:pStyle w:val="Heading3"/>
        <w:numPr>
          <w:ilvl w:val="2"/>
          <w:numId w:val="1"/>
        </w:numPr>
        <w:rPr/>
      </w:pPr>
      <w:bookmarkStart w:id="190" w:name="__RefHeading___Toc603907_1395250215"/>
      <w:bookmarkStart w:id="191" w:name="_Toc77"/>
      <w:bookmarkEnd w:id="190"/>
      <w:r>
        <w:rPr/>
        <w:t>1</w:t>
      </w:r>
      <w:r>
        <w:rPr>
          <w:rtl w:val="true"/>
        </w:rPr>
        <w:t xml:space="preserve">. </w:t>
      </w:r>
      <w:r>
        <w:rPr>
          <w:rtl w:val="true"/>
        </w:rPr>
        <w:t>دیدگاه اهل سنت</w:t>
      </w:r>
      <w:bookmarkEnd w:id="191"/>
    </w:p>
    <w:p>
      <w:pPr>
        <w:pStyle w:val="Heading4"/>
        <w:numPr>
          <w:ilvl w:val="3"/>
          <w:numId w:val="1"/>
        </w:numPr>
        <w:rPr/>
      </w:pPr>
      <w:bookmarkStart w:id="192" w:name="__RefHeading___Toc603909_1395250215"/>
      <w:bookmarkStart w:id="193" w:name="_Toc78"/>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آنچه پیش از بیان دیدگاه اهل‌سنت تذکر آن ضروری است، این است که اختلاف در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منشأ بروز آرا و نظریات متعدد شده است، به طوری که تعیین صحیح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اختلاف‌ها را از میان برداشته و منجر به وحدت نظر در بین مفسران خواهد شد؛ لذا مفسران اهل‌سنت تلاش کرده‌اند تا بر اساس روایات و اقوال صحابه و تابعین یا تحلیل درونی از دلالت آیات، به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کنند تا از این طریق، مدعای خود را که همان اثبات امامت و خلافت ابوبکر است،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اهل‌سنت در تفسیر این آیات بر دو حوزه و محور مرتبط با یکدیگر تکیه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حوزه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روایات و اقوال صحابه و تابعین و تحلیل درونی از دلالت آیات</w:t>
      </w:r>
      <w:r>
        <w:rPr>
          <w:rFonts w:eastAsia="IRNazanin" w:cs="IRNazanin"/>
          <w:color w:val="111111"/>
          <w:sz w:val="28"/>
          <w:szCs w:val="28"/>
          <w:rtl w:val="true"/>
          <w:lang w:bidi="fa-IR"/>
        </w:rPr>
        <w:t>.</w:t>
      </w:r>
    </w:p>
    <w:p>
      <w:pPr>
        <w:pStyle w:val="Heading4"/>
        <w:numPr>
          <w:ilvl w:val="3"/>
          <w:numId w:val="1"/>
        </w:numPr>
        <w:rPr/>
      </w:pPr>
      <w:bookmarkStart w:id="194" w:name="__RefHeading___Toc603911_1395250215"/>
      <w:bookmarkStart w:id="195" w:name="_Toc79"/>
      <w:bookmarkEnd w:id="194"/>
      <w:r>
        <w:rPr/>
        <w:t>1</w:t>
      </w:r>
      <w:r>
        <w:rPr>
          <w:rtl w:val="true"/>
        </w:rPr>
        <w:t>ـ</w:t>
      </w:r>
      <w:r>
        <w:rPr/>
        <w:t>1</w:t>
      </w:r>
      <w:r>
        <w:rPr>
          <w:rtl w:val="true"/>
        </w:rPr>
        <w:t xml:space="preserve">. </w:t>
      </w:r>
      <w:r>
        <w:rPr>
          <w:rtl w:val="true"/>
        </w:rPr>
        <w:t>استناد به روایات و اقوال صحابه و تابعین</w:t>
      </w:r>
      <w:bookmarkEnd w:id="1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اهل‌سنت بر مبنای برخی روایات و اقوال بعضی صحابه و تابعین،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ابوبکر و اصحاب او می‌دانند که بعد از رحلت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رده به جهاد و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نقلی اهل‌سنت، این نظر به حسن بصری، قتاده، ضحاک و ابن‌جریج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ابن‌ابی‌حاتم، بی‌تا، </w:t>
      </w:r>
      <w:r>
        <w:rPr>
          <w:rFonts w:eastAsia="IRNazanin" w:cs="IRNazanin"/>
          <w:color w:val="111111"/>
          <w:sz w:val="28"/>
          <w:szCs w:val="28"/>
          <w:lang w:bidi="fa-IR"/>
        </w:rPr>
        <w:t>4</w:t>
      </w:r>
      <w:r>
        <w:rPr>
          <w:rFonts w:eastAsia="IRNazanin" w:cs="IRNazanin"/>
          <w:color w:val="111111"/>
          <w:sz w:val="28"/>
          <w:szCs w:val="28"/>
          <w:rtl w:val="true"/>
          <w:lang w:bidi="fa-IR"/>
        </w:rPr>
        <w:t>:</w:t>
      </w:r>
      <w:bookmarkStart w:id="196" w:name="pg2638_22600"/>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آنچه در این رابطه جلب نظر می‌کند، استناد این نظر به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4"/>
        <w:numPr>
          <w:ilvl w:val="3"/>
          <w:numId w:val="1"/>
        </w:numPr>
        <w:rPr/>
      </w:pPr>
      <w:bookmarkStart w:id="197" w:name="__RefHeading___Toc603913_1395250215"/>
      <w:bookmarkStart w:id="198" w:name="_Toc80"/>
      <w:bookmarkEnd w:id="197"/>
      <w:r>
        <w:rPr/>
        <w:t>1</w:t>
      </w:r>
      <w:r>
        <w:rPr>
          <w:rtl w:val="true"/>
        </w:rPr>
        <w:t>ـ</w:t>
      </w:r>
      <w:r>
        <w:rPr/>
        <w:t>2</w:t>
      </w:r>
      <w:r>
        <w:rPr>
          <w:rtl w:val="true"/>
        </w:rPr>
        <w:t xml:space="preserve">. </w:t>
      </w:r>
      <w:r>
        <w:rPr>
          <w:rtl w:val="true"/>
        </w:rPr>
        <w:t>تحلیل درونی از دلالت آیات</w:t>
      </w:r>
      <w:bookmarkEnd w:id="198"/>
    </w:p>
    <w:p>
      <w:pPr>
        <w:pStyle w:val="Heading5"/>
        <w:numPr>
          <w:ilvl w:val="4"/>
          <w:numId w:val="1"/>
        </w:numPr>
        <w:rPr/>
      </w:pPr>
      <w:bookmarkStart w:id="199" w:name="__RefHeading___Toc603915_1395250215"/>
      <w:bookmarkStart w:id="200" w:name="_Toc81"/>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ادله دیگری که اهل‌سنت برای اثبات مدعای خود به آن تکیه می‌کنند، استناد به فرازهایی از آیات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می‌کنند تا تعابیر موجود در این آیات را بر ابوبکر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که بیش از همه در این رابطه تلاش کرده، معتقد است متصف بودن ابوبکر به این اوصاف، دلیل بر صحت امامت و خلافت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إمامته باطلة لما کانت هذه الصفات لائقة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 و تعابیر مورد استناد آنان عبارتند از</w:t>
      </w:r>
      <w:r>
        <w:rPr>
          <w:rFonts w:eastAsia="IRNazanin" w:cs="IRNazanin"/>
          <w:color w:val="111111"/>
          <w:sz w:val="28"/>
          <w:szCs w:val="28"/>
          <w:rtl w:val="true"/>
          <w:lang w:bidi="fa-IR"/>
        </w:rPr>
        <w:t>:</w:t>
      </w:r>
    </w:p>
    <w:p>
      <w:pPr>
        <w:pStyle w:val="Heading5"/>
        <w:numPr>
          <w:ilvl w:val="4"/>
          <w:numId w:val="1"/>
        </w:numPr>
        <w:rPr/>
      </w:pPr>
      <w:bookmarkStart w:id="201" w:name="__RefHeading___Toc603917_1395250215"/>
      <w:bookmarkStart w:id="202" w:name="_Toc82"/>
      <w:bookmarkEnd w:id="201"/>
      <w:r>
        <w:rPr/>
        <w:t>1</w:t>
      </w:r>
      <w:r>
        <w:rPr>
          <w:rtl w:val="true"/>
        </w:rPr>
        <w:t>ـ</w:t>
      </w:r>
      <w:r>
        <w:rPr/>
        <w:t>2</w:t>
      </w:r>
      <w:r>
        <w:rPr>
          <w:rtl w:val="true"/>
        </w:rPr>
        <w:t>ـ</w:t>
      </w:r>
      <w:r>
        <w:rPr/>
        <w:t>1</w:t>
      </w:r>
      <w:r>
        <w:rPr>
          <w:rtl w:val="true"/>
        </w:rPr>
        <w:t>. «</w:t>
      </w:r>
      <w:r>
        <w:rPr>
          <w:rtl w:val="true"/>
        </w:rPr>
        <w:t>فسوف یأتی الله بقوم</w:t>
      </w:r>
      <w:r>
        <w:rPr>
          <w:rtl w:val="true"/>
        </w:rPr>
        <w:t>»</w:t>
      </w:r>
      <w:bookmarkEnd w:id="202"/>
    </w:p>
    <w:p>
      <w:pPr>
        <w:pStyle w:val="BookText"/>
        <w:rPr/>
      </w:pPr>
      <w:r>
        <w:rPr>
          <w:rFonts w:ascii="IRNazanin" w:hAnsi="IRNazanin" w:eastAsia="IRNazanin"/>
          <w:color w:val="111111"/>
          <w:sz w:val="28"/>
          <w:sz w:val="28"/>
          <w:szCs w:val="28"/>
          <w:rtl w:val="true"/>
          <w:lang w:bidi="fa-IR"/>
        </w:rPr>
        <w:t xml:space="preserve">فخررازی که با تقریری خاص، بیش از همه سعی در اثبات خلافت ابوبکر دارد، در تفسیر خود برای اثبات این مطلب که مراد از این آیه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این تعبیر و آیه محل بحث به ابوبکر و پیکار او با مرتدان اختصاص دارد،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و بیان می‌کند که چون این تعبیر برای استقبال و آینده است، پس این قومی که خداوند از آن سخن به میان آورده، نباید وقت نزول این خطاب موجود باشند؛ علاوه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مرتدان محاربه نکرد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5"/>
        <w:numPr>
          <w:ilvl w:val="4"/>
          <w:numId w:val="1"/>
        </w:numPr>
        <w:rPr/>
      </w:pPr>
      <w:bookmarkStart w:id="203" w:name="__RefHeading___Toc603919_1395250215"/>
      <w:bookmarkStart w:id="204" w:name="_Toc83"/>
      <w:bookmarkEnd w:id="203"/>
      <w:r>
        <w:rPr/>
        <w:t>1</w:t>
      </w:r>
      <w:r>
        <w:rPr>
          <w:rtl w:val="true"/>
        </w:rPr>
        <w:t>ـ</w:t>
      </w:r>
      <w:r>
        <w:rPr/>
        <w:t>2</w:t>
      </w:r>
      <w:r>
        <w:rPr>
          <w:rtl w:val="true"/>
        </w:rPr>
        <w:t>ـ</w:t>
      </w:r>
      <w:r>
        <w:rPr/>
        <w:t>2</w:t>
      </w:r>
      <w:r>
        <w:rPr>
          <w:rtl w:val="true"/>
        </w:rPr>
        <w:t>. «</w:t>
      </w:r>
      <w:r>
        <w:rPr>
          <w:rtl w:val="true"/>
        </w:rPr>
        <w:t>یُحِبُّهُمْ و یُحِبُّونه</w:t>
      </w:r>
      <w:r>
        <w:rPr>
          <w:rtl w:val="true"/>
        </w:rPr>
        <w:t>»</w:t>
      </w:r>
      <w:bookmarkEnd w:id="2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فرازی که اهل‌سنت در حوزه تحلیل درونی برای اثبات مدعای خود بدان استناد می‌کنند،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محل بحث، قومی که در آینده خواهند آمد، به چند وصف توصیف شده‌اند که اولین این اوصاف</w:t>
      </w:r>
      <w:r>
        <w:rPr>
          <w:rStyle w:val="FootnoteAnchor"/>
          <w:rtl w:val="true"/>
        </w:rPr>
        <w:footnoteReference w:id="53"/>
      </w:r>
      <w:r>
        <w:rPr>
          <w:rFonts w:ascii="IRNazanin" w:hAnsi="IRNazanin" w:eastAsia="IRNazanin"/>
          <w:color w:val="111111"/>
          <w:sz w:val="28"/>
          <w:sz w:val="28"/>
          <w:szCs w:val="28"/>
          <w:rtl w:val="true"/>
          <w:lang w:bidi="fa-IR"/>
        </w:rPr>
        <w:t>، تعبیر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پس از تلاش برای اثبات اختصاص این آیه به ابوبکر و اثبات این موضوع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است، اوصاف موجود در این آیه را بر ابوبکر تطبیق داده و ادعا می‌کند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ظالم بودن ابوبکر دلالت دارد و عدم ظالم بودن نیز دلالت می‌کند بر این‌که امامت و</w:t>
      </w:r>
      <w:bookmarkStart w:id="205" w:name="pg2638_22602"/>
    </w:p>
    <w:p>
      <w:pPr>
        <w:pStyle w:val="BookText"/>
        <w:rPr/>
      </w:pPr>
      <w:bookmarkEnd w:id="2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خلافت او حق 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برای تطبیق این وصف بر ابوبکر، در جهت تأیید مدعای خود به دو حدیث استناد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یتجلی للناس عامة و یتجلی لأبی بکر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صب اللَّه شیئا فی صدری إلا و صبه فی صدر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ذلک یدل علی أنه کان یحب اللَّه و رسوله و یحبه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5"/>
        <w:numPr>
          <w:ilvl w:val="4"/>
          <w:numId w:val="1"/>
        </w:numPr>
        <w:rPr/>
      </w:pPr>
      <w:bookmarkStart w:id="206" w:name="__RefHeading___Toc603921_1395250215"/>
      <w:bookmarkStart w:id="207" w:name="_Toc84"/>
      <w:bookmarkEnd w:id="206"/>
      <w:r>
        <w:rPr/>
        <w:t>‌</w:t>
      </w:r>
      <w:r>
        <w:rPr/>
        <w:t>1</w:t>
      </w:r>
      <w:r>
        <w:rPr>
          <w:rtl w:val="true"/>
        </w:rPr>
        <w:t>ـ</w:t>
      </w:r>
      <w:r>
        <w:rPr/>
        <w:t>2</w:t>
      </w:r>
      <w:r>
        <w:rPr>
          <w:rtl w:val="true"/>
        </w:rPr>
        <w:t>ـ</w:t>
      </w:r>
      <w:r>
        <w:rPr/>
        <w:t>3</w:t>
      </w:r>
      <w:r>
        <w:rPr>
          <w:rtl w:val="true"/>
        </w:rPr>
        <w:t>. «</w:t>
      </w:r>
      <w:r>
        <w:rPr>
          <w:rtl w:val="true"/>
        </w:rPr>
        <w:t>اذِلَّةٍ عَلَی المؤمنینَ أَعِزَّةٍ عَلَی الْکافِرِین</w:t>
      </w:r>
      <w:r>
        <w:rPr>
          <w:rtl w:val="true"/>
        </w:rPr>
        <w:t>»</w:t>
      </w:r>
      <w:bookmarkEnd w:id="207"/>
    </w:p>
    <w:p>
      <w:pPr>
        <w:pStyle w:val="BookText"/>
        <w:rPr/>
      </w:pPr>
      <w:r>
        <w:rPr>
          <w:rFonts w:ascii="IRNazanin" w:hAnsi="IRNazanin" w:eastAsia="IRNazanin"/>
          <w:color w:val="111111"/>
          <w:sz w:val="28"/>
          <w:sz w:val="28"/>
          <w:szCs w:val="28"/>
          <w:rtl w:val="true"/>
          <w:lang w:bidi="fa-IR"/>
        </w:rPr>
        <w:t>دومین وصفی که در آیه محل بحث برای قومی که در آینده خواهد آمد ذکر شده، وصف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این وصف را نیز بر ابوبکر تطبیق داده و کسی را جز ابوبکر لایق آن نمی‌داند و در تأیید آن به روایت نبوی ـ ارحم أمتی بأمتی أبوبکرـ استناد و ادعا می‌کند که این روایت مستفیض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تأیید مدعای خود علاوه بر استناد به روایت مذکور، به دفاع ابوبکر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بعثت ـ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غایت ضعف بود ـ و نیز به مبارزه او با محاربان و اهل رده در زمان خلافتش اشاره می‌کند تا او را مصداق فراز مزبور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ابن‌جزی غرناطی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الصفات التی وصف بها هؤلاء القوم هی أوصاف أبی‌بکر، ألا تری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أذلة علی المؤمنین أعزة علی الکافرین، و کان أبوبکر ضعیفا فی نفسه قویا فی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غرناطی،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5"/>
        <w:numPr>
          <w:ilvl w:val="4"/>
          <w:numId w:val="1"/>
        </w:numPr>
        <w:rPr/>
      </w:pPr>
      <w:bookmarkStart w:id="208" w:name="__RefHeading___Toc603923_1395250215"/>
      <w:bookmarkStart w:id="209" w:name="_Toc85"/>
      <w:bookmarkEnd w:id="208"/>
      <w:r>
        <w:rPr/>
        <w:t>1</w:t>
      </w:r>
      <w:r>
        <w:rPr>
          <w:rtl w:val="true"/>
        </w:rPr>
        <w:t>ـ</w:t>
      </w:r>
      <w:r>
        <w:rPr/>
        <w:t>2</w:t>
      </w:r>
      <w:r>
        <w:rPr>
          <w:rtl w:val="true"/>
        </w:rPr>
        <w:t>ـ</w:t>
      </w:r>
      <w:r>
        <w:rPr/>
        <w:t>4</w:t>
      </w:r>
      <w:r>
        <w:rPr>
          <w:rtl w:val="true"/>
        </w:rPr>
        <w:t>. «</w:t>
      </w:r>
      <w:r>
        <w:rPr>
          <w:rtl w:val="true"/>
        </w:rPr>
        <w:t>یُجاهِدُونَ فی سبیل اللَّهِ وَ لا یَخافُونَ لَوْمَةَ لائِم</w:t>
      </w:r>
      <w:r>
        <w:rPr>
          <w:rtl w:val="true"/>
        </w:rPr>
        <w:t>»</w:t>
      </w:r>
      <w:bookmarkEnd w:id="209"/>
    </w:p>
    <w:p>
      <w:pPr>
        <w:pStyle w:val="BookText"/>
        <w:rPr/>
      </w:pPr>
      <w:r>
        <w:rPr>
          <w:rFonts w:ascii="IRNazanin" w:hAnsi="IRNazanin" w:eastAsia="IRNazanin"/>
          <w:color w:val="111111"/>
          <w:sz w:val="28"/>
          <w:sz w:val="28"/>
          <w:szCs w:val="28"/>
          <w:rtl w:val="true"/>
          <w:lang w:bidi="fa-IR"/>
        </w:rPr>
        <w:t>سومین وصف از اوصاف مذکور در آیه محل بحث که فخررازی به آن استناد می‌کند، تعبیر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که اوصاف پیشین را خاص ابوبکر می‌داند، در این‌جا مدعی است که این وصف بین ابوبکر و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مشترک است، اما با مقایسه‌ای نادرست، بهره ابوبکر را به دلیل تقدم زمانی و نیز به سبب این‌که جهاد ابوبکر در زمان ضعف اسلام بود، اکمل و افضل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ابن‌جزی غرناطی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مقاومت و عدم ترس ابوبکر در برابر صحابه‌ای که او را از رفتن به میدان مبارزه با مرتدان منع می‌کردند،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غرناطی،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سورآبادی نیز در سخنانی مشابه می‌نویسد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نترسند از سرزنشِ سرزنش‌کننده‌ای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ابوبکر صدّیق بود که قصد قتال مانعان زکات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او را بر آن همی</w:t>
      </w:r>
      <w:bookmarkStart w:id="210" w:name="pg2638_22604"/>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ملامت کردند که ایشان شهادت‌گویانند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بوبکر از آن نه اندیشید ایشان را به قهر در اسلام و شریعت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سورآبادی،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Heading5"/>
        <w:numPr>
          <w:ilvl w:val="4"/>
          <w:numId w:val="1"/>
        </w:numPr>
        <w:rPr/>
      </w:pPr>
      <w:bookmarkStart w:id="211" w:name="__RefHeading___Toc603925_1395250215"/>
      <w:bookmarkStart w:id="212" w:name="_Toc86"/>
      <w:bookmarkEnd w:id="211"/>
      <w:r>
        <w:rPr/>
        <w:t>1</w:t>
      </w:r>
      <w:r>
        <w:rPr>
          <w:rtl w:val="true"/>
        </w:rPr>
        <w:t>ـ</w:t>
      </w:r>
      <w:r>
        <w:rPr/>
        <w:t>2</w:t>
      </w:r>
      <w:r>
        <w:rPr>
          <w:rtl w:val="true"/>
        </w:rPr>
        <w:t>ـ</w:t>
      </w:r>
      <w:r>
        <w:rPr/>
        <w:t>5</w:t>
      </w:r>
      <w:r>
        <w:rPr>
          <w:rtl w:val="true"/>
        </w:rPr>
        <w:t>. «</w:t>
      </w:r>
      <w:r>
        <w:rPr>
          <w:rtl w:val="true"/>
        </w:rPr>
        <w:t>ذلِکَ فَضْلُ اللَّهِ یُؤْتِیهِ مَنْ یَشاءُ</w:t>
      </w:r>
      <w:r>
        <w:rPr>
          <w:rtl w:val="true"/>
        </w:rPr>
        <w:t>»</w:t>
      </w:r>
      <w:bookmarkEnd w:id="212"/>
    </w:p>
    <w:p>
      <w:pPr>
        <w:pStyle w:val="BookText"/>
        <w:rPr/>
      </w:pPr>
      <w:r>
        <w:rPr>
          <w:rFonts w:ascii="IRNazanin" w:hAnsi="IRNazanin" w:eastAsia="IRNazanin"/>
          <w:color w:val="111111"/>
          <w:sz w:val="28"/>
          <w:sz w:val="28"/>
          <w:szCs w:val="28"/>
          <w:rtl w:val="true"/>
          <w:lang w:bidi="fa-IR"/>
        </w:rPr>
        <w:t xml:space="preserve">فخررازی با استناد به فرازی دیگر از آیه محل بحث، آن را با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کرده و با ادعای تطبیق همه صفات مذکور در آن آیه بر ابوبکر، به صحت امامت و خلافت ابوبکر حکم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3"/>
        <w:numPr>
          <w:ilvl w:val="2"/>
          <w:numId w:val="1"/>
        </w:numPr>
        <w:rPr/>
      </w:pPr>
      <w:bookmarkStart w:id="213" w:name="__RefHeading___Toc603927_1395250215"/>
      <w:bookmarkStart w:id="214" w:name="_Toc87"/>
      <w:bookmarkEnd w:id="213"/>
      <w:r>
        <w:rPr/>
        <w:t>2</w:t>
      </w:r>
      <w:r>
        <w:rPr>
          <w:rtl w:val="true"/>
        </w:rPr>
        <w:t xml:space="preserve">. </w:t>
      </w:r>
      <w:r>
        <w:rPr>
          <w:rtl w:val="true"/>
        </w:rPr>
        <w:t>ارزیابی دیدگاه اهل سنت</w:t>
      </w:r>
      <w:bookmarkEnd w:id="214"/>
    </w:p>
    <w:p>
      <w:pPr>
        <w:pStyle w:val="Heading4"/>
        <w:numPr>
          <w:ilvl w:val="3"/>
          <w:numId w:val="1"/>
        </w:numPr>
        <w:rPr/>
      </w:pPr>
      <w:bookmarkStart w:id="215" w:name="__RefHeading___Toc603929_1395250215"/>
      <w:bookmarkStart w:id="216" w:name="_Toc88"/>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از دیدگاه مفسران و متکلمان شیعه، این آیه شریفه به هیچ وجه بر امامت و خلافت ابوبکر دلالت ندارد، بلکه اساساً این آیه درباره ابوبکر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اهل‌سنت در تفسیر این آیات، بر دو حوزه و ساحت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 به روایات و اقوال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درونی از دلالت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کرده‌اند، در پاسخ به آنان به تفکیک و به ترتیب، مستندات و ادله آنان را نقد و بررسی خواهیم کرد</w:t>
      </w:r>
      <w:r>
        <w:rPr>
          <w:rFonts w:eastAsia="IRNazanin" w:cs="IRNazanin"/>
          <w:color w:val="111111"/>
          <w:sz w:val="28"/>
          <w:szCs w:val="28"/>
          <w:rtl w:val="true"/>
          <w:lang w:bidi="fa-IR"/>
        </w:rPr>
        <w:t>.</w:t>
      </w:r>
    </w:p>
    <w:p>
      <w:pPr>
        <w:pStyle w:val="Heading4"/>
        <w:numPr>
          <w:ilvl w:val="3"/>
          <w:numId w:val="1"/>
        </w:numPr>
        <w:rPr/>
      </w:pPr>
      <w:bookmarkStart w:id="217" w:name="__RefHeading___Toc603931_1395250215"/>
      <w:bookmarkStart w:id="218" w:name="_Toc89"/>
      <w:bookmarkEnd w:id="217"/>
      <w:r>
        <w:rPr/>
        <w:t>2</w:t>
      </w:r>
      <w:r>
        <w:rPr>
          <w:rtl w:val="true"/>
        </w:rPr>
        <w:t>ـ</w:t>
      </w:r>
      <w:r>
        <w:rPr/>
        <w:t>1</w:t>
      </w:r>
      <w:r>
        <w:rPr>
          <w:rtl w:val="true"/>
        </w:rPr>
        <w:t xml:space="preserve">. </w:t>
      </w:r>
      <w:r>
        <w:rPr>
          <w:rtl w:val="true"/>
        </w:rPr>
        <w:t xml:space="preserve">بررسی </w:t>
      </w:r>
      <w:r>
        <w:rPr>
          <w:rtl w:val="true"/>
        </w:rPr>
        <w:t>«</w:t>
      </w:r>
      <w:r>
        <w:rPr>
          <w:rtl w:val="true"/>
        </w:rPr>
        <w:t>استناد به روایات و اقوال صحابه و تابعین</w:t>
      </w:r>
      <w:r>
        <w:rPr>
          <w:rtl w:val="true"/>
        </w:rPr>
        <w:t>»</w:t>
      </w:r>
      <w:bookmarkEnd w:id="218"/>
    </w:p>
    <w:p>
      <w:pPr>
        <w:pStyle w:val="BookText"/>
        <w:rPr/>
      </w:pPr>
      <w:r>
        <w:rPr>
          <w:rFonts w:ascii="IRNazanin" w:hAnsi="IRNazanin" w:eastAsia="IRNazanin"/>
          <w:color w:val="111111"/>
          <w:sz w:val="28"/>
          <w:sz w:val="28"/>
          <w:szCs w:val="28"/>
          <w:rtl w:val="true"/>
          <w:lang w:bidi="fa-IR"/>
        </w:rPr>
        <w:t xml:space="preserve">چنان‌که ذکر گردید، اهل‌سنت بر مبنای بعضی روایات و اقوال بعضی صحابه و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قتاده، ضحاک و ابن‌جریج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ابوبکر و اصحاب او می‌دانند که 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رده به جهاد و مبارزه پرداختند؛ اما این نظر تنها نظر در این رابطه نیست و در تفاسیر اهل‌سنت، اقوال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اندلسی در تفسیر خود به نُه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اندلسی،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ابن‌جوزی نیز به شش قول در این رابطه اشاره کرده است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تاکنون ذکر شد، چند نکته روشن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تشتت آرا و اختلاف اقوال که در تفاسیر اهل‌سنت به وضوح نمایان است، نادرستی و ضعف استدلال بعضی مفسران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 می‌کنند بر چنین مبنای سست و ضعیفی، خلافت و امامت ابوبکر را اثبات کنند،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تعارض و تشتت آرا، روایات مستند به حسن بصری، قتاده، ضحاک و ابن‌جریج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از تابعین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مقطوعه</w:t>
      </w:r>
      <w:r>
        <w:rPr>
          <w:rStyle w:val="FootnoteAnchor"/>
          <w:rtl w:val="true"/>
        </w:rPr>
        <w:footnoteReference w:id="55"/>
      </w:r>
      <w:r>
        <w:rPr>
          <w:rFonts w:ascii="IRNazanin" w:hAnsi="IRNazanin" w:eastAsia="IRNazanin"/>
          <w:color w:val="111111"/>
          <w:sz w:val="28"/>
          <w:sz w:val="28"/>
          <w:szCs w:val="28"/>
          <w:rtl w:val="true"/>
          <w:lang w:bidi="fa-IR"/>
        </w:rPr>
        <w:t>و ضعیف است و اقوال آنان نمی‌تواند حجت و ملاک قرار گیرد؛ علاوه بر این حسن، قتاده 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جریج همگی متهم به تدلیسند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به نقل از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رابطه در منابع اهل‌سنت دیده می‌شود، ضعیف و غیرقابل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غیرمعتبر بودن این روایت از دو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از بعد سندی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که طبری در این رابطه ذکر کرده،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عبد‌الله‌بن‌هشام،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سیف‌بن‌عمر، عن أبی‌روق، عن الضحاک، عن أبی‌أیوب، عن علی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سند، سیف‌بن‌عمر قرار دارد که به تصریح رجالیون اهل‌سنت، متهم به زندقه و جعل حدیث و فردی ضعیف‌الحدیث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عقیلی،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نسائی،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اصبهانی،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ابن‌حبان،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 در کتاب تهذیب الکمال، اقوال رجالیون مطرح اهل‌سنت را در تضعیف وی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با روایت دیگری که آن هم از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علی أنه قال یوم البصرة و الله ما قوتل أهل هذه الآیة حتی الیوم و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و محدثان اهل‌سنت، تطبیق آیه شریفه بر ابوبکر را نپذیرفته و آن را بر یمنی‌ها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گروه از اهل‌سنت روایتی نبوی است که حاکم نیشابوری در مستدرک علی الصحیحین آن را به شرط مسلم صحیح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نیز در کتاب مجمع‌الزوائد این روایت را نقل کرده و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 رجاله رجال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Style w:val="FootnoteAnchor"/>
          <w:rtl w:val="true"/>
        </w:rPr>
        <w:footnoteReference w:id="56"/>
      </w:r>
      <w:bookmarkStart w:id="219" w:name="pg2638_22609"/>
    </w:p>
    <w:p>
      <w:pPr>
        <w:pStyle w:val="BookText"/>
        <w:rPr/>
      </w:pPr>
      <w:bookmarkEnd w:id="2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طبری بعد از ذکر اقوال متعدد، همین نظر را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ابوحیان اندلسی نیز پس از بیان نُه قول در این رابطه، روایت نبوی مزبور را به نقل از کتاب مستدرک حاکم نیشابوری ذکر می‌کند و صحیح‌ترین قول در این باره را تطبیق آیه بر یمنی‌ها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اندلسی،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هم این نظر را صحیح‌تر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220" w:name="__RefHeading___Toc603933_1395250215"/>
      <w:bookmarkStart w:id="221" w:name="_Toc90"/>
      <w:bookmarkEnd w:id="220"/>
      <w:r>
        <w:rPr/>
        <w:t>2</w:t>
      </w:r>
      <w:r>
        <w:rPr>
          <w:rtl w:val="true"/>
        </w:rPr>
        <w:t>ـ</w:t>
      </w:r>
      <w:r>
        <w:rPr/>
        <w:t>2</w:t>
      </w:r>
      <w:r>
        <w:rPr>
          <w:rtl w:val="true"/>
        </w:rPr>
        <w:t xml:space="preserve">. </w:t>
      </w:r>
      <w:r>
        <w:rPr>
          <w:rtl w:val="true"/>
        </w:rPr>
        <w:t>بررسی تحلیل درونی از آیات</w:t>
      </w:r>
      <w:bookmarkEnd w:id="221"/>
    </w:p>
    <w:p>
      <w:pPr>
        <w:pStyle w:val="Heading5"/>
        <w:numPr>
          <w:ilvl w:val="4"/>
          <w:numId w:val="1"/>
        </w:numPr>
        <w:rPr/>
      </w:pPr>
      <w:bookmarkStart w:id="222" w:name="__RefHeading___Toc603935_1395250215"/>
      <w:bookmarkStart w:id="223" w:name="_Toc91"/>
      <w:bookmarkEnd w:id="222"/>
      <w:r>
        <w:rPr>
          <w:rtl w:val="true"/>
        </w:rPr>
        <w:t>اشاره</w:t>
      </w:r>
      <w:bookmarkEnd w:id="2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محققان شیعه، اجماع و اتفاق نظر دارند که قدر متیقن در تفسیر این آیه این است که تعابیر موجود در آن، قابلیت انطباق با ابوبکر و اصحابش را ندارد و هرگز نمی‌توان از این آیه شریفه فضیلتی برای او اثبات کرد، چه رسد به این‌که خلافت و صحت امامت او را نتیجه گرفت، چراکه در بخش قبل اثبات شد که مبنای اهل‌سنت در اثبات مدعای خود کاملاً ضعیف و سست، همراه با تعارضات گسترده و تشتت آراست و نمی‌توان با این مبنای ضعیف، تعابیر موجود در آیه شریفه را بر ابوبکر و اصحابش تطبیق داد؛ حتی با صرف‌نظر از این موضوع باز نمی‌توان ادعای اهل‌سنت را پذیرفت و با دلایل متعددی این ادعا مخدوش و غیر قابل قبول است که در ادامه، این دلایل به تفصیل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تفکیک، فرازهای مورد استناد اهل‌سنت را بررسی خواهیم کرد</w:t>
      </w:r>
      <w:r>
        <w:rPr>
          <w:rFonts w:eastAsia="IRNazanin" w:cs="IRNazanin"/>
          <w:color w:val="111111"/>
          <w:sz w:val="28"/>
          <w:szCs w:val="28"/>
          <w:rtl w:val="true"/>
          <w:lang w:bidi="fa-IR"/>
        </w:rPr>
        <w:t>.</w:t>
      </w:r>
      <w:r>
        <w:rPr>
          <w:rStyle w:val="FootnoteAnchor"/>
          <w:rtl w:val="true"/>
        </w:rPr>
        <w:footnoteReference w:id="59"/>
      </w:r>
      <w:bookmarkStart w:id="224" w:name="pg2638_22611"/>
    </w:p>
    <w:p>
      <w:pPr>
        <w:pStyle w:val="BookText"/>
        <w:rPr/>
      </w:pPr>
      <w:bookmarkEnd w:id="2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5"/>
        <w:numPr>
          <w:ilvl w:val="4"/>
          <w:numId w:val="1"/>
        </w:numPr>
        <w:rPr/>
      </w:pPr>
      <w:bookmarkStart w:id="225" w:name="__RefHeading___Toc603937_1395250215"/>
      <w:bookmarkStart w:id="226" w:name="_Toc92"/>
      <w:bookmarkEnd w:id="225"/>
      <w:r>
        <w:rPr/>
        <w:t>2</w:t>
      </w:r>
      <w:r>
        <w:rPr>
          <w:rtl w:val="true"/>
        </w:rPr>
        <w:t>ـ</w:t>
      </w:r>
      <w:r>
        <w:rPr/>
        <w:t>2</w:t>
      </w:r>
      <w:r>
        <w:rPr>
          <w:rtl w:val="true"/>
        </w:rPr>
        <w:t>ـ</w:t>
      </w:r>
      <w:r>
        <w:rPr/>
        <w:t>1</w:t>
      </w:r>
      <w:r>
        <w:rPr>
          <w:rtl w:val="true"/>
        </w:rPr>
        <w:t xml:space="preserve">. </w:t>
      </w:r>
      <w:r>
        <w:rPr>
          <w:rtl w:val="true"/>
        </w:rPr>
        <w:t xml:space="preserve">بررسی فراز </w:t>
      </w:r>
      <w:r>
        <w:rPr>
          <w:rtl w:val="true"/>
        </w:rPr>
        <w:t>«</w:t>
      </w:r>
      <w:r>
        <w:rPr>
          <w:rtl w:val="true"/>
        </w:rPr>
        <w:t>فسوف یأتی الله بقوم</w:t>
      </w:r>
      <w:r>
        <w:rPr>
          <w:rtl w:val="true"/>
        </w:rPr>
        <w:t>»</w:t>
      </w:r>
      <w:bookmarkEnd w:id="226"/>
    </w:p>
    <w:p>
      <w:pPr>
        <w:pStyle w:val="BookText"/>
        <w:rPr/>
      </w:pPr>
      <w:r>
        <w:rPr>
          <w:rFonts w:ascii="IRNazanin" w:hAnsi="IRNazanin" w:eastAsia="IRNazanin"/>
          <w:color w:val="111111"/>
          <w:sz w:val="28"/>
          <w:sz w:val="28"/>
          <w:szCs w:val="28"/>
          <w:rtl w:val="true"/>
          <w:lang w:bidi="fa-IR"/>
        </w:rPr>
        <w:t>در تقریر فخررازی ذیل عنوان مزبور چند ادعا وجود داشت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محاربه با مرتدان اختصاص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متولی محاربه با مرتدان بود؛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مرتدان پیکار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ادعاها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این آیه به محاربه با مرتدان ثابت نیست و در این آیه از محاربه و پیکار با مرتدان صحبت نشده است، بلکه صرفاً گفته شده که در صورت ارتداد، خداوند متعال گروهی را می‌آورد که دارای این صفات 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هشداری است به تمام مسلمانان در تمام قرن‌ها که به ایمان خود مغرور نشوند و خود را محور اسلام ندانند و بدانند که اگر آن‌ها هم از اسلام و انجام برنامه‌های آن روی برگردانند، خداوند کسانی دیگر و اقوام دیگری را برمی‌انگیزد که بهتر از آن‌ها از دین خدا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استبدال</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نامید، در چندین آیه از قرآن کریم با تعبیرهای گوناگونی آمده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یَسْتَبْدِلْ قَوْماً غَیْرَکُمْ ثُمَّ لایَکُونُوا أَمْثالَکُمْ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یَشَأْ یُذْهِبْکُمْ وَ یَأْتِ بِخَلْقٍ جَدِیدٍ وَ ما ذلِکَ عَلَی اللَّهِ بِعَزِیزٍ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یُذْهِبْکُمْ أَیُّهَا النَّاسُ وَ یَأْتِ بِآخَرِینَ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تدبّر در این آیات نشان می‌دهد که بقا و استمرار دین الهی در زمین، در گرو خواست فرد یا گروه نیست و هیچ‌کس نباید دین خدا را مدیون خود بداند و اگر قوم یا گروهی، از دین و اجرای برنامه الهی روی برگردانند و خود را تا سطح تعهد و مسئولیت متناسب با رسالت آسمانی، بالا نکشند، رسالت آسمانی تعطیل نخواهد شد و خداوند متعال گروه دیگری را که شرایط بهتر و برتری را برای ایفای نقش خود فراهم آورده و پیرو برنامه الهی باشند، جای‌گزین آن‌ها خواهد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طباطبایی نیز در این باره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 جاریة مجری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تَتَوَلَّوْا یَسْتَبْدِلْ قَوْماً غَیْرَکُمْ ثُمَّ لا یَکُونُوا أَمْثالَکُمْ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طباطبایی،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نظر را بعضی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مفسران اهل‌سنت نیز مطرح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که به نقل از ابن‌عباس در تفاسیر روایی اهل‌سنت وجود دارد، همین نظر 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ابن‌ابی‌حاتم رازی در تفسیر خود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وعید من الله إنه من ارتد منهم سنستبدل بهم خیرا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ابن‌ابی‌حاتم،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قابل توجه این است که حتی بر مبنای آرای مفسرانی همچون طبری، ابوحیان اندلسی و قرطبی که تطبیق آیه شریفه بر ابوبکر را نپذیرفته و آن را بر یمنی‌ها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داده‌اند، باز محاربه‌ای با مرتدان صورت نگرفته است، چون همان‌گونه که قرطبی و دیگر مفسران بیان کرده بودند، یمنی‌ها در زمان عمر در فتوحات مسلمین شرکت کردند و پیکار آنان با مرتدان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مراغی نیز در تأیید این نظر که در صورت پذیرش تطبیق آیه بر یمنی‌ها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پیکاری با مرتدان صورت نگرفته،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مراغی،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ادعای اول فخررازی که مدعی بود این آیه، به محاربه با مرتدان اختصاص دارد، صحیح نیست یا دست‌کم مورد تردید جدّی است و نیاز به اثبات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 ادعای نخست، باز نمی‌توان ادعای دوم و سوم را مبنی بر این‌که ابوبکر متولی محاربه با مرتدان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مرتدان پیکار نکرد، پذیرفت، چرا‌که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معنایی که فخررازی و بعضی دیگر در این‌جا معتقدند که همان رجوع از اسلام به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رسالت ایشان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مستندات تاریخی، سه فرقه در اواخر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شدند که ریاست یکی از آن‌ها را اسود عنسی به عهده داشت و مسلمین به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جهاد کرده و به پیروزی رسیدند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شبی که اسود به دست فیروز دیلمی در یمن کشته شد، این خبر را به مسلمینی که در مدینه بودند، اطلاع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ثعلبی،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در مقابل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گرفتند، به طور قطع حکم مرتد را دارند که دلایل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آیه شریفه از مقاتله و پیکار با مرتدان سخنی به میان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دست‌کم احتمال دیگری غیر از پیکار با مرتدان،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این آیه، مربوط به پیکار با مرتدان باشد، در اواخر حیات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با</w:t>
      </w:r>
      <w:bookmarkStart w:id="227" w:name="pg2638_22615"/>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عده‌ای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خلافت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پیکار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 این آیه به ابوبکر و محاربه او با مرتدان، ادعایی نادرست است؛ به‌خصوص با توجه به اوصاف مذکور در این آیه، به طور قطع می‌توان ادعا کرد که این آیه به ابوبکر و اصحابش اختصاص ندارد که در بخش‌های بعدی، ادله آن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ردّ این ادعاها، اختصاص این آیه به ابوبکر و اثبات فضیلت و صحت خلافت برای او نیز منتفی می‌شود؛ اگرچه با آنچه در بخش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استناد به روایات و اقوال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دیگر نوبت به طرح این ادعاها و ردّ آن‌ها نمی‌رسد</w:t>
      </w:r>
      <w:r>
        <w:rPr>
          <w:rFonts w:eastAsia="IRNazanin" w:cs="IRNazanin"/>
          <w:color w:val="111111"/>
          <w:sz w:val="28"/>
          <w:szCs w:val="28"/>
          <w:rtl w:val="true"/>
          <w:lang w:bidi="fa-IR"/>
        </w:rPr>
        <w:t>.</w:t>
      </w:r>
    </w:p>
    <w:p>
      <w:pPr>
        <w:pStyle w:val="Heading5"/>
        <w:numPr>
          <w:ilvl w:val="4"/>
          <w:numId w:val="1"/>
        </w:numPr>
        <w:rPr/>
      </w:pPr>
      <w:bookmarkStart w:id="228" w:name="__RefHeading___Toc603939_1395250215"/>
      <w:bookmarkStart w:id="229" w:name="_Toc93"/>
      <w:bookmarkEnd w:id="228"/>
      <w:r>
        <w:rPr/>
        <w:t>2</w:t>
      </w:r>
      <w:r>
        <w:rPr>
          <w:rtl w:val="true"/>
        </w:rPr>
        <w:t>ـ</w:t>
      </w:r>
      <w:r>
        <w:rPr/>
        <w:t>2</w:t>
      </w:r>
      <w:r>
        <w:rPr>
          <w:rtl w:val="true"/>
        </w:rPr>
        <w:t>ـ</w:t>
      </w:r>
      <w:r>
        <w:rPr/>
        <w:t>2</w:t>
      </w:r>
      <w:r>
        <w:rPr>
          <w:rtl w:val="true"/>
        </w:rPr>
        <w:t xml:space="preserve">ـ بررسی فراز </w:t>
      </w:r>
      <w:r>
        <w:rPr>
          <w:rtl w:val="true"/>
        </w:rPr>
        <w:t>«</w:t>
      </w:r>
      <w:r>
        <w:rPr>
          <w:rtl w:val="true"/>
        </w:rPr>
        <w:t>یُحِبُّهُم و یُحبونه</w:t>
      </w:r>
      <w:r>
        <w:rPr>
          <w:rtl w:val="true"/>
        </w:rPr>
        <w:t>»</w:t>
      </w:r>
      <w:bookmarkEnd w:id="229"/>
    </w:p>
    <w:p>
      <w:pPr>
        <w:pStyle w:val="BookText"/>
        <w:rPr/>
      </w:pPr>
      <w:r>
        <w:rPr>
          <w:rFonts w:ascii="IRNazanin" w:hAnsi="IRNazanin" w:eastAsia="IRNazanin"/>
          <w:color w:val="111111"/>
          <w:sz w:val="28"/>
          <w:sz w:val="28"/>
          <w:szCs w:val="28"/>
          <w:rtl w:val="true"/>
          <w:lang w:bidi="fa-IR"/>
        </w:rPr>
        <w:t xml:space="preserve">چنان‌که بیان شد، استناد فخررازی به این فراز و فرازهای بعدی، متوقف بر اثبات این موضوع بود که مراد از این آیه، ابوبکر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ثبت أن المراد بهذه الآیة هو أبوبکر ثبت أن قوله یُحِبُّهُمْ وَ یُحِبُّونَهُ وصف لأبی‌بکر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 اثبات عدم ارتباط آیه با ابوبکر، که پیش‌تر ذکر شد، استناد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فراز و فرازهای بعدی برای اثبات مدعای خود که همان خلافت باشد، کاملاً نادرست و غیر قابل قبول است؛ علاوه بر این، به هیچ وجه نمی‌توان این وصف و دیگر اوصاف والای موجود در آیه را بر ابوبکر و اصحابش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منابع شیعه و اهل‌سنت، این ویژگی را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خیبر به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نیشابوری، بی‌تا،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ابن‌هشام،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طبرانی،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ابن‌سعد،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فردای آن روز، پرچم را به دست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جمله را درباره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جای دیگری نیز که مربوط به فتح یمن بود، تکرار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اعطای این عنوان به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مؤید روایاتی دانسته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محل بحث را بر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اصحابش تطبیق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پس از روایات مزبور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یقوی هذا التأویل أن اللَّه تعالی وصف من عناده بالآیة بأوصاف وجدنا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مستکملا لها بالإجماع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شد، فخررازی برای تطبیق این وصف بر ابوبکر، به دو حدیث نیز استناد می‌کند و آن‌ها را دلیلی بر محبت او به خدا و رسول و محبت خدا و رسول به او می‌داند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یتجلی للناس عامة و یتجلی لأبی‌بکر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روایت، موضوع و جعلی است و در کتبی که خود اهل‌سنت درباره احادیث موضوعه نگاشته‌اند، به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موضوع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ابن‌جوزی در الموضوعات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ذهبی در تلخیص کتاب الموضوعات لابن‌الجوزی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کتاب اللآلی المصنوعة فی الأحادیث الموضوعة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شوکانی در الفوائد المجموعة فی الأحادیث الموضوعة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همه طرق این روایت را جعلی و ضعیف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در لسان‌المیزان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الحدیث له طرق کلها واهیة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ابن‌جوزی بعد از ذکر و بررسی همه طرق این روایت، همین نظر را ابراز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ابن‌جوزی،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دومی هم که فخررازی به آن استناد می‌کند، جعلی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مجدالدین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سفرالسعاده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أشهر المشهورات من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یتجلّی للناس عامّة و لأبی‌بکر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 اللَّه فی صدری شیئاً إلا و صبّه فی صدر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هذا من المفتریات المعلوم بطلانها ببدیهة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فیروزآبادی،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فتنی در تذکرة الموضوعات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شوکانی در الفوائد المجموعة فی الأحادیث الموضوعة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ابن‌جوزی در الموضوعات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این روایت را نیز جعلی و ضعیف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این‌که این دو روایت در موضوع بودن، بسیار مشهورند و در تألیفات پیش از فخررازی نیز به عنوان موضوعات شناخته می‌شده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سیوطی به نقل از خطیب بغدادی به بی‌اصل بودن آن تصریح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نیست که فخررازی با چه انگیزه‌ای برای تأیید مدعای خود به این موضوعات چنگ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گذشت، به هیچ وجه نمی‌توان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ابوبکر و اصحابش تطبیق داد؛ اما نکته قابل ذکر این است که فخررازی این وصف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وصف ابوبکر قلمداد کرده است و برای تأیید آن به دو روایت استشهاد می‌کند، در حالی که این وصف، وصف گروه و جمعیتی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تأمل این‌جاست که با در نظر گرفتن گروه و جمعیتی در کنار ابوبکر در ماجرای پیکار با اهل رده، تطبیق این وصف و اوصاف بعدی بر همه آن‌ها، به مراتب دشوارتر و غیرقابل قبول‌تر می‌شود، چراکه در این پیکار فجایع و ظلم‌هایی به دست خالد‌بن‌ولید و لشکریانش صورت گرفت که نه تنها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بعدی بر آن‌ها صدق نمی‌کند، بلکه تطبیق اوصافی که در نقطه مقابل این اوصاف است، بر آنان سزاوارتر است که در بخش بعد به تفصیل بیان خواهد شد</w:t>
      </w:r>
      <w:r>
        <w:rPr>
          <w:rFonts w:eastAsia="IRNazanin" w:cs="IRNazanin"/>
          <w:color w:val="111111"/>
          <w:sz w:val="28"/>
          <w:szCs w:val="28"/>
          <w:rtl w:val="true"/>
          <w:lang w:bidi="fa-IR"/>
        </w:rPr>
        <w:t>.</w:t>
      </w:r>
      <w:bookmarkStart w:id="230" w:name="pg2638_22617"/>
    </w:p>
    <w:p>
      <w:pPr>
        <w:pStyle w:val="BookText"/>
        <w:rPr/>
      </w:pPr>
      <w:bookmarkEnd w:id="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5"/>
        <w:numPr>
          <w:ilvl w:val="4"/>
          <w:numId w:val="1"/>
        </w:numPr>
        <w:rPr/>
      </w:pPr>
      <w:bookmarkStart w:id="231" w:name="__RefHeading___Toc603941_1395250215"/>
      <w:bookmarkStart w:id="232" w:name="_Toc94"/>
      <w:bookmarkEnd w:id="231"/>
      <w:r>
        <w:rPr/>
        <w:t>2</w:t>
      </w:r>
      <w:r>
        <w:rPr>
          <w:rtl w:val="true"/>
        </w:rPr>
        <w:t>ـ</w:t>
      </w:r>
      <w:r>
        <w:rPr/>
        <w:t>2</w:t>
      </w:r>
      <w:r>
        <w:rPr>
          <w:rtl w:val="true"/>
        </w:rPr>
        <w:t>ـ</w:t>
      </w:r>
      <w:r>
        <w:rPr/>
        <w:t>3</w:t>
      </w:r>
      <w:r>
        <w:rPr>
          <w:rtl w:val="true"/>
        </w:rPr>
        <w:t xml:space="preserve">. </w:t>
      </w:r>
      <w:r>
        <w:rPr>
          <w:rtl w:val="true"/>
        </w:rPr>
        <w:t xml:space="preserve">بررسی فراز </w:t>
      </w:r>
      <w:r>
        <w:rPr>
          <w:rtl w:val="true"/>
        </w:rPr>
        <w:t>«</w:t>
      </w:r>
      <w:r>
        <w:rPr>
          <w:rtl w:val="true"/>
        </w:rPr>
        <w:t>اذِلَّةٍ عَلَی المؤمنینَ أَعِزَّةٍ عَلَی الْکافِرِین</w:t>
      </w:r>
      <w:r>
        <w:rPr>
          <w:rtl w:val="true"/>
        </w:rPr>
        <w:t>»</w:t>
      </w:r>
      <w:bookmarkEnd w:id="232"/>
    </w:p>
    <w:p>
      <w:pPr>
        <w:pStyle w:val="BookText"/>
        <w:rPr/>
      </w:pPr>
      <w:r>
        <w:rPr>
          <w:rFonts w:ascii="IRNazanin" w:hAnsi="IRNazanin" w:eastAsia="IRNazanin"/>
          <w:color w:val="111111"/>
          <w:sz w:val="28"/>
          <w:sz w:val="28"/>
          <w:szCs w:val="28"/>
          <w:rtl w:val="true"/>
          <w:lang w:bidi="fa-IR"/>
        </w:rPr>
        <w:t xml:space="preserve">درباره این فراز از آیه شریفه نیز باید گفت، از آن‌جا که استناد اهل‌سنت به این فراز و فرازهای بعدی، متوقف بر اثبات این موضوع بود که مراد از این آیه ابوبکر باشد، با اثبات عدم ارتباط آیه با ابوبکر، استناد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فراز و فرازهای بعدی برای اثبات مدعای خود، که همان موضوع خلافت باشد، کاملاً نادرست و غیر قابل قبول است؛ علاوه بر این، هرگز نمی‌توان این اوصاف را بر ابوبکر و اصحابش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خالدبن‌ولید و سربازانش درباره مالک‌بن‌نویره و قبیله‌اش و عدم مجازات آن‌ها توسط ابوبکر، گواه روشنی بر این مطلب است که منابع معتبر اهل‌سنت نیز به آن اعتراف کرده‌اند، اگرچه عده‌ای نیز سعی کرده‌اند تا این جنایات را توجیه کنند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نکته قابل ذکر این است که همه کسانی که ابوبکر با آن‌ها جنگ کرد، مرتد و کافر نبودند، بلکه بعضی از آن‌ها همچون مالک‌بن‌نویره و قبیله‌اش مسلمانانی بودند که با خلافت ابوبکر و اعطای زکات به او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ابن‌حزم اندلسی در کتاب المحلی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اختلاف حنفی‌ها و شافعی‌ها در این‌که اینان حکم مرتد را ندارند،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درباره ایمان مالک و عدم ارتداد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به اسلام مالک‌بن‌نویره شهادت داده بود، ابوقتادة‌بن‌ربعی، برادر بنی‌سلمه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خداوند عهد کرده بود که بعد از این ماجرا در هیچ جنگی با خالد‌بن‌ولید شرکت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متقی هندی علاوه بر ابوقتاده، عبد‌الله‌بن‌عمر را نیز از کسانی برمی‌شمارد که به ایمان و اسلام مالک شهادت می‌داده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متقی‌هندی،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مالک‌بن‌نویره مرتد نشده بود و ابوقتاده و عبد‌الله‌بن‌عمر نیز بر مسلمان بودن او شهادت داده بودند و نیز وی به خاطر ارتداد و یا ندادن زکات کشته نشد، بلکه چشم ناپاک خالد‌بن‌ولید به همسر زییای مالک افتاد و زیبایی همسر مالک باعث شد که خالد تصمیم به قتل مالک و تمامی مردان قبیله‌اش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ذکر شد معلوم می‌شود، کسانی که مسلمان و صحابی بزرگ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وضع بسیار فجیع می‌کشند، زنان مسلمان را اسیر و فروج آن‌ها را بر لشکریانش مباح می‌کنند،</w:t>
      </w:r>
      <w:bookmarkStart w:id="233" w:name="pg2638_22618"/>
    </w:p>
    <w:p>
      <w:pPr>
        <w:pStyle w:val="BookText"/>
        <w:rPr/>
      </w:pPr>
      <w:bookmarkEnd w:id="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هرگز نمی‌توانند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خداوند، مسلمین را به آمدن چنین قومی بشارت داده باشد؟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234" w:name="__RefHeading___Toc603943_1395250215"/>
      <w:bookmarkStart w:id="235" w:name="_Toc95"/>
      <w:bookmarkEnd w:id="234"/>
      <w:r>
        <w:rPr/>
        <w:t>2</w:t>
      </w:r>
      <w:r>
        <w:rPr>
          <w:rtl w:val="true"/>
        </w:rPr>
        <w:t>ـ</w:t>
      </w:r>
      <w:r>
        <w:rPr/>
        <w:t>2</w:t>
      </w:r>
      <w:r>
        <w:rPr>
          <w:rtl w:val="true"/>
        </w:rPr>
        <w:t>ـ</w:t>
      </w:r>
      <w:r>
        <w:rPr/>
        <w:t>4</w:t>
      </w:r>
      <w:r>
        <w:rPr>
          <w:rtl w:val="true"/>
        </w:rPr>
        <w:t xml:space="preserve">ـ بررسی فراز </w:t>
      </w:r>
      <w:r>
        <w:rPr>
          <w:rtl w:val="true"/>
        </w:rPr>
        <w:t>«</w:t>
      </w:r>
      <w:r>
        <w:rPr>
          <w:rtl w:val="true"/>
        </w:rPr>
        <w:t>یُجاهِدُونَ فی سبیل اللَّهِ وَ لا یَخافُونَ لَوْمَةَ لائِم</w:t>
      </w:r>
      <w:r>
        <w:rPr>
          <w:rtl w:val="true"/>
        </w:rPr>
        <w:t>»</w:t>
      </w:r>
      <w:bookmarkEnd w:id="235"/>
    </w:p>
    <w:p>
      <w:pPr>
        <w:pStyle w:val="BookText"/>
        <w:rPr/>
      </w:pPr>
      <w:r>
        <w:rPr>
          <w:rFonts w:ascii="IRNazanin" w:hAnsi="IRNazanin" w:eastAsia="IRNazanin"/>
          <w:color w:val="111111"/>
          <w:sz w:val="28"/>
          <w:sz w:val="28"/>
          <w:szCs w:val="28"/>
          <w:rtl w:val="true"/>
          <w:lang w:bidi="fa-IR"/>
        </w:rPr>
        <w:t xml:space="preserve">علاوه بر آنچه درباره فرازهای پیشین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با اثبات عدم ارتباط آیه با ابوبکر، استناد اهل‌سنت، به‌خصوص فخررازی به این فرازها برای اثبات مدعای خود که همان خلافت باشد، کاملاً نادرست و غیر قابل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تطبیق این فراز بر ابوبکر واضح‌تر از موارد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تاریخی، ابوبکر در هیچ پیکار و جهادی اثرگذار نبوده و نقش برجسته‌ای نداشته و به فردی شجاع در میدان مبارزه شناخته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به نقل از استادش ابوجعفر اسکافی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لم‌یرم ابوبکر بسهم قط و لاسلّ سیفاً و لااراق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نه هیچ گاه تیری انداخت، نه شمشیری کشید و نه خونی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بی‌تا،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مسلمات تاریخ است که ابوبکر در جنگ‌های متعدد و مهمی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میدان جهاد فی سبیل‌الله فرار کرد و از خود پایداری و استقامت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خیبر و حنین بهترین شاهد برای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کتاب تاریخ الاسلام به اندوه ابوبکر پس از غزوه احد و این‌که او اولین نفری بود که پس از فرار رجوع کرد،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ابن‌ابی‌الحدید، بی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ابوبکر و عمر در جنگ خیبر نیز در منابع معتبر اهل‌سنت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حنین نیز به‌جز چند نفر معدود که در کنار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 و اسامی آنان در تاریخ ضبط است، همگی فرار کردند که ابوبکر هم جزو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ابن‌عبدالبر،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صالحی‌شامی، بی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در جنگ بدر نیز رشادت و شجاعتی از خود نشان نداد و به جای مبارزه با کفار در عریش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اگرچه بعضی خواسته‌اند این موضوع را توجیه کرده یا حتی منقبتی خاص برای او به شمار آورند</w:t>
      </w:r>
      <w:r>
        <w:rPr>
          <w:rFonts w:eastAsia="IRNazanin" w:cs="IRNazanin"/>
          <w:color w:val="111111"/>
          <w:sz w:val="28"/>
          <w:szCs w:val="28"/>
          <w:rtl w:val="true"/>
          <w:lang w:bidi="fa-IR"/>
        </w:rPr>
        <w:t>.</w:t>
      </w:r>
      <w:r>
        <w:rPr>
          <w:rStyle w:val="FootnoteAnchor"/>
          <w:rtl w:val="true"/>
        </w:rPr>
        <w:footnoteReference w:id="64"/>
      </w:r>
      <w:bookmarkStart w:id="236" w:name="pg2638_22619"/>
    </w:p>
    <w:p>
      <w:pPr>
        <w:pStyle w:val="BookText"/>
        <w:rPr/>
      </w:pPr>
      <w:bookmarkEnd w:id="2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از آنچه تاکنون بیان شد، به خوبی روشن می‌شود که ابوبکر به هیچ وجه نمی‌تواند مصداق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 وَ لا 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عجیب این است که با وجود این همه شواهد بر عدم شجاعت و رشادت ابوبکر، آن هم بعد از هجرت و گسترش اسلام و مسلمین، فخررازی حظّ ابوبکر در جهاد با کفار را از حظّ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بیشتر می‌داند، چراکه جهاد ابوبکر با کفار در اوایل بعثت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مجاهدة أبی‌بکر مع الکفار کانت فی أول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همگان می‌دانند که مسلمین به دلیل شرایط خاص مکه، پیش از هجرت، جهادی با کفار انجام ندادند و مطابق با صریح آیات قرآن کریم، مأمور به صفح و عفو بودند</w:t>
      </w:r>
      <w:r>
        <w:rPr>
          <w:rFonts w:eastAsia="IRNazanin" w:cs="IRNazanin"/>
          <w:color w:val="111111"/>
          <w:sz w:val="28"/>
          <w:szCs w:val="28"/>
          <w:rtl w:val="true"/>
          <w:lang w:bidi="fa-IR"/>
        </w:rPr>
        <w:t>.</w:t>
      </w:r>
    </w:p>
    <w:p>
      <w:pPr>
        <w:pStyle w:val="Heading5"/>
        <w:numPr>
          <w:ilvl w:val="4"/>
          <w:numId w:val="1"/>
        </w:numPr>
        <w:rPr/>
      </w:pPr>
      <w:bookmarkStart w:id="237" w:name="__RefHeading___Toc603945_1395250215"/>
      <w:bookmarkStart w:id="238" w:name="_Toc96"/>
      <w:bookmarkEnd w:id="237"/>
      <w:r>
        <w:rPr/>
        <w:t>2</w:t>
      </w:r>
      <w:r>
        <w:rPr>
          <w:rtl w:val="true"/>
        </w:rPr>
        <w:t>ـ</w:t>
      </w:r>
      <w:r>
        <w:rPr/>
        <w:t>2</w:t>
      </w:r>
      <w:r>
        <w:rPr>
          <w:rtl w:val="true"/>
        </w:rPr>
        <w:t>ـ</w:t>
      </w:r>
      <w:r>
        <w:rPr/>
        <w:t>5</w:t>
      </w:r>
      <w:r>
        <w:rPr>
          <w:rtl w:val="true"/>
        </w:rPr>
        <w:t xml:space="preserve">. </w:t>
      </w:r>
      <w:r>
        <w:rPr>
          <w:rtl w:val="true"/>
        </w:rPr>
        <w:t xml:space="preserve">بررسی فراز </w:t>
      </w:r>
      <w:r>
        <w:rPr>
          <w:rtl w:val="true"/>
        </w:rPr>
        <w:t>«</w:t>
      </w:r>
      <w:r>
        <w:rPr>
          <w:rtl w:val="true"/>
        </w:rPr>
        <w:t>ذلِک فَضْلُ اللَّهِ یُؤْتِیهِ مَن یَشاءُ</w:t>
      </w:r>
      <w:r>
        <w:rPr>
          <w:rtl w:val="true"/>
        </w:rPr>
        <w:t>»</w:t>
      </w:r>
      <w:bookmarkEnd w:id="238"/>
    </w:p>
    <w:p>
      <w:pPr>
        <w:pStyle w:val="BookText"/>
        <w:rPr/>
      </w:pPr>
      <w:r>
        <w:rPr>
          <w:rFonts w:ascii="IRNazanin" w:hAnsi="IRNazanin" w:eastAsia="IRNazanin"/>
          <w:color w:val="111111"/>
          <w:sz w:val="28"/>
          <w:sz w:val="28"/>
          <w:szCs w:val="28"/>
          <w:rtl w:val="true"/>
          <w:lang w:bidi="fa-IR"/>
        </w:rPr>
        <w:t>با توجه به مطالب پیش‌گفته، این فراز از آیه نیز ارتباطی با ابوبکر ندارد؛ لذا جایی برای ادعای فخررازی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لائق بأبی‌بکر لأنه متأکد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لایَأْتَلِ أُولُوا الْفَضْلِ مِنْکُمْ وَ السَّعَةِ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بنابراین، از دیدگاه شیعه این آیه با ابوبکر و اصحابش و پیکار آنان با اهل رده ارتباطی ندارد و این آیه شریفه، گویای فضیلت و منقبتی برای آن‌ها</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تفاسیر شیعه، این آیه و اوصاف والای آن بر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تطبیق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شیخ مفید و تعدادی دیگر از مفسران شیعه با دلایل متعددی، این آیه را بر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اصحابش تطبیق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تطبیق اوصاف ذکرشده در آیه بر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تأییدی بر این روایات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 در روایات و تفاسیر شیعه، این آیه بر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اصحابش نیز تطبیق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به نقل از قمی، این قول را ذکر کرده و سپس مؤیدی بر آن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مهدی موعود و اصحاب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آیه، خطاب است به کسانی که درباره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آن‌ها را کشتند و حقشان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قول را تأیید کنیم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خداوند به آوردن آن‌ها وعده می‌دهد، باید در وقت نازل شدن آیه، موجود نباشند؛ بنابراین، شامل تمام کسانی که تا روز قیامت، بر این صفاتند،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bookmarkStart w:id="239" w:name="pg2638_22620"/>
    </w:p>
    <w:p>
      <w:pPr>
        <w:pStyle w:val="BookText"/>
        <w:rPr/>
      </w:pPr>
      <w:bookmarkEnd w:id="2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عیاشی نیز به نقل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روایتی در همین رابطه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که در تفسیر آیه وارد شده با هم تعارض ندارند، زیرا این آیه همان‌گونه که سیره قرآن است، مفهومی کلی و جامع را بیان می‌کند که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همراه اصحابشان، مصداق‌های مهم آن هستند</w:t>
      </w:r>
      <w:r>
        <w:rPr>
          <w:rStyle w:val="FootnoteAnchor"/>
          <w:rtl w:val="true"/>
        </w:rPr>
        <w:footnoteReference w:id="65"/>
      </w:r>
      <w:r>
        <w:rPr>
          <w:rFonts w:ascii="IRNazanin" w:hAnsi="IRNazanin" w:eastAsia="IRNazanin"/>
          <w:color w:val="111111"/>
          <w:sz w:val="28"/>
          <w:sz w:val="28"/>
          <w:szCs w:val="28"/>
          <w:rtl w:val="true"/>
          <w:lang w:bidi="fa-IR"/>
        </w:rPr>
        <w:t>چنان‌که طبرسی در عبارت مذکور بعد از ذکر هردو روایت، قائل شد به این‌که این آیه، شامل تمام کسانی که تا روز قیامت بر این صفاتند،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و قمی‌مشهدی نیز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الرّوایتین علی ما حقّقناه فی المقدمات من جواز التعمیم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قمی‌مشهدی،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شریف‌لاهیجی،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Heading3"/>
        <w:numPr>
          <w:ilvl w:val="2"/>
          <w:numId w:val="1"/>
        </w:numPr>
        <w:rPr/>
      </w:pPr>
      <w:bookmarkStart w:id="240" w:name="__RefHeading___Toc603947_1395250215"/>
      <w:bookmarkStart w:id="241" w:name="_Toc97"/>
      <w:bookmarkEnd w:id="240"/>
      <w:r>
        <w:rPr>
          <w:rtl w:val="true"/>
        </w:rPr>
        <w:t>نتیجه</w:t>
      </w:r>
      <w:bookmarkEnd w:id="2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آنچه تا کنون گفته شد نتیجه می‌گیریم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ارتباطی با ابوبکر و مبارزه او با اهل رده ندارد و اوصاف ذکرشده در آیه، بر او و اصحابش تطبیق نمی‌کند و اقوال مفسران اهل‌سنت در این رابطه با تعارضات متعددی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مورد نظر آنان نیز از حیث سند و دلالت، نادرست و غیرقابل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مفهومی کلی و جامع را بیان می‌کند که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همراه اصحابشان از مصادیق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مطلب مزبور، اشکال چهارم فخررازی به آیه ولایت، نادرست و باطل خواهد بود و برخلاف ادعای وی، نه تنها تناقضی میان آیه ولایت و آیه قبل وجود ندارد، بلکه میان این دو آیه، کاملاً هماهنگی و هم‌سویی مشاهده می‌شود</w:t>
      </w:r>
      <w:r>
        <w:rPr>
          <w:rFonts w:eastAsia="IRNazanin" w:cs="IRNazanin"/>
          <w:color w:val="111111"/>
          <w:sz w:val="28"/>
          <w:szCs w:val="28"/>
          <w:rtl w:val="true"/>
          <w:lang w:bidi="fa-IR"/>
        </w:rPr>
        <w:t>.</w:t>
      </w:r>
      <w:bookmarkStart w:id="242" w:name="pg2638_22621"/>
    </w:p>
    <w:p>
      <w:pPr>
        <w:pStyle w:val="BookText"/>
        <w:rPr/>
      </w:pPr>
      <w:bookmarkEnd w:id="2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3" w:name="__RefHeading___Toc603949_1395250215"/>
      <w:bookmarkStart w:id="244" w:name="_Toc98"/>
      <w:bookmarkEnd w:id="243"/>
      <w:r>
        <w:rPr>
          <w:rtl w:val="true"/>
        </w:rPr>
        <w:t>منابع</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ابن‌حبان، محمد،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المجروحین من المحدثین و الضعفاء و المتروکین، حلب، دارالوعی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اصبهانی، ابونعیم احمد‌بن‌عبد‌الله‌بن‌احمد،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الضعفاء، بیروت، دار‌الثقافة، الدار‌البیضاء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ابن‌ابی‌حاتم، عبدالرحمن‌بن‌محمد،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الجرح و التعدیل، بی‌جا،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عربستان سعودی، مکتبة نزار مصطفی الباز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ابو‌حامد عبد‌الحمید‌بن‌هبة‌الله،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بی‌جا، دار‌احیاء الکتب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ابن‌تیمیة الحرانی، احمد‌بن‌عبد‌الحلیم،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السنة النبویة، بی‌جا، مؤسسة قرطبه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ابن‌العربی، محمد‌بن‌عبدالله‌بن‌ابوبکر،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القرآن، بی‌جا،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ابن‌جزی غرناطی، محمد‌بن‌احمد،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التسهیل لعلوم التنزیل، بیروت، شرکت دار‌الارقم بن ابی‌الارقم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ابن‌جوزی، ابوالفرج عبدالرحمن‌بن‌علی،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 المسیر فی علم التفسیر،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الموضوعات،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شهاب الدین ابوالعباس احمد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الصواعق المحرقة علی أهل الرفض و الضلال و الزندقة، بیروت، مؤسسة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العسقلانی، ابو‌الفضل احمد‌بن‌علی،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لسان‌المیزان، بیروت، مؤسسة الأعلمی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ابن‌حزم الاندلسی، ابومحمد علی‌بن‌احمد،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المحلی، مدینه، دارالفکر للطباعة و النشر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ابن‌سعد،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بیروت، دار‌الکتب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ابن‌سید‌الناس، أبو‌الفتح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الاثر فی فنون المغازی و الشمائل و السیر، بیروت، دارالقلم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ابن‌عاشور، محمد‌بن‌طاهر،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التحریر و التنویر، بی‌جا،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ابن‌عبد‌البر، أبو‌عمر یوسف‌بن‌عبد‌الله‌بن‌محمد،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فی معرفة الأصحاب، بیروت، 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ابوالقاسم علی‌بن‌الحسن،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ابن‌عطیه اندلسی، عبدالحق‌بن‌غالب،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المحرر الوجیز فی تفسیر الکتاب العزیز، بیروت، دارالکتب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دمشقی، اسماعیل‌بن‌عمر،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ابن‌هشام،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النبویة،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ابوحیان محمد‌بن‌یوسف،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البحر المحیط فی التفسیر،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تهران، بنیاد بعثت،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محمد‌بن‌اسماعیل،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البخاری، موقع وزارة الأوقاف المصریة،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محمد‌حسین،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 الجلی فی اثبات ولایة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مشهد،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علاء‌الدین علی‌بن‌محمد،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التأویل فی معانی التنزیل،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حسین‌بن‌مسعود،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التنزیل فی تفسیر القرآن،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احمد‌بن‌یحیی‌بن‌جابر،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ریاض زرکلی،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فتوح البلدان،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محمد رضوان،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عبدالله‌بن‌عمر،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أنوار التنزیل و أسرار التأویل،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ثعلبی‌نیشابوری، ابو‌اسحاق احمد‌بن‌ابراهیم،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الکشف و البیان عن تفسیر القرآن، بیروت، دارإحیاء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میرسیدشریف،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جصاص، احمد‌بن‌علی،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القرآن،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عبدعلی‌بن‌جمعه،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نورالثقلین، قم،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شمس‌الدین محمد‌بن‌احمد،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و وفیات المشاهیر و الأعلام،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تدمری، بیروت، دارالکتاب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أعلام النبلاء، قاهره،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فی نقد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المجلد، بیروت، دار‌المعرفة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کتاب الموضوعات، بی‌جا، مکتبه الرشد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محمد‌بن‌عمر،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الاربعین فی اصول الدین، قاهره، مکتبة الکلیات الازهریه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سورآبادی، ابوبکر عتیق‌بن‌محمد،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سورآبادی، تهران، فرهنگ نشر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تفسیر المأثور، قم، کتاب‌خانه آیة‌الله مرعشی‌نجفی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اللآلیء المصنوعة فی الأحادیث الموضوعة،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سید‌عبد‌الله،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الکریم، بیروت، دار‌البلاغة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شریف‌لاهیجی، محمد‌بن‌علی،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شریف لاهیجی، تهران، دفتر نشر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نورالله،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الصوارم المهرقة، تهران، نهضت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محمد‌بن‌علی،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القدیر، دمشق و بیروت، دار ابن‌کثیر و دار‌الکلم الطیب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محمد‌بن‌علی،</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المجموعة فی الأحادیث الموضوعة، بیروت، المکتب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محمد‌بن‌محمد،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الافصاح فی الامامة، قم، المؤتمر العالمی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صالحی‌الشامی، محمد‌بن‌یوسف،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سبل الهدی و الرشاد فی سیرة خیر العباد،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سلیمان‌بن‌احمد،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موصل، مکتبۀ العلوم و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فضل‌بن‌حسن،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ناصرخسرو،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جوامع الجامع،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محمد‌بن‌جریر،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 دارالتراث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الشیخین فی التفسیر و الحدیث، قم، دلیل ما،</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حسین‌بن‌عبد‌الصمد،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وصول الاخیار الی اصول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السید‌عبد‌اللطیف الکوه‌کمری، قم، مجمع الذخائر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شرف‌الدین،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اجتهاد در مقابل نص،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عقیلی، ابوجعفر محمد‌بن‌عمر‌بن‌موسی،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الضعفاء الکبیر، بیروت، دارالمکتبة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محمد‌بن‌مسعود،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التفسیر، تهران، چاپخانه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 جمال‌الدین،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محاسن التأویل، بیروت، دارالکتب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محمد‌بن‌احمد،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لأحکام القرآن، تهران، 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علی‌بن‌ابراهیم،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قم،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قمی‌مشهدی، محمدبن‌محمدرضا،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کنز‌الدقائق و بحر‌الغرائب، تهران، سازمان چاپ و انتشارات وزارت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ملامحسن،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الصافی، تهران،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فتح‌الله،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الصادقین فی الزام المخالفین، تهران، کتاب‌فروشی محمدحسن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کیا‌هراسی، ابوالحسن علی‌بن‌محمد،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القرآن،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عبد‌الرزاق‌بن‌علی،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مراد، تهران، سایه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متقی‌هندی، علاء‌الدین علی‌بن‌حسام‌الدین،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کنز‌العمال فی سنن الأقوال و الأفعال، مدینه، مؤسسة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مراغی، احمد‌بن‌مصطفی،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المراغی، بیروت، داراحیاء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 یوسف‌بن‌الزکی عبدالرحمن أبو‌الحجاج،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الکمال، بیروت، مؤسسة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تقی‌الدین احمد‌بن‌علی،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إمتاع الأسماع بما للنبی من الأحوال و الأموال و الحفدة و المتاع،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الولایة فی القران، قم، مدرسۀ الامام علی‌بن‌ابی‌طالب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قم، مدرسۀ الامام علی‌بن‌ابی‌طالب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رشیدالدین احمد‌بن‌ابی‌سعد،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کشف‌الأسرار و عدة‌الأبرار،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احمد‌بن‌شعیب أبو‌عبدالرحمن،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الضعفاء و المتروکین، حلب، دارالوعی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نظام‌الدین حسن‌بن‌محمد،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غرائب القرآن و رغائب الفرقان،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محمد‌بن‌عبدالله،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مسلم‌بن‌الحجاج،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بیروت، دارإحیاء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نور‌الدین علی‌بن‌أبی‌بکر،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الزوائد و منبع الفوائد،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احمد‌بن‌ابی‌یعقوب‌بن‌جعفر،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الیعقوبی، بیروت، دارصادر</w:t>
      </w:r>
      <w:r>
        <w:rPr>
          <w:rFonts w:eastAsia="IRNazanin" w:cs="IRNazanin"/>
          <w:color w:val="111111"/>
          <w:sz w:val="28"/>
          <w:szCs w:val="28"/>
          <w:rtl w:val="true"/>
          <w:lang w:bidi="fa-IR"/>
        </w:rPr>
        <w:t>.</w:t>
      </w:r>
      <w:bookmarkStart w:id="245" w:name="pg2638_22625"/>
    </w:p>
    <w:p>
      <w:pPr>
        <w:pStyle w:val="BookText"/>
        <w:rPr/>
      </w:pPr>
      <w:bookmarkEnd w:id="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2"/>
        <w:numPr>
          <w:ilvl w:val="1"/>
          <w:numId w:val="1"/>
        </w:numPr>
        <w:rPr/>
      </w:pPr>
      <w:bookmarkStart w:id="246" w:name="__RefHeading___Toc603951_1395250215"/>
      <w:bookmarkStart w:id="247" w:name="_Toc99"/>
      <w:bookmarkEnd w:id="246"/>
      <w:r>
        <w:rPr>
          <w:rtl w:val="true"/>
        </w:rPr>
        <w:t xml:space="preserve">جریان‌شناسی فکری امامیه در خراسان و ماوراءالنهر </w:t>
      </w:r>
      <w:r>
        <w:rPr>
          <w:rtl w:val="true"/>
        </w:rPr>
        <w:t>(</w:t>
      </w:r>
      <w:r>
        <w:rPr>
          <w:rtl w:val="true"/>
        </w:rPr>
        <w:t>از آستانه غیبت صغری تا عصر شیخ صدوق</w:t>
      </w:r>
      <w:r>
        <w:rPr>
          <w:rtl w:val="true"/>
        </w:rPr>
        <w:t>)</w:t>
      </w:r>
      <w:bookmarkEnd w:id="247"/>
    </w:p>
    <w:p>
      <w:pPr>
        <w:pStyle w:val="Heading3"/>
        <w:numPr>
          <w:ilvl w:val="2"/>
          <w:numId w:val="1"/>
        </w:numPr>
        <w:rPr/>
      </w:pPr>
      <w:bookmarkStart w:id="248" w:name="__RefHeading___Toc603953_1395250215"/>
      <w:bookmarkStart w:id="249" w:name="_Toc100"/>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محمدتقی سبحانی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سیداکبر موسوی تنیانی</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1392/08/25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1392/12/07</w:t>
      </w:r>
    </w:p>
    <w:p>
      <w:pPr>
        <w:pStyle w:val="Heading3"/>
        <w:numPr>
          <w:ilvl w:val="2"/>
          <w:numId w:val="1"/>
        </w:numPr>
        <w:rPr/>
      </w:pPr>
      <w:bookmarkStart w:id="250" w:name="__RefHeading___Toc603955_1395250215"/>
      <w:bookmarkStart w:id="251" w:name="_Toc101"/>
      <w:bookmarkEnd w:id="250"/>
      <w:r>
        <w:rPr>
          <w:rtl w:val="true"/>
        </w:rPr>
        <w:t>چکیده</w:t>
      </w:r>
      <w:bookmarkEnd w:id="251"/>
    </w:p>
    <w:p>
      <w:pPr>
        <w:pStyle w:val="BookText"/>
        <w:rPr/>
      </w:pPr>
      <w:r>
        <w:rPr>
          <w:rFonts w:ascii="IRNazanin" w:hAnsi="IRNazanin" w:eastAsia="IRNazanin"/>
          <w:color w:val="111111"/>
          <w:sz w:val="28"/>
          <w:sz w:val="28"/>
          <w:szCs w:val="28"/>
          <w:rtl w:val="true"/>
          <w:lang w:bidi="fa-IR"/>
        </w:rPr>
        <w:t>پس از افول مدرسه فکری کوفه در اواخر قرن دوم، میراث علمی این مدرسه به دیگر نقاط امامی‌نشین انتقال یافت که منطقه مهم خراسان و ماوراءالنهر، یکی از آن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معاصر، به طور جامع و مستقل به جریان‌های فکری این منطقه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پیش رو سعی شده است جریان‌های حاضر در خراسان و ماوراءالنهر در بازه زمانی غیبت صغرا تا عصر شیخ صدوق، شناسایی و تا حد امکان ارتباط آن‌ها با محیط علمی کوفه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نشان می‌دهد، برخی از نحله‌های فکری موجود در خراسان و ماوراءالنهر، مانند جریان کلامی و فقهی هشام‌بن‌حکم و یونس‌بن‌عبدالرحمن و جریان حدیث‌محور و نیز جریان متهمان به غلو، ریشه در مدرسه کوفه دارند و این گروه‌ها پس از مدتی، از خراسان به مناطق دیگری چون عراق و قم ورود پیدا کردند؛ البته برخی از جریان‌ها، مانند امامیان اعتزال‌گرا در این برهه، جریانی نوظهور در خراسان به شمار می‌آیند</w:t>
      </w:r>
      <w:r>
        <w:rPr>
          <w:rFonts w:eastAsia="IRNazanin" w:cs="IRNazanin"/>
          <w:color w:val="111111"/>
          <w:sz w:val="28"/>
          <w:szCs w:val="28"/>
          <w:rtl w:val="true"/>
          <w:lang w:bidi="fa-IR"/>
        </w:rPr>
        <w:t>.</w:t>
      </w:r>
    </w:p>
    <w:p>
      <w:pPr>
        <w:pStyle w:val="Heading3"/>
        <w:numPr>
          <w:ilvl w:val="2"/>
          <w:numId w:val="1"/>
        </w:numPr>
        <w:rPr/>
      </w:pPr>
      <w:bookmarkStart w:id="252" w:name="__RefHeading___Toc603957_1395250215"/>
      <w:bookmarkStart w:id="253" w:name="_Toc102"/>
      <w:bookmarkEnd w:id="252"/>
      <w:r>
        <w:rPr>
          <w:rtl w:val="true"/>
        </w:rPr>
        <w:t>واژگان کلیدی</w:t>
      </w:r>
      <w:bookmarkEnd w:id="25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ماوراءالنهر، جریان‌های فکری، جریان کلامی، جریان حدیث‌گرا، اعتزال‌گرایان امامی</w:t>
      </w:r>
      <w:r>
        <w:rPr>
          <w:rFonts w:eastAsia="IRNazanin" w:cs="IRNazanin"/>
          <w:color w:val="111111"/>
          <w:sz w:val="28"/>
          <w:szCs w:val="28"/>
          <w:rtl w:val="true"/>
          <w:lang w:bidi="fa-IR"/>
        </w:rPr>
        <w:t>.</w:t>
      </w:r>
      <w:bookmarkStart w:id="254" w:name="pg2638_22626"/>
    </w:p>
    <w:p>
      <w:pPr>
        <w:pStyle w:val="BookText"/>
        <w:rPr/>
      </w:pPr>
      <w:bookmarkEnd w:id="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3"/>
        <w:numPr>
          <w:ilvl w:val="2"/>
          <w:numId w:val="1"/>
        </w:numPr>
        <w:rPr/>
      </w:pPr>
      <w:bookmarkStart w:id="255" w:name="__RefHeading___Toc603959_1395250215"/>
      <w:bookmarkStart w:id="256" w:name="_Toc103"/>
      <w:bookmarkEnd w:id="255"/>
      <w:r>
        <w:rPr>
          <w:rtl w:val="true"/>
        </w:rPr>
        <w:t>درآمد</w:t>
      </w:r>
      <w:bookmarkEnd w:id="256"/>
    </w:p>
    <w:p>
      <w:pPr>
        <w:pStyle w:val="BookText"/>
        <w:rPr/>
      </w:pPr>
      <w:r>
        <w:rPr>
          <w:rFonts w:ascii="IRNazanin" w:hAnsi="IRNazanin" w:eastAsia="IRNazanin"/>
          <w:color w:val="111111"/>
          <w:sz w:val="28"/>
          <w:sz w:val="28"/>
          <w:szCs w:val="28"/>
          <w:rtl w:val="true"/>
          <w:lang w:bidi="fa-IR"/>
        </w:rPr>
        <w:t>در تاریخ اندیشه امامیه، هماره جریان‌هایی با نگره‌های گوناگون کلامی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اول قرن دوم هجری، کوفه ـ مهم‌ترین پایگاه امامیه ـ یکی از مراکز پرآوازه و مهم، جهت تبادل افکار و اندیشه اسلامی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دانش‌پرور کوفه، جریان‌های مختلف امامی ظهور یافته و در عرصه‌های مهم تفکر امامیه، نظریات خویش را در راستای تبیین و دفاع از آموزه‌های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کلامی‌ای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متکلمان ـ محدث و محدثان با محوریت اصحاب بزرگ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هشام‌بن‌سالم، هشام‌بن‌حکم و دیگران در کوفه شکل گرفت و هم‌چنین خط متهمان به غلو و جریان غالیان نیز در کوفه فعال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کرباسی،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پس از افول مدرسه کوفه، جریان‌های موجود در آن دیار نیز کم‌فروغ گردیدند، اندیشه و مبانی فکری این گروه‌ها در سایر مراکز با فراز و نشیبی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اسلامی، به‌ویژه منطقه خراسان و ماوراءالنهر یکی از آن مناطق است که جریان‌های مختلف امامی در آن ادامه حیات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این منطقه در تحولات سیاسی و فرهنگی در جهان اسلام، بسیار نقش‌آفرین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خراسان ضمن جای دادن بسیاری از نحله های فکری و مکاتب فرهنگی، حجم قابل توجهی از فرآوردهای علمی و محصولات فرهنگی مسلمانان را نیز به خود اختصاص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نیز همانند سایر مذاهب و فرقه‌ها در آن‌جا سابقه‌ای کهن داشت و فعالیت‌های اثرگذار شیعیان خراسانی و ماوراءالنهری در تاریخ امامیه انکارناپذیر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مطالعات و پژوهش‌های معاصر کمتر به نقش‌آفرینی و جایگاه ممتاز امامیان این سامان در تاریخ فکر امامیه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پیش‌رو در پی یافتن پاسخ برای چند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منطقه نیز همانند سایر مراکز امامی‌نشین، نحله‌های گوناگون امامیه فعال بوده‌اند؟ چه جریان‌هایی از امامیه در خراسان و ماورالنهر حضور داشته است؟ چه خط فکری بیش از پیش در میان شیعیان امامی این دیار، گسترش داشته است؟ به نظر می‌رسد، پس از افول مدرسه کوفه که جریان‌های گوناگون امامی را در خود جای داده بود، این جریان‌ها به دیگر مناطق امامی دیگر انتقال یافت و می‌توان حضور، فعالیت و تأثیر بسیاری از این جریان‌های فکری را در سایر مراکز امامیه، از جمله خراسان و ماوراءالنهر دنبال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پرسش‌های یادشده و اثبات فرضیه، محدوده زمانی آستانه غیبت صغرا تا عصر شیخ صدوق تحلیل و بررسی می‌شود، چراکه تقریباً در دهه‌های پایانی نیمه اول قرن سوم با</w:t>
      </w:r>
      <w:bookmarkStart w:id="257" w:name="pg2638_22627"/>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سرازیری سریع میراث فکری کوفیان به خراسان و ماوراءالنهر، کانون فکری و فرهنگی امامیه در آن سامان، شکل سازمان‌یافته‌ای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دوم قرن چهارم هم‌چنان حوزه فکری امامیه در خراسان و ماوراءالنهر فعال و پویا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شیخ صدوق، عالم برجسته امامی، ضمن سفرهای متعدد، بخشی از میراث روایی آن‌جا را به قم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چرایی و علل افول کانون فکری خراسان و ماوراءالنهر، مجال دیگری می‌طلبد که در رسالت این نوشتار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این پژوهش، پهنه جغرافیایی خراسان و ماوراءالنهر قدیم مدنظر است که خراسان بزرگ، شهرهایی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هرات، فاریاب و بلخ را در بر می‌گرفته است و ماوراءالنهر نیز شامل شهرهایی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بخارا، کَش و خُتَل می‌شده است</w:t>
      </w:r>
      <w:r>
        <w:rPr>
          <w:rFonts w:eastAsia="IRNazanin" w:cs="IRNazanin"/>
          <w:color w:val="111111"/>
          <w:sz w:val="28"/>
          <w:szCs w:val="28"/>
          <w:rtl w:val="true"/>
          <w:lang w:bidi="fa-IR"/>
        </w:rPr>
        <w:t>.</w:t>
      </w:r>
    </w:p>
    <w:p>
      <w:pPr>
        <w:pStyle w:val="Heading3"/>
        <w:numPr>
          <w:ilvl w:val="2"/>
          <w:numId w:val="1"/>
        </w:numPr>
        <w:rPr/>
      </w:pPr>
      <w:bookmarkStart w:id="258" w:name="__RefHeading___Toc603961_1395250215"/>
      <w:bookmarkStart w:id="259" w:name="_Toc104"/>
      <w:bookmarkEnd w:id="258"/>
      <w:r>
        <w:rPr>
          <w:rtl w:val="true"/>
        </w:rPr>
        <w:t>تاریخچه امامیه در خراسان و ماورا النهر</w:t>
      </w:r>
      <w:bookmarkEnd w:id="259"/>
    </w:p>
    <w:p>
      <w:pPr>
        <w:pStyle w:val="Heading4"/>
        <w:numPr>
          <w:ilvl w:val="3"/>
          <w:numId w:val="1"/>
        </w:numPr>
        <w:rPr/>
      </w:pPr>
      <w:bookmarkStart w:id="260" w:name="__RefHeading___Toc603963_1395250215"/>
      <w:bookmarkStart w:id="261" w:name="_Toc105"/>
      <w:bookmarkEnd w:id="260"/>
      <w:r>
        <w:rPr>
          <w:rtl w:val="true"/>
        </w:rPr>
        <w:t>اشاره</w:t>
      </w:r>
      <w:bookmarkEnd w:id="2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از اواخر دوران بنی‌امیه در سرزمین خراسان و ماوراءالنهر، گرایش به تشیع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با بهره‌برداری از این ظرفیت، با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خویش علیه امویان را در آن سامان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قابل توجهی از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شهرهای خراسان و ماوراءالنهر، منتسب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این‌رو می‌توان دریافت که شهرهای مختلف این منطقه، از وجود شیعیان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امامیان آن‌جا ارتباط فرهنگی و مالی خویش را ـ به‌ویژه از عصر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بعدـ به وسیله وکلا با امامان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غیبت صغرا گسترش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سوم ـ پس از حضور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ـ در خراسان، گسترش تشیع روندی رو به رشدی به خود گرفت، ولی هم‌چنان شیعیان در اقلیت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اصحاب خراسانی با امامان در عراق ارتباط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ـ از شهرهای بزرگ خراسان ـ با تلاش‌های اصحاب ائمه، به‌ویژه فضل‌بن‌شاذان و شاگردانش، امامیه از جایگاه رفیع علمی و اجتماعی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نواحی ماوراءالنهر در مقایسه با خراسان، قدمت کمتری داشت، ولی در نیمه دوم قرن سوم هم‌زمان با رویداد غیبت صغرا، با فعالیت‌های ابونضر عیاشی، از عالمان نامور شیعه، تشیع امامی به سرعت در ماوراءالنهر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در شهر سمرقند کانونی علمی را پدید آورد و شخصیت‌های فراوانی را تربیت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پرورش‌یافتگان مکتب عیاشی تأثیر بسزایی در گسترش مذهب امامیه در ماوراءالنهر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حضور جمعیتی امامیه در شهرهایی چون نیشابور، سمرقند، کش، بلخ و مرو قابل توجه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غیبت صغرا نیز شیعیان ارتباط خویش را با علمای سرشناس سایر مراکز علمی امامیه، مانند قم و عراق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دانشیان امامی آن نواحی نیز با نگاشتن کتاب‌هایی در صدد پاسخ به نیازهای علمی و فرهنگی آنان برآمدند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ارتباط خراسانیان با شیخ صدوق بیش از سایر عالمان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تأثیرگذار و طولانی صدوق به مناطقی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سرخس، مرو، مرورود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سمرقند، ایلاق، فرغانه، اخسیکث، جبل بوتک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و ماوراءالنهر موجب شد که نجاشی از او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الطائفه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کتاب مهم من لایحضره الفقیه و کمال‌الدین را برای رفع نیاز و دغدغه‌های عقیدتی امامیان آن سامان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صدوق در آن نواحی به قدری شگرف بوده است که عبدالجلیل قزوینی در این باره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و بزرگی شیخ کبیر ابوجعفر بابویه را خود چگونه انکار توان کرد از تصانیف و وعظ و درس و از ری تا بلاد ترکستان و ایلاق، اثر علم و فضل و برکات زهد و امانت او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این، امامیان آن مناطق به آثار اندیشوران امامی مقیم سایر مناطق، توجه شایانی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در خراسان و ماوراءالنهر جریان‌های گوناگون کلامی افزون بر مذاهب فقهی، فعال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نحله کلامی کرامیه، در خراسان ظهور کرده و در آن‌جا رشد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اعتزال و جهمیه نیز در خراسان حضور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مرجئیان هم در آن دیار فعال بوده‌اند، به گونه‌ای که شهر بلخ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مرجی‌آباد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بلخی،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دامنه فعالیت خوارج به بخش‌هایی از خراسان کشیده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خراسان و ماوراءالنهر، یکی از اصلی‌ترین مواطن زهدگرایی و تصوف به شمار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همه، از تأثیرپذیری امامیان از این گروه‌ها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عالمان امامیِ خراسان با این نحله‌های فکری در تقابل بوده‌اند و در ردّ بعضی از آن‌ها، آثاری را تألیف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جنبه سیاسی نیز باید گفت، امامیه در آن سامان هماره از آزار و اذیت حاکمان طاهری و سامانی رنجور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فضل‌بن‌شاذان، ابن‌بشر سرخسی، ابویحیی جرجانی و ابن‌کلثوم مروزی از تعقیب و بازداشت و حتی تبعید آن حکّام جور در امان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w:t>
      </w:r>
      <w:bookmarkStart w:id="262" w:name="pg2638_22629"/>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از دوره‌ها حتی مساجد امامیه نیز توسط فرمانروایان سنی تخریب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263" w:name="__RefHeading___Toc603965_1395250215"/>
      <w:bookmarkStart w:id="264" w:name="_Toc106"/>
      <w:bookmarkEnd w:id="263"/>
      <w:r>
        <w:rPr/>
        <w:t>1</w:t>
      </w:r>
      <w:r>
        <w:rPr>
          <w:rtl w:val="true"/>
        </w:rPr>
        <w:t xml:space="preserve">. </w:t>
      </w:r>
      <w:r>
        <w:rPr>
          <w:rtl w:val="true"/>
        </w:rPr>
        <w:t>جریان هشام‌بن‌حکم و یونس‌بن‌عبدالرحمن</w:t>
      </w:r>
      <w:bookmarkEnd w:id="264"/>
    </w:p>
    <w:p>
      <w:pPr>
        <w:pStyle w:val="Heading5"/>
        <w:numPr>
          <w:ilvl w:val="4"/>
          <w:numId w:val="1"/>
        </w:numPr>
        <w:rPr/>
      </w:pPr>
      <w:bookmarkStart w:id="265" w:name="__RefHeading___Toc603967_1395250215"/>
      <w:bookmarkStart w:id="266" w:name="_Toc107"/>
      <w:bookmarkEnd w:id="265"/>
      <w:r>
        <w:rPr/>
        <w:t>1</w:t>
      </w:r>
      <w:r>
        <w:rPr>
          <w:rtl w:val="true"/>
        </w:rPr>
        <w:t>ـ</w:t>
      </w:r>
      <w:r>
        <w:rPr/>
        <w:t>1</w:t>
      </w:r>
      <w:r>
        <w:rPr>
          <w:rtl w:val="true"/>
        </w:rPr>
        <w:t xml:space="preserve">. </w:t>
      </w:r>
      <w:r>
        <w:rPr>
          <w:rtl w:val="true"/>
        </w:rPr>
        <w:t>گرایش کلامی پیرو هشام و یونس</w:t>
      </w:r>
      <w:bookmarkEnd w:id="266"/>
    </w:p>
    <w:p>
      <w:pPr>
        <w:pStyle w:val="Heading6"/>
        <w:numPr>
          <w:ilvl w:val="5"/>
          <w:numId w:val="1"/>
        </w:numPr>
        <w:rPr/>
      </w:pPr>
      <w:bookmarkStart w:id="267" w:name="__RefHeading___Toc603969_1395250215"/>
      <w:bookmarkStart w:id="268" w:name="_Toc108"/>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هشام‌بن‌حکم از اصحاب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متکلمان سرشناس امامیه است که در قرن دوم، جریان سترگ کلامی را در امامیه بنیان‌گذاری و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روی‌کرد عقل‌گرایی وحیانی، به دفاع و تبیین مبانی عقیدتی امامیه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فکری پس از مرگ هشام‌بن‌حکم، در کوفه و بغداد توسط شاگردان وی تداوم یافت، که در این میان نقش یونس‌بن‌عبدالرحمن در رهبری این جریان بیش از دیگران آشکار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قرن سوم به کوشش برخی از شاگردان مکتب یونس، این دیدگاه کلامی به دو منطقه قم و خراسان راه پیدا کرد که شاخه خراسانی این جریان با تلاش‌های فضل‌بن‌شاذان نیشابوری و شاگردانش، بیش از شاخه قم در بین امامیه جا باز کرد و درخشید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فضل‌بن‌شاذان، متکلمِ ژرف‌اندیش امامیه ـ از اصحاب امام هادی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ـ که از دانش‌آموختگان کوفه و بغداد بوده، طلیعه‌دار نسل کلامی هشام و یونس‌بن‌عبدالرحمن به شمار می‌رفته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نیشابوری با بهره‌گیری از ظرفیت این جریان، کانون کلامی جدیدی را در نیشابور و حتی در خراسان بزرگ به وجود آورد و شاگردانی را پرورش داد که در دوره‌های بعد، به انتشار اندیشه وی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بعضی از آثار فضل می‌توان به تأثیرگذاری علمی او در سایر شهرهای اسلامی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فضل با اثرپذیری از هشام در موضوعات کلامی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وراثتی بودن 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ترویج اندیشه هشام در خراسان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پشتوانه، به نقد آرای گروه‌های کلامی،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کرامیه، خوارج، معتزله و اهل حدیث اهتمام ورزید و در این راستا کتاب‌هایی را تألیف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این رویارویی فکری، به دفاع از اندیشه اسلافش نیز توجه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فراوان، کتاب النقض علی الاسکافی فی تقویه الجسم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نقد کتاب علی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ابن‌ندیم،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اسکافی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با مرگ فضل نیشابوری</w:t>
      </w:r>
      <w:bookmarkStart w:id="269" w:name="pg2638_22630"/>
    </w:p>
    <w:p>
      <w:pPr>
        <w:pStyle w:val="BookText"/>
        <w:rPr/>
      </w:pPr>
      <w:bookmarkEnd w:id="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این جریان مقتدر کلامی کم‌فروغ گردید، ولی این گرایش فکری در محیط خراسان و ماوراءالنهر و حتی در خارج از این نواحی با فراز و نشیب، البته در قالب روایی به حیات خویش ادامه داد</w:t>
      </w:r>
      <w:r>
        <w:rPr>
          <w:rFonts w:eastAsia="IRNazanin" w:cs="IRNazanin"/>
          <w:color w:val="111111"/>
          <w:sz w:val="28"/>
          <w:szCs w:val="28"/>
          <w:rtl w:val="true"/>
          <w:lang w:bidi="fa-IR"/>
        </w:rPr>
        <w:t>.</w:t>
      </w:r>
    </w:p>
    <w:p>
      <w:pPr>
        <w:pStyle w:val="Heading6"/>
        <w:numPr>
          <w:ilvl w:val="5"/>
          <w:numId w:val="1"/>
        </w:numPr>
        <w:rPr/>
      </w:pPr>
      <w:bookmarkStart w:id="270" w:name="__RefHeading___Toc603971_1395250215"/>
      <w:bookmarkStart w:id="271" w:name="_Toc109"/>
      <w:bookmarkEnd w:id="270"/>
      <w:r>
        <w:rPr/>
        <w:t>1</w:t>
      </w:r>
      <w:r>
        <w:rPr>
          <w:rtl w:val="true"/>
        </w:rPr>
        <w:t>ـ</w:t>
      </w:r>
      <w:r>
        <w:rPr/>
        <w:t>1</w:t>
      </w:r>
      <w:r>
        <w:rPr>
          <w:rtl w:val="true"/>
        </w:rPr>
        <w:t>ـ</w:t>
      </w:r>
      <w:r>
        <w:rPr/>
        <w:t>1</w:t>
      </w:r>
      <w:r>
        <w:rPr>
          <w:rtl w:val="true"/>
        </w:rPr>
        <w:t xml:space="preserve">. </w:t>
      </w:r>
      <w:r>
        <w:rPr>
          <w:rtl w:val="true"/>
        </w:rPr>
        <w:t>شاخه نیشابور</w:t>
      </w:r>
      <w:bookmarkEnd w:id="2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 فکری در نیشابور با تلاش‌های پیروان فضل‌بن‌شاذان ـ پس از مرگش ـ تداوم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هیچ‌گونه فعالیتی کلامی سترگی از شاگردان وی در دست نیست، ولی گرایش‌های کلامی آن‌ها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علی‌بن‌قتیبه نیشابوری، شاگرد سرشناس فضل و نویسنده کتاب ذکر مجالس الفضل مع اهل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گسترش اندیشه فضل در نیشابور نقش‌آفرین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بسیاری از تعالیم و افکار و آثار استادش و نیز درگیری سایر جناح‌های کلامی را انعکاس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lang w:bidi="fa-IR"/>
        </w:rPr>
        <w:t>،</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برخی از شواهد می‌توان دریافت، اندیشه فضل تا سال‌های متمادی پس از مرگ او در نیشابور برجسته بوده است؛ از این‌روست که زجاجی نیشابوری، متکلم و فقیه بنام معتزلی و از شاگردان ابوالحسن کرخی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تقریباً با گذشت یک قرن پس از مرگ فضل‌بن‌شاذان، در نقد اندیشه او کتابی را تألیف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حلقات به‌هم‌پیوسته این جریان کلامی پس از فضل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قرن چهارم، یکی از متکلمان امامی به نام ابوالطیب رازی ـ مقیم نیشابور ـ از سوی متکلمان اعتزال‌گرای امامیه آن شهر، به داشتن عقیده ارجاء متهم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رازی همانند جمهور امامیان نخستین و برخلاف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عقد قلب و اقرار لسان تفسیر می‌کرده و عمل را از آثار ایمان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دیدگاه در برابر نظریه وعید معتزله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نظرگاه معتزله، عمل در اصلِ ایمان، اثرگذار و نتیجه قهری ایمان است، به گونه‌ای که اگر کسی گناهی را مرتکب شد، این گناه از عدم ایمان وی حکایت دارد و لذا مستحق عذاب ابدی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شاید از این رو بود که ابوالطیب رازی، مورد اعتراض و اتهام امامیان اعتزال‌گرا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وی این اندیشه را از فضل، میراث‌دار آرای برخی کوفیان، به ارث برده باشد؛ به‌ویژه آن‌که فضل، دو اثر به نام‌های کتاب الوعید و کتاب فی الوعد و الوعید ـ به احتمال زیاد در ردّ وعیدـ تألیف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bookmarkStart w:id="272" w:name="pg2638_22631"/>
    </w:p>
    <w:p>
      <w:pPr>
        <w:pStyle w:val="BookText"/>
        <w:rPr/>
      </w:pPr>
      <w:bookmarkEnd w:id="2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ابومحمد علوی‌نیشابوری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متکلمان صاحب‌نام امامیه و شاگرد ابوالطیب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ظاهراً در خط فکری فضل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عموی وی که در نیشابور قدرت سیاسی و اجتماعی داشته‌اند و شیخ طوسی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معروفان جلیلان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روایات و تألیفات فضل‌بن‌شاذان را از علی‌بن‌قتیبه، شاگرد مشهور فضل فراگرفته‌اند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ابن‌فندق،</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ابومحمد علوی در نزد عمو ـ و احتمالاً پدرش ـ تلمذ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ابن‌فندق،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این، گزارش صریحی مبنی بر تأثیرپذیری علوی از اندیشه فضل در دست نیست، ولی با تکیه به برخی شواهد، احتمال حضور وی در خط کلامی فضل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دوران اقتدار سیاسی و اجتماعی خاندان ابومحمد علوی در نیشابور، ابن‌جنید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از وی سخن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هواداران فضل‌بن‌شاذان، به نیشابور رفته و مورد استقبال گرم شیعیان آن شهر قرار گرفته است؛</w:t>
      </w:r>
    </w:p>
    <w:p>
      <w:pPr>
        <w:pStyle w:val="BookText"/>
        <w:rPr/>
      </w:pPr>
      <w:r>
        <w:rPr>
          <w:rFonts w:ascii="IRNazanin" w:hAnsi="IRNazanin" w:eastAsia="IRNazanin"/>
          <w:color w:val="111111"/>
          <w:sz w:val="28"/>
          <w:sz w:val="28"/>
          <w:szCs w:val="28"/>
          <w:rtl w:val="true"/>
          <w:lang w:bidi="fa-IR"/>
        </w:rPr>
        <w:t xml:space="preserve">ثانیاً، علوی به همراه استادش ابوالطیب رازی از سوی معتزلیان به عقیده ارجاء متهم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ابن‌مرتضی،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او نیز مانند فضل‌بن‌شاذان و استادش ابوالطیب رازی در موضوع وعید با معتزلیان درگیر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ابن‌فندق،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6"/>
        <w:numPr>
          <w:ilvl w:val="5"/>
          <w:numId w:val="1"/>
        </w:numPr>
        <w:rPr/>
      </w:pPr>
      <w:bookmarkStart w:id="273" w:name="__RefHeading___Toc603973_1395250215"/>
      <w:bookmarkStart w:id="274" w:name="_Toc110"/>
      <w:bookmarkEnd w:id="273"/>
      <w:r>
        <w:rPr/>
        <w:t>1</w:t>
      </w:r>
      <w:r>
        <w:rPr>
          <w:rtl w:val="true"/>
        </w:rPr>
        <w:t>ـ</w:t>
      </w:r>
      <w:r>
        <w:rPr/>
        <w:t>1</w:t>
      </w:r>
      <w:r>
        <w:rPr>
          <w:rtl w:val="true"/>
        </w:rPr>
        <w:t>ـ</w:t>
      </w:r>
      <w:r>
        <w:rPr/>
        <w:t>2</w:t>
      </w:r>
      <w:r>
        <w:rPr>
          <w:rtl w:val="true"/>
        </w:rPr>
        <w:t xml:space="preserve">. </w:t>
      </w:r>
      <w:r>
        <w:rPr>
          <w:rtl w:val="true"/>
        </w:rPr>
        <w:t>شاخه ماوراءالنهر</w:t>
      </w:r>
      <w:bookmarkEnd w:id="274"/>
    </w:p>
    <w:p>
      <w:pPr>
        <w:pStyle w:val="BookText"/>
        <w:rPr/>
      </w:pPr>
      <w:r>
        <w:rPr>
          <w:rFonts w:ascii="IRNazanin" w:hAnsi="IRNazanin" w:eastAsia="IRNazanin"/>
          <w:color w:val="111111"/>
          <w:sz w:val="28"/>
          <w:sz w:val="28"/>
          <w:szCs w:val="28"/>
          <w:rtl w:val="true"/>
          <w:lang w:bidi="fa-IR"/>
        </w:rPr>
        <w:t>این جریان علاوه بر شهر نیشابور و منطقه خراسان، در مناطقی از ماوراءالنهر نیز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حامیان این خط فکری در ماوراءالنهر، فردی به نام جبریل‌بن‌احمد فاریابی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مقیم کش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فاریابی تقریباً هم‌زمان با فضل می‌زیسته، ولی از ارتباط او با فضل چیزی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سفر به نواحی عراق، قم و خراسان، نزد عالمان آن مناطق دانش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طرق روایاتی که از فاریابی بازمانده است، می‌توان به اثرپذیری وی از محمد‌بن‌عیسی‌بن‌عبید ـ از شاگردان یونس‌بن‌عبدالرحمن ـ و نیز به وابستگی او به جریان هشام‌بن‌حکم و یونس،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فاریابی در دفاع از تعالیم هشام و یونس و نیز در تبرئه اتهامات هشام‌بن‌حکم، به انتشار اخباری گاه منحصر‌به‌فرد همت 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روایات قابل توجهی را در مذمت اندیشه و شخصیت زراره‌بن‌اعین و هم‌فکرانش، که به نوعی رقیب جریان فکری هشام‌بن‌حکم به شمار می‌رفتند،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ماوراءالنهر منتشر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فاریابی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علمی‌ای دایر کرد و در آن‌جا به پرورش شاگرد اشتغال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عیاشی، عالم مشهور امامیه و از هواداران جریان هشام، از جمله دانش‌آموختگان این حوزه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جعفر‌بن‌احمد، مشهور به ابن‌تاجر سمرقندی و از متکلمان امامیه نیز هم‌زمان با فضل در سمر‌قند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ارتباط او با فضل چیزی دانسته نیست، ولی در طرق روایی ابن‌تاجر افرادی چون عبیدی و یونس قرار دارند؛ حتی در تمجید هشام و یونس و طعن زراره، روایاتی را نقل کرده و عیاشی و کَشی نیز به اخبار وی توجه نشان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نمی‌توان در باب هم‌سویی وی با خط کلامی فضل و یونس نظر قاطعی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طاهر‌بن‌عیسی الوراق کَشی، از نویسندگان امامی نیز در زمره شاگردان برجسته ابن‌تاجر قرار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اخبار فراوانی را از او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کلامی وی نیز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سهل‌بن‌بحر فارسی ـ مقیم کش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شاگردان فضل‌بن‌شاذان، یکی از رواج‌دهند‌گان اندیشه فضل در ماوراءالنهر به شمار می‌رود و روایات باقی‌مانده او ـ گاهی در مدح یونس ـ همگی از طریق فضل‌بن‌شاذان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lang w:bidi="fa-IR"/>
        </w:rPr>
        <w:t>،</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هموست که سلسله‌تبار علمی فضل تا هشام‌بن‌حکم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محمد‌بن‌مسعود عیاشی، عالم نام‌دار امامیه در ماوراءالنهر نیز به آموزه‌های هشام‌بن‌حکم و یونس و نقد افکار اندیشه رهبران مخالف این جریان مانند زراره توجه نشان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گرایش از ارتباط وی با هواداران این جریان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جبریل‌بن‌احمد فاریابی، مدافع هشامیان در کش، دانش آموخته و روایات وی در مدح و تمجید هشام و یونس و نیز در ذمّ اندیشه زراره و هم‌فکرانش را انتشار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برخی گزارش‌ها، عیاشی با فضل‌بن‌شاذان و شاگردانش به طور مکاتبه‌ای در ارتباط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ملاقات حضوری او با فضل چیزی 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وی تحت تأثیر فضل به این جریان تمایل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عیاشی بیشتر به واسطه جبریل فاریابی و محمد‌بن‌نصیر کشی، از هواداران جریان فکری هشام و یونس در عراق ـ مانند محمد‌بن‌عیسی‌بن‌عبید ـ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در پی کسب دانش به</w:t>
      </w:r>
      <w:bookmarkStart w:id="275" w:name="pg2638_22633"/>
    </w:p>
    <w:p>
      <w:pPr>
        <w:pStyle w:val="BookText"/>
        <w:rPr/>
      </w:pPr>
      <w:bookmarkEnd w:id="2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مراکز مهم علمی امامیه، مانند بغداد، کوفه و قم سفر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روایات وی از مشایخ مقیم قم، در مصادر روایی یافت نمی‌شود که تأمل‌برانگیز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با تشکیل کانون مهم علمی در سمرقند، شاگردان فراوانی از شرق اسلامی در آن‌جا گرد آورد که طوسی در رجال قریب به چهل نفر از آنان را با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محمد‌بن‌عمر کشی، از اندیشوران امامیه، یکی از آن شاگردان به شمار می‌رود که به جریان کلامی هشام و یونس وابسته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افزون بر دانش‌آموزی در محضر عیاشی، با سفر به سایر نواحی خراسان و ماوراءالنهر از سایر عالمان امامی نیز بهره برد؛ به‌خصوص آن‌که با سفر به شهر نیشابور، از شاگردان فضل‌بن‌شاذان، به‌ویژه ابن‌قتیبه نیشابوری ـ میراث‌دار و شاگرد ممتاز فضل ـ بهره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کتاب تهذیب‌شده معرفۀ الناقلین کشی، میزان دل‌بستگی وافر او به محور فکری هشام‌بن‌حکم کاملاً مشهود است؛ حتی گرایش وی به این جریان، نسبت به استادش عیاشی پررنگ‌تر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با چینش هدف‌مند روایات و نقل اخبار منحصربه‌فرد در دفاع از سران این جریان و هم‌چنین با توجیه یا نقد اقوال نکوهیده درباره شخصیت و اندیشه کسانی چون یونس و فضل، مجدانه تلاش کرده این خط فکری را از برخی اتهامات تبرئه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که مخالفان سرشناس یونس و هشام را از هواداران آن دو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نه تنها با استفاده از میراث خراسانیان به دفاع و نشر اندیشه جریان فکری هشام توجه نشان داده، بلکه از طریق راویان قمی ـ ساکن خراسان ـ به میراث هواداران هشام‌بن‌حکم در قم دست پیدا کرده و به ترویج آن در خراسان و ماوراءالنهر اهتمام ورزیده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عالمان ماوراءالنهری بیشتر در قالب حدیث، به دفاع و انتشار اندیشه این جریان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شده که برخی نویسندگان به اشتباه، عیاشی و کشی را در زمره محدثان متمایل به حدیث‌گرایان قم بربشمارند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6"/>
        <w:numPr>
          <w:ilvl w:val="5"/>
          <w:numId w:val="1"/>
        </w:numPr>
        <w:rPr/>
      </w:pPr>
      <w:bookmarkStart w:id="276" w:name="__RefHeading___Toc603975_1395250215"/>
      <w:bookmarkStart w:id="277" w:name="_Toc111"/>
      <w:bookmarkEnd w:id="276"/>
      <w:r>
        <w:rPr/>
        <w:t>1</w:t>
      </w:r>
      <w:r>
        <w:rPr>
          <w:rtl w:val="true"/>
        </w:rPr>
        <w:t>ـ</w:t>
      </w:r>
      <w:r>
        <w:rPr/>
        <w:t>1</w:t>
      </w:r>
      <w:r>
        <w:rPr>
          <w:rtl w:val="true"/>
        </w:rPr>
        <w:t>ـ</w:t>
      </w:r>
      <w:r>
        <w:rPr/>
        <w:t>3</w:t>
      </w:r>
      <w:r>
        <w:rPr>
          <w:rtl w:val="true"/>
        </w:rPr>
        <w:t xml:space="preserve">. </w:t>
      </w:r>
      <w:r>
        <w:rPr>
          <w:rtl w:val="true"/>
        </w:rPr>
        <w:t>شاخه عراق</w:t>
      </w:r>
      <w:bookmarkEnd w:id="27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کلامی پس از آن‌که در نیمه اول قرن سوم به تدریج، از سوی برخی وابستگان این خط فکری به مرکز مهمّ امامیه، یعنی قم و خراسان انتقال یافته بود، پس از مدتی در بازگشتی دوباره از طریق خراسانی‌ها به عراق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فضل‌بن‌شاذان، برخی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شاگردان وی سعی کردند بار دیگر این اندیشه‌ها را در محیط عراق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حیدر‌بن‌شعیب طالقانیِ مقیم بغداد است که از طریق محمد‌بن‌نعیم‌بن‌شاذان، برادرزاده فضل، به کتاب‌های او دست پیدا کرده و در اوایل قرن چهارم در بغداد به نقل آن آثار اهتمام ورزیده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علی‌بن‌محمد حداد که طوسی از او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کتب الفضل‌بن‌شاذان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نیز به تلعکبری، راوی مشهور عراقی، اجازه روایت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تألیفات و اندیشه فضل‌بن‌شاذان، کتاب‌های عیاشی نیز در عراق انتشار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نجاشی، ابوالحسن قزوینی</w:t>
      </w:r>
      <w:r>
        <w:rPr>
          <w:rStyle w:val="FootnoteAnchor"/>
          <w:rtl w:val="true"/>
        </w:rPr>
        <w:footnoteReference w:id="69"/>
      </w:r>
      <w:r>
        <w:rPr>
          <w:rFonts w:ascii="IRNazanin" w:hAnsi="IRNazanin" w:eastAsia="IRNazanin"/>
          <w:color w:val="111111"/>
          <w:sz w:val="28"/>
          <w:sz w:val="28"/>
          <w:szCs w:val="28"/>
          <w:rtl w:val="true"/>
          <w:lang w:bidi="fa-IR"/>
        </w:rPr>
        <w:t xml:space="preserve">که آثار عیاشی را از شاگردش احمد‌بن‌عیسی علوی اخذ کرده بود، نخستین بار وی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برخی از آن نوشته‌ها را با خود به بغداد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پیش از او، تلعکبری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اجازه تمام کتاب‌های عیاشی را از شاگردش حیدر‌بن‌محمد سمرقندی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جعفر‌بن‌محمد، فرزند عیاشی نیز ـ ظاهراً در سفر به عراق ـ اجازه روایت تمام آثار پدرش را به ابوالمفضل شیبانی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ابن‌جنید اسکافی، متکلم و فقیه بغدادی، تحت‌تأثیر تلاش‌های پیروان فضل در بغداد، به این جریان گرایش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اساتید و تبار علمی‌اش تا فضل نامعلوم است، دل‌بستگی وی به جناح فضل نیشابوری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فکری ابن‌جنید با جریان فضل، موجب شد او در ردّ کتاب زجاجی نیشابوری معتزلی که در نقد فضل نوشته بود، کتاب نقض ما نقضه الزجاجی النیشابوری علی ابی‌محمد الفضل بن‌شاذان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وی به دلیل وابستگی به این جریان،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محیط مهجور عراق به شهر نیشابور، کانون فعالیت فضل‌گرایان، مسافرت کرد و در آن‌جا مورد استقبال شیعیان ـ ظاهراً پیروان فضل ـ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مقبولیت ابن‌جنید در نیشابور به سبب پیروی او از فضل نیشابوری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پژوهش‌گران با توجه به مخالفت‌های شیخ صدوق با ابن‌جنید، مسافرت‌های شیخ صدوق به خراسان، به‌ویژه نیشابور را در تضعیف نفوذ اندیشه ابن‌جنید در آن سامان، اثر‌گذار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bookmarkStart w:id="278" w:name="pg2638_22635"/>
    </w:p>
    <w:p>
      <w:pPr>
        <w:pStyle w:val="BookText"/>
        <w:rPr/>
      </w:pPr>
      <w:bookmarkEnd w:id="2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خراسانیان علاوه بر انتقال آثار و اندیشه این جریان به بغداد، می‌کوشیدند احادیثی در تمجید رهبران فکری‌شان، مانند هشام‌بن‌حکم را نیز به آن سامان منتقل کنند که شیخ مفید از طریق اینان به برخی از آن احادیث دست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6"/>
        <w:numPr>
          <w:ilvl w:val="5"/>
          <w:numId w:val="1"/>
        </w:numPr>
        <w:rPr/>
      </w:pPr>
      <w:bookmarkStart w:id="279" w:name="__RefHeading___Toc603977_1395250215"/>
      <w:bookmarkStart w:id="280" w:name="_Toc112"/>
      <w:bookmarkEnd w:id="279"/>
      <w:r>
        <w:rPr/>
        <w:t>1</w:t>
      </w:r>
      <w:r>
        <w:rPr>
          <w:rtl w:val="true"/>
        </w:rPr>
        <w:t>ـ</w:t>
      </w:r>
      <w:r>
        <w:rPr/>
        <w:t>1</w:t>
      </w:r>
      <w:r>
        <w:rPr>
          <w:rtl w:val="true"/>
        </w:rPr>
        <w:t>ـ</w:t>
      </w:r>
      <w:r>
        <w:rPr/>
        <w:t>4</w:t>
      </w:r>
      <w:r>
        <w:rPr>
          <w:rtl w:val="true"/>
        </w:rPr>
        <w:t xml:space="preserve">. </w:t>
      </w:r>
      <w:r>
        <w:rPr>
          <w:rtl w:val="true"/>
        </w:rPr>
        <w:t>شاخه قم</w:t>
      </w:r>
      <w:bookmarkEnd w:id="280"/>
    </w:p>
    <w:p>
      <w:pPr>
        <w:pStyle w:val="BookText"/>
        <w:rPr/>
      </w:pPr>
      <w:r>
        <w:rPr>
          <w:rFonts w:ascii="IRNazanin" w:hAnsi="IRNazanin" w:eastAsia="IRNazanin"/>
          <w:color w:val="111111"/>
          <w:sz w:val="28"/>
          <w:sz w:val="28"/>
          <w:szCs w:val="28"/>
          <w:rtl w:val="true"/>
          <w:lang w:bidi="fa-IR"/>
        </w:rPr>
        <w:t>به رغم آن‌که جریان کلامی پیرو هشام از عراق به قم و نیشابور منتقل گردید و کسانی چون ابراهیم‌بن‌هاشم و علی‌بن‌ابراهیم طلیعه‌دار این تفکر در آن سامان بودند، پس از مرگ فضل نیشابوری نیز با کوشش برخی از شاگردان وی، خط خراسانی این جریان به محیط قم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محمد‌بن‌اسماعیل بندقی نیشابوری، شاگرد فضل، روایات منقول از او را به قم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میراث فضل در قم، تنها مورد توجه کلینی که در محور فکری هشام‌بن‌حکم قرار داشت،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طریق بندقی بیش از پانصد روایت از فضل در موضوعات گوناگون در کافی ذکر کرده که روایات کلامی وی درباره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نفی صفت از خداوند غیر از صفات منصوص، معرفت باری‌تعالی، جبر و قدر و الامر بین الامرین، نفی قیاس و جایگاه ائمه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نا‌هم‌سویی خط فکری هشام و فضل با قمی‌ها، موجب روی‌گردانی آن‌ها از روایات بندقی شده است، ولی با این حال احمد‌بن‌ادریس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ظاهراً با سفر به نیشابورـ احتمالاً به دلیل حفظ میراث امامیه، بعضی از کتاب‌های فضل را از ابن‌قتیبه نیشابوری اخذ کرده و نجاشی از طریق او به این آثار دست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6"/>
        <w:numPr>
          <w:ilvl w:val="5"/>
          <w:numId w:val="1"/>
        </w:numPr>
        <w:rPr/>
      </w:pPr>
      <w:bookmarkStart w:id="281" w:name="__RefHeading___Toc603979_1395250215"/>
      <w:bookmarkStart w:id="282" w:name="_Toc113"/>
      <w:bookmarkEnd w:id="281"/>
      <w:r>
        <w:rPr/>
        <w:t>5-1-1</w:t>
      </w:r>
      <w:r>
        <w:rPr>
          <w:rtl w:val="true"/>
        </w:rPr>
        <w:t xml:space="preserve">. </w:t>
      </w:r>
      <w:r>
        <w:rPr>
          <w:rtl w:val="true"/>
        </w:rPr>
        <w:t>گرایش پیرو یونس</w:t>
      </w:r>
      <w:bookmarkEnd w:id="28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حضور،با روشهای مختلف در عرصه فقه به اجتهادگرایی و اندیشه‌ورزی روی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یونس‌بن‌عبدالرحمن، اندیشمند نام‌دار امامیه نیز جریان اجتهاد‌گرایی ممتازی را در جامعه امامیه رهبری می‌کرد که با جریان غالب فقهای امامیه متمایز بوده است و شاگردان فقهی وی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در فقه تحت تأثیر حریز‌بن‌عبدالله سجستانی، از فقهای اصحاب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امامیان، اندیشه فقهی و روش اجتهادی او در فقه را برنمی‌تافتند و او را به قیاس متهم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این، خط فقهی یونس برای مدتی تداوم پیدا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فضل‌بن‌شاذان نیشابوری، فقیه برجسته امامیه و میراث‌دار تفکر هشام و یونس در عرصه کلام ـ به آرای فقهی یونس توجه نشان داد و با صراحت، از برتری فقه یونس سخن به میان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روست وی نیز همانند یونس، به قیاس متهم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فضل در خراسان در بسط و گسترش آرا و اندیشه فقهی یونس همانند نظریات کلامی وی، کوشش می‌کرده است؛ به گونه‌ای که او توانست بخش قابل توجهی از منطقه خراسان را تحت‌تأثیر فقه اجتهادی یونس قرار دهد، تا جایی که در دوره‌های بعد، آرای فقهای اجتهادورز سایر مناطق، در خراسان مورد اقبال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فقهی ابن‌ابی‌عقیل عمانی، که از فقهیان و متکلمان ممتاز امامیه و به گفته برخی، از پایه‌گذاران فقه استدلالی و اجتهادی در دهه‌های نخستین قرن چهارم بود، در خراسان مورد استقبال قرار گرفت؛ به گونه‌ای که حُجاج خراسانی در عراق به خرید کتاب فقهی المتمسک بحبل آل‌الرسول عمانی بیش از هر چیز توجه جدی نشان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دانسته نیست که ابن‌ابی‌عقیل در محور فقهی یونس و فضل قرار داشته است یا نه، ولی این اقبال خراسانیان به آثار فقیهان اجتهاد‌گرا را باید مرهون تلاش‌های فضل‌بن‌شاذان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ابن‌جنید اسکافی، دیگر فقیه عراقی که همراه ابن‌ابی‌عقیل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در خط فقهی فضل و یونس قرار داشته و مانند آن دو نیز به قیاس متهم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گونه‌ای که اصحاب امامیه ـ ظاهراً در عراق ـ تألیفات وی را به سبب این موضوع طرد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قرون میانی در مدرسه حله احتمالاً به دلیل اجتهاد‌ورزی بیشتر فقهای حلی، مورد توجه قرار گرفت، تا جایی که علامه حلی درباره کتاب فقهی تهذیب الشیعه لاحکام الشریعه وی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ار من هذه الطائفه کتاباً اجود منه و لاابلغ و لااحسن عبارة و لاادق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فقهی او هوادارانی نیز داشته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شیخ صدوق نیز اثر فقهی رساله الی حماد‌بن‌علی الفارسی فی الردّ علی الجنیدیه را در نقد همین پیروان فکری ابن‌جنید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ابن‌جنید به شدت به دفاع از جریان اجتهادگرا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التمویه و الالباس علی اغمار الشیعه فی امر القیاس و اظهار ما ستره اهل العناد من الروایه عن ائمه العتره فی امر الاجتهاد را نگاشت و علمای مخالفش را به نافهمی و حتی پنهان‌کاری در موضوع اجتهاد و قیاس متهم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ابن‌جنید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به‌کار‌گیری از روش اجتهاد و یا قیاس در استنباط احکام شرعی زیاده‌روی می‌کرد و به نوعی، از گرایش فقهیِ یونس و فضل فاصله گرفت و در استفاده از عقل، پا را از اسلاف خویش فراتر نهاد؛ تا جایی که یکی از سنّیان نیشابور، قیاس‌گری وی را همانند روش قیاسی ابوحنیفه دانسته و شیخ مفید نیز ـ به رغم دفاع از ابن‌جنید در برابر اتهامات آن سنی ـ این اتهام 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مفید، او حتی سخنان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اجتهاد و رأی آنان می‌پذیرفت و اختلاف روایات را حاصل اجتهاد امامان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مفید کتاب النقض علی ابن‌جنید فی اجتهاد الرأی را در نقد وی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دیدگاه فقهی ابن‌جنید نیز مانند ابن‌ابی‌عقیل در فضای خراسان، به‌ویژه شهر نیشابور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ابن‌جنید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سفر به نیشابور، با استقبال گرم امامیان این شهر مواجه گردید؛ حتی پس از مراجعه به بغداد نیز شیعیان نیشابور با ارسال وجوهات شرعی، ارتباط خویش را با وی حفظ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محیط عراق و شهر بغداد برای ادامه حیات این جریان فقهی امامیه از سوی سایر جریان‌های امامی نا‌مناسب بوده است و به آن روی خوش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عقل‌گراهایی چون نوبختیان تا نقل‌گراهایی چون ابوالقاسم کوفی و عبدالله زبیری در عراق، در ردّ موضوع اجتهاد و قیاس آثاری را تألیف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ابن‌ندیم، بی‌تا،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ناشی اصغر، متکلم عقل‌گرای امامیه، در عرصه فقه ظاهرگرا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فضای اجتهادستیزی امامیان در عراق موجب شد، ابن‌جنید بیش از پیش با خراسانیانِ پیرو فضل ارتباط برقرار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تداوم گرایش فقهی فضل در نیشابور، گزارش صریحی در دست نیست، اما با توجه به حضور شاگردان وی در آن ناحیه می‌توان گفت، این خط فقهی سال‌ها پس از مرگ فضل امتداد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قرن چهارم ابومحمد علوی زباری ـ پیش‌تر از او سخن گفتیم ـ از فقهای برجسته امامیه، در نیشابور مشغول فعالیت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پدر و عمویش به آثار و افکار فضل دست‌رسی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بسیار در موضوع قیاس و اجتهاد بحث و گفت‌وگو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ابن‌فندق،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ابطال القیاس را نیز در این زمینه به نگارش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دانسته نیست که آیا او تنها مسئله قیاس مذموم را مردود می‌دانسته، یا هرگونه قیاس و اجتهاد را رد می‌کرده است؟ بعید نمی‌نماید که ابومحمدعلوی، قیاس مذموم و مورد نظر اهل‌سنت را نقد می‌کرده است، چه آن‌که او دو کتاب الایضاح فی المسح علی الخفین و فی المسح علی الرجلین در موضوع اختلاف‌برانگیز</w:t>
      </w:r>
      <w:bookmarkStart w:id="283" w:name="pg2638_22638"/>
    </w:p>
    <w:p>
      <w:pPr>
        <w:pStyle w:val="BookText"/>
        <w:rPr/>
      </w:pPr>
      <w:bookmarkEnd w:id="2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امامیه و اهل‌سنت را نیز تألیف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وابستگی وی به گرایش فقهیِ فضل شواهد بیشتری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گسترش این جریان فقهی در ماوراءالنهر گزارشی در دست نیست؛ هرچند عیاشی کتاب‌های بسیاری در ابواب فقهی تألیف کرده و روایات فقهی ـ گاهی با اسناد فضل و یونس ـ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ابن‌فضال، فقیه کوفی، تلمذ کرده و وی را فقیه‌تر از هم‌عصرانش وصف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عیاشی، ابن‌فضال نیز فقه ابن‌ابی‌عمیر را بر فقه یونس ترجیح می‌داده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ظاهراً عیاشی با جریان فقهی یونس هم‌سو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یحیی سمرقندی، از فقهای گمنام ماوراءالنهر نیز به فقه امامیه و اهل‌سنت ـ احتمالاً حنفیان رأی‌گرا ـ فتوا می‌داده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گرایش فقهی او نیز نامعلوم است</w:t>
      </w:r>
      <w:r>
        <w:rPr>
          <w:rFonts w:eastAsia="IRNazanin" w:cs="IRNazanin"/>
          <w:color w:val="111111"/>
          <w:sz w:val="28"/>
          <w:szCs w:val="28"/>
          <w:rtl w:val="true"/>
          <w:lang w:bidi="fa-IR"/>
        </w:rPr>
        <w:t>.</w:t>
      </w:r>
    </w:p>
    <w:p>
      <w:pPr>
        <w:pStyle w:val="Heading4"/>
        <w:numPr>
          <w:ilvl w:val="3"/>
          <w:numId w:val="1"/>
        </w:numPr>
        <w:rPr/>
      </w:pPr>
      <w:bookmarkStart w:id="284" w:name="__RefHeading___Toc603981_1395250215"/>
      <w:bookmarkStart w:id="285" w:name="_Toc114"/>
      <w:bookmarkEnd w:id="284"/>
      <w:r>
        <w:rPr>
          <w:rtl w:val="true"/>
        </w:rPr>
        <w:t>جریان متکلمان اعتزال گرا</w:t>
      </w:r>
      <w:bookmarkEnd w:id="2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پرآوازه کلامی معتزله، روزگاری طولانی بر محیط علمی جامعه مسلمانان سیطره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نحله با مخالفت‌هایی از سوی سایر گروه‌های اسلامی ـ امامیه و اهل حدیث ـ مواجه بود، اما آراء و نظریات برخی جریان‌های کلامی را تحت تأثیر خویش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ـ عصر حضور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متکلمان امامی عمدتاً در برابر اندیشه‌های معتزلیان موضع‌گیری می‌کردند، اما از دهه‌های پایانی قرن سوم به تدریج، برخی امامیان به پاره‌ای از آموزه‌های اعتزالی تمایل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گرایش برخی گروه‌های معتزلی، به‌ویژه معتزله بغداد به افضلیت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ملطی،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تلطیف دیدگاه امامیان درباره آنان بی‌تأثیر نبوده است البته در دوره‌های پسینی ـ زمان ابوعبدالله بصری بهشمی و علی‌بن‌عیسی رمانی اخشیدی ـ معتزلیان بصری در بغداد نیز با پذیرفتن افضلیت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همانند معتزلیان بغداد به شیعیان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روست که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را سال پیوند شیعه و معتزله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بی‌تا،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امامیان در این دوره، با وجود دیدگاه انتقادی به تعالیم اعتزالی، در برابر اعتزال بصری، به اعتزال بغدادی تمایل بیشتری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روزگار، شیخ مفید کتاب الرساله المقنعه فی وفاق البغدادیین من المعتزله لما روی عن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در اواخر قرن سوم، اندکی از عالمان امامیه به برخی تعالیم معتزله، مانند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بررسی‌های منابع تاریخی به دست می‌دهند این است که این نزدیکی ابتدا در بغداد</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ابن‌جبرویه، متکلم امامیه بغداد، نخستین فردی است که در برخی مسائل با معتزلیان هم‌نظر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رفته‌رفته بر جمع این افراد افزوده شد؛ البته امامیان وعیدگرا، هماره در میان هم‌کیشان خویش در اقلیت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منصوربالله،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اعتزال تنها به امامیه بغداد اختصاص نداشت، بلکه این تفکر در بین امامیان خراسان نیز ورود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صرام نیشابوری ـ احتمالاً زنده در نیمه اول قرن چهارم ـ یکی از افراد شاخص این خط فکری در نیشابور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با تأکید بر جایگاه رفیع سیاسی و اجتماعی وی، از او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همانند معتزلیان بغدادی، به نظریه وعید باورمند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محیط علمی نیشابور به شدت از این اندیشه دفاع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و آرای صرام نیشابوری چیز زیادی بر جای نمانده است؛ از این رو، از روابط وی با معتزلیان و نیز گستره فعالیت‌های کلامی او چیزی دانسته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ابن‌عبدک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نیمه اول 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نام‌آور امامیه که مباحث علمی خویش را در نیشابور دنبال می‌کرد، نیز یکی دیگر از عالمان اعتزال‌گرای خراسان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حضور در مجالس درس ابوهاشم جبایی، بزرگ معتزلیان بصره و نیز در محفل علمی ابوالقاسم بلخی، اندیشمد سرشناس معتزلیان بغداد، با آموزه‌های اعتزالی آشنا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ابن‌مرتضی،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وی به طیف اعتزال بغداد بیش از طیف اعتزال بصره توجه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معتزلیان بغداد به مسئله وعید اعتقاد داشته و در جامعه علمی نیشابور با مخالفان این موضوع نیز درگیر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دلیل روی‌کرد اعتزالی‌اش، بیش از امامیه مورد توجه زیدیانِ معتزلی‌مسلک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ابوالحسین سوسنجردی، از متکلمان امامیه و شاگرد ابوسهل نوبختی را نیز در زمره وعیدگرایان برشمرده‌اند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نوبختیان خود اعتقادی به وعید 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حسینی‌زاده،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ابومحمد نوبختی در ردّ این مسئله کتاب الردّ علی اصحاب المنزله بین المنزلتین فی الوعید را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وی تحت تأثیر ابوالقاسم بلخی معتزلی به وعید گرایش پیدا کرده، چه آن‌که او زمانی در خراسان نزد بلخی به سر می‌برده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از فعالیت‌ها و سرانجام این طیف اعتزال‌گرای امامیه، گزارش زیادی در دست نیست، ولی می‌دانیم که فرزند و نواده صرام در زمره عالمان امامیه قرار داشته‌اند و ابوحازم نیشابوری، از شاگردان صرام نیشابوری، برای ترویج اندیشه استادش در نیشابور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 xml:space="preserve">ـ ظاهراً پیش از ورود به بغداد ـ کتاب اصول‌الدین یا بیان‌الدین صرام را نزد ابوحازم نیشابوری فراگرفته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فراگیری این کتاب، زمینه‌ساز آشنایی شیخ طوسی با دیدگاه‌های معتزلیان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پاره‌ای از گزارش‌ها، شیخ طوسی خود در آغاز به نظریه وعید اعتقاد داشته و بعد‌ها از آن نظر برگشته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او در خراسان تحت‌تأثیر ابو‌حازم نیشابوری به دیدگاه وعید تمایل نشان می‌داد و پس از مهاجرت به بغداد، با اثرپذیری از متکلمان بغدادی مانند شیخ‌مفید و سید‌مرتضی، از آن دیدگاه دست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روی‌کرد اعتزال‌گرایان امامی در جامعه امامی خراسان، به‌ویژه شهر نیشابور با مخالفت‌های جدی روبه‌رو بوده است، که ریشه این مخالفت‌ها را باید در مدرسه کلامی کوفه پی‌جویی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پیشینه‌شناسی نزاع امامیه و معتزله در‌می‌یابیم که امامیان نخستین</w:t>
      </w:r>
    </w:p>
    <w:p>
      <w:pPr>
        <w:pStyle w:val="BookText"/>
        <w:rPr/>
      </w:pPr>
      <w:r>
        <w:rPr>
          <w:rFonts w:ascii="IRNazanin" w:hAnsi="IRNazanin" w:eastAsia="IRNazanin"/>
          <w:color w:val="111111"/>
          <w:sz w:val="28"/>
          <w:sz w:val="28"/>
          <w:szCs w:val="28"/>
          <w:rtl w:val="true"/>
          <w:lang w:bidi="fa-IR"/>
        </w:rPr>
        <w:t>در مدرسه کوفه در تقابل جدی با معتزلیان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میراث‌داران کلام کوفه در خراسان نیز مانند اسلافشان، فکر اعتزالی را برنتابیده و در نقد این تفکر به‌جد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فضل‌بن‌شاذان نیشابوری، متکلم پرآوازه امامیه، با تألیف آثاری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علی الاسکافی، الردّ علی الاصم و الردّ علی اهل التعطیل، در ردّ دیدگاه رهبران معتزله و آموزه‌های آنان، بیش از دیگران کوشید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رهبران معتزله خراسان دیدگاه فضل را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زجاجی نیشابوری معتزلی، از شاگردان ابوالحسن کرخی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عالمان نیشابور، سال‌ها پس از مرگ فضل کتابی در نقد اندیشه وی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ابن‌جنید بغدادی ـ از هواداران فضل ـ با نگاشتن کتاب نقض ما نقضه الزجاجی‌النیشابوری علی ابی‌محمد الفضل‌بن‌شاذان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فضل دست یازید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ابوالطیب رازی، از متکلمان امامی مقیم نیشابور، نیز در مخالفت با خط اعتزال‌گرایان امامیه در خراسان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روی‌کرد اعتزالی ابومنصور صرام نیشابوری و ابن‌عبدک جرجانی را برنمی‌تافت و با اندیشه وعیدی آنان مخالفت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اعتزال‌گرایان وعیدی نیز او را به گرایش عقیده ارجاء متهم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آن‌که معتزلیان، ناصواب امامیه را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w:t>
      </w:r>
      <w:bookmarkStart w:id="286" w:name="pg2638_22641"/>
    </w:p>
    <w:p>
      <w:pPr>
        <w:pStyle w:val="BookText"/>
        <w:rPr/>
      </w:pPr>
      <w:bookmarkEnd w:id="2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منصوربالله،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آثار و اندیشه رازی گزارش زیادی در دست نیست، ولی بعید نمی‌نماید او با تأثیرپذیری از اندیشه فضل‌بن‌شاذان، به مقابله با وعیدیان امامی برخاسته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علوی نیشابوری، شاگرد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فراوان در مسئله وعید ـ ظاهراً با معتزلیان ـ بحث و گفت‌وگو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ابن‌فندق،</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از همین روست که نویسندگان معتزلی او را نیز مانند استادش ابوالطیب رازی، به ارجاء متهم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ابن‌مرتضی،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287" w:name="__RefHeading___Toc603983_1395250215"/>
      <w:bookmarkStart w:id="288" w:name="_Toc115"/>
      <w:bookmarkEnd w:id="287"/>
      <w:r>
        <w:rPr>
          <w:rtl w:val="true"/>
        </w:rPr>
        <w:t>جریان محدثان خراسان و ماورا النهر</w:t>
      </w:r>
      <w:bookmarkEnd w:id="288"/>
    </w:p>
    <w:p>
      <w:pPr>
        <w:pStyle w:val="BookText"/>
        <w:rPr/>
      </w:pPr>
      <w:r>
        <w:rPr>
          <w:rFonts w:ascii="IRNazanin" w:hAnsi="IRNazanin" w:eastAsia="IRNazanin"/>
          <w:color w:val="111111"/>
          <w:sz w:val="28"/>
          <w:sz w:val="28"/>
          <w:szCs w:val="28"/>
          <w:rtl w:val="true"/>
          <w:lang w:bidi="fa-IR"/>
        </w:rPr>
        <w:t>جریان حدیث‌گرایی که بیشتر به دریافت و فهم روایات و تبیین درون حدیثی توجه داشته، از سابقه‌ای طولانی در تاریخ فکر امامیه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فکری در کوفه حضور داشته و پس از افول مدرسه کوفه در میان قمیان رشد کرد و ادامه حیات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هم‌زمان با قم در سایر مراکز امامی‌نشین، از جمله خراسان و ماوراءالنهر نیز این جریان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حدیث‌گرایان خراسانی با بهره‌مندی از مدرسه حدیثی کوفه و مشایخ کوفی، مقدار قابل توجهی از میراث روایی آن شهر را به خراسان و ماوراءالنهر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حمدویه‌بن‌نصیر کشی که از آن دو برادر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کثیر‌العلم و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بسیاری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احادیث فراوانی در عراق، به‌خصوص کوفه، نزد مشایخی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عبیدی، ابن‌نوح و یعقوب‌بن‌یزید آموخته و آن‌گاه در خراسان و ماوراءالنهر انتشار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احتمالاً به یعقوب‌بن‌یزید انباری ـ مخالف یونس ـ تمایل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کشی بیشتر روایات وی از عبیدی را انعکاس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محمد‌بن‌نصیر، برادر دیگر آن دو نیز روایات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محمد‌بن‌عیسی‌بن‌عبید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عراق به ماوراءالنهر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و حتی استادش عیاشی به وفور از آن‌ها بهره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ماوراءالنهر در این روزگار محیطی مناسب برای انتشار حدیث به شمار می‌رفته است، تا جایی که بعضی از کوفیان بدان‌جا کوچیدند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ابراهیم‌بن‌علی کوفی، عالم، راوی و نویسنده بزرگ کوفه به سمرقند رفته و در آن‌جا ساکن شد و احادیث کوفیان را به آن سامان منتقل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حجم قابل ملاحظه‌ای از میراث روایی امامیه در پهنه خراسان و ماوراءالنهر، توجه قمیان حدیث‌شناس را به آن دیار معطوف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در اختیار داشتن بسیاری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احادیث امامیه ـ منتقل‌شده از کوفه ـ، خود را از احادیث موجود در خراسان بی‌نیاز نمی‌دیدند؛ از این رو، تبادلات حدیثی بین محدثان این دو منطقه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قمی‌ها به نقل روایت از او اهتمام ورزیدند، حمدان‌بن‌سلیمان نیشابوری است که در کوفه احادیث فراوانی را نزد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بنوفضال، ابن‌ابی‌الخطاب، ایوب‌بن‌نوح و دیگران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منقولات باقی‌مانده از حمدان نیشابوری، می‌توان دریافت که محدثان قمی بیش از خراسانی‌ها به روایات وی تمایل نشان دادند و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محمد‌بن‌یحیی العطار، احمد‌بن‌ادریس اشعری و محمد بن‌احمد‌بن‌یحیی بیش از دیگران، روایات وی را در قم انتشار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عمرکی بوفکی نیشابوری، از محدثان مشهور امامیه، تعداد قابل توجهی از آثار روایی را از مشایخ کوفه اخذ کرده و در خراسان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وی بیش از خراسانی‌ها مورد توجه حدیث‌گرایان قمی، نظیر احمد‌بن‌ادریس اشعری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ابن‌قولویه،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علی‌بن‌حسین دقاق نیشابوری نیز یکی دیگر از محدثان آن ناحیه است که عالمان قمی، مانند سعد اشعری و محمد‌بن‌یحیی العطار از او حدیث آموخته‌اند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محدثان قمی نیز برای عرضه میراث روایی موجود در قم، رهسپار خراسان و ماوراءالنهر گردیده و حتی برخی از آن‌ها در آن دیار مقیم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علی‌بن‌محمد‌بن‌فیروزان قمی ـ مقیم کش‌ـ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فراوانی از مشایخ قم، به‌ویژه از احمد‌بن‌عیسی اشعری و محمد‌بن‌احمد‌بن‌یحیی اشعری را در خراسان و ماوراءالنهر در موضوعات گوناگون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قابل ملاحظه‌ای از این احادیث در تمجید زراره و هم‌فکران او و حتی در مدح مشایخ قمی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و کشی با وجود تفاوت دیدگاه، به روایات ابن‌فیروزان، به‌ویژه احادیثی از طریق محمد‌بن‌موسی همدانی و ابراهیم‌بن‌هاشم در مدح هشام، توجه شایانی نشان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اخبار وی از مشایخ قم در مذمت یونس‌بن‌عبدالرحمن، واکنش کشی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مدافع جریان یونس ـ را برانگیخته و او را به توجیه سندی و دلالی این منقولات وادار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شاگردان سعد‌بن‌عبدالله، محدث نام‌دار قم نیز سفرهایی به خراسان و ماوراءالنهر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محمد‌بن‌قولویه قمی است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حدیث قمیان را به آن منطقه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صددرصد این روایات که کشی نقل کرده، از طریق سعد اشعری بوده است که شمار قابل توجهی از آن در مدح زراره و هم‌فکرانش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حسین‌بن‌حسن‌بن‌بندار قمی، شاگرد دیگر سعد اشعری نیز با سفر به ماوراءالنهر، روایات قمی‌ها را در آن‌جا نشر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کتاب‌های حدیثیِ محمد‌بن‌حسن‌بن‌بندار قمی نیز از طریقی نامعلوم به ماوراءالنهر راه پیدا کرده بود که کشی از آن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احمد‌بن‌علی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کش سکنا گزیده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شماری از روایات مشایخ قم را در ماوراءالنهر منتشر کرد که کشی بخشی از آن را در کتابش انعکاس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lang w:bidi="fa-IR"/>
        </w:rPr>
        <w:t>،</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جعفر‌بن‌احمد، یکی از فقهای قمی‌تبار نیز به منطقه ایلاق ماوراءالنهر رفته و در آن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اندکی از او در مصادر امامی منعکس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محمد‌بن‌حسن قمی که به یکی از خاندان‌های دانش‌پرور قمی منسوب بود، در بخارا اقامت داشت؛ همو که صدوق کتاب کمال‌الدین را به درخواست وی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وی چیزی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بعضی از نسل پسینی خراسانی‌ها به قم آمده و نزد مشایخ محدث قم علم‌آموزی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ابراهیم‌بن‌محمد‌بن‌عباس ختلی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روایات قابل توجهی را از سعد‌بن‌عبدالله و احمد‌بن‌ادریس اشعری آموخت و به ماوراءالنهر انتقال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ascii="IRNazanin" w:hAnsi="IRNazanin" w:eastAsia="IRNazanin"/>
          <w:color w:val="111111"/>
          <w:sz w:val="28"/>
          <w:sz w:val="28"/>
          <w:szCs w:val="28"/>
          <w:lang w:bidi="fa-IR"/>
        </w:rPr>
        <w:t>،</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در کوفه، نزد ابن‌فضال نیز تلمذ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تکاپوی جریان حدیث‌گرایی در خراسان و ماوراءالنهر در نیمه دوم قرن چهارم رفته رفته به محاق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تقریباً همه جریان‌های امامی در آن دیار رو به افول بودند، جریان حدیث‌گرایی نیز رونق پیشین خویش را از دست داد، که نقش دولت‌های شیعه‌ستیز آن نواحی همچون غزنویان را نباید در تضعیف امامیه از نظر دور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این دوره شیخ صدوق، محدث شهیر امامیه، با سفرهای متعدد و طولانی به بسیاری از مناطق خراسان و ماوراءالنهر، با شیعیان آن دیار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برگزاری جلسات املای حدیث و نگارش آثاری در رفع دغدغه‌های دینی امامیان این نواحی، کوشید میراث روایی امامیه در</w:t>
      </w:r>
      <w:bookmarkStart w:id="289" w:name="pg2638_22644"/>
    </w:p>
    <w:p>
      <w:pPr>
        <w:pStyle w:val="BookText"/>
        <w:rPr/>
      </w:pPr>
      <w:bookmarkEnd w:id="2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خراسان و ماوراءالنهر را گردآوردی کند؛ از این رو، شمار قابل ملاحظه‌ای از احادیث امامی موجود آن منطقه، از خطر انقراض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مظفر‌بن‌جعفر سمرقندی که میراث روایی عیاشی را در اختیار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انتقال آن به شیخ صدوق بسیار نقش‌آفرین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4"/>
        <w:numPr>
          <w:ilvl w:val="3"/>
          <w:numId w:val="1"/>
        </w:numPr>
        <w:rPr/>
      </w:pPr>
      <w:bookmarkStart w:id="290" w:name="__RefHeading___Toc603985_1395250215"/>
      <w:bookmarkStart w:id="291" w:name="_Toc116"/>
      <w:bookmarkEnd w:id="290"/>
      <w:r>
        <w:rPr>
          <w:rtl w:val="true"/>
        </w:rPr>
        <w:t>جریان متهم به غلو</w:t>
      </w:r>
      <w:bookmarkEnd w:id="291"/>
    </w:p>
    <w:p>
      <w:pPr>
        <w:pStyle w:val="BookText"/>
        <w:rPr/>
      </w:pPr>
      <w:r>
        <w:rPr>
          <w:rFonts w:ascii="IRNazanin" w:hAnsi="IRNazanin" w:eastAsia="IRNazanin"/>
          <w:color w:val="111111"/>
          <w:sz w:val="28"/>
          <w:sz w:val="28"/>
          <w:szCs w:val="28"/>
          <w:rtl w:val="true"/>
          <w:lang w:bidi="fa-IR"/>
        </w:rPr>
        <w:t>در میان اصحاب نخستین امامیه، طیفی وجود داشته است که به دلیل دیدگاه ویژه‌شان درباره امامان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اصحاب سرشناس امامی، به زیاده‌روی در اعتقادات متهم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طیف غالیان مطرود امامی،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بیان‌بن‌سمعان و دیگران متمایز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متهم به غلو در کوفه، مانند جابر‌بن‌یزید جعفی و مفضل‌بن‌عمر جعفی با آن‌که از سوی برخی اصحاب امامیه مورد نقد قرار داشته‌اند، ولی اندیشه و روایات اینان در میان امامیان رواج داشته است و برخی اصحاب به نقل روایت از آن‌ها اقبال نشان می‌دادند؛ این در حالی بود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امامی هیچ‌گاه به غلات مطرود روی خوش نشان نداده، با نشر تعالیم آنان در جامعه امامیه به شدت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غالیان مذموم تلاش می‌کردند برای موجه جلوه دادن دیدگاه‌هایشان، خود را به متهمان به غلو متصل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جریان متهمان به غلو در آستانه غیبت صغرا در دیار خراسان و ماوراءالنهر حضور قابل توجهی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ورود این تفکر در آن سامان، گزارش روشنی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گزاره‌ای تاریخی در زمان مأمون عباسی، والی شیعی‌مذهب بلخ فرمان داد که در اذان شهادت ثالثه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بلخی،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آموزه‌های این گروه در خراسان اطلاعات اندکی وجود دارد؛ این‌که آن‌ها در زمینه 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ویژه داشتند که این اعتقاد، مخالفت فضل‌بن‌شاذان را برانگیخته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820</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توجه این‌که از حضور غالیان مطرود در خراسان و ماوراءالنهر گزارش نشده است، در حالی که این غلات در سایر مناطق امامی‌نشین چون عراق و حتی قم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رهبران فکری این جریان در خراسان و ماوراءالنهر با شخصیت‌های مشهور متهم به غلو در آن نواحی مرتبط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نصر‌بن‌صباح بلخی، از علمای شاخص این گروه در خراسان، میراث غالیان عراق را در خراسان و ماوراءالنهر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بسیاری از منقولات اسحاق‌بن‌محمد بصری را که کشی از او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 من ارکانهم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خراسان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حسن‌بن‌علی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السجاده ـ غالی پرآوازه ـ نیز ارتباط داشته و از وی حدیث شنیده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این، بلخی در نقد غالیان مذموم اخباری را نقل کرده که کشی در مواردی فراوان از آن اخبار در کتاب خویش بهره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محیط خراسان برای نشر افکار جریان متهم به غلو، از دیگر مراکز امامی‌نشین مناسب‌تر بوده است؛ از این رو، بعضی از غلو‌گرایان به آن دیار رفت‌و‌آمد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حسن‌بن‌خَرّزاد قمی که در عقیده تندروی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کش رفته و در آن‌جا مقیم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حسین‌بن‌عبیدالله محرّر، شوهر خواهر وی نیز به اتهام غلو از قم اخراج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عزیمت او به ماوراءالنهر چیزی 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محمد‌بن‌بحر رهنی کرمانی، از متکلمان متهم به ارتفاع که کشی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 کینه‌توز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با خراسانیان مرتبط بوده و نیز سفری به آن دیار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آثار رهنی نیز بیشتر در خراسان با اقبال روبه‌رو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اَحْکَم‌بن‌بشار مروزی که کشی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 لا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 بی‌ارزشی که نباید به او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یاد می‌کند نیز به بغداد رفت‌و‌آمد داشته و برخی از هم‌فکرانش اخبار وی را در خراسان ترویج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افرادی مانند احمد‌بن‌علی‌بن‌کلثوم سرخسی و آدم‌بن‌محمد بلخی نیز در زمره متهمان به غلو و تفویض جای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ارتباط اینان با هم‌فکرانشان در خارج از خراسان، گزارشی در دست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متهمان به غلو در خراسان و ماوراءالنهر از سوی سایر جریان‌های امامیه مورد انتقاد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فضل‌بن‌شاذان نیشابوری در مبارزه با آموزه‌ها و اندیشه آن‌ها بسیار فعال بوده است؛ حتی به دستور او، پیروانش از دادن وجوهات مالی به وکیل اعزامی امام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دلیل حضور آن وکیل در میان غالیان نیشابور، امتناع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هماره رهبران فکری این گروه را تخطئه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کتاب الرد علی الغلاۀ را در نقد آنان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نیز روایاتی را درباره نکوهش غالیان نقل کرده، اما کشی در این باره بیش از استادش در طعن و مذمت خط غالیان توجه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نقل روایات مذمت‌آمیز درباره این گروه، هرگونه اخبار در مدح رهبران آن‌ها را نیز نقد و یا توجیه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bookmarkStart w:id="292" w:name="pg2638_22646"/>
    </w:p>
    <w:p>
      <w:pPr>
        <w:pStyle w:val="BookText"/>
        <w:rPr/>
      </w:pPr>
      <w:bookmarkEnd w:id="2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با این همه، منقولات این متهمان به غلو از سوی خط اصیل امامی در خراسان و ماوراءالنهر، همانند قمیان به طور کلی به کنار نهاده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مشایخ اسناد روایی کشی، به روشنی می‌توان دریافت که او در عین مخالفت جدی با افکار غلوگرایی، از نقل روایت از گروه متهمان به غلو هیچ ابایی نداشته و نقل روایت از کسانی را که مأمون در حدیث بوده‌اند، روا می‌دانسته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نیز با رعایت این شرط، از آن‌ها حدیث نقل می‌کرده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عالمان خراسان سبب شد که میراث روایی این گروه در منابع امامیه آن سامان ورود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دسته از عالمان امامی در نشر و ترویج میراث روایی امامیه در پهنه خراسان و ماوراءالنهر کوشا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آدم‌بن‌محمد بلخی و ابن‌کلثوم سرخسی در مصادر امامیه قابل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حسن‌بن‌خرزاد قمی ـ مقیم کش ـ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نصر‌بن‌صباح نیز افزون بر مشایخ متهم به غلو، از علمای بزرگ روزگار خویش استفاده کرده است که فضل‌بن‌شاذان و احمد‌بن‌عیسی اشعری از آن جمله‌اند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Heading4"/>
        <w:numPr>
          <w:ilvl w:val="3"/>
          <w:numId w:val="1"/>
        </w:numPr>
        <w:rPr/>
      </w:pPr>
      <w:bookmarkStart w:id="293" w:name="__RefHeading___Toc603987_1395250215"/>
      <w:bookmarkStart w:id="294" w:name="_Toc117"/>
      <w:bookmarkEnd w:id="293"/>
      <w:r>
        <w:rPr>
          <w:rtl w:val="true"/>
        </w:rPr>
        <w:t>طیف های ناشناخته</w:t>
      </w:r>
      <w:bookmarkEnd w:id="294"/>
    </w:p>
    <w:p>
      <w:pPr>
        <w:pStyle w:val="Heading5"/>
        <w:numPr>
          <w:ilvl w:val="4"/>
          <w:numId w:val="1"/>
        </w:numPr>
        <w:rPr/>
      </w:pPr>
      <w:bookmarkStart w:id="295" w:name="__RefHeading___Toc603989_1395250215"/>
      <w:bookmarkStart w:id="296" w:name="_Toc118"/>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افزون بر آن چهار جریان فکری امامیه که از حضور آن‌ها در خراسان و ماوراءالنهر سخن به میان آمد، عده‌ای از متفکران بنام امامی نیز در آن دیار حضور داشتند که گزارش‌های رسیده، تنها پاره‌ای از زندگی علمی آنان را به دست می‌دهند و از این اندک نمی‌توان ارتباط ایشان را با جریان‌های پیش‌گفته کشف کرد، اما به دلیل جایگاه مهمّ فکری و علمی این گروه، در این بخش به آنان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توجه به پیشینه اعتقادی‌شان به دو طیف تقسیم می‌گردند؛</w:t>
      </w:r>
    </w:p>
    <w:p>
      <w:pPr>
        <w:pStyle w:val="Heading5"/>
        <w:numPr>
          <w:ilvl w:val="4"/>
          <w:numId w:val="1"/>
        </w:numPr>
        <w:rPr/>
      </w:pPr>
      <w:bookmarkStart w:id="297" w:name="__RefHeading___Toc603991_1395250215"/>
      <w:bookmarkStart w:id="298" w:name="_Toc119"/>
      <w:bookmarkEnd w:id="297"/>
      <w:r>
        <w:rPr>
          <w:rtl w:val="true"/>
        </w:rPr>
        <w:t>علمای مستبصر</w:t>
      </w:r>
      <w:bookmarkEnd w:id="298"/>
    </w:p>
    <w:p>
      <w:pPr>
        <w:pStyle w:val="Heading6"/>
        <w:numPr>
          <w:ilvl w:val="5"/>
          <w:numId w:val="1"/>
        </w:numPr>
        <w:rPr/>
      </w:pPr>
      <w:bookmarkStart w:id="299" w:name="__RefHeading___Toc603993_1395250215"/>
      <w:bookmarkStart w:id="300" w:name="_Toc120"/>
      <w:bookmarkEnd w:id="299"/>
      <w:r>
        <w:rPr>
          <w:rtl w:val="true"/>
        </w:rPr>
        <w:t>اشاره</w:t>
      </w:r>
      <w:bookmarkEnd w:id="30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مکتب فکری امامیه در کوفه، در اواخر قرن دوم کم‌فروغ گشت و سرانجام به افول گرایید، احتمال داشت که گرایش به آموزه‌ها و مبانی امامیه نیز در جهان اسلام تضعیف گردد، اما در سده سوم گرایش به امامیه روندی رو به رشدی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اقبال در بین فرهیختگان سایر نحله‌های فکری بیش از پیش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دانش‌پرور عراق، کسانی چون ابوعیسی وراق، ابن‌راوندی، ابن‌مملک جرجانی و در ری ابن‌قبه رازی از اعتزال به امامیه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محمد‌بن‌ابراهیم ثقفی و ابوالفضل جعفی صابونی، دو تن از علمای</w:t>
      </w:r>
      <w:bookmarkStart w:id="301" w:name="pg2638_22647"/>
    </w:p>
    <w:p>
      <w:pPr>
        <w:pStyle w:val="BookText"/>
        <w:rPr/>
      </w:pPr>
      <w:bookmarkEnd w:id="3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سر‌شناس زیدیه نیز در این دوره به امامیه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تحولات عقیدتی به نفع امامیه در این دوران، ریشه در کوشش‌های بنیادین مدرسه کوفه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خراسان و ماوراءالنهر نیز از پدیده گرایش به امامیه بیگانه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گروه‌های مختلف فکری در این دیار به مذهب امامیه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چرایی و چگونگی روی‌گردانی اینان به مذهب امامیه، چیزی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جایگاه این افراد می‌توان به شخصیت ممتاز علمی و مذهبی آنان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ابونضر عیاشی که در خط فکری هشام‌بن‌حکم قرار دارد، درباره وابستگی جریانی سایر علمای مستبصر خراسان و ماوراءالنهر، به دلیل حجم اندک گزاره‌ها نمی‌توان اظهار نظر جامعی ارائه کرد؛ لذا به معرفی آنان اکتفا می‌شود</w:t>
      </w:r>
      <w:r>
        <w:rPr>
          <w:rFonts w:eastAsia="IRNazanin" w:cs="IRNazanin"/>
          <w:color w:val="111111"/>
          <w:sz w:val="28"/>
          <w:szCs w:val="28"/>
          <w:rtl w:val="true"/>
          <w:lang w:bidi="fa-IR"/>
        </w:rPr>
        <w:t>.</w:t>
      </w:r>
    </w:p>
    <w:p>
      <w:pPr>
        <w:pStyle w:val="Heading6"/>
        <w:numPr>
          <w:ilvl w:val="5"/>
          <w:numId w:val="1"/>
        </w:numPr>
        <w:rPr/>
      </w:pPr>
      <w:bookmarkStart w:id="302" w:name="__RefHeading___Toc603995_1395250215"/>
      <w:bookmarkStart w:id="303" w:name="_Toc121"/>
      <w:bookmarkEnd w:id="302"/>
      <w:r>
        <w:rPr/>
        <w:t>1-1</w:t>
      </w:r>
      <w:r>
        <w:rPr>
          <w:rtl w:val="true"/>
        </w:rPr>
        <w:t xml:space="preserve">. </w:t>
      </w:r>
      <w:r>
        <w:rPr>
          <w:rtl w:val="true"/>
        </w:rPr>
        <w:t>ابن کلثوم مروزی</w:t>
      </w:r>
      <w:bookmarkEnd w:id="303"/>
    </w:p>
    <w:p>
      <w:pPr>
        <w:pStyle w:val="BookText"/>
        <w:rPr/>
      </w:pPr>
      <w:r>
        <w:rPr>
          <w:rFonts w:ascii="IRNazanin" w:hAnsi="IRNazanin" w:eastAsia="IRNazanin"/>
          <w:color w:val="111111"/>
          <w:sz w:val="28"/>
          <w:sz w:val="28"/>
          <w:szCs w:val="28"/>
          <w:rtl w:val="true"/>
          <w:lang w:bidi="fa-IR"/>
        </w:rPr>
        <w:t xml:space="preserve">محمد‌بن‌سعید بن‌کلثوم مروزی که از او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اَجِلّة المتکلمین بنیسابور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در آغاز بر مذهب خوارج بوده، آن‌گاه به امامیه گرایش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هم‌زمانیِ تقریبی حضور وی با فضل‌بن‌شاذان ـ متکلم پرآوازه امامیه ـ در نیشابور، احتمال دارد او تحت تأثیر فضل به امامیه پیوسته است؛ به‌ویژه آن‌که فضل آثاری در نقد رهبران خوارج تألیف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مروزی پس از تغییر مذهب در حمایت از مبانی فکری امامیه در نیشابور فعال بوده است و از این رو، امیران طاهری وی را مدتی در بند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فضل‌بن‌شاذان نیز به دلیل فعالیت‌هایش در نیشابور از سوی طاهریان تبعید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Heading6"/>
        <w:numPr>
          <w:ilvl w:val="5"/>
          <w:numId w:val="1"/>
        </w:numPr>
        <w:rPr/>
      </w:pPr>
      <w:bookmarkStart w:id="304" w:name="__RefHeading___Toc603997_1395250215"/>
      <w:bookmarkStart w:id="305" w:name="_Toc122"/>
      <w:bookmarkEnd w:id="304"/>
      <w:r>
        <w:rPr/>
        <w:t>2-1</w:t>
      </w:r>
      <w:r>
        <w:rPr>
          <w:rtl w:val="true"/>
        </w:rPr>
        <w:t>.</w:t>
      </w:r>
      <w:r>
        <w:rPr>
          <w:rtl w:val="true"/>
        </w:rPr>
        <w:t>ابو یحیی جرجانی</w:t>
      </w:r>
      <w:bookmarkEnd w:id="30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احمد‌بن‌داود‌بن‌سعید فزاری، که در آغاز در زمره رهبران اهل‌حدیث به شمار می‌رفت، سپس به مذهب امامیه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چرایی تحول مذهبی او چیزی 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او نیز تحت تأثیر عالمان امامی، مانند فضل‌بن‌شاذان تغییر مذهب داده باشد، چه آن‌که فضل در نقد اهل حدیث فعال بوده و در این باره آثاری را تألیف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گرایش به امامیه، به شدت علیه اهل حدیث در خراسان موضع‌گیری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کتاب‌هایی،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محنة النابته، خلاف عمر بروایۀ اهل الحشو، فضائح الحشویه، کتاب الصهاکی، الردّ علی الحنبلی و استنباط الحشویه را در نقد اهل‌حدیث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او مورد کینه‌توزی اهل‌حدیث خراسان قرار گرفت، تا</w:t>
      </w:r>
      <w:bookmarkStart w:id="306" w:name="pg2638_22648"/>
    </w:p>
    <w:p>
      <w:pPr>
        <w:pStyle w:val="BookText"/>
        <w:rPr/>
      </w:pPr>
      <w:bookmarkEnd w:id="3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جایی که با سعایت آن‌ها، حاکم طاهری به قطع دست و پا و زبان وی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6"/>
        <w:numPr>
          <w:ilvl w:val="5"/>
          <w:numId w:val="1"/>
        </w:numPr>
        <w:rPr/>
      </w:pPr>
      <w:bookmarkStart w:id="307" w:name="__RefHeading___Toc603999_1395250215"/>
      <w:bookmarkStart w:id="308" w:name="_Toc123"/>
      <w:bookmarkEnd w:id="307"/>
      <w:r>
        <w:rPr/>
        <w:t>1</w:t>
      </w:r>
      <w:r>
        <w:rPr>
          <w:rtl w:val="true"/>
        </w:rPr>
        <w:t>ـ</w:t>
      </w:r>
      <w:r>
        <w:rPr/>
        <w:t>3</w:t>
      </w:r>
      <w:r>
        <w:rPr>
          <w:rtl w:val="true"/>
        </w:rPr>
        <w:t xml:space="preserve">. </w:t>
      </w:r>
      <w:r>
        <w:rPr>
          <w:rtl w:val="true"/>
        </w:rPr>
        <w:t xml:space="preserve">تاج‌العلماء نیشابوری </w:t>
      </w:r>
      <w:r>
        <w:rPr>
          <w:rtl w:val="true"/>
        </w:rPr>
        <w:t>(</w:t>
      </w:r>
      <w:r>
        <w:rPr>
          <w:rtl w:val="true"/>
        </w:rPr>
        <w:t>م</w:t>
      </w:r>
      <w:r>
        <w:rPr>
          <w:rtl w:val="true"/>
        </w:rPr>
        <w:t>.</w:t>
      </w:r>
      <w:r>
        <w:rPr/>
        <w:t>335</w:t>
      </w:r>
      <w:r>
        <w:rPr>
          <w:rtl w:val="true"/>
        </w:rPr>
        <w:t>ق</w:t>
      </w:r>
      <w:r>
        <w:rPr>
          <w:rtl w:val="true"/>
        </w:rPr>
        <w:t>)</w:t>
      </w:r>
      <w:bookmarkEnd w:id="308"/>
    </w:p>
    <w:p>
      <w:pPr>
        <w:pStyle w:val="BookText"/>
        <w:rPr/>
      </w:pPr>
      <w:r>
        <w:rPr>
          <w:rFonts w:ascii="IRNazanin" w:hAnsi="IRNazanin" w:eastAsia="IRNazanin"/>
          <w:color w:val="111111"/>
          <w:sz w:val="28"/>
          <w:sz w:val="28"/>
          <w:szCs w:val="28"/>
          <w:rtl w:val="true"/>
          <w:lang w:bidi="fa-IR"/>
        </w:rPr>
        <w:t>از نام و نَسَب وی چیزی دانسته نیست، ولی با توجه به لقبش درمی‌یابیم که او بین عالمان عصر خویش، جایگاه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تاج‌العلما در آغاز پیرو اهل‌سنت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تاریخ‌نویسان اهل‌سنت، وی کتاب‌های ارزش‌مندی را در موضوعات فقه و کلام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دلایلی که بر ما پوشیده است، به امامیه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سنی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نیشابوری سخن به میان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وی در دفاع و تبیین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حیات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مناظراتی هم با مخالفان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5"/>
        <w:numPr>
          <w:ilvl w:val="4"/>
          <w:numId w:val="1"/>
        </w:numPr>
        <w:rPr/>
      </w:pPr>
      <w:bookmarkStart w:id="309" w:name="__RefHeading___Toc604001_1395250215"/>
      <w:bookmarkStart w:id="310" w:name="_Toc124"/>
      <w:bookmarkEnd w:id="309"/>
      <w:r>
        <w:rPr>
          <w:rtl w:val="true"/>
        </w:rPr>
        <w:t>طیف متکلمان منفرد</w:t>
      </w:r>
      <w:bookmarkEnd w:id="310"/>
    </w:p>
    <w:p>
      <w:pPr>
        <w:pStyle w:val="Heading6"/>
        <w:numPr>
          <w:ilvl w:val="5"/>
          <w:numId w:val="1"/>
        </w:numPr>
        <w:rPr/>
      </w:pPr>
      <w:bookmarkStart w:id="311" w:name="__RefHeading___Toc604003_1395250215"/>
      <w:bookmarkStart w:id="312" w:name="_Toc125"/>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برخی از افراد اندیشمند و صاحب‌نظر امامی در خراسان و ماوراءالنهر می‌زیستند که از گرایش و خطوط فکری آنان گزارشی در دست نیست، اما با توجه به تألیفات و فعالیت‌های علمی‌شان می‌توان دریافت که آنان در تاریخ فکر امامیه آن منطقه، بی‌تأثیر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اطلاعات پیرامون این افراد اندک است، تنها به معرفی این گروه می‌پردازیم</w:t>
      </w:r>
      <w:r>
        <w:rPr>
          <w:rFonts w:eastAsia="IRNazanin" w:cs="IRNazanin"/>
          <w:color w:val="111111"/>
          <w:sz w:val="28"/>
          <w:szCs w:val="28"/>
          <w:rtl w:val="true"/>
          <w:lang w:bidi="fa-IR"/>
        </w:rPr>
        <w:t>.</w:t>
      </w:r>
    </w:p>
    <w:p>
      <w:pPr>
        <w:pStyle w:val="Heading6"/>
        <w:numPr>
          <w:ilvl w:val="5"/>
          <w:numId w:val="1"/>
        </w:numPr>
        <w:rPr/>
      </w:pPr>
      <w:bookmarkStart w:id="313" w:name="__RefHeading___Toc604005_1395250215"/>
      <w:bookmarkStart w:id="314" w:name="_Toc126"/>
      <w:bookmarkEnd w:id="313"/>
      <w:r>
        <w:rPr/>
        <w:t>1-2</w:t>
      </w:r>
      <w:r>
        <w:rPr>
          <w:rtl w:val="true"/>
        </w:rPr>
        <w:t xml:space="preserve">. </w:t>
      </w:r>
      <w:r>
        <w:rPr>
          <w:rtl w:val="true"/>
        </w:rPr>
        <w:t>ابن شکیب مروزی</w:t>
      </w:r>
      <w:bookmarkEnd w:id="314"/>
    </w:p>
    <w:p>
      <w:pPr>
        <w:pStyle w:val="BookText"/>
        <w:rPr/>
      </w:pPr>
      <w:r>
        <w:rPr>
          <w:rFonts w:ascii="IRNazanin" w:hAnsi="IRNazanin" w:eastAsia="IRNazanin"/>
          <w:color w:val="111111"/>
          <w:sz w:val="28"/>
          <w:sz w:val="28"/>
          <w:szCs w:val="28"/>
          <w:rtl w:val="true"/>
          <w:lang w:bidi="fa-IR"/>
        </w:rPr>
        <w:t>حسین‌بن‌اشکیب مروزی، از اصحاب امام هادی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متکلمان نام‌دار امامیه است که در شهرهای سمرقند و کشّ اقامت داشته و مدتی نیز در قم به سر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درباره اش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جلیل، متکلم، فقیه، مناظر، صاحب تصانیف، لطیف الکلام، جیدالنظر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نیز او را در شمار متکلمان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اشعری نیز ضمن معرفی متکلمان و نویسندگان شیعه، ایشان را ردیف اندیشورانی چون هشام‌بن‌حکم و یونس‌بن‌عبدالرحمن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مناظرات وی با علمای سایر ادیان نیز گزارش‌هایی در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دو کتاب کلامی الرد علی من زعم أن النبی کان علی دین قومه و الرد علی الزیدیه را تألیف کرده بود که مفید بعدها به آن‌ها دسته یافته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bookmarkStart w:id="315" w:name="pg2638_22649"/>
    </w:p>
    <w:p>
      <w:pPr>
        <w:pStyle w:val="BookText"/>
        <w:rPr/>
      </w:pPr>
      <w:bookmarkEnd w:id="3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Heading6"/>
        <w:numPr>
          <w:ilvl w:val="5"/>
          <w:numId w:val="1"/>
        </w:numPr>
        <w:rPr/>
      </w:pPr>
      <w:bookmarkStart w:id="316" w:name="__RefHeading___Toc604007_1395250215"/>
      <w:bookmarkStart w:id="317" w:name="_Toc127"/>
      <w:bookmarkEnd w:id="316"/>
      <w:r>
        <w:rPr>
          <w:rtl w:val="true"/>
        </w:rPr>
        <w:t>علیم شاشی</w:t>
      </w:r>
      <w:bookmarkEnd w:id="317"/>
    </w:p>
    <w:p>
      <w:pPr>
        <w:pStyle w:val="BookText"/>
        <w:rPr/>
      </w:pPr>
      <w:r>
        <w:rPr>
          <w:rFonts w:ascii="IRNazanin" w:hAnsi="IRNazanin" w:eastAsia="IRNazanin"/>
          <w:color w:val="111111"/>
          <w:sz w:val="28"/>
          <w:sz w:val="28"/>
          <w:szCs w:val="28"/>
          <w:rtl w:val="true"/>
          <w:lang w:bidi="fa-IR"/>
        </w:rPr>
        <w:t xml:space="preserve">ابوسلمه علیم‌بن‌محمد بکری شاشی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متکلمان امامیه است که ظاهراً در ناحیه 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چاچ که امروزه تاشکند پایتخت ازبکستان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علمی وی گزارشی زیادی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کتاب التوحید وی که ظاهراً با روش کلامی تدوین یافته بوده، در منابع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318" w:name="__RefHeading___Toc604009_1395250215"/>
      <w:bookmarkStart w:id="319" w:name="_Toc128"/>
      <w:bookmarkEnd w:id="318"/>
      <w:r>
        <w:rPr>
          <w:rtl w:val="true"/>
        </w:rPr>
        <w:t>دست آورد</w:t>
      </w:r>
      <w:bookmarkEnd w:id="319"/>
    </w:p>
    <w:p>
      <w:pPr>
        <w:pStyle w:val="BookText"/>
        <w:rPr/>
      </w:pPr>
      <w:r>
        <w:rPr>
          <w:rFonts w:ascii="IRNazanin" w:hAnsi="IRNazanin" w:eastAsia="IRNazanin"/>
          <w:color w:val="111111"/>
          <w:sz w:val="28"/>
          <w:sz w:val="28"/>
          <w:szCs w:val="28"/>
          <w:rtl w:val="true"/>
          <w:lang w:bidi="fa-IR"/>
        </w:rPr>
        <w:t>آنچه در تحلیل و بررسی این نوشتار به دست آمد این است که در بازه زمانی یادشده، بسیاری از جریان‌های فکری و فرهنگی امامی در حوزه جغرافیایی خراسان و ماوراءالنهر، همانند سایر مناطق امامی‌نشین حضوری فعال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پی‌جویی آبشخور و منابع فکری این جریان‌ها، درمی‌یابیم که برخی از آن‌ها ریشه در مدرسه فکری کوفه دارند، چراکه پس از کم‌فروغ شدن فعالیت‌های علمی در آن مدرسه، بسیاری از میراث فکری آن به سایر مناطق امامیه، از جمله خراسان و ماوراءالنهر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اندیشوران و عالمان خراسانی و ماوراءالنهری با سفر به کوفه و مناطق وابسته و متأثر از آن شهر، ضمن آشنایی با آرا و اندیشه نحله‌های مختلف امامی، حجم قابل توجهی از میراث علمی امامیه را به زادگاه خویش انتقال داده 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حضور و تأثیرگذاری هریک از این جریان‌ها در محیط خراسان و ماوراءالنهر با مناطقی چون عراق و قم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فکری هشام‌بن‌حکم و یونس‌بن‌عبدالرحمن با تلاش‌های تحسین‌برانگیز فضل‌بن‌شاذان و شاگردانش در خراسان و ماوراءالنهر، با استقبال فراوان بسی بیشتر از عراق و قم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فکری، چه در عرصه کلام و چه در عرصه فقه، برای سال‌ها بر اندیشه بخش قابل توجهی از امامیان آن سامان سیطره داشت، تا جایی که نظر موافقان این دیدگاه فکری در سایر نواحی را به خود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حدیث‌گرای خراسان و ماوراءالنهر نیز با بهره‌گیری از میراث روایی کوفیان، بسیار توانمند و فعال بوده است؛ از این رو، مشایخ محدث قم، خود را به حدیث خراسانیان، نیازمند می‌دیدند و لذا با مراودات علمی سعی داشتند از میراث حدیثی آن‌جا بهره‌مند 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غالیان مطرود در سرزمین خراسان و ماوراءالنهر گزارشی در دست نیست، ولی گروه متهم به غلو در آن ناحیه فعال بودند و حتی برخی از اینان، به دلیل فضای سخت‌گیرانه قم، بدان‌جا عزیمت می‌کردند، چراکه سایر جریان‌های امامی در خراسان و ماوراءالنهر با وجود انتقاد به این</w:t>
      </w:r>
      <w:bookmarkStart w:id="320" w:name="pg2638_22650"/>
    </w:p>
    <w:p>
      <w:pPr>
        <w:pStyle w:val="BookText"/>
        <w:rPr/>
      </w:pPr>
      <w:bookmarkEnd w:id="3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خط فکری، آن‌ها را طرد نمی‌کردند و حتی با آنان مرودات علمی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طیفی از اندیشوران در خراسان حضور داشتند که از دیگر فرقه‌ها به مذهب امامیه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وابستگی جریانی آنان چیزی نمی‌دانیم، ولی می‌توان گفت آن‌ها با تلاش و فعالیت جریان‌های اصیل امامی به امامیه روی‌گردان شده بودند</w:t>
      </w:r>
      <w:r>
        <w:rPr>
          <w:rFonts w:eastAsia="IRNazanin" w:cs="IRNazanin"/>
          <w:color w:val="111111"/>
          <w:sz w:val="28"/>
          <w:szCs w:val="28"/>
          <w:rtl w:val="true"/>
          <w:lang w:bidi="fa-IR"/>
        </w:rPr>
        <w:t>.</w:t>
      </w:r>
    </w:p>
    <w:p>
      <w:pPr>
        <w:pStyle w:val="Heading3"/>
        <w:numPr>
          <w:ilvl w:val="2"/>
          <w:numId w:val="1"/>
        </w:numPr>
        <w:rPr/>
      </w:pPr>
      <w:bookmarkStart w:id="321" w:name="__RefHeading___Toc604011_1395250215"/>
      <w:bookmarkStart w:id="322" w:name="_Toc129"/>
      <w:bookmarkEnd w:id="321"/>
      <w:r>
        <w:rPr>
          <w:rtl w:val="true"/>
        </w:rPr>
        <w:t>منابع</w:t>
      </w:r>
      <w:bookmarkEnd w:id="322"/>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احمد‌بن‌علی،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المیزان، بیروت، مؤسسه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ابن‌فندق، حسن‌بن‌ابی‌القاسم،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الانساب،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قم، مکتبۀ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ابن‌قولویه، جعفر‌بن‌محمد،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 نشرالفقاهه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ابن‌مرتضی، احمد‌بن‌یحیی،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المعتزله،تحقیق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سوسنه دیفلد فلرز، بیروت، مکتبۀ الحیاه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ابن‌ندیم، محمد‌بن‌اسحاق،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هملوت ریتر، آلمان، فرانس شتاینر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عبدالله‌بن‌عمر،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بلخ،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عبدالله‌بن‌محمد بلخی،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عبدالحی حبیبی، تهران، بنیاد فرهنگ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ابن‌جنید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دائرۀالمعارف بزرگ اسلامی، تهران، مرکز دائرۀ‌المعارف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دائرۀالمعارف بزرگ اسلامی، تهران، مرکز دائرۀالمعارف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جباری، محمدرضا،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وکالت، قم، مؤسسه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تشیع، تهران، نشرعلم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حسینی‌زاده، سید‌علی،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متکلمان نوبختی در میانه مدرسه کوفه و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نقدونظر، شماره</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حسن‌بن‌یوسف،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ایضاح الاشتباه،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حسون،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خلاصۀ الاقوال،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 نشر الفقاهه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ابوالقاسم،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محمد‌بن‌احمد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الاعلام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الارنووط، بیروت، مؤسسه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محمدجعفر،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جریان فکری هشام‌بن‌حکم تا شکل‌گیری مدرسه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نقدونظر،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محمدتقی،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رویش‌ها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نقدونظر، شماره</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عبدالکریم‌بن‌محمد،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الانساب،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البارودی، بیروت، دارالجنان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محمد‌جواد،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دائرۀالمعارف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مرکز دائره‌المعارف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سیدهاشم حسینی،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محمدصادق بحرالعلوم، نجف، مکتبۀ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عیون‌اخبارالرضا،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اعلمی، بیروت، مؤسسه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قم، دارالثقافه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معرفۀ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 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 نشرالفقاهه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فارسی، عبدالغافر‌بن‌اسماعیل،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نیشابور،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عبدالجلیل،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النقض،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ارموی، تهران، انجمن آثار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کرباسی، اکبر،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کلامی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نقدونظر، شماره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محمد‌بن‌یعقوب،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 دارالکتب‌الاسلامیه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گرامی، سید‌محمدهادی،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مناسبات فکری تشیع، تهران، دانشگاه امام‌صادق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سیدحسین،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مقدمه‌ای بر فقه شیعه،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آصف فکرت، مشهد،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علی‌بن‌حسین،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سیداحمد حسینی، قم، دارالقرآن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السرویه،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عبدالحمید، بیروت،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الصاغانیه،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القاضی، بیروت،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محمد‌بن‌احمد،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احسن التقاسیم، قاهره، مکتبۀ مدبولی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ملطی، محمد‌بن‌احمد،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التنبیه و الرد علی اهل الاهواء و البدع،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عزب، قاهره، مکتبۀ مدبولی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بالله، عبدالله‌بن‌حمزه،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صنعاء، مؤسسه الاعلمی للمطبوعات،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احمد‌بن‌علی،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شبیری‌زنجانی، قم، مؤسسۀ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علی،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مستدرکات علم رجال الحدیث، تهران، شفق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هارونی، یحیی‌بن‌حسین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تیسیرالمطالب،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العزی، اردن، مؤسسه زید‌بن‌علی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bookmarkStart w:id="323" w:name="pg2638_22653"/>
    </w:p>
    <w:p>
      <w:pPr>
        <w:pStyle w:val="BookText"/>
        <w:rPr/>
      </w:pPr>
      <w:bookmarkEnd w:id="3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Heading2"/>
        <w:numPr>
          <w:ilvl w:val="1"/>
          <w:numId w:val="1"/>
        </w:numPr>
        <w:rPr/>
      </w:pPr>
      <w:bookmarkStart w:id="324" w:name="__RefHeading___Toc604013_1395250215"/>
      <w:bookmarkStart w:id="325" w:name="_Toc130"/>
      <w:bookmarkEnd w:id="324"/>
      <w:r>
        <w:rPr>
          <w:rtl w:val="true"/>
        </w:rPr>
        <w:t>ابن راوندی و دفاع از اندیشه کلامی کوفه</w:t>
      </w:r>
      <w:bookmarkEnd w:id="325"/>
    </w:p>
    <w:p>
      <w:pPr>
        <w:pStyle w:val="Heading3"/>
        <w:numPr>
          <w:ilvl w:val="2"/>
          <w:numId w:val="1"/>
        </w:numPr>
        <w:rPr/>
      </w:pPr>
      <w:bookmarkStart w:id="326" w:name="__RefHeading___Toc604015_1395250215"/>
      <w:bookmarkStart w:id="327" w:name="_Toc131"/>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عباس میرزایی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139206/25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1392/09/06</w:t>
      </w:r>
    </w:p>
    <w:p>
      <w:pPr>
        <w:pStyle w:val="Heading3"/>
        <w:numPr>
          <w:ilvl w:val="2"/>
          <w:numId w:val="1"/>
        </w:numPr>
        <w:rPr/>
      </w:pPr>
      <w:bookmarkStart w:id="328" w:name="__RefHeading___Toc604017_1395250215"/>
      <w:bookmarkStart w:id="329" w:name="_Toc132"/>
      <w:bookmarkEnd w:id="328"/>
      <w:r>
        <w:rPr>
          <w:rtl w:val="true"/>
        </w:rPr>
        <w:t>چکیده</w:t>
      </w:r>
      <w:bookmarkEnd w:id="329"/>
    </w:p>
    <w:p>
      <w:pPr>
        <w:pStyle w:val="BookText"/>
        <w:rPr/>
      </w:pPr>
      <w:r>
        <w:rPr>
          <w:rFonts w:ascii="IRNazanin" w:hAnsi="IRNazanin" w:eastAsia="IRNazanin"/>
          <w:color w:val="111111"/>
          <w:sz w:val="28"/>
          <w:sz w:val="28"/>
          <w:szCs w:val="28"/>
          <w:rtl w:val="true"/>
          <w:lang w:bidi="fa-IR"/>
        </w:rPr>
        <w:t>ابن راوندی در دوره ای، معتزلی بوده و سپس به امامیه گرایش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بر آن است به این مسئله بپردازد که ابن راوندی در چارچوب کدام یک از گرایش های فکر امامی، مذهب امامیه را پذیرفت؛ و آیا او با توجه به گرایشات اعتزالی اش به نوعی، روش و محتوای اندیشه معتزله را در کلام امامیه وارد و ادبیات خاصی را در کلام امامیه ایجاد کرد، یا این که صرفاً با جریان عمومیِ کلام امامیه پیش از خود همراه شد؟</w:t>
      </w:r>
    </w:p>
    <w:p>
      <w:pPr>
        <w:pStyle w:val="BookText"/>
        <w:rPr/>
      </w:pPr>
      <w:r>
        <w:rPr>
          <w:rFonts w:ascii="IRNazanin" w:hAnsi="IRNazanin" w:eastAsia="IRNazanin"/>
          <w:color w:val="111111"/>
          <w:sz w:val="28"/>
          <w:sz w:val="28"/>
          <w:szCs w:val="28"/>
          <w:rtl w:val="true"/>
          <w:lang w:bidi="fa-IR"/>
        </w:rPr>
        <w:t>با هدف روشن شدن وضعیت کلام شیعه در طول سده سوم هجری و هم چنین آشکار کردن وضعیت اندیشه امامیه میان دو مدرسه کلام امامیه در کوفه و بغداد، با روش مقایسه اندیشه های ابن راوندی با هشام بن حکم، به عنوان نماینده شاخص کلام امامیه در کوفه، این فرضیه پی گیری شد که ابن راوندی را می توان ادامه دهنده منهج کلامی امامیه در کوفه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ابن راوندی در تقابلی غیرخصمانه با معتزله تلاش کرد از طریق احیای مدرسه کلام امامیه در کوفه، منظومه معرفتی امامیه را تبیین کند</w:t>
      </w:r>
      <w:r>
        <w:rPr>
          <w:rFonts w:eastAsia="IRNazanin" w:cs="IRNazanin"/>
          <w:color w:val="111111"/>
          <w:sz w:val="28"/>
          <w:szCs w:val="28"/>
          <w:rtl w:val="true"/>
          <w:lang w:bidi="fa-IR"/>
        </w:rPr>
        <w:t>.</w:t>
      </w:r>
    </w:p>
    <w:p>
      <w:pPr>
        <w:pStyle w:val="Heading3"/>
        <w:numPr>
          <w:ilvl w:val="2"/>
          <w:numId w:val="1"/>
        </w:numPr>
        <w:rPr/>
      </w:pPr>
      <w:bookmarkStart w:id="330" w:name="__RefHeading___Toc604019_1395250215"/>
      <w:bookmarkStart w:id="331" w:name="_Toc133"/>
      <w:bookmarkEnd w:id="330"/>
      <w:r>
        <w:rPr>
          <w:rtl w:val="true"/>
        </w:rPr>
        <w:t>واژگان کلیدی</w:t>
      </w:r>
      <w:bookmarkEnd w:id="33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کلام، معتزله، امامیه، مدرسه کوفه، مدرسه بغداد، هشام بن حکم، ابن راوندی</w:t>
      </w:r>
      <w:r>
        <w:rPr>
          <w:rFonts w:eastAsia="IRNazanin" w:cs="IRNazanin"/>
          <w:color w:val="111111"/>
          <w:sz w:val="28"/>
          <w:szCs w:val="28"/>
          <w:rtl w:val="true"/>
          <w:lang w:bidi="fa-IR"/>
        </w:rPr>
        <w:t>.</w:t>
      </w:r>
      <w:bookmarkStart w:id="332" w:name="pg2638_22654"/>
    </w:p>
    <w:p>
      <w:pPr>
        <w:pStyle w:val="BookText"/>
        <w:rPr/>
      </w:pPr>
      <w:bookmarkEnd w:id="3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3"/>
        <w:numPr>
          <w:ilvl w:val="2"/>
          <w:numId w:val="1"/>
        </w:numPr>
        <w:rPr/>
      </w:pPr>
      <w:bookmarkStart w:id="333" w:name="__RefHeading___Toc604021_1395250215"/>
      <w:bookmarkStart w:id="334" w:name="_Toc134"/>
      <w:bookmarkEnd w:id="333"/>
      <w:r>
        <w:rPr>
          <w:rtl w:val="true"/>
        </w:rPr>
        <w:t>مقدمه</w:t>
      </w:r>
      <w:bookmarkEnd w:id="334"/>
    </w:p>
    <w:p>
      <w:pPr>
        <w:pStyle w:val="BookText"/>
        <w:rPr/>
      </w:pPr>
      <w:r>
        <w:rPr>
          <w:rFonts w:ascii="IRNazanin" w:hAnsi="IRNazanin" w:eastAsia="IRNazanin"/>
          <w:color w:val="111111"/>
          <w:sz w:val="28"/>
          <w:sz w:val="28"/>
          <w:szCs w:val="28"/>
          <w:rtl w:val="true"/>
          <w:lang w:bidi="fa-IR"/>
        </w:rPr>
        <w:t>ابن راوندی از شخصیت های اثر گذار در تاریخ تفکر اسلام است که در دهه های میانیِ سده سوم، جریانی انتقادی را علیه معتزلیان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راوندی، شخصیت و مذهب وی 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نشان می دهد، وی در دوره ای معتزلی بوده و سپس به امامیه گرایش پیدا کرده، ولی این که وی در دوره ای به الحاد گرایش داشته یا خیر، در هاله ای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که از مخالفانِ سرسخت وی به شمار می‌روند، گزارش هایی از الحاد</w:t>
      </w:r>
    </w:p>
    <w:p>
      <w:pPr>
        <w:pStyle w:val="BookText"/>
        <w:rPr/>
      </w:pPr>
      <w:r>
        <w:rPr>
          <w:rFonts w:ascii="IRNazanin" w:hAnsi="IRNazanin" w:eastAsia="IRNazanin"/>
          <w:color w:val="111111"/>
          <w:sz w:val="28"/>
          <w:sz w:val="28"/>
          <w:szCs w:val="28"/>
          <w:rtl w:val="true"/>
          <w:lang w:bidi="fa-IR"/>
        </w:rPr>
        <w:t>ابن راوندی را نقل کرده اند و از آن جا در منابع دیگر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سقم این گزارش ها و این که آیا به واقع، ابن راوندی آن گونه که معتزلیان می‌پندارند ملحد بوده یا این اتهام تنها به جهت نقدهای بنیادینی است که ابن راوندی به انگاره های توحیدی و عدلیِ اندیشه اعتزال وارد کرده، خارج از محدوده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واکاویِ این موضوع می پردازد که</w:t>
      </w:r>
    </w:p>
    <w:p>
      <w:pPr>
        <w:pStyle w:val="BookText"/>
        <w:rPr/>
      </w:pPr>
      <w:r>
        <w:rPr>
          <w:rFonts w:ascii="IRNazanin" w:hAnsi="IRNazanin" w:eastAsia="IRNazanin"/>
          <w:color w:val="111111"/>
          <w:sz w:val="28"/>
          <w:sz w:val="28"/>
          <w:szCs w:val="28"/>
          <w:rtl w:val="true"/>
          <w:lang w:bidi="fa-IR"/>
        </w:rPr>
        <w:t>ابن راوندی بعد از پذیرشِ تشیع امامی، به کدام یکی از جریان های کلام امامیه گرایش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ابن راوندی بعد از پذیرش مذهب جدید، آثاری در دفاع از آموزه های امامیه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اساس مبانی کلامیِ امامیه، به نقد اندیشه های معتزله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بحث تاریخ ابن راوندی با ارزش است که آیا ابن راوندی سنت جدیدی را در کلام امامیه پایه ریزی کرد که متأثر از معتزله بود، یا این که ادامه دهنده جریان کلامیِ امامیه دوره پیش</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درباره این موضوع، مباحثی به قدمت تاریخ تفکر شیعه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متمایلان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مصری، مدرسی طباطبایی و در کنار اینان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مکدرموت، آدام متز، مونتگمری وات و مادلونگ همگی به نحوی مدعی اند کلام شیعه در مقایسه مدرسه کوفه و بغداد، متأثر از معتزله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این اثر پذیری می تواند دو گروه نوبختیان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و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معتزلیانِ شیعه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وراق، ابن راوندی، ابن قبه، ابن مملک،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فسانجس و ابن 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مقاله ای دیگر این نکته را نشان داده که نمی توان همه معتزلیانِ شیعه شده را یک دست دانست و همه آن ها را واسطه انتقال آموزه های معتزلی به امامیه و گرایش کلام امامیه در بغداد به اعتزال قلمداد کرد و هر کدام از آن ها را باید در فضای فکری خود مورد تحلیل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میرزایی،</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میان،</w:t>
      </w:r>
      <w:bookmarkStart w:id="335" w:name="pg2638_22655"/>
    </w:p>
    <w:p>
      <w:pPr>
        <w:pStyle w:val="BookText"/>
        <w:rPr/>
      </w:pPr>
      <w:bookmarkEnd w:id="3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ابن راوندی چهره شاخص این جریان است که با توجه به قدرت علمی و فعالیت های بسیار خود در عرصه آموزه های شیعی، می توان وی را نامزد برجسته ای در انتقال آموزه های کلامی معتزله به امامیه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این تئوری باید گفت، ابن راوندی خود ادامه دهنده راه متکلمان امامیه در کوفه بوده و از سنت کلامیِ بزرگان امامیه در کوفه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موضوع، افزون بر این که چهره جدیدی از ابن راوندی ترسیم می کند، به نحوی نظریه مشهور را نیز نقد می کند؛ مهم تر از همه این که در صورت اثبات این فرضیه، جایگاه علمی متکلمان امامیه در کوفه نیز روایت</w:t>
      </w:r>
    </w:p>
    <w:p>
      <w:pPr>
        <w:pStyle w:val="BookText"/>
        <w:rPr/>
      </w:pPr>
      <w:r>
        <w:rPr>
          <w:rFonts w:ascii="IRNazanin" w:hAnsi="IRNazanin" w:eastAsia="IRNazanin"/>
          <w:color w:val="111111"/>
          <w:sz w:val="28"/>
          <w:sz w:val="28"/>
          <w:szCs w:val="28"/>
          <w:rtl w:val="true"/>
          <w:lang w:bidi="fa-IR"/>
        </w:rPr>
        <w:t>می گردد، زیرا ابن راوندی، بزرگ ترین منتقدِ اعتزال ـ با هر هدفی که داشت ـ ، با مبانی کلامیِ امامیه که متکلمان امامی در کوفه نظریه پردازی کرده اند، به نقد فراگیرترین و قدرتمندترین بنیاد کلامیِ عقل گرای جهان اسلام در طول سده دوم تا پنجم هجری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سخن از این موضوع می تواند به روشن شدن زمینه ها و بسترهای شکل گیریِ کلام امامیه در بغداد و علت جهت گیری های خاص آنان در مباحث کلامی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بحث، یکی از مراحل حساس و تاریکِ تاریخ تفکر امامیه را مورد بازخوانی قرار می دهد</w:t>
      </w:r>
      <w:r>
        <w:rPr>
          <w:rFonts w:eastAsia="IRNazanin" w:cs="IRNazanin"/>
          <w:color w:val="111111"/>
          <w:sz w:val="28"/>
          <w:szCs w:val="28"/>
          <w:rtl w:val="true"/>
          <w:lang w:bidi="fa-IR"/>
        </w:rPr>
        <w:t>.</w:t>
      </w:r>
    </w:p>
    <w:p>
      <w:pPr>
        <w:pStyle w:val="Heading3"/>
        <w:numPr>
          <w:ilvl w:val="2"/>
          <w:numId w:val="1"/>
        </w:numPr>
        <w:rPr/>
      </w:pPr>
      <w:bookmarkStart w:id="336" w:name="__RefHeading___Toc604023_1395250215"/>
      <w:bookmarkStart w:id="337" w:name="_Toc135"/>
      <w:bookmarkEnd w:id="336"/>
      <w:r>
        <w:rPr>
          <w:rtl w:val="true"/>
        </w:rPr>
        <w:t>ابن راوندی</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احمدبن یحیی بن اسحاق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معروف و مشهور دانش کلام، در طول سده سوم در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فراونی نگاشت و صاحب نظریات مختلفی در حوزه های گوناگون کلام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به او گرایش های گوناگون مذهبی را نسبت</w:t>
      </w:r>
    </w:p>
    <w:p>
      <w:pPr>
        <w:pStyle w:val="BookText"/>
        <w:rPr/>
      </w:pP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ابن راوندی در طبقات خود یاد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مرتضی،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سپس ملحد شد و تا آخر عمر بر الحاد خود تأکید کرد، ولی بعد از جداییِ رسمی از اعتزال، فعالیت های ملحدانه خود را در پوشش تفکر امامیه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معتزلی، فعالیت های ابن ر اوندی در دو ساحت پی گیری شده است؛ نخست، نقد اعتزال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دفاع از آموزه های کلامی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را تا آخر عمر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رفتار ابن راوندی موجب شد که معتزلیان شدیدترین حملات را علیه وی انجام داده و انواع اتهامات را به او نسبت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سید مرتضی،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ابن راوندی بعد از پذیرش اندیشه امامیه تغییر مذهب نداد، زیرا همه گزارش های معتزلی، بر الحاد او در عین گرایش به امامیه تأکید می کنند؛ به این معنا که تشیّع وی ظاهری</w:t>
      </w:r>
      <w:bookmarkStart w:id="338" w:name="pg2638_22656"/>
    </w:p>
    <w:p>
      <w:pPr>
        <w:pStyle w:val="BookText"/>
        <w:rPr/>
      </w:pPr>
      <w:bookmarkEnd w:id="3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معتزله ابن راوندیِ شیعه شده را ملحد معرفی می کنند، سؤالی است که باید پاسخ آن را در شیوه ابن راوندی در نقد اعتزال جست وجو کرد که مجال دیگری برای بحث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فقط به نکته ای اشاره شود که توجه به لوازم نظریات معتزله و هم چنین بیان تناقضات اندیشه های بزرگان اعتزال در بحث توحید و عدل از سویی، و تلاش برای ناتمام نشان دادن هندسه معرفتی معتزله، از علل اصلیِ اتهام الحاد ابن راوندی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ارزش داوری درباره ماهیت اصلی فعالیت های ابن راوندی و به دور از ذهن خوانیِ معتزلیان از تولیدات علمی وی، ابن راوندی بعد از پذیرش اندیشه امامیه شروع به اندیشه ورزی بر اساس مبانی امامیه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توجه این که، گزارش های موجود درباره اندیشه های امامی وی این نکته را به دست می دهد که ابن راوندی در این راه با متکلمان پیش از خود در کوفه هماهنگ است؛ به این معنا که ابن راوندی در واقع، در امتداد جریان کلام امامیه در کوفه، و به ویژه متأثر از هشام بن حکم، از مبانی تفکر امامیه دفاع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سخن از</w:t>
      </w:r>
    </w:p>
    <w:p>
      <w:pPr>
        <w:pStyle w:val="BookText"/>
        <w:rPr/>
      </w:pPr>
      <w:r>
        <w:rPr>
          <w:rFonts w:ascii="IRNazanin" w:hAnsi="IRNazanin" w:eastAsia="IRNazanin"/>
          <w:color w:val="111111"/>
          <w:sz w:val="28"/>
          <w:sz w:val="28"/>
          <w:szCs w:val="28"/>
          <w:rtl w:val="true"/>
          <w:lang w:bidi="fa-IR"/>
        </w:rPr>
        <w:t>این موضوع، نخست به این مدرسه کلامی اشاره ای خواهیم داشت و در ادامه، به شخصیت</w:t>
      </w:r>
    </w:p>
    <w:p>
      <w:pPr>
        <w:pStyle w:val="BookText"/>
        <w:rPr/>
      </w:pPr>
      <w:r>
        <w:rPr>
          <w:rFonts w:ascii="IRNazanin" w:hAnsi="IRNazanin" w:eastAsia="IRNazanin"/>
          <w:color w:val="111111"/>
          <w:sz w:val="28"/>
          <w:sz w:val="28"/>
          <w:szCs w:val="28"/>
          <w:rtl w:val="true"/>
          <w:lang w:bidi="fa-IR"/>
        </w:rPr>
        <w:t>هشام بن حکم می پردازیم</w:t>
      </w:r>
      <w:r>
        <w:rPr>
          <w:rFonts w:eastAsia="IRNazanin" w:cs="IRNazanin"/>
          <w:color w:val="111111"/>
          <w:sz w:val="28"/>
          <w:szCs w:val="28"/>
          <w:rtl w:val="true"/>
          <w:lang w:bidi="fa-IR"/>
        </w:rPr>
        <w:t>.</w:t>
      </w:r>
    </w:p>
    <w:p>
      <w:pPr>
        <w:pStyle w:val="Heading3"/>
        <w:numPr>
          <w:ilvl w:val="2"/>
          <w:numId w:val="1"/>
        </w:numPr>
        <w:rPr/>
      </w:pPr>
      <w:bookmarkStart w:id="339" w:name="__RefHeading___Toc604025_1395250215"/>
      <w:bookmarkStart w:id="340" w:name="_Toc136"/>
      <w:bookmarkEnd w:id="339"/>
      <w:r>
        <w:rPr>
          <w:rtl w:val="true"/>
        </w:rPr>
        <w:t>مدرسه کوفه و هشام بن حکم</w:t>
      </w:r>
      <w:bookmarkEnd w:id="340"/>
    </w:p>
    <w:p>
      <w:pPr>
        <w:pStyle w:val="BookText"/>
        <w:rPr/>
      </w:pPr>
      <w:r>
        <w:rPr>
          <w:rFonts w:ascii="IRNazanin" w:hAnsi="IRNazanin" w:eastAsia="IRNazanin"/>
          <w:color w:val="111111"/>
          <w:sz w:val="28"/>
          <w:sz w:val="28"/>
          <w:szCs w:val="28"/>
          <w:rtl w:val="true"/>
          <w:lang w:bidi="fa-IR"/>
        </w:rPr>
        <w:t>مدرسه کلام امامیه در کوفه، بر محوریت شهر کوفه و بر اساس معارف رسیده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نخستین مدارس کلام امامی به شمار می رود که در دوران حضور ائمه، عمدتاً در کوفه فعالیت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این دوره افزون بر تئوری پردازیِ آموزه های اعتقادی، در بحث و مناظره های دینی در برابر مخالفان، به ویژه معتزلیان، حضور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 کلام کوفه این بود که در کنار فهم گزاره های اعتقادیِ روایی، وارد حوزه نظریه پردازی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جدایی ناپذیر این 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گرایی این متکلمان با عقل گرایی شیعه در دوره های بعد، به خصوص در بغداد،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متکلمان گرچه عقل گرا بودند، مبنای آنان در تبیین عقلیِ اندیشه های امامی، سنت حدیثی امامیه بود؛ به این معنا که متکلمان در چارچوب آموزه های رواییِ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کلامی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هشام بن سالم، زرارة بن اعین، و در دوره بعد هشام بن حکم، علی‌بن رئاب، محمد بن حکیم، عبید بن زرارة از متکلمان نام دار این دوره به شمار می روند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کلام امامیه در کوفه با همه تأثیراتی که در پویاییِ کلام شیعه از خود بر جای گذاشت، از حدود دو دهه پایانیِ سده دوم هجری رو به افول رفت و تقریباً در اوایل سده سوم</w:t>
      </w:r>
      <w:bookmarkStart w:id="341" w:name="pg2638_22657"/>
    </w:p>
    <w:p>
      <w:pPr>
        <w:pStyle w:val="BookText"/>
        <w:rPr/>
      </w:pPr>
      <w:bookmarkEnd w:id="3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اثری از این مدرسه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اواخر حیات مدرسه کوفه، انتقالی جغرافیایی در آن رخ داد و متکلمان به بغداد مهاجرت کردند و همین امر موجب حضور جدی تر اندیشه های امامیه در بغداد و آشنایی بیشتر مخالفان از بنیادهای معرفتی امامیه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38-66</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متکلمان ممتاز مدرسه کوفه است که نقشی اساسی در این مدرسه داشت و شاخصِ متکلمان امامیه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مقالات نگاری، کلامی و آثار برجای مانده از معتزلیان، هشام بن حکم تنها شخصیتی است که بیشترین توجه به اندیشه های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ممتاز هشام در عرصه نظریه پردازیِ تفکر امامیه باعث شد که نه تنها مخالفان وی، بلکه امامیان نیز درباره نظریات وی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تبیینی جدید از آموزه های اعتقادی امامیه را بیان می کرد که نقش عقل در آن فراتر از منهجِ دیگر متکلمان امامیه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 و فعالیت های هشام که با تولید آثار علمیِ فراوانی همراه بود، جایگاه علمی خاصی را در کوفه برای وی به همراه داشت که باعث تربیت شاگردان فراوانی شد که هر کدام صاحب کرسیِ کلام در مدرسه کوفه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342" w:name="__RefHeading___Toc604027_1395250215"/>
      <w:bookmarkStart w:id="343" w:name="_Toc137"/>
      <w:bookmarkEnd w:id="342"/>
      <w:r>
        <w:rPr>
          <w:rtl w:val="true"/>
        </w:rPr>
        <w:t>ابن راوندی و هشام</w:t>
      </w:r>
      <w:bookmarkEnd w:id="343"/>
    </w:p>
    <w:p>
      <w:pPr>
        <w:pStyle w:val="BookText"/>
        <w:rPr/>
      </w:pPr>
      <w:r>
        <w:rPr>
          <w:rFonts w:ascii="IRNazanin" w:hAnsi="IRNazanin" w:eastAsia="IRNazanin"/>
          <w:color w:val="111111"/>
          <w:sz w:val="28"/>
          <w:sz w:val="28"/>
          <w:szCs w:val="28"/>
          <w:rtl w:val="true"/>
          <w:lang w:bidi="fa-IR"/>
        </w:rPr>
        <w:t>در بررسیِ تبارشناسی فکری ابن راوندی و هشام بن حکم از دو منظر می توان به این موضوع نگاه کرد؛ نخست، گزارش های پیرامونی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های غیر محتوایی حول این دو متکلم و دیگری، مقایسه اندیشه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های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نخست به گزارش هایی پرداخته می شود که به گونه ای ناظر به ارتباط این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ها خود به چند دسته تقسیم می شوند که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نگاه ابن راوندی به متکلمان کوفه و شخص هشام؛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ابن راوندی به اندیشه های هشام بن حکم و گزارش قابل توجه آن در آثار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معتزلیان در گرایش ابن راوندی به اندیشه های هشام؛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ابن راوندی بر تبیین، تصحیح و تقویت اندیشه های هشام؛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ابن راوندی با متکلمان مخالف هشام؛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اتهامات هشام به ابن راوندی توسط معتزلیان؛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پیوستگی فکری در حوزه موضوعات در نگارش آثار میان هشام و ابن راوندی؛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آثاری در دفاع از هشام توسط ابن راوندی</w:t>
      </w:r>
      <w:r>
        <w:rPr>
          <w:rFonts w:eastAsia="IRNazanin" w:cs="IRNazanin"/>
          <w:color w:val="111111"/>
          <w:sz w:val="28"/>
          <w:szCs w:val="28"/>
          <w:rtl w:val="true"/>
          <w:lang w:bidi="fa-IR"/>
        </w:rPr>
        <w:t>.</w:t>
      </w:r>
      <w:bookmarkStart w:id="344" w:name="pg2638_22658"/>
    </w:p>
    <w:p>
      <w:pPr>
        <w:pStyle w:val="BookText"/>
        <w:rPr/>
      </w:pPr>
      <w:bookmarkEnd w:id="3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3"/>
        <w:numPr>
          <w:ilvl w:val="2"/>
          <w:numId w:val="1"/>
        </w:numPr>
        <w:rPr/>
      </w:pPr>
      <w:bookmarkStart w:id="345" w:name="__RefHeading___Toc604029_1395250215"/>
      <w:bookmarkStart w:id="346" w:name="_Toc138"/>
      <w:bookmarkEnd w:id="345"/>
      <w:r>
        <w:rPr>
          <w:rtl w:val="true"/>
        </w:rPr>
        <w:t>تشابه های غیر محتوایی</w:t>
      </w:r>
      <w:bookmarkEnd w:id="346"/>
    </w:p>
    <w:p>
      <w:pPr>
        <w:pStyle w:val="BookText"/>
        <w:rPr/>
      </w:pPr>
      <w:r>
        <w:rPr>
          <w:rFonts w:ascii="IRNazanin" w:hAnsi="IRNazanin" w:eastAsia="IRNazanin"/>
          <w:color w:val="111111"/>
          <w:sz w:val="28"/>
          <w:sz w:val="28"/>
          <w:szCs w:val="28"/>
          <w:rtl w:val="true"/>
          <w:lang w:bidi="fa-IR"/>
        </w:rPr>
        <w:t>در تبیین این بخش نخست باید گفت، ابن راوندی نگاه مثبتی به متکلمان کوفی امامیه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دسته از متکلمان بزرگ امامیه در کوفه را جزء معتدلانِ تفکر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الاقتصاد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در مباحث کلامی به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می دهند و هم چنین در مباحث خود از استدلال های عقلی بهره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مؤمن الطاق، 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هشام بن حکم، علی بن منصور و سکاک از جمله این متکلمانند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بین این متکلمان، تنها شخصیتی که بیشترین توجه ابن راوندی را جذب کرده،</w:t>
      </w:r>
    </w:p>
    <w:p>
      <w:pPr>
        <w:pStyle w:val="BookText"/>
        <w:rPr/>
      </w:pPr>
      <w:r>
        <w:rPr>
          <w:rFonts w:ascii="IRNazanin" w:hAnsi="IRNazanin" w:eastAsia="IRNazanin"/>
          <w:color w:val="111111"/>
          <w:sz w:val="28"/>
          <w:sz w:val="28"/>
          <w:szCs w:val="28"/>
          <w:rtl w:val="true"/>
          <w:lang w:bidi="fa-IR"/>
        </w:rPr>
        <w:t>هشام بن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اندیشه های هشام را به خوبی می شناخت و مورد توجه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راوندی در آثار خود به فراوانی در موضوعات گوناگون کلامی، مانند توحید، عدل و امامت، اندیشه های وی را گزارش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عبد القاهر بغدادی،</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فضیحة المعتزله در موارد متعددی به اندیشه های هشام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جذابیت هشام برای ابن راوندی نکته ای بوده که معتزلیان نیز 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در الانتصار از گرایش ابن راوندی به اندیشه های هشام پرده بر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گزارشی به روشنی، تأثیر پذیری ابن راوندی از هشام را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هم چنین به تعصب خاص ابن راوندی به اندیشه های هشام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راوندی را مدافع اندیشه های وی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راوندی خود در فضیحۀ المعتزله نشان داده که به خوبی مبانی اندیشه های هشام را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ابن راوندی به هشام موضوعی نیست که مورد غفلت دیگر متکلمان معتزلی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جبایی وی را از متکلمانی می داند که در توحید و عدل به هشام نزدیک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نیز در چندین مورد به نزدیکی هشام و ابن راوندی به صورت های گوناگون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گرایش ابن راوندی به هشام این است که ابن راوندی تنها به نقل یا پیروی از اندیشه هشام اکتفا نمی کند، بلکه به تعبیر خیاط در زیبا بیان کردن نظریات هشام و تقویت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اندیشه های او نیز کوشش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معتقد است، ابن راوندی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هشام را با قوت بیان کرده و در تصحیح و تحسین آن ها نهایت تلاش خود را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خیاط صحیح است، زیرا خود ابن راوندی بر این باور است که یکی از جنبه های نقد معتزلیان بر امامیان این است که آنان اندیشه های متکلمان امامیه را نفهمیده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هشام را یکی از این مصادیق می داند و در چندین مورد به تبیین نظریات هشام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در برخی موارد اندیشه های انتسابیِ جاحظ به هشام را ناکامل بیان کرده و به تصحیح آن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ابن راوندی به هشام از جنبه دیگر نیز قابل رصد است و آن نوعِ مواجهه با مخالفان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معتزلیانی که با هشام درگیری های علمی داشته اند، به شدت سخت گیر بود و به نقد آن ها توجه بیشتری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ابن راوندی احتمالاً به خاطر هم سویی هایی است که در حد قابل توجهی به هشام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روست که وی در مقابل معتزلیان از هشام دفاع می کند و با حدت بیشتری به جنگ معتزلیانی می رفت که به طور مستقیم با هشام درگیری های علمی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ابن راوندی با ابراهیم نظام و ابوهذیل می تواند از این منظر قابل تحلیل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در فضحیةالمعتزله شدیدترین انتقادات را به آنان دارد و در جابه جای آن، به شدت به نقد اندیشه هایشان در توحید و عدل می پردازد؛ و از سوی دیگر، دانسته است که نظام و ابوهذیل از شخصیت هایی هستند که با هشام مخالفت های فراوانی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برای این که انحرافات فکری معتزلیان در مقابل امامیه را نشان دهد، اندیشه های هشام را با ابوهذیل مقایسه کرده و مورد ارزیابی و نقد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به این نکته توجه کرده و می گوید که نقدهای ابن راوندی علیه ابوهذیل به خاطر گرایش او به هشام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می گوید ابن راوندی به سبب همین گرایش ها، در مقایسه اندیشه های هشام با معتزلیان، مبانی اندیشه های معتزلیان را به طور کامل نقل نمی کند و در مقابل، با تمام توان و به صورت کامل اندیشه های هشام را گزارش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خود تصریح می کند که هجمه های جاحظ علیه اندیشه های امامیه برخاسته از کینه هایی است که مشایخ معتزله درباره هشام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انتقادهای جاحظ به هشام بن حکم را متعصبانه و به جهت انتقام جویی از شکست دو استادش، یعنی نظام و ابوهذیل، در مقابل هشام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bookmarkStart w:id="347" w:name="pg2638_22660"/>
    </w:p>
    <w:p>
      <w:pPr>
        <w:pStyle w:val="BookText"/>
        <w:rPr/>
      </w:pPr>
      <w:bookmarkEnd w:id="3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احتمالاً به سبب همین پیوستگی فکری میان هشام و ابن راوندی است که خیاط در چند مورد به ابن راوندی یادآور می شود که نقدهایش علیه اندیشه های معتزلیان، شامل نظریات هشام نیز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دو شخصیت یعنی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به دیصانی گری، و به سبب اندیشه هایشان خارج از اسلام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جایی که ابن راوندی به اندیشه های الحادی معتزلیان اشاره می کند، خیاط نیز هشام را صاحب اندیشه های ملحدانه</w:t>
      </w:r>
    </w:p>
    <w:p>
      <w:pPr>
        <w:pStyle w:val="BookText"/>
        <w:rPr/>
      </w:pPr>
      <w:r>
        <w:rPr>
          <w:rFonts w:ascii="IRNazanin" w:hAnsi="IRNazanin" w:eastAsia="IRNazanin"/>
          <w:color w:val="111111"/>
          <w:sz w:val="28"/>
          <w:sz w:val="28"/>
          <w:szCs w:val="28"/>
          <w:rtl w:val="true"/>
          <w:lang w:bidi="fa-IR"/>
        </w:rPr>
        <w:t xml:space="preserve">می داند و هر دو را ملحد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معتزلیان دیگر مانند ابوعلی جبایی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هشام و ابن راوندی معتقدند، هر دو در اهداف شوم علیه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منابع دیگر هر دو را متهم به کذاب بودن</w:t>
      </w:r>
    </w:p>
    <w:p>
      <w:pPr>
        <w:pStyle w:val="BookText"/>
        <w:rPr/>
      </w:pP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با انبیا از دیگر اتهاماتی است که به هر دو زده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هشام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ابن راوندی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آثار نیز می توان به پیوستگی فکری این دو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چهار موضوع مشترک کتاب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إمامة المفضول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ابن راوندی ردّ بر معتزله است و هشام نیز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المعتزله و طلحة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هم چنین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حکایة علل هشام فی الجسم و 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ادامه مورد بحث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کتابی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الاحتجاج لهشام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این کتاب باید از اندیشه های هشام دفاع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نیز به هماهنگی موضوعی آثار ابن راوندی و هشام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گرایش ها و دفاع های ابن راوندی از هشام از سویی، و تشابه در روش از سوی دیگر، به نقطه ای اشاره دارد و آن نزدیکیِ اندیشه های این دوست که در موضوعات گوناگون قابل رصد بوده، مورد بحث قرار می گیرد</w:t>
      </w:r>
      <w:r>
        <w:rPr>
          <w:rFonts w:eastAsia="IRNazanin" w:cs="IRNazanin"/>
          <w:color w:val="111111"/>
          <w:sz w:val="28"/>
          <w:szCs w:val="28"/>
          <w:rtl w:val="true"/>
          <w:lang w:bidi="fa-IR"/>
        </w:rPr>
        <w:t>.</w:t>
      </w:r>
    </w:p>
    <w:p>
      <w:pPr>
        <w:pStyle w:val="Heading3"/>
        <w:numPr>
          <w:ilvl w:val="2"/>
          <w:numId w:val="1"/>
        </w:numPr>
        <w:rPr/>
      </w:pPr>
      <w:bookmarkStart w:id="348" w:name="__RefHeading___Toc604031_1395250215"/>
      <w:bookmarkStart w:id="349" w:name="_Toc139"/>
      <w:bookmarkEnd w:id="348"/>
      <w:r>
        <w:rPr>
          <w:rtl w:val="true"/>
        </w:rPr>
        <w:t>تشابه های محتوایی</w:t>
      </w:r>
      <w:bookmarkEnd w:id="34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توحید، نخست باید به گزارش های معتزلیان در باب تشابه اندیشه های ابن راوندی و هشام در باب توحید و عدل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در آثار خود به طور متعدد نظریات هشام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اصحابش در مباحثی مانند اندیشه های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نظریات تجسیمی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عبد القاهر بغدادی،</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جبر و اختیار، مشیت و اراده عام، تقدیر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هشام گزارش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قاضی به صورتی بین نظریات ابن راوندی و هشام فرق می گذارد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ابن راوندی تنها این نظریات را گزارش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ابوعلی جبایی بر این باور است که ابن راوندی در بحث های توحیدی و عدلی همراه با هشام در فضای مفهومی واحدی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برخی از مباحث توحیدی میان ابن راوندی و هشام بن حکم تشابه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تشابه هاست که معتزلیان، اندیشه های توحیدی و عدلیِ این دو را مخالف اعتزال می دانند و معتقدند، این دو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خواستند توحید و عدل را باطل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جبایی،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راوندی هم چنین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حکایة علل هشام فی الجسم و 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ظاهراً در این کتاب، درباره نظریات هشام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ابن راوندی در این کتاب به تبیین ادله و تصحیح اندیشه های تجسیمی و تشبیهی هشام در باب توحید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معتزلیان اندیشه امامیه در این موضوع را نفهمیده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در تبیین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الله جسم لا یشبه الاجسام فی معانیها و لا فی انفسها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برخلاف نظر معتزلیان، معتقد بود لازمه این نظرِ هشام تناهی قدرت خداوند و محدودیت علم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معتقد بود، نظریه هشام هیچ گونه نقص و تغییری در خداوند را به دنبال ندارد و دور، هیچ فعلی را که خداوند ازلاً بر آن قدرت دارد محال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راوندی نظریه هشام در این موضوع را به طور کامل همراه با ادله عقلی و نقلی در فضیحة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المعتزله تببین کرده و با مقایسه با نظر ابوهذیل آن را در معرض داوری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نظریه هشام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می گوید که ابن راوندی تمام تلاش خود را کرده تا نظریه هشام را به بهترین وجه ممکن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همین باعث شده که او در مقام مقایسه نظر هشام با ابوهذیل در بحث علم الهی، ادله و مباحث ابوهذیل را به صورت ناقص بحث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 مطرح در علم الهی، ازلیت علم الهی و نحوه علم خداوند بر اشیای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مخلوق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عمومی این بود که علم باید متعلق خارجی داشته باشد؛ به این معنا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هر آنچه خدا می داند، باید برای آن شیئیتی در خارج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و</w:t>
      </w:r>
    </w:p>
    <w:p>
      <w:pPr>
        <w:pStyle w:val="BookText"/>
        <w:rPr/>
      </w:pPr>
      <w:r>
        <w:rPr>
          <w:rFonts w:ascii="IRNazanin" w:hAnsi="IRNazanin" w:eastAsia="IRNazanin"/>
          <w:color w:val="111111"/>
          <w:sz w:val="28"/>
          <w:sz w:val="28"/>
          <w:szCs w:val="28"/>
          <w:rtl w:val="true"/>
          <w:lang w:bidi="fa-IR"/>
        </w:rPr>
        <w:t>ابن راوندی در این باره دو نظریه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معتقد بود، علم خداوند در ازل به نفس اشیا، محال است و خداوند متعال علم به اشیا پیدا می کند بعد از آن که فاقد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علم الهی را بنفسه نمی‌دانست و معتقد بود، خدا به واسطه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عالم علم پیدا می‌کند و این علم خود صفتی است برای خداوند که نه جزء ذات اوست و نه غیر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این گونه دلیل می آورد که باور به علم ازلی الهی، باورمندی به ازلی بودن معلومات را در پی دارد، زیرا علم به معلوم موجود تعلق می گیرد؛ بدین معنا که لازمه علم ازلی خداوند به اشیا این است که اشیا نیز ازلی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ابن راوندی نیز در قسمت اخیر این بحث مانند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نیز معتقد بود، اشیا زمانی شیئیت پیدا می کنند که در خارج محقق شوند و در این موقع است که می توان گفت، اشیا موجودیت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ابن راوندی منجر به نفی علم پیشینی خداوند می شد؛ با این بیان که اگر شی‌ء فقط به موجود گفته شود، باید خداوند به آنچه هنوز موجود نشده و شی‌ء نیست، علم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برای حل این مسئله مدعی شد که علم خداوند به اشیا ازلی است؛ به این معنا که خداوند به اشیایی علم دارد که در آینده شیء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مقایسه نظریه ابن راوندی با هشام باید گفت، هر دو در این که شیء تا موجود نباشد شیء نیست مشترکند، هرچند در علم پیشینی خداوند دو تفسیر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معتقد بود، خداوند علم ازلی به اشیا ندارد، بلکه با علم خاصی به اشیا عالم می شود، ولی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می گفت خداوند علم ازلی به اشیا دارد؛ به این معنا که می داند در آینده اشیایی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موضوع بحث هشام در باب علم ذاتی و علم فعلیِ حق تعالی است ـ که در ادامه بیشتر مورد بحث قرار می گیرد ـ و موضوع بحث ابن راوندی علم ازلی الهی؛ به عبارت دیگر هشام، علم ازلی خدا به اشیا را نفی می کرد و ابن راوندی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همچنین خود به تفاوت نظریه خویش با هشام اشاره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توان احتمال دیگری را نیز مطرح کرد که بر اساس آن، تشابه ابن راوندی با هشام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توان برای ابن راوندی نیز مانند هشام، صفات الهی را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نکته باید گفت، هشام و ابن راوندی معتقد بودند خداوند زمانی به اشیا علم پیدا می کند که شیء وجود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در بحث علم الهی، سبب نفی علم پیشینی خداوند می شد؛ پذیرش این مبنا در کنار لازمه ای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ایجاد کرده، برای مخالفان ابن راوندی این دست آویز را فراهم نموده که وی را مانند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کنند که قائل به حدوث علم الهی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نکته ای را رهنمون می کند که احتمالاً وی نیز مانند هشام بن حکم قائل به علم فعلی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وقتی تقویت می شود که به گزارش اشعری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گزارش، گروهی از روافض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اطلاق می‌شود که مقدور، مسموع و مبصر باشد و زمانی که این ها نباشند اطلاق قادر، سمیع و بصیر بودن بر خداوند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 گفتند که اساساً جایز نیست قدرت و علم بر چیزی که وجود خارجی ندارد،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یادآور همین نظریه پیش گفته ابن راوندی در بحث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اشعری در ادامه، برای ادعای خود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ارائه می کند که این ها معتقد به بداء هستند و می گویند خداوند اراده شیئی می کند و سپس برای او بداء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خیاط در بحث بداء باید گفت، منظور اشعری از این گروه همان متکلمان امامیه در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بیانِ اشعری، بحث متکلمان امامیه درباره علم ذاتی حق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امامیه منکر علم ذاتی خداوند نبوده بلکه بحث تنها درباره چگونگی اطلاع علم خداوند بر اشیا، یا همان علم فعلی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امامیان به خداوند نسبت جهل نمی دادند؛ سخن این بوده که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چه زمانی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برای خداوند دو نوع علم باور داشتند؛ علم ذاتی و علم فعلی، و این برخلاف معتزلیان بود که تنها برای خداوند علم را صفت ذاتی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 می گفتند خداوند پیش از خلق اشیا، هنگامی که آن ها را اراده می کند به آن ها علم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افزون بر علم ذاتیِ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بنابر یکی از دو نظریه خود در باب بداء، از این نظریه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احتمال می توان گفت، هشام بن حکم و ابن راوندی هر دو علم ذاتی الهی را قبول داشتند و هم چنین از آن جا که هر دو علم الهی را تابع اعیان می دانستند، قائل به علم فعلی نیز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موضوعات مطرح در بحث علم الهی،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در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ای می گوید که حذاق شیعه معتقدند، بداء همان نسخ معتزلی بوده و اختلاف تنها یک امر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گزارش دیگری در مناظره خود با جاحظ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تغییر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فاعلی که برای او اراده ای تازه حاصل می‌شود و افعال برای او ناممکن نیست، تواناتر و قابل توجه‌تر از فاعلی است که نمی‌تواند چیزی بر فعل خود بیفزاید یا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آن بکاهد، و نمی‌تواند به پیش برود یا به پس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شأن خداوند بزرگ تر از این است که فاعلی باشد که توانایی در کم و زیاد و یا مقدم و مؤخر کردن در خلقش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ابن راوندی، به گونه ای همان نظر متکلمان امامیه در کوفه و شخص هشام بن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معتقدند، برای خداوند در انجام امور، احتمالاتی آشکار می شود و خداوند اراده انجام فعلی را در زمانی می کند، ولی انجام نمی دهد، زیرا امر جدیدی برای او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معتزلیان لازمه این نظر را تغییر، نقص و محدودیت در علم الهی بیان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در دفاع از این نظریه چنین لوازمی را منتفی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احتمالاً نظر اصیل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در باب بداء همانند نظر هشام و دیگر متکلمان امامیِ کوفی بوده است؛</w:t>
      </w:r>
    </w:p>
    <w:p>
      <w:pPr>
        <w:pStyle w:val="BookText"/>
        <w:rPr/>
      </w:pPr>
      <w:r>
        <w:rPr>
          <w:rFonts w:ascii="IRNazanin" w:hAnsi="IRNazanin" w:eastAsia="IRNazanin"/>
          <w:color w:val="111111"/>
          <w:sz w:val="28"/>
          <w:sz w:val="28"/>
          <w:szCs w:val="28"/>
          <w:rtl w:val="true"/>
          <w:lang w:bidi="fa-IR"/>
        </w:rPr>
        <w:t xml:space="preserve">به ویژه این که ابن راوندی در نقد نظریه اسواری، از دیگر متکلمان معتزلی، بر اساس همین مبنا رفتار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موضوعاتی که می توان میان هشام و ابن راوندی مقایسه کرد،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به متکلمان امامیه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هشام نسبت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ابن راوندی هم نخست باید گفت، جاحظ کتابی در ردّ تحریف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نظم القرآن و سلامته من 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که با انتقادهای ابن راوندی روبه رو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تحریف را به ابن راوندی نسبت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برخی از ملحدان که در لباس تشیع مخفی شدند، تحریف قرآن را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جبایی از هشام و ابن راوندی و برخی دیگر از امامیه نام می برد و می گوید که همه این ها قائل به تحریف بوده اند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موضوعاتی که می تواند نزدیکی نظری ابن اروندی با هشام را نشان دهد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فعل انسان را خداوند خلق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در همان جا نسبت دیگری به هشام می دهد که وی بر این اعتقاد بوده که فعل انسان از این جهت که برخاسته از اراده اوست، اختیاری و از این جهت که تا سبب مهیجی از سوی خداوند ایجاد نشود فعل محقق نمی‌شود،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این نظریه تلاش کرده بین جبر و اختیار، جمعی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ابن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بود، خداوند افعال اختیاری انسان را خلق می کند، ولی این انسان است که آن ها را کسب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ابن راوندی و هشام هر دو معتقدند، خداوند فعل اختیاری انسان را خلق می کند، ولی هشام می گوید انسان اراده انجام فعل را می کند، ولی تا سبب مهیج نیاید تحقق فعل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نیز می گوید، انسان است که با اراده خود فعل اختیاریِ مخلوق خدا را کسب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قدرت درباره نظر هشام و ابن راوندی هم باید گفت که غالب متکلمان امامیه در کوفه در بحث قدرت انسان و رابطه آن با مقدور، مع الفعل بودن استطاعت را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خداوند هنگام انجام دادن فعل، قدرت را در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معتقد بود، استطاعت از پنج امر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انسان، عدم مانع برای انجام فعل، فرصت انجام فعل، ابزار انجام فعل و سبب مهیج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گفت، زمانی که این پنج مؤلفه تجمیع شوند فعل محقق می شود، ولی معتقد بود اگر سبب مهیجی که خداوند وارد می کند، نباشد فعل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هشام، استطاعت مع الفعل نیست، هم چنانکه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نیز نمی باشد، بلکه ترکیبی از این دوست؛ البته این نظر هشام در تقسیم بندی بحث استطاعت میان نظریات مع الفعل باید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اشعری در توضیح نظریه ابن راوندی می گوید که وی قدرت را همراه فعل می دانست، ولی معتقد بود قدرت هم بر فعل و هم بر ترک آن صلاحیت دارد؛ به این معنا که انسان در حال حدوث فعل، توانایی ترک آن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انسان توانایی دارد در حال انجام فعل آن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ابن راوندی از سویی با نظر معتزله هماهنگ است و از سوی دیگر، با نظر هشام بن حکم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ابن راوندی در این نظریه که استطاعت قبل الفعل است با معتزله مخالف بود و با هشام همراهی می کرد، ولی در این قسمت از نظریه که انسان توانایی بر انجام ضد فعل را دارد همراه با معتزله و مخالف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برخی وی را از معتقدان به کسب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شاهدی باشد بر این که وی قدرت را مع الفعل و از سوی خدا می‌دانسته، اما معتقد بوده که انسان همان لحظه انجام فعل می‌تواند فعل یا ترک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هم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ابن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جبر شده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امامت نیز باید گفت، ابوعلی جبایی معتقد است که ابن راوندی متأثر و هم مسلک هشام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فضیحةالمعتزله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مبانی اندیشه امامت دفاع کرده، پایه برخی از مباحث خود را بر اندیشه های هشام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 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خیاط، بی تا</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 های هشام را گزارش نیز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محتوایی این بحث میان هشام و ابن راوندی نیز باید اشاره کرد که شیعه در بحث انتخاب ابوبکر برای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خلافت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همواره این رفتار مهاجرین و انصار را سرزنش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این بحث امامیه را از قول هشام نقل کرده و به تبیین و استدلالی کردن این نظریه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هشام می گفتند، وی اولین کسی بود که به مهاجرین و انصار طعن هایی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راوندی نیز در این موضوع کتاب هایی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گفته شده که هر دو درباره ابوبکر، عمر، مهاجرین و انصار طعن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هم چنین در برابر نقد های جاحظ بر هشام در بحث گمراهی امت به خاطر عدم انتخاب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شدت از هشام دفاع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متکلمان امامیه در کوفه قائل به نص جلی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حال قاضی عبدالجبار، هشام بن حکم را اولین کسی معرفی می کند که اندیشه نص و استخلاف را در امامیه وضع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درباره</w:t>
      </w:r>
    </w:p>
    <w:p>
      <w:pPr>
        <w:pStyle w:val="BookText"/>
        <w:rPr/>
      </w:pPr>
      <w:r>
        <w:rPr>
          <w:rFonts w:ascii="IRNazanin" w:hAnsi="IRNazanin" w:eastAsia="IRNazanin"/>
          <w:color w:val="111111"/>
          <w:sz w:val="28"/>
          <w:sz w:val="28"/>
          <w:szCs w:val="28"/>
          <w:rtl w:val="true"/>
          <w:lang w:bidi="fa-IR"/>
        </w:rPr>
        <w:t>ابن راوندی نیز گزارش های مشابهی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کلامی گزارش شده که نظریه نص جلی در تفکر امامیه را ابن راوندی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معتزلیان، نخستین گروهی اند که این انتساب را مطرح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شیخ مفید،</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هایی نیز وجود دارد که</w:t>
      </w:r>
    </w:p>
    <w:p>
      <w:pPr>
        <w:pStyle w:val="BookText"/>
        <w:rPr/>
      </w:pPr>
      <w:r>
        <w:rPr>
          <w:rFonts w:ascii="IRNazanin" w:hAnsi="IRNazanin" w:eastAsia="IRNazanin"/>
          <w:color w:val="111111"/>
          <w:sz w:val="28"/>
          <w:sz w:val="28"/>
          <w:szCs w:val="28"/>
          <w:rtl w:val="true"/>
          <w:lang w:bidi="fa-IR"/>
        </w:rPr>
        <w:t>می گوید هشام و ابن راوندی در این نظریه، هم رأی و حتی ابن راوندی را هم سو با هشام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متون تصریح شده، کسی که این اندیشه را میان امامیه وضع کرد هشام بن حکم بود، ولی ابن راوندی آن را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حمصی رازی،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تواتر روایات دالّ بر نصوص نیز باید گفت، جریانی در تاریخ اندیشه امامیه بر این باور بود که این نصوص متواتر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عبدالجبار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هشام بن حکم این بحث را مطرح کرد که این نصوص، متواترند و ابن راوندی در این بحث راه هشام را دنبال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مدعی شده اند، نظریه عصمت را هشام وضع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ابن راوندی نیز قائل به عصمت امام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ظاهراً ابن راوندی این نظریه را از هشام بن حکم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w:t>
      </w:r>
    </w:p>
    <w:p>
      <w:pPr>
        <w:pStyle w:val="BookText"/>
        <w:rPr/>
      </w:pP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روست که ابن راوندی نظریه عصمت هشام را در آثار خود گزارش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معتقد بود، آیات قرآن نظریه امامیه بر نص و عصمت امام را تأیید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نیز از همین راه برای اثبات تلازم نص و عصمت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حقیقتِ انسان، میان نظریه هشام و ابن راوندی، بر اساس برخی از نظریات منتسب به ابن راوندی، می توان تعاملاتی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بر این باور بوده که انسان دو جزء دارد؛ بدن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در واقع، روح همه امور بدن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قوه درّاکه حساس و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روح را جزء اصلی انسان می دانست؛ روحی که خود نوری از انوار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هشام روح، اساس حقیقت انسان است و فعل و درک انسان، همه به روحی غیرمادی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نظریه ابن راوندی دو رأی بیان شده که زمان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آرا، وی پیرو اندیشه معمر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در نظریه اش، که متأثر از فلاسفه بوده، مانند هشام بن حکم قائل به غیرجسمانی بودن حقیقت انسان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نظر معمر از نگاه ابن راوندی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این نظرِ ابن راوندی با دیدگاه هشام، شباهت بسیاری میان آن دو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در توضیح نظر معمر می گوید که معمر معتقد بود، حقیقتِ انسان عینی از اعیان است که هیچ کدام از ویژگی های اجسام را ندارد؛ یعنی جزء و کل داشتن، تقسیم شدن، تحرک و سکون، و مکانی که در آن تمکن یا حلول کند،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عین موضوعیت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معتقد بود، این حقیقت انسان است که بدن را تدبیر می کند، حرکت می دهد یا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می کند، در حالی که دیده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خیاط، بی تا</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نظر معمر، حقیقت انسان غیرجسمانی و غیر مکان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حقیقت انسان را جزء لایتجزی می دانسته که مدبر در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50" w:name="pg2638_22668"/>
    </w:p>
    <w:p>
      <w:pPr>
        <w:pStyle w:val="BookText"/>
        <w:rPr/>
      </w:pPr>
      <w:bookmarkEnd w:id="3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331-332</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رأیِ ابن راوندی، تشابه نظری میان او و هشام بسیار است، ولی مشخص نیست که ابن راوندی در چه دوره ای این نظریه را داشته و چه موقع از آن بازگشته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ابن راوندی نظریه دیگری نیز گزارش شده و آن این که وی معتقد بود، حقیقت انسانِ مختارِ مأمور به و منهی عنه، شیء واحدی است که در قلب جای دارد، و در ادامه کلامش گفته که همه جوارح مسخر قلبند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بود در بدن، ارواح زنده ای وجود دارد که احساسات و تألمات بدن به سبب آن ها صورت می گیرد و همه قسمت های بدن دارای روح است و روحِ قلب متفاوت از اعضای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ابن راوندی با نظریه هشام از جنبه های گوناگونی، مانند تجرد و جسمانی بودن، بسیط یا مجرد بودن روح، تجزیه با تجزیه ناپذیری روح، درک احساس بدن پس از فراغت روح، جوهر یا عَرَض بودن 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اندیشه های دیگری هست که میان ابن راوندی و هشام تشابه هایی وجود دارد</w:t>
      </w:r>
    </w:p>
    <w:p>
      <w:pPr>
        <w:pStyle w:val="BookText"/>
        <w:rPr/>
      </w:pPr>
      <w:r>
        <w:rPr>
          <w:rFonts w:ascii="IRNazanin" w:hAnsi="IRNazanin" w:eastAsia="IRNazanin"/>
          <w:color w:val="111111"/>
          <w:sz w:val="28"/>
          <w:sz w:val="28"/>
          <w:szCs w:val="28"/>
          <w:rtl w:val="true"/>
          <w:lang w:bidi="fa-IR"/>
        </w:rPr>
        <w:t xml:space="preserve">مانند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عامه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تکوین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غیر مباحث جلیل الکلام هم می توان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به خاطر</w:t>
      </w:r>
    </w:p>
    <w:p>
      <w:pPr>
        <w:pStyle w:val="BookText"/>
        <w:rPr/>
      </w:pPr>
      <w:r>
        <w:rPr>
          <w:rFonts w:ascii="IRNazanin" w:hAnsi="IRNazanin" w:eastAsia="IRNazanin"/>
          <w:color w:val="111111"/>
          <w:sz w:val="28"/>
          <w:sz w:val="28"/>
          <w:szCs w:val="28"/>
          <w:rtl w:val="true"/>
          <w:lang w:bidi="fa-IR"/>
        </w:rPr>
        <w:t>محدودیت های مقاله به فرصت دیگری واگذار می کنیم</w:t>
      </w:r>
      <w:r>
        <w:rPr>
          <w:rFonts w:eastAsia="IRNazanin" w:cs="IRNazanin"/>
          <w:color w:val="111111"/>
          <w:sz w:val="28"/>
          <w:szCs w:val="28"/>
          <w:rtl w:val="true"/>
          <w:lang w:bidi="fa-IR"/>
        </w:rPr>
        <w:t>.</w:t>
      </w:r>
    </w:p>
    <w:p>
      <w:pPr>
        <w:pStyle w:val="Heading3"/>
        <w:numPr>
          <w:ilvl w:val="2"/>
          <w:numId w:val="1"/>
        </w:numPr>
        <w:rPr/>
      </w:pPr>
      <w:bookmarkStart w:id="351" w:name="__RefHeading___Toc604033_1395250215"/>
      <w:bookmarkStart w:id="352" w:name="_Toc140"/>
      <w:bookmarkEnd w:id="351"/>
      <w:r>
        <w:rPr>
          <w:rtl w:val="true"/>
        </w:rPr>
        <w:t>نتیجه گیری</w:t>
      </w:r>
      <w:bookmarkEnd w:id="352"/>
    </w:p>
    <w:p>
      <w:pPr>
        <w:pStyle w:val="BookText"/>
        <w:rPr/>
      </w:pPr>
      <w:r>
        <w:rPr>
          <w:rFonts w:ascii="IRNazanin" w:hAnsi="IRNazanin" w:eastAsia="IRNazanin"/>
          <w:color w:val="111111"/>
          <w:sz w:val="28"/>
          <w:sz w:val="28"/>
          <w:szCs w:val="28"/>
          <w:rtl w:val="true"/>
          <w:lang w:bidi="fa-IR"/>
        </w:rPr>
        <w:t>با بررسی گزارش های برجای مانده از ابن راوندی به نظر می رسد، هویت فکری ابن راوندی در حوزه فکر امامی، متأثر از هشام بن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مقایسه ایِ برخی از نظریات این دو در موضوعات مهم کلامی نشان داد، اگرچه ابن راوندی در پاره ای از آن ها به طور یک سان رأی هشام را نپذیرفته، ولی در آن ها نیز شباهت هایی در بنیادهای فکری آن دو به روشنی می توان یافت که روایت گر نزدیکیِ مواضع آن در مبانیِ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راوندی از سویی، اندیشه های امامیه در برابر معتزلیان را قابل دفاع می دید و از سوی دیگر، در جبهه تشیع متکلمی را نمی یافت که در مقابل انتقاد های معرفتی معتزلیان سنگر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تلاش کرد از طریق احیا و بازخوانیِ اندیشه های هشام بن حکم و احیاناً تدوین نظامی کلامی برای تشیع، در مقابل تفکر غالب جهان اسلام، یعنی کلام معتزلی، بایستد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راوندی بر پایه اندیشه های هشام در پی به سرانجام رساندن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او در معاصر سازی اندیشه های هشام متناسب با روح حاکم بر کلام اسلامی در طول سده سوم هجری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 دفاع او از هشام، از این منظر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این معنا نیست که ابن راوندی به طور کامل پیرو نظریات هشام باشد؛ هم چنان که در بررسی موضوعات نشان داده شده در برخی از آرای ابن راوندی، نظرِ ابن راوندی همانند هشام بود و در پاره ای دیگر با تغییراتی در تبیین و یا تفسیر، نظر هشام را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راوندی تلاش کرده منظومه ای معرفتی را تبیین کند که بین معتزله و هشام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اندازه که وی از معتزله دور است، در جهت مخالف به هشام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اندیشه های هشام را با تبیین ها و یا تفسیرهای دیگر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روح تلاش های علمیِ ابن راوندی ناظر به بازسازی اندیشه متکلمان امامیه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نشان از قوت و عمق علمی کلام امامیه در کوفه است که ابن راوندی تلاش کرد از طریق آن به مقابله با معتزلیان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راوندی از طریق نقد اندیشه های اعتزال با پشتوانه علمی کلام امامیه در کوفه، شروع به ساختارشکنی علیه نظام فکر معتزله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روست که ابن راوندی را شاید بتوان</w:t>
      </w:r>
    </w:p>
    <w:p>
      <w:pPr>
        <w:pStyle w:val="BookText"/>
        <w:rPr/>
      </w:pPr>
      <w:r>
        <w:rPr>
          <w:rFonts w:ascii="IRNazanin" w:hAnsi="IRNazanin" w:eastAsia="IRNazanin"/>
          <w:color w:val="111111"/>
          <w:sz w:val="28"/>
          <w:sz w:val="28"/>
          <w:szCs w:val="28"/>
          <w:rtl w:val="true"/>
          <w:lang w:bidi="fa-IR"/>
        </w:rPr>
        <w:t>حرفه ای ترین منتقد اعتزال در طول سده سوم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مقایسه ایِ اندیشه های ابن راوندی و هشام بن حکم و بیان تعاملات آن، یکی از</w:t>
      </w:r>
    </w:p>
    <w:p>
      <w:pPr>
        <w:pStyle w:val="BookText"/>
        <w:rPr/>
      </w:pPr>
      <w:r>
        <w:rPr>
          <w:rFonts w:ascii="IRNazanin" w:hAnsi="IRNazanin" w:eastAsia="IRNazanin"/>
          <w:color w:val="111111"/>
          <w:sz w:val="28"/>
          <w:sz w:val="28"/>
          <w:szCs w:val="28"/>
          <w:rtl w:val="true"/>
          <w:lang w:bidi="fa-IR"/>
        </w:rPr>
        <w:t>لایه های مخفی تقابل شدید معتزلیان با ابن راوندی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ابن راوندی به کلام کوفه و احیای آن، حساسیت فراوان معتزله را به همراه دارد، زیرا سرسخت ترین رقیب کلامی معتزلیان، متکلمان امامیه در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مواجهه تند معتزلیان با ابن راوندی را امتداد مواجهه معتزلیان با جریان کلام کوفی امامیه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باید گفت که برخلاف نظر معتزلیان، دگردیسی اندیشه ابن راوندی از معتزله به امامیه، کینه توزانه و خصمانه نبوده، بلکه تغییری آگاهانه و با پشتوانه معرفتیِ خاص به کلام امامیه بوده است؛ به این معنا که ابن راوندی پی به این نکته برده بود که کلام متکلمان امامیه در کوفه، شاخص ترین ابزار فشار علیه معتزلیان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ابن راوندی در برابر فشار های معتزلی تا آخر عمر دوام آورد و از اندیشه امامیه روی برنگرداند، این احتمال را ضعیف می کند که وی تنها نگاهی ابزاری به کلام امامیه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ابن راوندی در برابر هجمه های معتزلی و اصرار بر اندیشه امامیه، می تواند گویای تثبیت فکری او در حوزه کلام امامی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بررسی رابطه ابن راوندی با هشام و آشکار کردن لایه های دیگری از نظام فکری این دو، پژوهش های جامع دیگری را می طلبد که با مقایسه تمام اندیشه ها بهتر می تواند به سامان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bookmarkStart w:id="353" w:name="pg2638_22670"/>
    </w:p>
    <w:p>
      <w:pPr>
        <w:pStyle w:val="BookText"/>
        <w:rPr/>
      </w:pPr>
      <w:bookmarkEnd w:id="3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3"/>
        <w:numPr>
          <w:ilvl w:val="2"/>
          <w:numId w:val="1"/>
        </w:numPr>
        <w:rPr/>
      </w:pPr>
      <w:bookmarkStart w:id="354" w:name="__RefHeading___Toc604035_1395250215"/>
      <w:bookmarkStart w:id="355" w:name="_Toc141"/>
      <w:bookmarkEnd w:id="354"/>
      <w:r>
        <w:rPr>
          <w:rtl w:val="true"/>
        </w:rPr>
        <w:t>منابع</w:t>
      </w:r>
      <w:bookmarkEnd w:id="355"/>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عبدالرحمان بن علی،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مرتضی،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المعتزله،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سوسنه دیفلدـ فلزر، بیروت، المکتبة الحیاه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ابن میثم،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النجاة فی القیامة، قم، مجمع الفکر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محمد بن اسحاق،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 تهران،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ریتر، بیروت، دارالنشر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احمد بن سهل، </w:t>
      </w:r>
      <w:r>
        <w:rPr>
          <w:rFonts w:eastAsia="IRNazanin" w:cs="IRNazanin"/>
          <w:color w:val="111111"/>
          <w:sz w:val="28"/>
          <w:szCs w:val="28"/>
          <w:rtl w:val="true"/>
          <w:lang w:bidi="fa-IR"/>
        </w:rPr>
        <w:t>(</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البدء والتاریخ، پاریس، برطرند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 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عمیره،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نعسانی،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الشامل فی أصول الدین، بی جا،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رازی، سید مرتضی بن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تبصرة العوام، تهران، 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حمصی رازی، سدیدالدین،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المنقذ من التقلید،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خیاط، ابوالحسین،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الانتصار، قاهره، مکتبة الثقافه الدینیه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سیدابوالقاسم علی،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تهران، مؤسسه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عبدالکریم،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فهمی محمد، قاهره، مطبع حجازی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الشافی، قم، انتشارات المحبین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 القاهر،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بیروت، دار الآفاق الجدیده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فخررازی، ابوعبدالله محمد بن عمر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المحصل،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اتای، عمان، دار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الأصول الخمسة،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قنواتی، قاهره، دار المصریه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تثبیت الدلائل النبوة، بیروت، دار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میرزایی، عباس،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معتزلیان شیعه شده در گرایش کلام امامیه به 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نقد و نظر، سال هفدهم، شماره دوم، ص</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کرباسی، اکبر،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کلامی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نقدونظر، سال هفدهم، شماره دوم، ص</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جعفر،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کلامی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نقدونظر، سال هفدهم، شماره دوم،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المختارة، تحقیق گروهی، بیروت، دارالمفید</w:t>
      </w:r>
      <w:r>
        <w:rPr>
          <w:rFonts w:eastAsia="IRNazanin" w:cs="IRNazanin"/>
          <w:color w:val="111111"/>
          <w:sz w:val="28"/>
          <w:szCs w:val="28"/>
          <w:rtl w:val="true"/>
          <w:lang w:bidi="fa-IR"/>
        </w:rPr>
        <w:t>.</w:t>
      </w:r>
      <w:bookmarkStart w:id="356" w:name="pg2638_22671"/>
    </w:p>
    <w:p>
      <w:pPr>
        <w:pStyle w:val="BookText"/>
        <w:rPr/>
      </w:pPr>
      <w:bookmarkEnd w:id="3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357" w:name="__RefHeading___Toc604037_1395250215"/>
      <w:bookmarkStart w:id="358" w:name="_Toc142"/>
      <w:bookmarkEnd w:id="357"/>
      <w:r>
        <w:rPr>
          <w:rtl w:val="true"/>
        </w:rPr>
        <w:t xml:space="preserve">اثرپذیری کلام یهودی از کلام اسلامی </w:t>
      </w:r>
      <w:r>
        <w:rPr>
          <w:rtl w:val="true"/>
        </w:rPr>
        <w:t>(</w:t>
      </w:r>
      <w:r>
        <w:rPr>
          <w:rtl w:val="true"/>
        </w:rPr>
        <w:t>با تأکید بر نقش عقل در دین</w:t>
      </w:r>
      <w:r>
        <w:rPr>
          <w:rtl w:val="true"/>
        </w:rPr>
        <w:t>)</w:t>
      </w:r>
      <w:bookmarkEnd w:id="358"/>
    </w:p>
    <w:p>
      <w:pPr>
        <w:pStyle w:val="Heading4"/>
        <w:numPr>
          <w:ilvl w:val="3"/>
          <w:numId w:val="1"/>
        </w:numPr>
        <w:rPr/>
      </w:pPr>
      <w:bookmarkStart w:id="359" w:name="__RefHeading___Toc604039_1395250215"/>
      <w:bookmarkStart w:id="360" w:name="_Toc143"/>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رضا گندمی نصرآبادی</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1392/06/20</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1392/12/08</w:t>
      </w:r>
    </w:p>
    <w:p>
      <w:pPr>
        <w:pStyle w:val="Heading4"/>
        <w:numPr>
          <w:ilvl w:val="3"/>
          <w:numId w:val="1"/>
        </w:numPr>
        <w:rPr/>
      </w:pPr>
      <w:bookmarkStart w:id="361" w:name="__RefHeading___Toc604041_1395250215"/>
      <w:bookmarkStart w:id="362" w:name="_Toc144"/>
      <w:bookmarkEnd w:id="361"/>
      <w:r>
        <w:rPr>
          <w:rtl w:val="true"/>
        </w:rPr>
        <w:t>چکیده</w:t>
      </w:r>
      <w:bookmarkEnd w:id="362"/>
    </w:p>
    <w:p>
      <w:pPr>
        <w:pStyle w:val="BookText"/>
        <w:rPr/>
      </w:pPr>
      <w:r>
        <w:rPr>
          <w:rFonts w:ascii="IRNazanin" w:hAnsi="IRNazanin" w:eastAsia="IRNazanin"/>
          <w:color w:val="111111"/>
          <w:sz w:val="28"/>
          <w:sz w:val="28"/>
          <w:szCs w:val="28"/>
          <w:rtl w:val="true"/>
          <w:lang w:bidi="fa-IR"/>
        </w:rPr>
        <w:t>یکی از جریان‌های فکری یهودی در قرون وسطا، جریان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حد فاصل قرن نهم تا دوازدهم میلادی، در شرق و تا حدی در غربِ جهان اسلام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یهودی، اعم از حاخامی و قرائیمی، تحت تأثیر کلام اسلامی، به‌خصوص کلام معتزلی در صدد تحکیم آموزه‌ها و باورهای خود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آن‌ها فیلون اسکندرانی و آبای کلیسا، بسیاری از مسائل کلامی را مطرح کرده بودند، ولی متفکران یهودی قرون وسطا از طریق مسلمانان با آن مسائل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یهودی علاوه بر بحث در‌باره دغدغه‌های مشترکی که با مسلمانان داشتند، مسائل خاص خود را نیز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درون خود این جریان دو گرایش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حاخامی که به مرجعیت سنت، اعتقاد تام و تمام دارد و با الهیات کتاب‌مقدسی و الهیات حاخامی پیش از قرن نهم متفاوت است، و گرایش قرائیمی که اصولاً اعتقادی به مرجعیت سنت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به اختصار، میزان اثرپذیری ایشان از متکلمان مسلمان، تنها از منظر تأکیدی که آنان بر نقش و کارکرد عقل در توجیه و تبیین آموزه‌ها و باورهای دینی قائلند، مورد بحث و بررسی قرار خواهد گرفت</w:t>
      </w:r>
      <w:r>
        <w:rPr>
          <w:rFonts w:eastAsia="IRNazanin" w:cs="IRNazanin"/>
          <w:color w:val="111111"/>
          <w:sz w:val="28"/>
          <w:szCs w:val="28"/>
          <w:rtl w:val="true"/>
          <w:lang w:bidi="fa-IR"/>
        </w:rPr>
        <w:t>.</w:t>
      </w:r>
    </w:p>
    <w:p>
      <w:pPr>
        <w:pStyle w:val="Heading4"/>
        <w:numPr>
          <w:ilvl w:val="3"/>
          <w:numId w:val="1"/>
        </w:numPr>
        <w:rPr/>
      </w:pPr>
      <w:bookmarkStart w:id="363" w:name="__RefHeading___Toc604043_1395250215"/>
      <w:bookmarkStart w:id="364" w:name="_Toc145"/>
      <w:bookmarkEnd w:id="363"/>
      <w:r>
        <w:rPr>
          <w:rtl w:val="true"/>
        </w:rPr>
        <w:t>واژگان کلیدی</w:t>
      </w:r>
      <w:bookmarkEnd w:id="36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اسلامی، کلام یهودی، عقل، وحی، عقل‌ستیزی</w:t>
      </w:r>
      <w:bookmarkStart w:id="365" w:name="pg2638_22672"/>
    </w:p>
    <w:p>
      <w:pPr>
        <w:pStyle w:val="BookText"/>
        <w:rPr/>
      </w:pPr>
      <w:bookmarkEnd w:id="3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4"/>
        <w:numPr>
          <w:ilvl w:val="3"/>
          <w:numId w:val="1"/>
        </w:numPr>
        <w:rPr/>
      </w:pPr>
      <w:bookmarkStart w:id="366" w:name="__RefHeading___Toc604045_1395250215"/>
      <w:bookmarkStart w:id="367" w:name="_Toc146"/>
      <w:bookmarkEnd w:id="366"/>
      <w:r>
        <w:rPr>
          <w:rtl w:val="true"/>
        </w:rPr>
        <w:t>مقدمه</w:t>
      </w:r>
      <w:bookmarkEnd w:id="367"/>
    </w:p>
    <w:p>
      <w:pPr>
        <w:pStyle w:val="BookText"/>
        <w:rPr/>
      </w:pPr>
      <w:r>
        <w:rPr>
          <w:rFonts w:ascii="IRNazanin" w:hAnsi="IRNazanin" w:eastAsia="IRNazanin"/>
          <w:color w:val="111111"/>
          <w:sz w:val="28"/>
          <w:sz w:val="28"/>
          <w:szCs w:val="28"/>
          <w:rtl w:val="true"/>
          <w:lang w:bidi="fa-IR"/>
        </w:rPr>
        <w:t>در قرون وسطا جریان‌های فکری یهودی گوناگونی وجود دارد؛ برای نمونه، به جریان ارسطویی، جریان نوافلاطونی، جریان ارسطویی نو‌افلاطونی‌شده، جریان کلامی، جریان عرفان قبالایی یا عرفان نظری، جریان ابن‌رشدی، جریان فلسفه‌ستیزی و جریان بازگشت به سنت و کند‌و‌کاو در اصول اعتقادات می‌توان اشاره کرد؛ از این رو، جریان کلامی یکی از چندین جریان فکری متداول در قرون وسطای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در این‌جا از دوره زمانی موسوم به قرون وسطا با معنای معهود و متداول این واژه در تاریخ فلسفه، متفاوت است؛ بنابراین، هرچند تقسیم‌بندی کلی هگل در باب دوره‌های تاریخ فلسفه درباره تفکر یهودی نیز صادق است، چه آن‌که سه دوره باستان، قرون وسطا و دوره جدید بر فلسفه یهودی نیز قابل اطلاق است، ولی مدت زمانی که هگل برای این دوره‌ها در نظر گرفته است، دست‌کم درباره جریان کلامی یهودی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باستان تفکر یهودی با کمی تسامح، از دو قرن قبل از میلاد مسیح آغاز می‌گردد و تا نیمه نخست قرن اول میلادی پایان می‌پذیرد و پس از یک دوره فترت به طول هشت قرن از ابتدای قرن نهم تا ابتدای قرن شانزدهم میلادی، شاهد ظهور فلسفه یهودی به طور عام و از قرن نهم تا دوازدهم شاهد سنت کلامی یهودی به طور خاص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بنا بر نظر هگل، دوره باستان از شش قرن قبل از میلاد با تالس ملطی آغاز می‌گردد و تا پایان قرن پنجم، یعنی با پروکلوس پایان می‌پذیرد و قرون وسطا از پایان قرن پنجم تا اواخر قرن پانزدهم امتداد می‌یابد و چیزی حدود ده قرن را پوشش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Hegle,1995, 1: 106-110</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دوره‌بندی مورد نظر ما در این‌جا با دیدگاه ولفسون نیز تفاوت دارد، چه آن‌که بر اساس دیدگاه او، تاریخ فلسفه به سه دوره باستان، قرون وسطا و دوره جدید تقسیم می‌شود که از این جهت با هگل و سایر مورخان فلسفه هم‌داستان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تقسیم‌بندی هگل، قرون وسطا چیزی حدود ده قرن و بنا بر نظر ولفسون هفده قرن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در قرن اول میلادی با فیلون اسکندرانی فلسفه متمایزی تحت عنوان فلسفه دینی واز قرن هفدهم به بعد، یعنی از زمان اسپینوزا فلسفه عرفی و سکولار پدید آمد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Wolfson,1982, 2: 446-457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بدین ترتیب، دوره زمانی قرون وسطای یهودی شش قرن است، چنانچه تمام جریان‌های فلسفی را لحاظ کنیم و سه قرن خواهد بود، چنانچه فقط جریان کلامی مطمح نظر باشد</w:t>
      </w:r>
      <w:r>
        <w:rPr>
          <w:rFonts w:eastAsia="IRNazanin" w:cs="IRNazanin"/>
          <w:color w:val="111111"/>
          <w:sz w:val="28"/>
          <w:szCs w:val="28"/>
          <w:rtl w:val="true"/>
          <w:lang w:bidi="fa-IR"/>
        </w:rPr>
        <w:t>.</w:t>
      </w:r>
      <w:bookmarkStart w:id="368" w:name="pg2638_22673"/>
    </w:p>
    <w:p>
      <w:pPr>
        <w:pStyle w:val="BookText"/>
        <w:rPr/>
      </w:pPr>
      <w:bookmarkEnd w:id="3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در مقاله حاضر به برخی از پرسش‌های ذیل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یهودی چه تفاوتی با الهیات یهودی دارد؟ متکلمان یهودی از کدام یک از مکاتب و جریان‌های کلامی اسلامی اثر پذیرفته‌اند؟ آیا اثرنپذیری آنان از متکلمان اشعری را باید معلول ناآشنایی ایشان با کلام و متکلمان اشعری دانست؟ چرا آنان جذب کلام معتزلی شدند؟ از بین دو مکتب یا شاخه بغداد و بصره، بیشتر جانب کدام را گرفتند؟ آیا به طور مشخص می‌توان گفت کدام متکلم یهودی از کدام متکلم معتزلی تأثیر پذیرفته است؟ اصولاً اثبات و ابطال اثرپذیری ممکن است؟ آیا به‌جز احتمال و دخالت دادن حدس و گمان، راه دیگری وجود دارد؟ نظر به آشنایی متکلمان یهودی با ادیان و مکاتب فکری و فلسفی دیگر، آیا نمی‌توان حدس زد که آنان و متکلمان مسلمان هر‌دو از منبع واحدی اخذ و اقتباس کرده‌اند؟ آیا متکلمان یهودی و مسلمان به لحاظ مسئله یا دغدغه، مبانی یا پیش‌فرض‌ها، ادله، رهیافت یا نحوه نزدیک شدن به مسئله، پارادایم فکری نیز شبیه یکدیگر است؟ چرا افرادی همچون سعدیا گائون به رغم تأثیری که از متکلمان مسلمان پذیرفته‌اند، از آنان نام نمی‌برند؟ آیا متکلمان یهودی تابع صرف و مقلد تمام‌عیار متکلمان معتزلی بوده‌اند یا این‌که خود نوآوری‌ها و ابداعاتی داشته و احیاناً در مواردی، نگاه سلبی به آرای اندیشمندان مسلمان داشته‌اند؟</w:t>
      </w:r>
    </w:p>
    <w:p>
      <w:pPr>
        <w:pStyle w:val="Heading4"/>
        <w:numPr>
          <w:ilvl w:val="3"/>
          <w:numId w:val="1"/>
        </w:numPr>
        <w:rPr/>
      </w:pPr>
      <w:bookmarkStart w:id="369" w:name="__RefHeading___Toc604047_1395250215"/>
      <w:bookmarkStart w:id="370" w:name="_Toc147"/>
      <w:bookmarkEnd w:id="369"/>
      <w:r>
        <w:rPr>
          <w:rtl w:val="true"/>
        </w:rPr>
        <w:t>کلام یهودی</w:t>
      </w:r>
      <w:bookmarkEnd w:id="370"/>
    </w:p>
    <w:p>
      <w:pPr>
        <w:pStyle w:val="BookText"/>
        <w:rPr/>
      </w:pPr>
      <w:r>
        <w:rPr>
          <w:rFonts w:ascii="IRNazanin" w:hAnsi="IRNazanin" w:eastAsia="IRNazanin"/>
          <w:color w:val="111111"/>
          <w:sz w:val="28"/>
          <w:sz w:val="28"/>
          <w:szCs w:val="28"/>
          <w:rtl w:val="true"/>
          <w:lang w:bidi="fa-IR"/>
        </w:rPr>
        <w:t>جریان‌های فکری یهودی گوناگونی در قرون وسطا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کلامی یکی از این جریان‌هاست که حد فاصل قرن نهم تا قرن دوازدهم میلادی تحت تأثیر کلام اسلامی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یهودیِ بسیاری را در شرق و غرب جهان اسلام می‌توان نام برد که متأثر از متکلمان مسلمان، در صدد توجیه و تبیین آموزه‌ها و باورهای دینی خود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حاخام‌ها، به داود‌بن‌مروان بابلی، داود مقمص و سعدیا گائون و از بین قرائیان، ابو‌یوسف یعقوب قرقسانی، یوسف البصیر و یافث‌بن‌علی در شرق جهان اسلام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غرب جهان اسلام نخست از طریق متکلمان یهودی شرق جهان اسلام و سپس به طور مستقیم از طریق متکلمان مسلمان با موضوعات کلامی آشنا شدند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در‌باره متفکران یهودی غرب جهان اسلام، دو نکته را نباید از نظر دور داشت؛ نکته نخست آن‌که، همان‌طور که ابن‌میمون گفته است، متفکران یهودیِ غرب جهان اسلام بیشتر متأثر از فیلسوفان مسلمان بوده‌اند تا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ابن‌میمون،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آن‌که مخالفت با علم کلام بیشتر در غرب جهان اسلام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نص‌گراهایی نظیر نیسیم‌بن</w:t>
      </w:r>
      <w:bookmarkStart w:id="371" w:name="pg2638_22674"/>
    </w:p>
    <w:p>
      <w:pPr>
        <w:pStyle w:val="BookText"/>
        <w:rPr/>
      </w:pPr>
      <w:bookmarkEnd w:id="3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قیروانی از موضع کتاب مقدس و سنت، و فیلسوفانی نظیر ابن‌میمون از موضع فلسفی به مباحث کلامی واکنش نشان دادند؛ هرچند این فرضیه نیز قائلانی دارد که ابن‌میمون بیشتر متکلم است تا فیلسوف</w:t>
      </w:r>
      <w:r>
        <w:rPr>
          <w:rFonts w:eastAsia="IRNazanin" w:cs="IRNazanin"/>
          <w:color w:val="111111"/>
          <w:sz w:val="28"/>
          <w:szCs w:val="28"/>
          <w:rtl w:val="true"/>
          <w:lang w:bidi="fa-IR"/>
        </w:rPr>
        <w:t>.</w:t>
      </w:r>
    </w:p>
    <w:p>
      <w:pPr>
        <w:pStyle w:val="Heading4"/>
        <w:numPr>
          <w:ilvl w:val="3"/>
          <w:numId w:val="1"/>
        </w:numPr>
        <w:rPr/>
      </w:pPr>
      <w:bookmarkStart w:id="372" w:name="__RefHeading___Toc604049_1395250215"/>
      <w:bookmarkStart w:id="373" w:name="_Toc148"/>
      <w:bookmarkEnd w:id="372"/>
      <w:r>
        <w:rPr>
          <w:rtl w:val="true"/>
        </w:rPr>
        <w:t>تفاوت کلام یهودی با الهیات یهودی</w:t>
      </w:r>
      <w:bookmarkEnd w:id="373"/>
    </w:p>
    <w:p>
      <w:pPr>
        <w:pStyle w:val="BookText"/>
        <w:rPr/>
      </w:pPr>
      <w:r>
        <w:rPr>
          <w:rFonts w:ascii="IRNazanin" w:hAnsi="IRNazanin" w:eastAsia="IRNazanin"/>
          <w:color w:val="111111"/>
          <w:sz w:val="28"/>
          <w:sz w:val="28"/>
          <w:szCs w:val="28"/>
          <w:rtl w:val="true"/>
          <w:lang w:bidi="fa-IR"/>
        </w:rPr>
        <w:t>کلام یهودی از منابع گوناگونی استفاده کرده است و به ظاهر جریانی التقاطی را تداعی می‌کند، ولی به لحاظ روش، ساختار و محتوا تحت تأثیر کلام اسلامی، به‌ویژه کلام معتزلی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آموزه‌های اعتقادی موجود در کتاب مقدس عبرانی و سنت حاخامی پیش از قرن نهم با عنوان الهیات کتاب‌مقدسی و الهیات حاخامی یاد می‌شود، تا بدین طریق با کلام یهودی قرون وسطا خلط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به دو دلیل، تفکر یهودی حد فاصل قرن نهم تا دوازدهم میلادی را می‌توان کلام یهودی نامید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اثرپذیری کلام یهودی از کلام معتزلی در تأکید بر استقلال و خودبنیادی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 عربی در تدوین آثار متفکران یهودی این دوره، وجه تمایز دیگر کلام یهودی با الهیات حاخامی و کتاب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بیشتر آثار متفکران یهودی شرق و غرب جهان اسلام به زبان عربی نوشته شده است و تنها آیات کتاب مقدس به زبان عبری آورده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اوقات، کلام یهودی با کلام قرائیمی یکی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متفکران یهودی اسپانیایی، علم کلام را که در اسپانیا مورد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با کلام قرائیمی یکی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هلوی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Judah halevi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هنگامی که کلام را معرفی می‌کند، آن را به شکل انحصاری به قرائیان نسبت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Halevi, 2006: 457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ظاهراً این نکته در پس زمینه نگرش ابن‌میمون نیز درباره کلام وجود داشته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Frank and Leaman, 1997: 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 قرائیمی و حاخامی تقریباً پرسش‌ها و پاسخ‌های یک‌سانی را مطرح می‌کردند؛ در عین حال، تفاوت‌هایی با هم دارند که به اختصار به برخی از آن‌ها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قرائیمی تنها کتاب مقدس را معتبر و حجت می‌دانستند و تلمود به عنوان تورات شفاهی را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تفسیر لفظ به لفظ کتاب مقدس اعتقاد داشتند و در اجرای احکام شریعت سخت‌گیرتر از حاخام‌ها به نظر می‌رسیدند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Frank and leaman, 1997: 124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604051_1395250215"/>
      <w:bookmarkStart w:id="375" w:name="_Toc149"/>
      <w:bookmarkEnd w:id="374"/>
      <w:r>
        <w:rPr>
          <w:rtl w:val="true"/>
        </w:rPr>
        <w:t>اثر پذیری کلام یهودی از کلام اسلامی</w:t>
      </w:r>
      <w:bookmarkEnd w:id="37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ابنمیمون، مباحث کلامی نخست در میان مسیحیان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انگیزه مخالفت با فلاسفه و اثبات عقاید دینی، به مباحث کلامی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با هدف تحکیم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باورهای خود علم کلام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طریق یحیی‌بن‌عدی و یحیای نحوی با انتقادات مسیحیان بر آرای فیلسوفان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متکلمان مسلمان در پذیرش آن بخش از تعالیم فیلسوفان که با مبانی دینی خود سازگار می‌دیدند و به کار توجیه اعتقاداتشان می‌آمد، به خود تردید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کم و بیش در سنت یهودی مباحث کلامی درباره باورهای دینی مطرح می‌شد، کار نظام‌مند کلامی نزدیک هزار سال به تعویق افتاد، چراکه به زعم یهودیان، تدوین علوم شرعی اختلافات و تشتت آرا را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بعد از تسلط سایر اقوام بر ایشان و بیم از میان رفتن این علوم، به علم کلام روی آوردند و چون در محیط اسلامی می‌زیستند، از مسلمانان تأثیر بسیاری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قرائی‌ها و گائون‌ها با کلام اسلامی آشنا شدند و چون این آشنایی حسب تصادف با کلام معتزلی بود، دیدگاه‌های خود را از ایشان گرفتند و از روش آن‌ها پیروی کردند و آن‌ها را برهانی فرض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ابن‌میمون،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ابن‌میمون سه ادعا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و دایره نفوذ و تأثیر کلام معتزلی بر متکلمان یهودی را در معنای توحید و متعلقات آن دانسته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حاخام‌ها و قرائیان شرق در موضوع مزبور از معتزله پیروی 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تفکر معتزلی انتخاب آگاهانه و عمدی نبود، بلکه باید آن را رخدادی اتفاقی به شمار آورد؛ چه بسا اگر متکلمان یهودی با اشاعره آشنا می‌شدند، از آنان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ولفسن هر سه ادعای ابن‌میمون، به‌خصوص ادعای اخیر او را رد می‌کند؛ برای نمونه، یوسف بصیر قرائیمی مطالبی را از اشاعره نقل و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سعدیا کتاب باورها و اعتقادات را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بغداد تألیف کرد و مجموعه آثار اشعری در بین سال‌های</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فراهم آمده بود و جالب‌تر آن‌که او دو سال آخر عمرش را در بغداد گذراند و در آن‌جا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آبراهام فرکویچ در طی سفرش به سوریه، فلسطین و مصر در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میلادی و بازدید از کنیسه‌های یهودیان قرائیمی، مجموعه‌ای را گردآوری کرده که اکنون در سن‌پطرز‌بورگ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بسیاری از منابع معتزلی با الفبای عبری جمع‌آوری شده که از سوی قرائیان استنساخ شده است؛ کتاب المغنی، قطعاتی از کتاب المحیط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اشمیتکه،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مطالعات اولیه، قرائیان تنها به استنساخ آثار کلامی بهشمیه همت گماشتند، ولی اخیراً در مجموعه آبراهام فرکویچ بخش مفصلی از کتاب تصفح الادله ابوالحسن بصری پیدا شده که به عبری استنساخ شده است؛ حتی یوسف بصیر، برهان بصری در باب اثبات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وجود خدا و برخی دیگر از آرای او را رد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اشمیتکه،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ادعای ابن‌میمون مبنی بر اتفاقی خواندن آشنایی و پیروی متکلمان یهودی از معتزله، هیچ پایه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ولفسن در کتاب فلسفه علم کلام و بازتاب‌های کلام اسلامی در فلسفه یهودی به شش مسئله کلامی پرداخته و معتقد است، چهار مسئله از این مسائل شش‌گانه را فیلون اسکندرانی و دو مسئله دیگر را آبای کلیسا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 مسئله، فارغ از خاستگاه و منشأ آن‌ها در کلام اسلامی رشد و تکامل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یهودی از طریق متفکران معتزلی با این مسائل آشنا شدند و چون دیدگاه‌های سنتی یهودی درباره مسائل مزبور را با دیدگاه‌های متفکران معتزلی سازگار یافتند، برای تأیید دیدگاه‌های یاد‌شده از براهین و استدلال‌های معتزلیان استفاده تام و تمام کردند و در پاره‌ای از مواقع کل استدلال را به عاریت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ولفسن،</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انکار واقعیت صفات، بر اصل وحدانیت خدا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وحدانیت خدا آن‌گونه که در کتاب مقدس آمده است، صراحت در وحدت عددی دارد؛ لذا متفکران یهودی وحدت درونی یا بساطت مطلق خدا را وام‌دار معتزله هستند، هرچند اولین بار فیلون اسکندرانی آن را در قرن اول میلادی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ولفسن،</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همین‌طور در بحث آزادی اراده و اختیار، سازگاری اختیار با علم قبلی خدا، سازگاری اختیار با قدرت خدا و موضوعاتی از این دست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متکلمان یهودی در طول قرون وسطا از متکلمان مسلمان تأثیر پذیرفته‌اند، تردیدی نیست، اما نباید فراموش کرد که متکلمان مسلمان در ابتدا از فرهنگ‌ها و ادیان مختلف، از جمله یهودیت تأثیر پذیرفته‌اند و با توجه به تأثیرپذیری آبای لاتینی و یونانی کلیسا از فیلون اسکندرانی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Runia,1993: 200-201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اثرپذیری متکلمان مسلمان از تفکر مسیحی به زعم ولفسن، به گونه‌ای بازگشت به یهودیت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ولفسن،</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برخی از شرق‌شناسان و صاحبان ملل و نحل بر اثرپذیری متکلمان مسلمان از یهودیان در صدر اسلام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ایشان، علاوه بر قرآن و حدیث در برخی از مسائل کلامی می‌توان نفوذ و تأثیر یهودیت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انسان‌انگاری خدا و ردّ آن، قدیم یا مخلوق بودن قرآن و جبر و اختیار، از جمله این مسائل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اسفرائینی مشبهه را متأثر از جهودان و در جای دیگر متأثر از قرائیان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حاخام‌ها را نظیر معتزله و مشبهه را نظیر قرائیان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شراینر و نویمارک مخالفت متفکران معتزلی با تشبیه را متأثر از یهودیان می‌داند، چراکه انکار تشبیه با لبید‌بن‌اعصم یهودی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شراینر، مخلوق بودن قرآن را اولین بار لبید‌بن‌اعصم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معتقد است، قارئون همچون معتزله به عدالت و یگانگی خدا</w:t>
      </w:r>
      <w:bookmarkStart w:id="376" w:name="pg2638_22677"/>
    </w:p>
    <w:p>
      <w:pPr>
        <w:pStyle w:val="BookText"/>
        <w:rPr/>
      </w:pPr>
      <w:bookmarkEnd w:id="3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بر‌عکس می‌گوید؛ حاخام‌ها نظیر متفکران معتزلی و قرائیان همچون جبریه‌اند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اسفرائینی می‌گوید قدریه اعتقاد خود را از یهودیان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شراینر می‌گوید دیدگاه واصل‌بن‌عطا درباره اختیار و آزادی تقریباً لفظ به لفظ ترجمه گفته حاخام‌هاست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نویمارک و گلدتیسهر باور برخی از متفکران مسلمان به آزادی اراده را متأثر از یهودیان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ولفسن در عین حالی که متکلمان یهودی قرون وسطا را متأثر از متفکران معتزلی می‌داند، بر این باور است که دست‌کم در موضوعاتی که فقط و فقط متکلمان در آن‌ها ورود پیدا کرده‌اند، خاستگاه بیشتر افکار متفکران مسلمان، از جمله معتزلی‌ها تفکر یهودی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پرداختن به تمام موضوعات کلامی و تعیین میزان اثرپذیری متکلمان یهودی از متکلمان اسلامی، مجال فراخ‌تری می‌طلبد؛ از این رو، در این مقاله با تمرکز بر دو متفکر یهودی، یعنی سعدیا گائون از حاخام‌ها و یعقوب قرقسانی از قرائیان، میزان اثرپذیری آنان از متکلمان معتزلی درباره نقش و کارکرد عقل در توجیه و تحکیم باورها و آموزه‌های دینی بررسی می‌گردد</w:t>
      </w:r>
      <w:r>
        <w:rPr>
          <w:rFonts w:eastAsia="IRNazanin" w:cs="IRNazanin"/>
          <w:color w:val="111111"/>
          <w:sz w:val="28"/>
          <w:szCs w:val="28"/>
          <w:rtl w:val="true"/>
          <w:lang w:bidi="fa-IR"/>
        </w:rPr>
        <w:t>.</w:t>
      </w:r>
    </w:p>
    <w:p>
      <w:pPr>
        <w:pStyle w:val="Heading4"/>
        <w:numPr>
          <w:ilvl w:val="3"/>
          <w:numId w:val="1"/>
        </w:numPr>
        <w:rPr/>
      </w:pPr>
      <w:bookmarkStart w:id="377" w:name="__RefHeading___Toc604053_1395250215"/>
      <w:bookmarkStart w:id="378" w:name="_Toc150"/>
      <w:bookmarkEnd w:id="377"/>
      <w:r>
        <w:rPr>
          <w:rtl w:val="true"/>
        </w:rPr>
        <w:t>سعدیا گائون</w:t>
      </w:r>
      <w:bookmarkEnd w:id="378"/>
    </w:p>
    <w:p>
      <w:pPr>
        <w:pStyle w:val="BookText"/>
        <w:rPr/>
      </w:pPr>
      <w:r>
        <w:rPr>
          <w:rFonts w:ascii="IRNazanin" w:hAnsi="IRNazanin" w:eastAsia="IRNazanin"/>
          <w:color w:val="111111"/>
          <w:sz w:val="28"/>
          <w:sz w:val="28"/>
          <w:szCs w:val="28"/>
          <w:rtl w:val="true"/>
          <w:lang w:bidi="fa-IR"/>
        </w:rPr>
        <w:t xml:space="preserve">داود مقمص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متفکر یهودی بود که با کلام اسلامی آشنا</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استدلال، روش‌شناسی منطقی و اصطلاح‌شناسی فلسفی او به متکلم، به‌ویژه کلام معتزلی،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 شاید جزو اولین آثار کلامی عربی باشد که به نقد و بررسی برخی</w:t>
      </w:r>
    </w:p>
    <w:p>
      <w:pPr>
        <w:pStyle w:val="BookText"/>
        <w:rPr/>
      </w:pPr>
      <w:r>
        <w:rPr>
          <w:rFonts w:ascii="IRNazanin" w:hAnsi="IRNazanin" w:eastAsia="IRNazanin"/>
          <w:color w:val="111111"/>
          <w:sz w:val="28"/>
          <w:sz w:val="28"/>
          <w:szCs w:val="28"/>
          <w:rtl w:val="true"/>
          <w:lang w:bidi="fa-IR"/>
        </w:rPr>
        <w:t>از باورهای مسیحی پرداخته و از این جهت درخور توجه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بنیادین جهان‌شناسی مقمص، جوهر و عرض است و نه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مفاهیم را برای اثبات</w:t>
      </w:r>
    </w:p>
    <w:p>
      <w:pPr>
        <w:pStyle w:val="BookText"/>
        <w:rPr/>
      </w:pPr>
      <w:r>
        <w:rPr>
          <w:rFonts w:ascii="IRNazanin" w:hAnsi="IRNazanin" w:eastAsia="IRNazanin"/>
          <w:color w:val="111111"/>
          <w:sz w:val="28"/>
          <w:sz w:val="28"/>
          <w:szCs w:val="28"/>
          <w:rtl w:val="true"/>
          <w:lang w:bidi="fa-IR"/>
        </w:rPr>
        <w:t>ازلی نبودن جهان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مخلوقات جهان، وجود خالق یگانه و یکتا را استنتاج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Frank and Leaman,1997:132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داود مقمص هرچند نخستین متفکر یهودی است که از کلام اسلامی در جایگاه منبع الهام استفاده کرده و سعدیا مدتی شاگرد او بوده است، به دلایل</w:t>
      </w:r>
    </w:p>
    <w:p>
      <w:pPr>
        <w:pStyle w:val="BookText"/>
        <w:rPr/>
      </w:pPr>
      <w:r>
        <w:rPr>
          <w:rFonts w:ascii="IRNazanin" w:hAnsi="IRNazanin" w:eastAsia="IRNazanin"/>
          <w:color w:val="111111"/>
          <w:sz w:val="28"/>
          <w:sz w:val="28"/>
          <w:szCs w:val="28"/>
          <w:rtl w:val="true"/>
          <w:lang w:bidi="fa-IR"/>
        </w:rPr>
        <w:t>ذیل جایگاه او در یهودیت قابل مقایسه با سعدیا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مقمص یهودی‌ای بود که به تألیف</w:t>
      </w:r>
    </w:p>
    <w:p>
      <w:pPr>
        <w:pStyle w:val="BookText"/>
        <w:rPr/>
      </w:pPr>
      <w:r>
        <w:rPr>
          <w:rFonts w:ascii="IRNazanin" w:hAnsi="IRNazanin" w:eastAsia="IRNazanin"/>
          <w:color w:val="111111"/>
          <w:sz w:val="28"/>
          <w:sz w:val="28"/>
          <w:szCs w:val="28"/>
          <w:rtl w:val="true"/>
          <w:lang w:bidi="fa-IR"/>
        </w:rPr>
        <w:t>آثار فلسفی و جدلـی همت گمـاشت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استثنای دفـاع از برتری نبوت موسـی، برای</w:t>
      </w:r>
    </w:p>
    <w:p>
      <w:pPr>
        <w:pStyle w:val="BookText"/>
        <w:rPr/>
      </w:pPr>
      <w:r>
        <w:rPr>
          <w:rFonts w:ascii="IRNazanin" w:hAnsi="IRNazanin" w:eastAsia="IRNazanin"/>
          <w:color w:val="111111"/>
          <w:sz w:val="28"/>
          <w:sz w:val="28"/>
          <w:szCs w:val="28"/>
          <w:rtl w:val="true"/>
          <w:lang w:bidi="fa-IR"/>
        </w:rPr>
        <w:t>هیچ نظریه‌ای که به طور متمایز یهودی باشد، در کتاب بیست مقاله خود استدلال نکرد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Frank and Leaman,1997: 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یعقوب قرقسانی، دانشمند قرائیمی معتقد است، او زمانی که در نصیبین شاگرد فیلسوف مسیحی، نونوس، بود به مسیحیت گروید، ولی بعدها پس از شناخت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بیشتر از مسیحیت، طی دو مقاله آن را نقد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شرباک،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عین حالی که تحت تأثیر کلام معتزلی بود، از معلمان مسیحی‌اش الهام گرفت و با مفاهیم اساسی فلسفه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علیت و مقولات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مقمص به اندازه سعدیا هویت معتزلی نداشت و تحت تأثیر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به سنتی که به کلام مسیحی مشهور است، تعلق داشت که به لحاظ زمانی بر کلام اسلامی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بیست مقاله مقمص با منطق و معرفت‌شناسی، عمدتاً ارسطویی، شروع می‌شود، با این هدف که شناخت را بر پایه محکمی استوار سازد و</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Frank</w:t>
      </w:r>
    </w:p>
    <w:p>
      <w:pPr>
        <w:pStyle w:val="BookText"/>
        <w:rPr/>
      </w:pPr>
      <w:r>
        <w:rPr>
          <w:rFonts w:ascii="IRNazanin" w:hAnsi="IRNazanin" w:eastAsia="IRNazanin"/>
          <w:color w:val="111111"/>
          <w:sz w:val="28"/>
          <w:sz w:val="28"/>
          <w:szCs w:val="28"/>
          <w:rtl w:val="true"/>
          <w:lang w:bidi="fa-IR"/>
        </w:rPr>
        <w:t>سعدیا مهم‌ترین متفکر یهودی است که تحت تأثیر کلام معتزلی و دیگر منابع، در صدد توجیه و تبیین آموزه‌های یهودی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ترکیب اشیا از جوهر و عرض به جای ماده و صورت تأکید داشت و همین موضوع کافی است تا او در جرگه متکلمان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در عین حالی که بر عقل تأکید بسیار داشت، سنت را یکی از منابع شناخت دانسته و از این منظر، قرائی‌ها را مورد نقد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پرداختن به مباحث فلسفی و عقلی را نیاز و ضرورت زمانه خود می‌دانست و از هر راه ممکن در صدد زدودن شک و تردید و تحکیم آموزه‌های هم‌کیشان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باورها و اعتقادات مشتمل بر یک مقدمه و ده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در مقدمه، عوامل و علل بروز شک و بدعت را به همراه منابع شناخت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در این کتاب در صدد زدودن شک و تردید یهودیانی برآمده که در اثر مواجهه با ادیان دیگر و مکاتب فلسفی، دچار شک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پرسش‌هایی را که معتزلی‌ها پیش کشیده بودند، مورد توجه قرار می‌داد و با الهام از آن‌ها و با مراجعه به کتاب مقدس و سنت یهودی، به دنبال ارائه پاسخ‌های درخور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 کتاب سعدیا المختار فی الامانات و الاعتقادات به معنای انتخاب نقادانه باورها و اعتقادات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دیدگاه و آموزه‌ای اطلاق می‌گردد که از سر ایمان و تعبد پذیرفته شود؛ نظیر خلقت و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باور راسخ و محکم به نتیجه فرایند تعقل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مزبور در نظریه، روش استدلال و ساختار متأثر از معتزله است و تقریباً مطالب مقاله‌ها حول محور دو اصل محوری معتزله، یعنی اصل توحید و عدل دور می‌زند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سعدیا در مقاله نخست کتاب اعتقادات و امانات به حدوث عالم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سعدیا چهار دلیل در‌باره آفرینش جهان از عدم ذکر می‌کند و دوازده دیدگاه دیگری را که در این باره مطرح شده است، نقل و نقد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Saadia Gaon, 1976: 41-44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سعدیا از راه حدوث عالم، وجود خدا و وحدت و یگانگی‌اش را اثبات و دلایلی در ردّ دیدگاه ثنوی‌مسلکان و قائلان به تثلیث ذکر</w:t>
      </w:r>
      <w:bookmarkStart w:id="379" w:name="pg2638_22679"/>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در بحث صفات، جانب معتزله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عقل و وحی، تفکیک قوانین عقلی از قوانین وحیانی، آزادی اراده و عدم منافات آن با علم قبلی خدا، اقامه دلیل بر نسخ‌ناپذیری تورات، ماهیت مرگ و رستاخیز و به طور کلی مباحث انسان‌شناسی، فرجام‌شناسی و اخلاق، از جمله موضوعاتی‌اند که در سایر مقالات کتاب مزبور به تفصیل مورد بحث و بررسی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بسیاری از موضوعات فوق در سنت یهودی پیشینه داشته‌اند، اما اگر نبود آشنایی متفکران یهودی با متکلمان مسلمان، شاید به این صورت مورد توجه آنان قرار نمی‌گرفت</w:t>
      </w:r>
      <w:r>
        <w:rPr>
          <w:rFonts w:eastAsia="IRNazanin" w:cs="IRNazanin"/>
          <w:color w:val="111111"/>
          <w:sz w:val="28"/>
          <w:szCs w:val="28"/>
          <w:rtl w:val="true"/>
          <w:lang w:bidi="fa-IR"/>
        </w:rPr>
        <w:t>.</w:t>
      </w:r>
    </w:p>
    <w:p>
      <w:pPr>
        <w:pStyle w:val="Heading4"/>
        <w:numPr>
          <w:ilvl w:val="3"/>
          <w:numId w:val="1"/>
        </w:numPr>
        <w:rPr/>
      </w:pPr>
      <w:bookmarkStart w:id="380" w:name="__RefHeading___Toc604055_1395250215"/>
      <w:bookmarkStart w:id="381" w:name="_Toc151"/>
      <w:bookmarkEnd w:id="380"/>
      <w:r>
        <w:rPr>
          <w:rtl w:val="true"/>
        </w:rPr>
        <w:t>یعقوب قرقستانی</w:t>
      </w:r>
      <w:bookmarkEnd w:id="381"/>
    </w:p>
    <w:p>
      <w:pPr>
        <w:pStyle w:val="BookText"/>
        <w:rPr/>
      </w:pPr>
      <w:r>
        <w:rPr>
          <w:rFonts w:ascii="IRNazanin" w:hAnsi="IRNazanin" w:eastAsia="IRNazanin"/>
          <w:color w:val="111111"/>
          <w:sz w:val="28"/>
          <w:sz w:val="28"/>
          <w:szCs w:val="28"/>
          <w:rtl w:val="true"/>
          <w:lang w:bidi="fa-IR"/>
        </w:rPr>
        <w:t xml:space="preserve">ابویوسف یعقوب قرقسانی حدود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عراق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اصالت عقل اعتقاد تام و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مهم، عمل به حکم عقل است، اما این‌که مفاد حکم عقل مطابق و موافق با تعالیم کدام فرقه است،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کتاب قرقسانی و نیز فرقه قرائیم کتاب الانوار و المراقب است که در پنج جلد و حدود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مزبور مشتمل بر سیزده مقاله و هر مقاله دربرگیرنده تعداد زیادی باب است که مجموع باب‌های آن به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مقاله نخست آن تاریخی و فلسفی است که در دو جلد اول و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می‌توان گفت، کتاب مذکور بهترین و معتبرترین کتابی است که در زمینه افکار قرائیمی‌ها در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چهار مقاله نخست کتاب الانوار و المراقب بی‌درنگ ما را به خطوط کلی تفکر قرقسانی آشنا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فرقه‌های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قرقسانی، مسیحیت را فرقه‌ای یهودی به شمار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بحث و استدلال و اثبات حجیت 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اعتقادات ادیان غیر‌یهودی، از جمله مسیحیت و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روش‌های تفسیر تورات</w:t>
      </w:r>
      <w:r>
        <w:rPr>
          <w:rFonts w:eastAsia="IRNazanin" w:cs="IRNazanin"/>
          <w:color w:val="111111"/>
          <w:sz w:val="28"/>
          <w:szCs w:val="28"/>
          <w:rtl w:val="true"/>
          <w:lang w:bidi="fa-IR"/>
        </w:rPr>
        <w:t>.</w:t>
      </w:r>
    </w:p>
    <w:p>
      <w:pPr>
        <w:pStyle w:val="Heading4"/>
        <w:numPr>
          <w:ilvl w:val="3"/>
          <w:numId w:val="1"/>
        </w:numPr>
        <w:rPr/>
      </w:pPr>
      <w:bookmarkStart w:id="382" w:name="__RefHeading___Toc604057_1395250215"/>
      <w:bookmarkStart w:id="383" w:name="_Toc152"/>
      <w:bookmarkEnd w:id="382"/>
      <w:r>
        <w:rPr>
          <w:rtl w:val="true"/>
        </w:rPr>
        <w:t>عقل به مثابه منبع شناخت</w:t>
      </w:r>
      <w:bookmarkEnd w:id="38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آشنایی اجمالی با دو متکلم بنام یهودی، اکنون به نقش و جایگاه عقل در تفکر معتزلی و به دنبال آن، کلام یهودی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معتزلی‌ها را به دو معنا می‌توان عقل‌گرا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عقل را ابزار مطمئنی برای شناخت می‌دانستند و بر استقلال و خودبنیادی عقل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آنان، با عقل تنها و بدون مساعدت وحی می‌توان بسیاری از حقایق مابعد طبیعی، الهیاتی و اخلاقی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هیچ راز سربه‌مهری وجود ندارد که قابل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تبیین عقلی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خود اجازه می‌دادند حتی درباره خدا تعیین تکلیف کنند؛ لذا هیچ چیز مانع ایشان نبود در این‌که تعیین کنند چگونه خدا باید عمل کند و چه قوانینی را باید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خردورزی متفکران معتزلی، معطوف به موضوعاتی بود که در قرآن درباره آن‌ها سخن گفته شده بود؛ از این رو، شاید سخن گزافی نباشد اگر علم کلام همچون تفسیری بر قرآن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موضوعات مورد بحث و بررسی آنان، برگرفته از مشکات وحی بود و تلاش می‌کردند با دخالت عقل، برخی از تعارضات ظاهری موجود در کلام وحی را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عدل الهی که ترجیع‌بند مباحث متفکران معتزلی است و محوری‌ترین آرا و افکار ایشان را تشکیل می‌دهد، خاستگاه قرآنی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سویی، بر وحدانیت خدا و از سوی دیگر بر تعدد صفات او تأکید دارد؛ یا از سویی، خدا را علت همه چیز می‌داند و از سوی دیگر، انسان را مسئول اعمال خویش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معتزلی با تکیه بر عقل، در صدد توجیه و سازگار کردن این‌گونه موضوعات به ظاهر متعارض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یهودی نیز با محوریت همین موضوعات، بحث‌های خود را پیش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در جوامع اسلامی به سر می‌بردند، بی آن‌که جذب دین اسلام گردند، به کلام معتزلی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کلام یهودی از همان آغاز با تفاسیر کتاب مقدس پیوند خورد؛ به‌ویژه کلام قرائیمیِ قرن دهم که عمده منابع آنان، تفاسیر کتاب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متفکران معتزلی بر وجوب نظر و تفکر تأکید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فرایند حصول علم چند دیدگاه در بین متفکران مسلمان وجود دارد؛ اشاعره با نظریه عادت و معتزلیان با نظریه تولید، به تبیین فرایند حصول علم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معتزله، دانش آدمی متأثر از قوه تفکر پدید می‌آید و معلول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در کتاب المغنی یک جلد را با عنوان النظر و المعارف اختصاص داده و نظریه تولید معتزله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علم و عقل فرق گذاشته و معتقد است، علم همواره از راه عقل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عقل را وسیله ارزش‌گذاری داده‌های ذهنی می‌داند، نه وسیله کسب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نظریه حسن و قبح عقلی طرح گردید؛ در حالی که اشاعره بنا بر نظریه عادت، برای عقل هیچ‌گونه علیتی قائل نبوده و نظر به اعتقاد ایشان به حسن و قبح شرعی، آن را معیار ارزش‌گذاری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دید اشاعره عقل نه منبع شناخت است و نه کارکرد ابزاری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عقل را می‌توان در اصول پنج‌گانه معتزلی مشاهده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سعدیا گائون در مقدمه کتاب الامانات و الاعتقادات بر ضرورت تبیین عقلانی آموزه‌های دینی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باورها و آموزه‌هایی اطلاق می‌گردد که بر اساس ایمان پذیرفته می‌شوند و لازم نیست به پایه باورهایی برسند که با عقل تقویت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هدف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سعدیا تبیین اصول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فصلی، نخست اصلی دینی را مطرح و با برهان یا شاهدِ کتاب‌مقدسی آن را تأیید یا تقویت می‌کرد و در اثنای بحث، با استدلال‌های فلسفی آن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دیدگاه‌های متعارض را طرح و به هر طریق ممکن اعتراضات را رد می‌کرد و جای هیچ‌گونه شک و تردیدی برای خواننده باقی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 چهار منبع برای شناخت ذکر می‌کند؛ شناخت حسی، عقلی، استنتاجی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سعدیا سنت را منبع چهارم شناخت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سنت، منبع شناخت مخصوص دین است، اما به تنهایی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 تجربه‌ای حسی از وحی مبتنی است که با همه تجربه‌های حسی متفاوت است، زیرا آن رویدادی استثنایی است، و حقیقت از منبعی معتبر فرو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نوعی سنت برای هر جامعه فرهنگی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قابل اعتماد چون مبتنی بر وحی است، هیچ‌گاه با تجربه انسانی متداول قابل راست‌آزمایی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سنت وحیانی را هم‌سطح با سه منبع دیگر شناخت نمی‌داند، زیرا بنیان آن ـ و نه محتوایش ـ بر آن‌ها استوار است؛ از این رو، می‌توان آن را در معرض نقادی عقلانی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منابع شناخت، هدف واحدی را دنبال می‌کنند و آن چیزی جز زدودن شک و تردید نیست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Saadia, 1976: 16-18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او از عقل‌گرایی این بود که مؤمن می‌تواند در درون قلمرو تجربه ما به شناخت مطلق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آدمی از محدودیت‌هایی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 بر حواس استوار است و عقل بر اساس تجربه حسی محدود ما حکم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محدود انسان در معرض خطاست؛ حتی هنگامی که به نتیجه‌ای می‌رسیم که از نظر ما قانع‌کننده و رضایت‌بخش است، ممکن است دچار خطا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تفکر به خاطر تفکر را در نظر نداشت، بلکه می‌خواست بر طبق تورات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ماورای واقعیت حسی را تصدیق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دود از دور، وجود آتش را نتیجه می‌گیریم و یا با دیدن انسان در حرکت، وجود نفس آدمی را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واقعیت‌های حسی هستند، زیرا نفس را از تجربه درونی خودمان به مثابه واقعیتی محسوس می‌شناسیم؛ بنابراین، نظر به این‌که نمی‌توان فراتر از تجربه را درک کرد، شناخت خدا جز از طریق افعالش ممکن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عقل‌گرایی سعدیا به معنای تأمل در‌باره واقعیت متافیزیکی یا نادیده گرفتن محدودیت‌های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تصدیق می‌کند تجربه به واقعیت متافیزیکی‌ای اشاره دارد که ما چیزی در‌باره آن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فیلسوفان در این نکته هم‌داستانند که خدا ناشناختنی است، در عین حال تلاش می‌کنند از ذات او چیزی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با این تلاش فیلسوفان مخالف بود؛ از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رو، او را باید عقل‌گرای معتدلی دانست که برای تأیید باورهای دینی، تنها به امور طبیعی قانع بود و در محدوده تجربه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زدودن شک و تردید و نیل به یقین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سعدیا مسئله‌ای تحت عنوان تعارض عقل و وحی مطرح نبود تا در مقام حل آن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کلمات پیامبر و تعالیم برخاسته از عقل، هیچ‌گونه تعارضی نیست و چنانچه بین آن‌ها تعارضی باشد، باید سخنان پیامبر را به معنای عقلی گرفت، نه به معنای ظاهری و لفظی؛ به عبارت دیگر، ما به سخنان پیامبر اعتماد می‌کنیم، ولی عقل نحوه تفسیر آن‌ها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کتاب مقدس را نمی‌توان بدون بررسی تأیید کرد؛ البته مقصود او این نبود که تمام کلمات کتاب مقدس را باید نقد کرد، بلکه می‌خواهد از توافق عقل و نقل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می‌آید که چرا به یکی از آن دو بسنده نمی‌شود؟ سعدیا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مواردی عقل به تنهایی و بدون نیاز به وحی می‌تواند حکم صادر کند، مواردی وجود دارد که ورای عقل آدمی است و عقل را مجال جولان در آن عرصه‌ها نیست و تنها از طریق وحی می‌توان آن‌ها را شناخت؛ بنابراین، عقل و وحی مددکار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جولان‌گاه عقل است، وحی از جزئیات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بسیاری از مسائل، از جمله تشخیص نیک و بد مستقل و بی‌نیاز از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برای وحی قلمرو وسیعی را</w:t>
      </w:r>
    </w:p>
    <w:p>
      <w:pPr>
        <w:pStyle w:val="BookText"/>
        <w:rPr/>
      </w:pPr>
      <w:r>
        <w:rPr>
          <w:rFonts w:ascii="IRNazanin" w:hAnsi="IRNazanin" w:eastAsia="IRNazanin"/>
          <w:color w:val="111111"/>
          <w:sz w:val="28"/>
          <w:sz w:val="28"/>
          <w:szCs w:val="28"/>
          <w:rtl w:val="true"/>
          <w:lang w:bidi="fa-IR"/>
        </w:rPr>
        <w:t xml:space="preserve">قائل بود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Saadia, 1976: 145-147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قرقسانی به آیاتی از کتاب مقدس استناد می‌کند که نشان می‌دهند نه تنها مطالعه علم و فلسفه منع نشده است، که همگان به تعقل فراخوانده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همان طریق و شیوه‌ای علم را مطالعه می‌کرد که دانشمندان و فیلسوفان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تقابل و تعارضی میان نظریه خلقت و قوانین علم و فلسفه وجود ندارد، بلکه برعکس؛ آن‌ها یکدیگر را تقویت می‌کنند و ابزاری برای تحصیل شناخت حقایق توراتند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نظیر باورهای دینی و وحی، بر استفاده از عقل استوارند و مبنای آن‌ها ادراک حسی و امور بدیهی‌اند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قرقسانی،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وانگهی داوری در‌باره دعاوی متعارض پیروان ادیان، جز از طریق عقل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قرقسانی،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قرقسانی، تأمل و تفکر عقلانی در آموزه‌های دینی نه تنها ممکن، که لازم و ضروری است، زیرا تأمل عقلی بنیان و اساس تمام ادیان و شناختی است که از رهگذر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بخش دوم کتاب الانوار و المراقب، دیدگاه‌های مختلف پیروان ادیان درباره کیفیت وقوع علم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قرقسانی، علم از یکی از طرق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 نقل و یا 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نظر،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ابطال 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طریق نخست، بر وجوب استدلال و بحث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قرقسانی در باب ابطال نقل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این‌که خبر به صادق و کاذب تقسیم می‌شود اتفاق نظر دارند، اما مسئله مهم این است که برای تشخیص خبر صادق از کاذب، چه معیاری وجود دارد؟ معیار از دو حال بیرون نیست؛ یا معیار نظر و استدلال است که در این فرض ادعای کسانی که به حجیت نقل باور دارند، نقض خواهد شد و یا این‌که معیار نقل است که برای بررسی صدق و کذب آن دقیقاً همین سؤال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قرقسانی می‌گوید از کسانی که معتقدند از راه نقل به علم می‌رسند، می‌پرسیم با چه چیزی نبی را از متنبی بازمی‌شناسید؟ اگر بگویند از راه معجزات می‌توان مدعی صادق را از مدعیان دروغین بازشناخت، به وقوع علم از راهی به‌جز نقل اعتراف کرده‌اند، چرا‌که ممکن است نقل بگوید کسانی که کارهای خارق عادت انجام می‌دهند، کاذب و کسانی که کارهای خارق عادت انجام نمی‌دهند، صادقند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خبر را نمی‌توان با خبر و نقل تکذیب کرد، بلکه عقل می‌تواند تنها داور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قرقسانی،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قرقسانی معتقد است، خدا خودش را به دو طریق متجلی می‌سازد؛ عقل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وحی منحصر به یهودیان نیست، بلکه مسلمانان و مسیحیان نیز مدعی دریافت آن هستند، عقل برای تمام انسان‌ها مشترک است و همین عقل به انسان اجازه می‌دهد تا مرجعیت یک وحی را بپذیرد؛ بنابراین، بر پایه تعالیم عقلانی و بهره گرفتن از عقل، وجود خدا و نیز پیامبر تصدیق می‌گردد، زیرا خود کتاب مقدس نیز از وجود پیامبران دروغین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قوانین و قواعد اخلاقی تعیین می‌گردد و انسان می‌تواند خیر را از شر بازشناسد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آدمی قوانین اخلاقی را درباره خدا نیز صادق می‌داند و به این طریق، وجود خدای عادل و خیر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 مدد عقل می‌توان از آیات مبهم کتاب مقدس، که در برخی مواقع به عقاید نادرست می‌انجامد، رفع ابهام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مخالف حکم صریح عقل است و یا در صورتی که معنای لفظی آن‌ها در نظر گرفته شوند با سایر آیات صریح کتاب مقدس ناسازگارند، باید به تأویل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قرقسانی درباره تأمل عقلانی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و شیوه درست از قرار زیر است؛ قوانین و شرایع باید فرایند تحقیق عقلانی را از سر بگذرانند و در صورتی که از طریق تحقیق، ضرورت آن‌ها اثبات گشت، به عنوان اصل اعتقادی پذیرفته شوند که در این فرض دیگر اهمیت ندارد که مدافع آن حاخامی‌ها، عنان و یا هر کس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دانشمندان در ضمن تحقیق به نظریه جدیدی برسند که هیچ یک از نویسندگان قبلی آن را ارائه نداده اند، در صورتی باید ملتزم به آن باشند که عقل درستی آن را تأیید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Sirat,1996: 43</w:t>
      </w:r>
      <w:r>
        <w:rPr>
          <w:rFonts w:eastAsia="Times New Roman" w:cs="Times New Roman" w:ascii="Times New Roman" w:hAnsi="Times New Roman"/>
          <w:color w:val="111111"/>
          <w:sz w:val="28"/>
          <w:szCs w:val="28"/>
          <w:rtl w:val="true"/>
          <w:lang w:val="en-US" w:bidi="en-US"/>
        </w:rPr>
        <w:t>).</w:t>
      </w:r>
      <w:bookmarkStart w:id="384" w:name="pg2638_22684"/>
    </w:p>
    <w:p>
      <w:pPr>
        <w:pStyle w:val="BookText"/>
        <w:rPr/>
      </w:pPr>
      <w:bookmarkEnd w:id="3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4"/>
        <w:numPr>
          <w:ilvl w:val="3"/>
          <w:numId w:val="1"/>
        </w:numPr>
        <w:rPr/>
      </w:pPr>
      <w:bookmarkStart w:id="385" w:name="__RefHeading___Toc604059_1395250215"/>
      <w:bookmarkStart w:id="386" w:name="_Toc153"/>
      <w:bookmarkEnd w:id="385"/>
      <w:r>
        <w:rPr>
          <w:rtl w:val="true"/>
        </w:rPr>
        <w:t>عقل ستیزی در یهودیت</w:t>
      </w:r>
      <w:bookmarkEnd w:id="386"/>
    </w:p>
    <w:p>
      <w:pPr>
        <w:pStyle w:val="BookText"/>
        <w:rPr/>
      </w:pPr>
      <w:r>
        <w:rPr>
          <w:rFonts w:ascii="IRNazanin" w:hAnsi="IRNazanin" w:eastAsia="IRNazanin"/>
          <w:color w:val="111111"/>
          <w:sz w:val="28"/>
          <w:sz w:val="28"/>
          <w:szCs w:val="28"/>
          <w:rtl w:val="true"/>
          <w:lang w:bidi="fa-IR"/>
        </w:rPr>
        <w:t>عقل‌ستیزی در یهودیت را می‌توان از وجهه نظرهای مختلف بررسی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عقل‌ستیزان، نظیر یهودا هلوی و حسدای کرسکاس تحت تأثیر غزالی، عقل‌ستیزی خود را به فلسفه ارسطو معطوف کردند و معمولاً از آنان تحت عنوان ارسطوستیزان یاد می‌شود؛ اما جمعی دیگر از عقل‌ستیزان یهودی تا حدودی تحت تأثیر مسلمانان، اصالت دادن به عقل در مباحث کلامی را برنتابیدند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مخالفت با علم کلام در میان یهودیان بیشتر در غرب جهان اسلام صورت گرفت؛ نص‌گراهایی نظیر نیسیم‌بن‌قیروانی از موضع کتاب مقدس و سنت و فیلسوفانی نظیر ابن‌میمون از موضع فلسفی به مباحث کلامی واکنش نشان دادند، هرچند معمولاً خود ابن‌میمون را بیشتر متکلم می‌دانند تا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بررسی کرد که آیا مخالفت با نقش عقل در توجیه باورهای دینی و به عبارت دیگر، مخالفت با علم کلام نیز تحت تأثیر مسلمانان صورت گرفته یا این‌که خود یهودیان به طور مستقل به این بحث ورود پیدا کرده‌اند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سعدیا گائون بحث خود را در باب عقل‌گرایی دینی به گونه‌ای پیش می‌برد که گویی در میان یهودیان مخالفی ندارد و تنها مسلمانان عوام با 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قرن بعد، احساساتی شبیه آنچه در بین مسلمانان بود، در یهودیت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فیلسوف، لغوی و پزشک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آیه دوازده باب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ساختن و پرداختن کتاب‌هایی که پایان ندارد،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شخص حکیم را از مطالعه کتاب‌هایی که به تحقیق در جهان زبرین و زیرین می‌پردازند نهی می‌کند، چراکه هیچ‌گاه به کنه آن نخواهند رسید و بدون آن‌که عوض و رضایت خاطری به همراه داشته باشد، باعث تباه شدن دین و فرسوده شدن نفس آدمی می‌گردد؛ چنان‌که در ادامه آیه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مطالعه زیاد تعب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جهت است که مرد حکیم در کتاب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چیزها پر از خستگی است که انسان آن را بیان نتواند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جامعه، بی تا،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نامفهوم بودن آن‌ها مایه خستگی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ختم امر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اوامر او را نگه دار، چون‌که تمامی تکلیف انسان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بی تا،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حقیقت آن برتر از این است که قابل فهم باشد، صرف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ابن‌میمون در کتاب میشنه تورا در فهرست بددینان و ملحدان، کسانی را قرار داد که وحدانیت خدا را قبول داشتند و در عین حال، برای او صورت و چهره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ابراهیم‌بن‌داود پوسکیری با این دیدگاه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مخالفت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ابن‌میمون چنین افرادی را بی‌دین خوانده است، در حالی که افرادی به مراتب بزرگ‌تر از ابن‌میمون بوده‌اند و بر اساس آیات کتاب مقدس و روایات چنین اعتقادی به خدا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سولومون، از مردم مونپلیه، و شاگردش داود‌بن‌ساول در ابتدا با ابن‌میمون مخالفت کردند و معتقد بودند باید آیات انسان‌گرایانه کتاب مقدس را به معنای تحت‌اللفظی به کار برد، ولی پس از مدتی مخالفت خود را پس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بسیاری از یهودیان و مسلمانان، ابن‌میمون را متکلم می‌دانند، او مخالفت‌های صریحی با متکلمان داشت و اهل ملت خود، یعنی یهودیان اسپانیا را پیرو فیلسوفان مسلمان می‌دانست تا متکلمان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ابن‌میمون نقد همـه‌جانبـه‌ای به بسیـاری از نظـریات کلامی‌ای داشت کـه بنـا بـر</w:t>
      </w:r>
    </w:p>
    <w:p>
      <w:pPr>
        <w:pStyle w:val="BookText"/>
        <w:rPr/>
      </w:pPr>
      <w:r>
        <w:rPr>
          <w:rFonts w:ascii="IRNazanin" w:hAnsi="IRNazanin" w:eastAsia="IRNazanin"/>
          <w:color w:val="111111"/>
          <w:sz w:val="28"/>
          <w:sz w:val="28"/>
          <w:szCs w:val="28"/>
          <w:rtl w:val="true"/>
          <w:lang w:bidi="fa-IR"/>
        </w:rPr>
        <w:t>مبانی فلسفی غیر قابل قبول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ابن‌میمون همان خط فکری‌ای را دنبال کرد</w:t>
      </w:r>
    </w:p>
    <w:p>
      <w:pPr>
        <w:pStyle w:val="BookText"/>
        <w:rPr/>
      </w:pPr>
      <w:r>
        <w:rPr>
          <w:rFonts w:ascii="IRNazanin" w:hAnsi="IRNazanin" w:eastAsia="IRNazanin"/>
          <w:color w:val="111111"/>
          <w:sz w:val="28"/>
          <w:sz w:val="28"/>
          <w:szCs w:val="28"/>
          <w:rtl w:val="true"/>
          <w:lang w:bidi="fa-IR"/>
        </w:rPr>
        <w:t>که بن‌صدیق، پیش از او در اسپانیا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ابن‌میمون در کتاب دلالة الحائرین</w:t>
      </w:r>
    </w:p>
    <w:p>
      <w:pPr>
        <w:pStyle w:val="BookText"/>
        <w:rPr/>
      </w:pPr>
      <w:r>
        <w:rPr>
          <w:rFonts w:ascii="IRNazanin" w:hAnsi="IRNazanin" w:eastAsia="IRNazanin"/>
          <w:color w:val="111111"/>
          <w:sz w:val="28"/>
          <w:sz w:val="28"/>
          <w:szCs w:val="28"/>
          <w:rtl w:val="true"/>
          <w:lang w:bidi="fa-IR"/>
        </w:rPr>
        <w:t>که در شرق جهان اسلام نوشته شده است، وضعیت متفاوتی را در آن‌جا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به‌جز در اسپانیا هم‌چنان به عنوان فلسفه‌ای دینی پذیرفته و تصدیق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w:t>
      </w:r>
    </w:p>
    <w:p>
      <w:pPr>
        <w:pStyle w:val="BookText"/>
        <w:rPr/>
      </w:pPr>
      <w:r>
        <w:rPr>
          <w:rFonts w:ascii="IRNazanin" w:hAnsi="IRNazanin" w:eastAsia="IRNazanin"/>
          <w:color w:val="111111"/>
          <w:sz w:val="28"/>
          <w:sz w:val="28"/>
          <w:szCs w:val="28"/>
          <w:rtl w:val="true"/>
          <w:lang w:bidi="fa-IR"/>
        </w:rPr>
        <w:t>کلام در اسپانیا وارد مرحله جدیدی در تاریخ فلسفه یهودی شد و این مرحله جدید را وام‌دار ترجمه‌های عبری آثار متکلمان یهودی و متکلمان و فیلسوفان مسلمان، به‌ویژه غزالی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Frank and Leaman,1997: 136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تأثیر سعدیا مستقیم و بی‌واسطه بود و در تمام آثار حاخامی‌ای که در زمان او نوشته شده، نظیر آثار هارون‌بن‌سارجادو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Aaron b. Sarjado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ابن‌میمون نظر مساعد و موافقی به علم کلام، اعم از یهودی و اسلامی نداشت، چه آن‌که از نظر متکلمان، اعتباری به عالم وجود نیست، زیرا عقل به طور عادی خلاف آن را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ابن‌میمون، متکلمان را به پیروی از تخیل متهم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ابن‌میمون،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آنچه آنان به عنوان برهان ارائه کرده‌اند، محل تردید و شک است؛ لذا این مقدمات نمی‌توانند به کار اثبات صانع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حوزه بحث و جدل و اقناع دین‌داران می‌تواند مفید باشد، ولی غیر‌متدینان را نمی‌تواند اقناع کند؛ لذا نباید آن را با فلسفه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ابن‌میمون در فصل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الحائرین دوازده مقدمه متکلمان، در فصل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برهان ایشان بر حدوث عالم، در فصل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دلیل کلامی آنان بر وحدت خداوند و در فصل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کلامی بر نفی جسمانیت خدا را ذکر و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مشهور بر اثبات وجود باری، عدم جسمانیت او و وحدانیت وی ارائه کرد، به اضافه مقدمه قدم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به قدری ضعیف ظاهر می‌شوند که حتی مسئله‌ای مثل حدوث عالم که ادله معتبرفلسفی بر آن استواراست، به نظرمشکوک می‌رسد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هارون‌بن‌ایلیا اهل نیکومدیا، متکلم قرائیمی، کتابی با عنوان درخت زندگی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نوعی نقد دلالۀ الحائرین ابن‌میمون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آموزه‌های کلامی با تعلیمات</w:t>
      </w:r>
      <w:bookmarkStart w:id="387" w:name="pg2638_22686"/>
    </w:p>
    <w:p>
      <w:pPr>
        <w:pStyle w:val="BookText"/>
        <w:rPr/>
      </w:pPr>
      <w:bookmarkEnd w:id="3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مقدس سازگارند؛ برخلاف ارسطو‌گرایی ابن‌میمون که در برخی موارد در تعارض با کتاب مقدس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لیمن،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قرائیمی‌ها، به‌خصوص کسانی که در شهر شوشتر استقرار داشتند، به رغم آن‌که به حسب ظاهر خود را عقل‌گرا می‌دانستند، درباره کسانی که به جدل و فلسفه می‌پرداختند، احساس ناخوشایند و بدی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تأمل عقلانی را زیان‌آور می‌دانستند، زیرا به باور آنان تفکر عقلانی به بدعت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قرقسانی معتقد است، اگر ادعای ایشان درست باشد با اعراض و روی‌گردانی از تفکر و روش عقلی مشکلی حل نخواهد شد، بلکه باید خود ایشان وارد این عرصه شوند و زمینه‌ها و اسباب بدعت را که ممکن است در سر راه مشتغلان به تأمل عقلی باشد،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به شهادت تاریخ تفکر کم نبودند متفکرانی که تفکر و روش عقلی را سرلوحه کار خویش ساخته و در عین حال در وادی بدعت نیفتاده‌اند؛ در مقابل، ما با کسانی مواجهیم که با عقل و روش عقلی بیگانه‌اند، ولی به انواع و اقسام بدعت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و تأمل عقلی نه تنها آسیبی به دین نمی‌زند، بلکه زمینه تقویت دین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عقلی، اساس و بنیان تمام ادیان و هرگونه نظریه‌پردازی است و تمام معارف از رهگذر تفکر عقلی فراچنگ آدمی می‌آید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Sirat,1996: 44-43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قرقسانی با کسانی که معتقدند علم و فلسفه به بدعت منتهی می‌شود، سخت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عده‌ای دنبال حقیقتند و هیچ‌گاه منافع شخصی خود را دنبال نمی‌کنند و قصد ندارند با علومی که کسب کرده اند به دیگران آسیب برسانند؛ برای نمونه، مطالعه سحر و جادو برای تشخیص تفاوت آن با معجزه و نه به قصد به‌کارگیری آن در اهداف شخصی،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مطالعه اختر‌شناسی مشروط به این‌که به منظور اهداف اختر‌شناسانه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و یقین، اموری وجود دارند که انسان عاجز از درک آن‌هاست و تنها خدا کاملاً آن‌ها را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می‌توان به جوهر نفس و سرنوشت آینده آن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الزاماً مانع نمی‌شود تا انسان به رغم محدودیتی که در شناخت آن‌ها دارد، برای فهم آن‌ها تلاش نکند </w:t>
      </w:r>
      <w:r>
        <w:rPr>
          <w:rFonts w:eastAsia="Times New Roman" w:cs="Times New Roman" w:ascii="Times New Roman" w:hAnsi="Times New Roman"/>
          <w:color w:val="111111"/>
          <w:sz w:val="28"/>
          <w:szCs w:val="28"/>
          <w:lang w:val="en-US" w:bidi="en-US"/>
        </w:rPr>
        <w:t>Sirat,1996: 43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604061_1395250215"/>
      <w:bookmarkStart w:id="389" w:name="_Toc154"/>
      <w:bookmarkEnd w:id="388"/>
      <w:r>
        <w:rPr>
          <w:rtl w:val="true"/>
        </w:rPr>
        <w:t>نتیجه گیری</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جریان کلامی یکی از مهم‌ترین جریان‌های فکری یهودیت در قرون وسطاست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هرچند سه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نهم تا دوازدهم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نپایید، اثرات ژرفی از خود بر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کلام حاخامی، با این‌که به لحاظ زمانی بعد از کلام قرائیمی پدید آمد، اثراتش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همگان بر آن اتفاق نظر دارند، اثرپذیری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جریان فوق از کلام معتزلی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شد تا این اثرپذیری، دست‌کم از نظر تأکید بر عقلانیت باورهای دینی در آثار متکلمان صاحب‌نام یهودی نشان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متفکران یهودی با کلام اشعری آشنا بودند و گاه به آثار ایشان استناد می‌کردند، ولی هیچ متفکر با گرایش اشعری را نمی‌توان در بین ایشان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حاخام‌ها کلام معتزلی تا اواخر قرن دوازدهم، جریان غالب بود و در قرن سیزدهم جریان ارسطوگرایی جریان غالب گشت، ولی در میان قرائیان جریان کلامی معتزلی در سراسر قرون وسطا، جریانِ غالب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 یهودی در روش، ساختار و محتوا و حتی در طرح پرسش از متکلمان مسلمان اثر پذیرفته‌اند، اما همواره بر سنت خود اتکا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مهم بیشتر درباره متکلمان حاخامی صادق است تا متکلمان قرائیمی؛ برای نمونه، سعدیا گائون در عین اثرپذیری از متکلمان معتزلی، دارای نوآوری و ابداعات بسیاری بود، در حالی که یوسف بصیر قرائیمی بیشتر مقلد متکلمان معتزلی به شمار می‌آید تا متفکری صاحب‌نظر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مشخص نمی‌توان ادعا کرد، کدام متکلم یهودی از کدام متکلم معتزلی اثر پذیرفته است، اما به طور کلی می‌توان گفت، برای نمونه سعدیا گائون احتمالاً تحت تأثیر طبقه ششم تا هشتم معتزله بوده است و نه طبقات بعدی؛ بنابراین، کسانی که او را وام‌دار قاضی‌عبدالجبار معتزلی دانسته‌اند، مرتکب خطای تاریخی فاحشی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قاضی‌عبدالجبار بین سال‌های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شده و سعدیا گائون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گفتنی است، سنت‌گراها و فیلسوفان، تلاش متکلمان معتزلی برای سازگار کردن وحی و عقل را مورد نقد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سنت‌گراها به تفسیر عقلانی ایشان از کتاب و سنت اعتماد نداشتند و فیلسوفان از استفاده التقاطی و سطحی ایشان از کتاب مقدس ناخشنود بودند؛ در حالی که سعدیا و دیگر متکلمان یهودی هرگز مورد نقد سنت‌گراها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 غیرجدلی از یهودیت، به‌ویژه در موضوعاتی نظیر حیات پس از مرگ و رستاخیز مردگان در اختیار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آماج حملات ابن‌میمون قرار گرفت، چون او به تبع فیلسوفان مسلمان، کلام را جانب‌دارانه و از نظر عقلانی مشکوک و غیر‌یقینی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اصول پنج‌گانه معتزله در ردّ دیگر فرقه‌های اسلامی اتخاذ گشت؛ به عبارت دیگر، متفکران معتزلی در مواجهه با دیگر فرقه‌ها به اصول مزبور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دیدگاه مشبهه و مجسمه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عدل، در ردّ جهمیه و جبریه تقریر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وعد و وعید، در تقابل با دیدگاه مرجئه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منزله بین منزلتین، در ردّ دیدگاه</w:t>
      </w:r>
      <w:bookmarkStart w:id="390" w:name="pg2638_22688"/>
    </w:p>
    <w:p>
      <w:pPr>
        <w:pStyle w:val="BookText"/>
        <w:rPr/>
      </w:pPr>
      <w:bookmarkEnd w:id="3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خوارج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قاضی‌عبدالجبار اصل امر به معروف و نهی از منکر، معتزله را از امامیه جدا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قاضی‌عبدالجبار،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متکلمان یهودی در اعتقاد به اصول مزبور در صدد ردّ دیدگاه فرقه‌های دیگر یهودیت نبودند، بلکه مهم برای ایشان دفاع از باورهای یهودیت بود و نه چیز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ذکر است، برخی از متکلمان یهودی رابطه خوبی با عقل‌گرایی و نظریات فلسفی نداشتند؛ برای نمونه، دانیال قومسی، معاصر نهاوندی، درستی و اعتبار نظریات فلسفی را انکار می‌کرد و با تأویل به شدت مخالف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عقلانیت و آزادی اراده، سبب تشتت در آرا و افکار معتزله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موضوع در‌باره متکلمان یهودی، به‌خصوص قرائیان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بیش از حد قرائی‌ها بر آزادی افراد در تفسیر کتاب مقدس در پرتو فهم خود، مانع هرگونه انسجام و اتحاد در میان آنان شد؛ لذا ما با تفکرات گوناگون و بعضاً متعارض در این فرقه روبه‌رو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اپستاین،</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4"/>
        <w:numPr>
          <w:ilvl w:val="3"/>
          <w:numId w:val="1"/>
        </w:numPr>
        <w:rPr/>
      </w:pPr>
      <w:bookmarkStart w:id="391" w:name="__RefHeading___Toc604063_1395250215"/>
      <w:bookmarkStart w:id="392" w:name="_Toc155"/>
      <w:bookmarkEnd w:id="391"/>
      <w:r>
        <w:rPr>
          <w:rtl w:val="true"/>
        </w:rPr>
        <w:t>منابع</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ابن‌میمون،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دلالۀ الحائرین،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آتای، مکتبه الثقافه الدینیه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اپستاین،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سالکی، تهران، مؤسسه پژوهشی حکمت و فلسفه ایران،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اشمیتکه، زابینه،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قرائیم با تفکر ابوالحسین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رحمتی، هفت آسمان، بهار</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شرباک، دن کوهن،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یهودی در قرون وسطا،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نقد‌علی، مرکز مطالعات و تحقیقات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تسنن، قم، دانشگاه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قاضی‌عبد‌الجبار،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الاصول الخمسه، قاهره، مکتبه وهبه،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قرقسانی، ابویعقوب،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الانوار و المراقب،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 نموی، نیویورک، بنیاد یادبود اسکندر 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ایلام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لیمن، الیور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فلسفی یهود در جهان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وهابی و مرتضی کربلایی‌لو،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ولفسن، هری اوسترین،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علم کلام،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باز‌تاب‌های کلام اسلامی در فلسفه یهودی،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شهبازی، مرکز مطالعات و تحقیقات ادیان و مذاهب</w:t>
      </w:r>
      <w:r>
        <w:rPr>
          <w:rFonts w:eastAsia="IRNazanin" w:cs="IRNazanin"/>
          <w:color w:val="111111"/>
          <w:sz w:val="28"/>
          <w:szCs w:val="28"/>
          <w:rtl w:val="true"/>
          <w:lang w:bidi="fa-IR"/>
        </w:rPr>
        <w:t>.</w:t>
      </w:r>
      <w:bookmarkStart w:id="393" w:name="pg2638_22689"/>
    </w:p>
    <w:p>
      <w:pPr>
        <w:pStyle w:val="BookText"/>
        <w:rPr/>
      </w:pPr>
      <w:bookmarkEnd w:id="3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Heading2"/>
        <w:numPr>
          <w:ilvl w:val="1"/>
          <w:numId w:val="1"/>
        </w:numPr>
        <w:rPr/>
      </w:pPr>
      <w:bookmarkStart w:id="394" w:name="__RefHeading___Toc604065_1395250215"/>
      <w:bookmarkStart w:id="395" w:name="_Toc156"/>
      <w:bookmarkEnd w:id="394"/>
      <w:r>
        <w:rPr>
          <w:rtl w:val="true"/>
        </w:rPr>
        <w:t>چکیده عربی مقالات</w:t>
      </w:r>
      <w:bookmarkEnd w:id="395"/>
    </w:p>
    <w:p>
      <w:pPr>
        <w:pStyle w:val="BookText"/>
        <w:rPr/>
      </w:pPr>
      <w:r>
        <w:rPr>
          <w:rFonts w:ascii="IRNazanin" w:hAnsi="IRNazanin" w:eastAsia="IRNazanin"/>
          <w:color w:val="111111"/>
          <w:sz w:val="28"/>
          <w:sz w:val="28"/>
          <w:szCs w:val="28"/>
          <w:rtl w:val="true"/>
          <w:lang w:bidi="fa-IR"/>
        </w:rPr>
        <w:t>خلاصة المقالات باللغة العربیة</w:t>
      </w:r>
    </w:p>
    <w:p>
      <w:pPr>
        <w:pStyle w:val="BookText"/>
        <w:rPr/>
      </w:pPr>
      <w:r>
        <w:rPr>
          <w:rFonts w:ascii="IRNazanin" w:hAnsi="IRNazanin" w:eastAsia="IRNazanin"/>
          <w:color w:val="111111"/>
          <w:sz w:val="28"/>
          <w:sz w:val="28"/>
          <w:szCs w:val="28"/>
          <w:rtl w:val="true"/>
          <w:lang w:bidi="fa-IR"/>
        </w:rPr>
        <w:t>منزلة العقل فی کلام الامامیة عند المدرسة الکلامیة فی بغداد</w:t>
      </w:r>
    </w:p>
    <w:p>
      <w:pPr>
        <w:pStyle w:val="BookText"/>
        <w:rPr/>
      </w:pPr>
      <w:r>
        <w:rPr>
          <w:rFonts w:ascii="IRNazanin" w:hAnsi="IRNazanin" w:eastAsia="IRNazanin"/>
          <w:color w:val="111111"/>
          <w:sz w:val="28"/>
          <w:sz w:val="28"/>
          <w:szCs w:val="28"/>
          <w:rtl w:val="true"/>
          <w:lang w:bidi="fa-IR"/>
        </w:rPr>
        <w:t>جعفر رضائی</w:t>
      </w:r>
    </w:p>
    <w:p>
      <w:pPr>
        <w:pStyle w:val="BookText"/>
        <w:rPr/>
      </w:pPr>
      <w:r>
        <w:rPr>
          <w:rFonts w:ascii="IRNazanin" w:hAnsi="IRNazanin" w:eastAsia="IRNazanin"/>
          <w:color w:val="111111"/>
          <w:sz w:val="28"/>
          <w:sz w:val="28"/>
          <w:szCs w:val="28"/>
          <w:rtl w:val="true"/>
          <w:lang w:bidi="fa-IR"/>
        </w:rPr>
        <w:t>عرفت المدرسة الکلامیة فی بغداد ـ فی القرن الرابع ـ بالصبغة العقلیة، و یشهد لهذه الدعوی الآثار المتبقیة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یدعی الکثیر من الباحثین أن الشیخ المفید و تلامیذه تقربوا فی هذه المدرسة للمعتزلة و آمنوا بالنهج العقلی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بصدد دراسة منزلة العقل فی هذه المدرسة الکلامیة لیقیم صحة و سقم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من أن متکلمی بغداد یرون أن المعرفة الدینیة ولیدة الاستدلال العقلی، و أنه یجب علی الانسان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انهم اختلفوا فی 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أوجب ذلک علی الانسان؟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العقل محتاج الی الوحی فی کسب هذه المعرفة أم لا؟ البحث الحاضر یثبت أن الشیخ المفید و تلمیذه الکراجکی یعتقدان أن وجوب المعرفة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العقل بحاجة الی الوحی فی جمیع المراحل، فی الوقت الذی یری فیه السید المرتضی و طلابه ـ کالمعتزلة ـ أن وجوب المعرفة عقلی، و أن العقل فی غنی عن الوحی و الشرع فی استدلالاته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المدرسة الکلامیة فی بغداد، کلام الإمامیة، المعتزلة، العقل و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تطور المعرفة الاضطراریة فی المدرسة الکلامی الإمامیة فی بغداد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عهد النوبختیین وحتی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امیرخانی</w:t>
      </w:r>
    </w:p>
    <w:p>
      <w:pPr>
        <w:pStyle w:val="BookText"/>
        <w:rPr/>
      </w:pPr>
      <w:r>
        <w:rPr>
          <w:rFonts w:ascii="IRNazanin" w:hAnsi="IRNazanin" w:eastAsia="IRNazanin"/>
          <w:color w:val="111111"/>
          <w:sz w:val="28"/>
          <w:sz w:val="28"/>
          <w:szCs w:val="28"/>
          <w:rtl w:val="true"/>
          <w:lang w:bidi="fa-IR"/>
        </w:rPr>
        <w:t>المعرفة الاضطراریة التی تؤمن بها کل من مدرستی الکوفة و قم الکلامیتین، تغیرت تدریجیاً فی المدرسة الکلامیة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الدراسة التاریخیة لهذا التطور فی حاکٍ ان أبا سهل النوبختی کان یری أن جمیع المعارف بحاجة للاستدلال، و بالتالی فهی کسبیة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یری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المعارف لیست اضطراریة، و أن معرفة الله جائزة اضطراراً، و أنها اکتسابیة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 الفاصل بین النوبختیین و حتی الشیخ المفید لم یبق من الآثار سوی عبارة مجملة من مکتوبات أبی القاسم الکوفی، و هی ظاهرة فی أن المعرفة اضطراریة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فقد أنکرت المعرفة الاضطراریة بشکل صریح فی عهد الشیخ المفید ثم السیدالمرتضی و الشیخ الطوسی، و تم التأکید علی المعرفة الاکتسابیة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المعرفة الاضطراریة، المعرفت الکسبیة، المدرسة البغدادیة، النوبختیین، الشیخ المفید، السید المرتضی،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رابطة الذات و الصفات الإلهیة من منظار ابن میثم البحرانی</w:t>
      </w:r>
    </w:p>
    <w:p>
      <w:pPr>
        <w:pStyle w:val="BookText"/>
        <w:rPr/>
      </w:pPr>
      <w:r>
        <w:rPr>
          <w:rFonts w:ascii="IRNazanin" w:hAnsi="IRNazanin" w:eastAsia="IRNazanin"/>
          <w:color w:val="111111"/>
          <w:sz w:val="28"/>
          <w:sz w:val="28"/>
          <w:szCs w:val="28"/>
          <w:rtl w:val="true"/>
          <w:lang w:bidi="fa-IR"/>
        </w:rPr>
        <w:t>محمد رنجبر الحسینی</w:t>
      </w:r>
    </w:p>
    <w:p>
      <w:pPr>
        <w:pStyle w:val="BookText"/>
        <w:rPr/>
      </w:pPr>
      <w:r>
        <w:rPr>
          <w:rFonts w:ascii="IRNazanin" w:hAnsi="IRNazanin" w:eastAsia="IRNazanin"/>
          <w:color w:val="111111"/>
          <w:sz w:val="28"/>
          <w:sz w:val="28"/>
          <w:szCs w:val="28"/>
          <w:rtl w:val="true"/>
          <w:lang w:bidi="fa-IR"/>
        </w:rPr>
        <w:t>السیدمحمود الموسوی</w:t>
      </w:r>
    </w:p>
    <w:p>
      <w:pPr>
        <w:pStyle w:val="BookText"/>
        <w:rPr/>
      </w:pPr>
      <w:r>
        <w:rPr>
          <w:rFonts w:ascii="IRNazanin" w:hAnsi="IRNazanin" w:eastAsia="IRNazanin"/>
          <w:color w:val="111111"/>
          <w:sz w:val="28"/>
          <w:sz w:val="28"/>
          <w:szCs w:val="28"/>
          <w:rtl w:val="true"/>
          <w:lang w:bidi="fa-IR"/>
        </w:rPr>
        <w:t>السیدحامد الهاشمی</w:t>
      </w:r>
    </w:p>
    <w:p>
      <w:pPr>
        <w:pStyle w:val="BookText"/>
        <w:rPr/>
      </w:pPr>
      <w:r>
        <w:rPr>
          <w:rFonts w:ascii="IRNazanin" w:hAnsi="IRNazanin" w:eastAsia="IRNazanin"/>
          <w:color w:val="111111"/>
          <w:sz w:val="28"/>
          <w:sz w:val="28"/>
          <w:szCs w:val="28"/>
          <w:rtl w:val="true"/>
          <w:lang w:bidi="fa-IR"/>
        </w:rPr>
        <w:t>رابطة الذات و الصفات الإلهیة هی إحدی أهم الأبحاث الکلامیة الفلسفیة العرفانیة، و التی ذکرت فیها نظریات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ابن میثم ـ المتکلم و الفیلسوف و العارف البارز فی القرن السابع ـ من بین النظریات المطروحة نظریة عینیة الصفات للذات، و فی مقام بیان فلسفة وصف الله سبحانه و أن له صفات ذکر أن هذه الصفات اعتباریة، و یبدو أنه لا یتنافی مع نظریة العینیة، بل إنه بیان دقیق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ابن میثم ـ استلهاماً من کلمات أمیرالمؤمنین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فی نفی الصفات عنه ـ أن وصفه سبحانه و تعالی بهذه الأوصاف الاعتباریة هو من المراتب الاولی لمعرفة الحق، و أن کمال الاخلاص فی المعرفة هو فی نفی الصفات عنه، و لحاظ ذاته من دون لحاظ شیء آخر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ابن‌میثم، الرابطة بین الذات و الصفات، الاعتبارات العقلیة، نفی الصفات، عینیة الصفات 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دراسة شبهة السیاق فی آیة الولایة بالتأکید علی رأی الفخر الرازی</w:t>
      </w:r>
    </w:p>
    <w:p>
      <w:pPr>
        <w:pStyle w:val="BookText"/>
        <w:rPr/>
      </w:pPr>
      <w:r>
        <w:rPr>
          <w:rFonts w:ascii="IRNazanin" w:hAnsi="IRNazanin" w:eastAsia="IRNazanin"/>
          <w:color w:val="111111"/>
          <w:sz w:val="28"/>
          <w:sz w:val="28"/>
          <w:szCs w:val="28"/>
          <w:rtl w:val="true"/>
          <w:lang w:bidi="fa-IR"/>
        </w:rPr>
        <w:t>حامد رجآباد</w:t>
      </w:r>
    </w:p>
    <w:p>
      <w:pPr>
        <w:pStyle w:val="BookText"/>
        <w:rPr/>
      </w:pPr>
      <w:r>
        <w:rPr>
          <w:rFonts w:ascii="IRNazanin" w:hAnsi="IRNazanin" w:eastAsia="IRNazanin"/>
          <w:color w:val="111111"/>
          <w:sz w:val="28"/>
          <w:sz w:val="28"/>
          <w:szCs w:val="28"/>
          <w:rtl w:val="true"/>
          <w:lang w:bidi="fa-IR"/>
        </w:rPr>
        <w:t xml:space="preserve">طرح المخالفون للشیعة شبهات عدیدة حول آیة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إحداها ما ذکره الفخر الرازی فی الشبهة الرابعة ذیل الآیة، حیث ادعی أنها من أقوی الأدلة علی صحة خلافة أبی بکر نظراً لسیاق الآیة؛ حیث إن الآیة السابقة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ابی بکر، فلابد أن تکون آیة الولایة حوله أیضاً، و لا یمکنها أن تکون فی شأن علی بن أبی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إذ لازمه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یصح استدلال الشیعة بهذه الآیة علی إمامة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منظار مفسری الشیعة و متکلمیهم لا تدل علی خلافة أبی بکر بوجه من الوجوه، بل إنها لا علقة لها بأبی بکر بالمرة، و الروایات التی اعتمدها الفخر الرازی مخدوشة سنداً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یقیم دعوی الفخر الرازی فی إطار بحث تطبیقی، و یثبت وجود انسجام تام بین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الولایة، الامامة،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ابوبکر، 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دراسة التیارات الفکریة الامامیة فی خراسان و ماوراءالنهر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أعتاب الغیبة الصغری و حتی عهد الشیخ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السبحانی</w:t>
      </w:r>
    </w:p>
    <w:p>
      <w:pPr>
        <w:pStyle w:val="BookText"/>
        <w:rPr/>
      </w:pPr>
      <w:r>
        <w:rPr>
          <w:rFonts w:ascii="IRNazanin" w:hAnsi="IRNazanin" w:eastAsia="IRNazanin"/>
          <w:color w:val="111111"/>
          <w:sz w:val="28"/>
          <w:sz w:val="28"/>
          <w:szCs w:val="28"/>
          <w:rtl w:val="true"/>
          <w:lang w:bidi="fa-IR"/>
        </w:rPr>
        <w:t>السیداکبر الموسوی التنیانی</w:t>
      </w:r>
    </w:p>
    <w:p>
      <w:pPr>
        <w:pStyle w:val="BookText"/>
        <w:rPr/>
      </w:pPr>
      <w:r>
        <w:rPr>
          <w:rFonts w:ascii="IRNazanin" w:hAnsi="IRNazanin" w:eastAsia="IRNazanin"/>
          <w:color w:val="111111"/>
          <w:sz w:val="28"/>
          <w:sz w:val="28"/>
          <w:szCs w:val="28"/>
          <w:rtl w:val="true"/>
          <w:lang w:bidi="fa-IR"/>
        </w:rPr>
        <w:t>بعد اضمحلال المدرسة الفکریة فی الکوفة ـ أواخر القرن الثانی ـ انتقل تراثها العلمی الی المناطق الشیعیة فی أرجاء البلاد الاسلامیة، بما فیها خراسان و 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نجد فی الدراسات المعاصرة بحثاً شاملاً و مستقلاً للتیارات الفکریة فی هاتین المنطقتین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یحاول التعرف علی التیارات الفکریة الحاکمة علی هذه المنطقة فی حقبة تاریخیة خاصة هی هی من أوائل الغیبة الصغری و حتی عهد الشیخ الصدوق، و التعرف قدر الامکان علی ارتباطها بالأجواء العلمیة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سیظهر أن جذور بعض التیارات الموجودة فی هذه المنطقة؛ نظیر التیار الکلامی الفقهی لهشام بن الحکم و یونس بن عبد الرحمن، و تیار التبلور حول الحدیث، و التیار المتهم بالغلو، تمتد جذورها الی الکوفة، و أن هذه التیارات دخلت بعد فترة مناطق أخری کالعراق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هذه التیارات کانت حدیثة عهد فی خراسان فی الحقبة الزمنیة المذکورة نظیر الامامیة المعتزلون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ماوراءالنهر، التیارات الفکریة، التیار الکلامی، تیار التبلور حول الحدیث، الامامیة المعتزلون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تأثر الکلام الیهودی بالکلام الاسلامی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بالتأکید علی دور العقل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کندمی النصرآبادی</w:t>
      </w:r>
    </w:p>
    <w:p>
      <w:pPr>
        <w:pStyle w:val="BookText"/>
        <w:rPr/>
      </w:pPr>
      <w:r>
        <w:rPr>
          <w:rFonts w:ascii="IRNazanin" w:hAnsi="IRNazanin" w:eastAsia="IRNazanin"/>
          <w:color w:val="111111"/>
          <w:sz w:val="28"/>
          <w:sz w:val="28"/>
          <w:szCs w:val="28"/>
          <w:rtl w:val="true"/>
          <w:lang w:bidi="fa-IR"/>
        </w:rPr>
        <w:t>أحد التیارات الیهودیة فی القرون الوسطی هو التیار الکلامی، و کان هذا التیار فی الحقبة الزمنیة الماثلة بین القرنین التاسع و الثانی عشر المیلادیین، و کان رائجاً فی شرق العالم الاسلامی و بشکل محدود فی غربه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المتکلمون الیهود ـ سواء الحاخامات منهم أم القرائمیون ـ تحت تأثیر الاکلام الاسلامی، و خاصة الکلام المعتزلی، فصاروا بصدد تحکیم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طرح قبل هؤلاء فیلون الاسکندرانی و کبار الکنیسة الکثیر من المسائل الکلامیة، إلا أن مفکری الیهود فی القرون الوسطی تعرفوا علیها عن طریق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تابع المفکرون الیهود المسائل المشترکة مع المسلمین مضافاً للمسائل الخاصة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بصورة عامة فإنه یوجد نهجان داخل هذا التیار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 الحاخامی الذی یؤمن بمرجعیة السنة إیمانا تاماً، و یختلف عن الهیات الکتاب المقدس و الالهیات الحاخامیة قبل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النهج الآخر هو النهج القرائیمی الذی لا یؤمن بمرجعیة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ـ و باختصار ـ بصدد بیان مقدار تأثرهم بالمتکلمین الاسلامیین من زاویة ما یؤمنون به و یؤکدون علیه من دور العقل و نطاقه فی بیان و توجیه العقائد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الاسلامی، الکلام الیهودی، العقل، الوحی، محاربة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الراوندی و دفاعه عن الأفکار الکلامیة فی الکوفة</w:t>
      </w:r>
    </w:p>
    <w:p>
      <w:pPr>
        <w:pStyle w:val="BookText"/>
        <w:rPr/>
      </w:pPr>
      <w:r>
        <w:rPr>
          <w:rFonts w:ascii="IRNazanin" w:hAnsi="IRNazanin" w:eastAsia="IRNazanin"/>
          <w:color w:val="111111"/>
          <w:sz w:val="28"/>
          <w:sz w:val="28"/>
          <w:szCs w:val="28"/>
          <w:rtl w:val="true"/>
          <w:lang w:bidi="fa-IR"/>
        </w:rPr>
        <w:t>عباس المیرزائی</w:t>
      </w:r>
    </w:p>
    <w:p>
      <w:pPr>
        <w:pStyle w:val="BookText"/>
        <w:rPr/>
      </w:pPr>
      <w:r>
        <w:rPr>
          <w:rFonts w:ascii="IRNazanin" w:hAnsi="IRNazanin" w:eastAsia="IRNazanin"/>
          <w:color w:val="111111"/>
          <w:sz w:val="28"/>
          <w:sz w:val="28"/>
          <w:szCs w:val="28"/>
          <w:rtl w:val="true"/>
          <w:lang w:bidi="fa-IR"/>
        </w:rPr>
        <w:t>کان ابن الراوندی معتزلیاً فی فترة من حیاته، ثم صار امامیاً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بصدد دراسة ان ایمان ابن الراوندی بالمذهب الامامی کان وفق أی إطار و وفق أی میول؟ و نظراً لمیوله الاعتزالیة شیئاً ما فهل إنه أدخل اسلوب و محتوی العقائد الاعتزالیة فی کلام الامامیة، و أبدع أدباً خاصاً فیه، أم أنه سایر النهج الکلامی الشیعی الذی کان قبله فحسب؟</w:t>
      </w:r>
    </w:p>
    <w:p>
      <w:pPr>
        <w:pStyle w:val="BookText"/>
        <w:rPr/>
      </w:pPr>
      <w:r>
        <w:rPr>
          <w:rFonts w:ascii="IRNazanin" w:hAnsi="IRNazanin" w:eastAsia="IRNazanin"/>
          <w:color w:val="111111"/>
          <w:sz w:val="28"/>
          <w:sz w:val="28"/>
          <w:szCs w:val="28"/>
          <w:rtl w:val="true"/>
          <w:lang w:bidi="fa-IR"/>
        </w:rPr>
        <w:t>لأجل إیضاح وضع الکلام الشیعی خلال القرن الثالث، و بهدف اظهار وضع العقائد الشیعیة فی مدرستی الکوفة و بغداد، قمنا بمقارنة عقائد ابن الراوندی مع عقائد هشام بن الحکم باعتباره الممثل البارز لکلام الامامیة فی الکوفة، و انتهینا الی أنه یمکن اعتبار ابن الراوندی متمماً للنهج الکلامی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ان ابن الراوندی کان یحاول بیان المنظومة المعرفیة للامامیة عن طریق إحیاء المدرسة الکلامیة الکوفیة، و ذلک فی مواجهة ـ غیر عدائیة ـ مع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الکلام، المعتزلة، الإمامیة، مدرسة الکوفة، مدرسة بغداد، هشام بن الحکم، ابن الراوندی</w:t>
      </w:r>
      <w:r>
        <w:rPr>
          <w:rFonts w:eastAsia="IRNazanin" w:cs="IRNazanin"/>
          <w:color w:val="111111"/>
          <w:sz w:val="28"/>
          <w:szCs w:val="28"/>
          <w:rtl w:val="true"/>
          <w:lang w:bidi="fa-IR"/>
        </w:rPr>
        <w:t>.</w:t>
      </w:r>
      <w:bookmarkStart w:id="396" w:name="pg2638_22696"/>
    </w:p>
    <w:p>
      <w:pPr>
        <w:pStyle w:val="BookText"/>
        <w:rPr/>
      </w:pPr>
      <w:bookmarkEnd w:id="3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7" w:name="__RefHeading___Toc604067_1395250215"/>
      <w:bookmarkStart w:id="398" w:name="_Toc157"/>
      <w:bookmarkEnd w:id="397"/>
      <w:r>
        <w:rPr>
          <w:rtl w:val="true"/>
        </w:rPr>
        <w:t>چکیده انگلیسی مقالات</w:t>
      </w:r>
      <w:bookmarkEnd w:id="398"/>
    </w:p>
    <w:p>
      <w:pPr>
        <w:pStyle w:val="BookText"/>
        <w:rPr/>
      </w:pPr>
      <w:r>
        <w:rPr>
          <w:rFonts w:eastAsia="Times New Roman" w:cs="Times New Roman" w:ascii="Times New Roman" w:hAnsi="Times New Roman"/>
          <w:color w:val="111111"/>
          <w:sz w:val="28"/>
          <w:szCs w:val="28"/>
          <w:lang w:val="en-US" w:bidi="en-US"/>
        </w:rPr>
        <w:t>p: 1</w:t>
      </w:r>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Vol.2, No.4, Spring 2014</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 MohammadAli Razavi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 3765-133</w:t>
      </w:r>
    </w:p>
    <w:p>
      <w:pPr>
        <w:pStyle w:val="BookText"/>
        <w:rPr/>
      </w:pPr>
      <w:r>
        <w:rPr>
          <w:rFonts w:eastAsia="Times New Roman" w:cs="Times New Roman" w:ascii="Times New Roman" w:hAnsi="Times New Roman"/>
          <w:color w:val="111111"/>
          <w:sz w:val="28"/>
          <w:szCs w:val="28"/>
          <w:lang w:val="en-US" w:bidi="en-US"/>
        </w:rPr>
        <w:t>Telephon: 0098-25-32928546</w:t>
      </w:r>
    </w:p>
    <w:p>
      <w:pPr>
        <w:pStyle w:val="BookText"/>
        <w:rPr/>
      </w:pPr>
      <w:r>
        <w:rPr>
          <w:rFonts w:eastAsia="Times New Roman" w:cs="Times New Roman" w:ascii="Times New Roman" w:hAnsi="Times New Roman"/>
          <w:color w:val="111111"/>
          <w:sz w:val="28"/>
          <w:szCs w:val="28"/>
          <w:lang w:val="en-US" w:bidi="en-US"/>
        </w:rPr>
        <w:t>Tsms: 30007227007705</w:t>
      </w:r>
    </w:p>
    <w:p>
      <w:pPr>
        <w:pStyle w:val="BookText"/>
        <w:rPr/>
      </w:pPr>
      <w:r>
        <w:rPr>
          <w:rFonts w:eastAsia="Times New Roman" w:cs="Times New Roman" w:ascii="Times New Roman" w:hAnsi="Times New Roman"/>
          <w:color w:val="111111"/>
          <w:sz w:val="28"/>
          <w:szCs w:val="28"/>
          <w:lang w:val="en-US" w:bidi="en-US"/>
        </w:rPr>
        <w:t>Site: www.tkalam.ir / www.ikq.ir</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Info@Tkalam.ir / Info@Ikq.ir</w:t>
      </w:r>
    </w:p>
    <w:p>
      <w:pPr>
        <w:pStyle w:val="BookText"/>
        <w:rPr/>
      </w:pPr>
      <w:r>
        <w:rPr>
          <w:rFonts w:eastAsia="Times New Roman" w:cs="Times New Roman" w:ascii="Times New Roman" w:hAnsi="Times New Roman"/>
          <w:color w:val="111111"/>
          <w:sz w:val="28"/>
          <w:szCs w:val="28"/>
          <w:lang w:val="en-US" w:bidi="en-US"/>
        </w:rPr>
        <w:t>p: 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فرم اشتراک فصلنامه علمی پژوهشی</w:t>
      </w:r>
    </w:p>
    <w:p>
      <w:pPr>
        <w:pStyle w:val="BookText"/>
        <w:rPr/>
      </w:pPr>
      <w:r>
        <w:rPr>
          <w:rFonts w:ascii="IRNazanin" w:hAnsi="IRNazanin" w:eastAsia="IRNazanin"/>
          <w:color w:val="111111"/>
          <w:sz w:val="28"/>
          <w:sz w:val="28"/>
          <w:szCs w:val="28"/>
          <w:rtl w:val="true"/>
          <w:lang w:bidi="fa-IR"/>
        </w:rPr>
        <w:t>استاد و پژوهشگر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به خرید و مطالعه مداوم و منظم فصلنامه علمی‌ـ پژوهشی تحقیقات کلامی، که حاوی تتبع، یافته ها، دیدگاه ها و نظریات علمی اساتید، طلاب و دانشجویان گرامی است، فرم زیر را تکمیل و به نشانی دفتر مجله؛ قم، بلوار امین، ابتدای بلوار جمهوری اسلامی، کوچه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فرعی اول سمت چپ، ساختمان انجمن های علمی حوزه، طبقه دوم، انجمن کلام اسلامی حوزه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37165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لطفاً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فصلنامه علمی‌ـ پژوهشی تحقیقات کلامی را از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بالا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اشتراک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ساله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320/000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 شماره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مبالغ مربوط به حق اشتراک مجلات درخواستی را به حساب شماره </w:t>
      </w:r>
      <w:r>
        <w:rPr>
          <w:rFonts w:eastAsia="IRNazanin" w:cs="IRNazanin"/>
          <w:color w:val="111111"/>
          <w:sz w:val="28"/>
          <w:szCs w:val="28"/>
          <w:lang w:bidi="fa-IR"/>
        </w:rPr>
        <w:t>0109412598008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بانک ملی ایران به نام مجله علمی پژوهشی تحقیقات کلامی واریز و اصل فیش بانکی را به پیوست این فرم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اطلاع ثانوی هزینه ارسال فصلنامه بر عهده انجمن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اشتراک در فصلنامه، از طریق سایت مجله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اقدام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p:3</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The Status of Reason in Theological School of Baghdad as Viewed By Imamiyya</w:t>
      </w:r>
    </w:p>
    <w:p>
      <w:pPr>
        <w:pStyle w:val="BookText"/>
        <w:rPr/>
      </w:pPr>
      <w:r>
        <w:rPr>
          <w:rFonts w:eastAsia="Times New Roman" w:cs="Times New Roman" w:ascii="Times New Roman" w:hAnsi="Times New Roman"/>
          <w:color w:val="111111"/>
          <w:sz w:val="28"/>
          <w:szCs w:val="28"/>
          <w:lang w:val="en-US" w:bidi="en-US"/>
        </w:rPr>
        <w:t>Jafar Rezaee</w:t>
      </w:r>
    </w:p>
    <w:p>
      <w:pPr>
        <w:pStyle w:val="BookText"/>
        <w:rPr/>
      </w:pPr>
      <w:r>
        <w:rPr>
          <w:rFonts w:eastAsia="Times New Roman" w:cs="Times New Roman" w:ascii="Times New Roman" w:hAnsi="Times New Roman"/>
          <w:color w:val="111111"/>
          <w:sz w:val="28"/>
          <w:szCs w:val="28"/>
          <w:lang w:val="en-US" w:bidi="en-US"/>
        </w:rPr>
        <w:t>Theological school of Baghdad in the fourth century is considered the rationalist school and its works attest to this claim. Many researchers claim that Shaykh Mufid and his students in the school of Baghdad approached Mu'tazilah and adopted their rationalist method. Examining the role of reason in the theological school, the author of the present paper seeks to judge the accuracy of the claim. Although theologians of Baghdad consider religious knowledge as the product of rational reasoning and its acquiring as an obligation upon man, they differ about two issues: first of all, who makes it obligatory upon the people? Secondly, whether or not the wisdom is in need of Revelation when acquiring the knowledge? In this study it was shown that Shaykh Mufid and his disciple Karajaki hold that knowledge is an obligation (by God’s Order) and regard the wisdom in need of revelation in all stages, while Sayyid Murtada and his students (in the same way of the Mu'tazilah) consider the obligation as a matter of intellect and regard it independent of religion in its reasoning</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Intellect, the Theological School of Baghdad, Imami Theology, Mu'tazilah, Reason and Revelation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p:4</w:t>
      </w:r>
    </w:p>
    <w:p>
      <w:pPr>
        <w:pStyle w:val="BookText"/>
        <w:rPr/>
      </w:pPr>
      <w:r>
        <w:rPr>
          <w:rFonts w:eastAsia="Times New Roman" w:cs="Times New Roman" w:ascii="Times New Roman" w:hAnsi="Times New Roman"/>
          <w:color w:val="111111"/>
          <w:sz w:val="28"/>
          <w:szCs w:val="28"/>
          <w:lang w:val="en-US" w:bidi="en-US"/>
        </w:rPr>
        <w:t>Ibn Rawandi and His Defense of Kufa’s Theological Thought</w:t>
      </w:r>
    </w:p>
    <w:p>
      <w:pPr>
        <w:pStyle w:val="BookText"/>
        <w:rPr/>
      </w:pPr>
      <w:r>
        <w:rPr>
          <w:rFonts w:eastAsia="Times New Roman" w:cs="Times New Roman" w:ascii="Times New Roman" w:hAnsi="Times New Roman"/>
          <w:color w:val="111111"/>
          <w:sz w:val="28"/>
          <w:szCs w:val="28"/>
          <w:lang w:val="en-US" w:bidi="en-US"/>
        </w:rPr>
        <w:t>Abbas Mirzaee</w:t>
      </w:r>
    </w:p>
    <w:p>
      <w:pPr>
        <w:pStyle w:val="BookText"/>
        <w:rPr/>
      </w:pPr>
      <w:r>
        <w:rPr>
          <w:rFonts w:eastAsia="Times New Roman" w:cs="Times New Roman" w:ascii="Times New Roman" w:hAnsi="Times New Roman"/>
          <w:color w:val="111111"/>
          <w:sz w:val="28"/>
          <w:szCs w:val="28"/>
          <w:lang w:val="en-US" w:bidi="en-US"/>
        </w:rPr>
        <w:t>Ibn Rawandi was Mu'tazili for a period and then became Imami. The author of the present article tries to deal with the issue by answering the following questions: How Ibn Rawandi accepted the Imami school and within the framework of which Imami intellectual trends? Has he, considering his Mu'tazili tendencies, somehow introduced the methods and content of the Mu'tazilah thoughts into Imami theology and thereafter created a certain literature in Imami theology or just followed the general flow of theology before him? With the aim to clarify the situation of Shia theology in the third century AH, as well as a clear idea of the Imami thought in theology school of Kufa and Baghdad, by way of comparison between Ibn Rawandi thoughts and Hisham ibn Hakam, the representative of the Imami theology in Kufa, the author of the paper concludes that Ibn Rawandi can be considered a follower of Imami theological method in Kufa. It seems that, Ibn Rawandi in a friendly encounter with Mu’tazilites attempted to explain the cognitive system of Imamia through revival of the Imami School of Theology in Kufa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History of Theology, Mu'tazilah, Imami, School of Kufa, School of Baghdad, Hisham ibn Hakam, Ibn Rawandi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Emergency Knowledge Evolution in Imami Theological School of Baghdad</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From Nobakhties to Shaykh Tusi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Amirkhani</w:t>
      </w:r>
    </w:p>
    <w:p>
      <w:pPr>
        <w:pStyle w:val="BookText"/>
        <w:rPr/>
      </w:pPr>
      <w:r>
        <w:rPr>
          <w:rFonts w:eastAsia="Times New Roman" w:cs="Times New Roman" w:ascii="Times New Roman" w:hAnsi="Times New Roman"/>
          <w:color w:val="111111"/>
          <w:sz w:val="28"/>
          <w:szCs w:val="28"/>
          <w:lang w:val="en-US" w:bidi="en-US"/>
        </w:rPr>
        <w:t>Iztirari (emergency) knowledge, as the belief of most Imami people in the theological schools of Qom and Kufa, changed gradually in the theological school of Baghdad. Tracing the evolutionary history of emergency knowledge in Baghdad suggests that from among Nobakhties, Abu Sahl Nobakhti held that all types of knowledge requires arguments and thus are Kasbi (acquisitive), but Abu Muhammad who did not consider all types of knowledge as emergency, consider the knowledge of God as permitted to be emergency or of acquisition. From the time of Nobakhties to the time of Shaykh Mufid, only a succinct statement of Abulqasim Kufi has been left which demonstrates that knowledge is of emergency quality. Finally, in the era of Shaykh Mufid and then Shaykh Tusi and Sayyid Murtada, emergency knowledge was denied outright, while acquisitive knowledge was highlighted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Emergency Knowledge, Acquisitive Knowledge, School of Baghdad, Nobakhties, Shaykh Mufid, Sayyid Murtada, Shaykh Tusi</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p:5</w:t>
      </w:r>
    </w:p>
    <w:p>
      <w:pPr>
        <w:pStyle w:val="BookText"/>
        <w:rPr/>
      </w:pPr>
      <w:r>
        <w:rPr>
          <w:rFonts w:eastAsia="Times New Roman" w:cs="Times New Roman" w:ascii="Times New Roman" w:hAnsi="Times New Roman"/>
          <w:color w:val="111111"/>
          <w:sz w:val="28"/>
          <w:szCs w:val="28"/>
          <w:lang w:val="en-US" w:bidi="en-US"/>
        </w:rPr>
        <w:t>The Relationship between Essence and Attributes of God as Viewed by Ibn Maytham Bahrani</w:t>
      </w:r>
    </w:p>
    <w:p>
      <w:pPr>
        <w:pStyle w:val="BookText"/>
        <w:rPr/>
      </w:pPr>
      <w:r>
        <w:rPr>
          <w:rFonts w:eastAsia="Times New Roman" w:cs="Times New Roman" w:ascii="Times New Roman" w:hAnsi="Times New Roman"/>
          <w:color w:val="111111"/>
          <w:sz w:val="28"/>
          <w:szCs w:val="28"/>
          <w:lang w:val="en-US" w:bidi="en-US"/>
        </w:rPr>
        <w:t>Mohammad Ranjbar Hosseini</w:t>
      </w:r>
    </w:p>
    <w:p>
      <w:pPr>
        <w:pStyle w:val="BookText"/>
        <w:rPr/>
      </w:pPr>
      <w:r>
        <w:rPr>
          <w:rFonts w:eastAsia="Times New Roman" w:cs="Times New Roman" w:ascii="Times New Roman" w:hAnsi="Times New Roman"/>
          <w:color w:val="111111"/>
          <w:sz w:val="28"/>
          <w:szCs w:val="28"/>
          <w:lang w:val="en-US" w:bidi="en-US"/>
        </w:rPr>
        <w:t>Sayyed Mahmood Musavi</w:t>
      </w:r>
    </w:p>
    <w:p>
      <w:pPr>
        <w:pStyle w:val="BookText"/>
        <w:rPr/>
      </w:pPr>
      <w:r>
        <w:rPr>
          <w:rFonts w:eastAsia="Times New Roman" w:cs="Times New Roman" w:ascii="Times New Roman" w:hAnsi="Times New Roman"/>
          <w:color w:val="111111"/>
          <w:sz w:val="28"/>
          <w:szCs w:val="28"/>
          <w:lang w:val="en-US" w:bidi="en-US"/>
        </w:rPr>
        <w:t>Sayyed Hamed Hashemi</w:t>
      </w:r>
    </w:p>
    <w:p>
      <w:pPr>
        <w:pStyle w:val="BookText"/>
        <w:rPr/>
      </w:pPr>
      <w:r>
        <w:rPr>
          <w:rFonts w:eastAsia="Times New Roman" w:cs="Times New Roman" w:ascii="Times New Roman" w:hAnsi="Times New Roman"/>
          <w:color w:val="111111"/>
          <w:sz w:val="28"/>
          <w:szCs w:val="28"/>
          <w:lang w:val="en-US" w:bidi="en-US"/>
        </w:rPr>
        <w:t>The relationship between Essence and Attributes of God is one of the most important theological, philosophical and mystical issues about which various theories have been proposed. Ibn Maytham, theologian, philosopher and mystic of the thirteenth century, accepted the idea of identicalness of attributes to essence in respect to the other presented ideas. But, he, explaining the philosophy of description of the existence of God and His attributes, considers the divine attributes as itibari (invented). It seemingly does not contradict the theory of identicalness, but rather it is a detailed explanation of the same theory. Ibn Maytham, inspired by the words of Imam Ali (AS) on the negation of attributes, considers the description of God by means of itibari (invented) attributes as the early stages of knowledge of the Truth. He regards the ultimate purity of knowledge as the purpose of mystic journey in rejecting the attributes of God and viewing His Essence without considering anything else</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Ibn Maytham, the Relationship between Essence and Attributes, Rational Itibars (Inventions), Negation of Attributes, Identicalness of Attributes to Essence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p:6</w:t>
      </w:r>
    </w:p>
    <w:p>
      <w:pPr>
        <w:pStyle w:val="BookText"/>
        <w:rPr/>
      </w:pPr>
      <w:r>
        <w:rPr>
          <w:rFonts w:eastAsia="Times New Roman" w:cs="Times New Roman" w:ascii="Times New Roman" w:hAnsi="Times New Roman"/>
          <w:color w:val="111111"/>
          <w:sz w:val="28"/>
          <w:szCs w:val="28"/>
          <w:lang w:val="en-US" w:bidi="en-US"/>
        </w:rPr>
        <w:t>An Investigation of the Context Uncertainty of the Verse of Wilayah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With an Emphasis on the Fakhr Razi’s View of the Verse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Hamed Dezhabad</w:t>
      </w:r>
    </w:p>
    <w:p>
      <w:pPr>
        <w:pStyle w:val="BookText"/>
        <w:rPr/>
      </w:pPr>
      <w:r>
        <w:rPr>
          <w:rFonts w:eastAsia="Times New Roman" w:cs="Times New Roman" w:ascii="Times New Roman" w:hAnsi="Times New Roman"/>
          <w:color w:val="111111"/>
          <w:sz w:val="28"/>
          <w:szCs w:val="28"/>
          <w:lang w:val="en-US" w:bidi="en-US"/>
        </w:rPr>
        <w:t>Those who are against Shia school of thought have raised a lot of doubts and questions on the verse of Wilayah (Ma'idah: 55). One of these questions is the fourth question of Fakhr Razi while explaining the verse of Wilayah. Fakhr Razi, based on the context, claims that since the previous verse (Ma'idah: 54) is about Abu Bakr and the strongest reason for the validity of his Imamate and the caliphate, therefore the later verse (Ma'idah: 55) cannot be concerned with the wilayah of Imam Ali (peace be upon him). If not, there will be a contradiction. Therefore, he concludes that the Shia argument, that the verse of Wilayah is a proof of the Imamate of Imam Ali (peace be upon him) is incorrect. But to the Shia scholars and theologians, the verse in question (Ma'idah: 54) does not imply the Imamate and the caliphate of Abu Bakr, but this verse does not concern Abu Bakr and his alleged traditions are also unreliable by document and indication. After a full explanation of Fakhr Razi's claim, the author of the present paper evaluates it in a comparative discussion and demonstrates that these two verses are in full coordination and alignment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Wilayah, Leadership, the Commander of the Faithful, Imam Ali (peace be upon him), Abu Bakr, Fakhr Razi</w:t>
      </w: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p:7</w:t>
      </w:r>
    </w:p>
    <w:p>
      <w:pPr>
        <w:pStyle w:val="BookText"/>
        <w:rPr/>
      </w:pPr>
      <w:r>
        <w:rPr>
          <w:rFonts w:eastAsia="Times New Roman" w:cs="Times New Roman" w:ascii="Times New Roman" w:hAnsi="Times New Roman"/>
          <w:color w:val="111111"/>
          <w:sz w:val="28"/>
          <w:szCs w:val="28"/>
          <w:lang w:val="en-US" w:bidi="en-US"/>
        </w:rPr>
        <w:t>The Intellectual Movement Analysis of Imamia in Khorasan and Transoxania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From the Beginning of Lesser Occultation to the Time of Shaykh Saduq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Taghi Subhani</w:t>
      </w:r>
    </w:p>
    <w:p>
      <w:pPr>
        <w:pStyle w:val="BookText"/>
        <w:rPr/>
      </w:pPr>
      <w:r>
        <w:rPr>
          <w:rFonts w:eastAsia="Times New Roman" w:cs="Times New Roman" w:ascii="Times New Roman" w:hAnsi="Times New Roman"/>
          <w:color w:val="111111"/>
          <w:sz w:val="28"/>
          <w:szCs w:val="28"/>
          <w:lang w:val="en-US" w:bidi="en-US"/>
        </w:rPr>
        <w:t>Sayyed Akbar Musavi Tanyani</w:t>
      </w:r>
    </w:p>
    <w:p>
      <w:pPr>
        <w:pStyle w:val="BookText"/>
        <w:rPr/>
      </w:pPr>
      <w:r>
        <w:rPr>
          <w:rFonts w:eastAsia="Times New Roman" w:cs="Times New Roman" w:ascii="Times New Roman" w:hAnsi="Times New Roman"/>
          <w:color w:val="111111"/>
          <w:sz w:val="28"/>
          <w:szCs w:val="28"/>
          <w:lang w:val="en-US" w:bidi="en-US"/>
        </w:rPr>
        <w:t>After the decline of Kufa school of thought in the late second century AH, the scientific legacy of the school was transferred to the rest of the Shia Imami dwelling places. An important part of Khorasan and Transoxania is one of those places. There is no completely independent study of intellectual currents in this area. The author of the present article tries to identify the present trends in Khorasan and Transoxania, from the beginning of the Minor Occultation to the time of Shaykh Saduq, and pursue their relationship to the scientific environment of Kufa as far as it is possible. This study shows that some current cultural beliefs in Khorasan and Transoxania, such as the theological and juridical movement of Hisham ibn Hakam and Yunus ibn Abd al-Rahman and the hadith-oriented movement and the movement of those who are accused of ghuluw (extremism), have their roots in the school of Kufa. After a while, these groups migrated from Khorasan to other areas such as Iraq and Qom, although some movements, such as Mu'tazili-oriented Imamis were considered as new movements in Khorasan at that time</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Khorasan, Transoxania, Intellectual Movement, Theological Movement, the Tradition-Oriented Movement, Mu'tazili-Oriented Imami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9</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Jewish Theology’s Interaction with Islamic Theology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With Emphasis on the Role of Reason in Religion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Reza Gandomi Nasrabadi</w:t>
      </w:r>
    </w:p>
    <w:p>
      <w:pPr>
        <w:pStyle w:val="BookText"/>
        <w:rPr/>
      </w:pPr>
      <w:r>
        <w:rPr>
          <w:rFonts w:eastAsia="Times New Roman" w:cs="Times New Roman" w:ascii="Times New Roman" w:hAnsi="Times New Roman"/>
          <w:color w:val="111111"/>
          <w:sz w:val="28"/>
          <w:szCs w:val="28"/>
          <w:lang w:val="en-US" w:bidi="en-US"/>
        </w:rPr>
        <w:t>One of the Jewish intellectual movements in the Middle Ages is the theological movement. The movement was spread to the east and to some extent to the west of the Muslim world between the ninth and twelfth centuries AD. Jewish theologians, including rabbis and Karaites, influenced by the Islamic theology, especially the Mutazili theology, seek to consolidate its doctrines and beliefs. Before them, Philo of Alexandria and the church fathers had raised many theological issues, but medieval Jewish thinkers were familiar with the issues by the Muslims. Jewish thinkers discussed their common concerns with Muslims as they were following their own issues. In general, there are two trends within the movement: first, Rabbis’ trend that is their full belief in the authority of tradition. It is different from theology of the Bible and the Rabbis’ one before the ninth century; second, Karaites’ trend that they basically do not believe in the authority of tradition. The present article briefly discusses how Jewish theologians interact with Muslim theologians, only in terms of their emphasis on the role and function of reason in justification and explanation of the doctrines and religious beliefs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Islamic Theology, Jewish Theology, Reason, Revelation, Anti-rationalism</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p: 10</w:t>
      </w:r>
    </w:p>
    <w:p>
      <w:pPr>
        <w:pStyle w:val="BookText"/>
        <w:rPr/>
      </w:pPr>
      <w:r>
        <w:rPr>
          <w:rFonts w:eastAsia="Times New Roman" w:cs="Times New Roman" w:ascii="Times New Roman" w:hAnsi="Times New Roman"/>
          <w:color w:val="111111"/>
          <w:sz w:val="28"/>
          <w:szCs w:val="28"/>
          <w:lang w:val="en-US" w:bidi="en-US"/>
        </w:rPr>
        <w:t>Ibn Rawandi and His Defense of Kufa’s Theological Thought</w:t>
      </w:r>
    </w:p>
    <w:p>
      <w:pPr>
        <w:pStyle w:val="BookText"/>
        <w:rPr/>
      </w:pPr>
      <w:r>
        <w:rPr>
          <w:rFonts w:eastAsia="Times New Roman" w:cs="Times New Roman" w:ascii="Times New Roman" w:hAnsi="Times New Roman"/>
          <w:color w:val="111111"/>
          <w:sz w:val="28"/>
          <w:szCs w:val="28"/>
          <w:lang w:val="en-US" w:bidi="en-US"/>
        </w:rPr>
        <w:t>Abbas Mirzaee</w:t>
      </w:r>
    </w:p>
    <w:p>
      <w:pPr>
        <w:pStyle w:val="BookText"/>
        <w:rPr/>
      </w:pPr>
      <w:r>
        <w:rPr>
          <w:rFonts w:eastAsia="Times New Roman" w:cs="Times New Roman" w:ascii="Times New Roman" w:hAnsi="Times New Roman"/>
          <w:color w:val="111111"/>
          <w:sz w:val="28"/>
          <w:szCs w:val="28"/>
          <w:lang w:val="en-US" w:bidi="en-US"/>
        </w:rPr>
        <w:t>Ibn Rawandi was Mu'tazili for a period and then became Imami. The author of the present article tries to deal with the issue by answering the following questions: How Ibn Rawandi accepted the Imami school and within the framework of which Imami intellectual trends? Has he, considering his Mu'tazili tendencies, somehow introduced the methods and content of the Mu'tazilah thoughts into Imami theology and thereafter created a certain literature in Imami theology or just followed the general flow of theology before him? With the aim to clarify the situation of Shia theology in the third century AH, as well as a clear idea of the Imami thought in theology school of Kufa and Baghdad, by way of comparison between Ibn Rawandi thoughts and Hisham ibn Hakam, the representative of the Imami theology in Kufa, the author of the paper concludes that Ibn Rawandi can be considered a follower of Imami theological method in Kufa. It seems that, Ibn Rawandi in a friendly encounter with Mu’tazilites attempted to explain the cognitive system of Imamia through revival of the Imami School of Theology in Kufa</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History of Theology, Mu'tazilah, Imami, School of Kufa, School of Baghdad, Hisham ibn Hakam, Ibn Rawandi</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عقل‌گرایی و نص‌گرایی در جهان اسلام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مقاله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معارف اعتقادی، سمعی بوده و عقل راهی برای دست‌رسی به آن‌ها ندارد؛ بنابراین، مقصود ما از معارف اعتقادی عقلی آن‌هایی است که عقل توان اثبات و فهم آن‌ها را دارد و معارف اعتقادی سمعی آن‌هایی است که عقل به آن‌ها دست‌رسی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نفیاً و اثباتاً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ما از مدرسه بغداد، دوره متأخر بغداد است؛ دوره‌ای که با نوبختیان شروع شده و به شیخ طوسی خاتمه می‌یابد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جریان نخست را جریان اولیه عرفانی و فرامنطقی و جریان دوم را جریان منطقی فقهی و کلامی می‌نامد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مکدرموت، شاگرد وی نیز این نظریه را در کتاب خود به تفصیل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مکدرموت،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ما از نوبختیان، علی‌بن‌اسماعیل نوبختی معروف به ابوسهل نوبختی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حسن‌بن‌موسی نوبختی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خواهر‌زاده ابوسهل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اشاره‌ای به ابوسحاق نوبختی، نویسنده کتاب الیاقوت نمی‌کنیم، از این روست که بنا به مطالعات جدید، وی به دوره‌ای متأخرتر تعلق داشته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روی که شیخ طوسی در اندیشه‌های کلامی‌اش هیچ تفاوتی با سیدمرتضی ندارد، به وی نخواهیم پرداخت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از بیانات استاد عزیز جناب آقای محمدتقی سبحانی در مجموعه درس‌های انجمن کلام حوزه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بیانانی اسکویی،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جمهورهم یزعمون ان المعارف کلها اضطرار و ان الخلق جمیعا مضطرّون و ان النظر و القیاس لا یؤدّیان الی علم و ما تعبّد اللّه العباد بهما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هشام‌بن‌الحکم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یزعمون ان المعرفة کلها اضطرار بایجاب الخلقة و انها لا تقع الا بعد النظر و الاستدلال یعنون بما لا یقع منها الا بعد النظر و الاستدلال العلم باللّه عز وجل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دین به کلی به وسیله استدلال شناخته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خداوند را از طریق مشاهده و یا اِخبار کسی که خداوند را مشاهده کرده است، نشناخته‌ایم، بلکه این معرفت حاصل استدلال و ادله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عالم ذر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درباره بحث فطرت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چنین نظریه‌ای را بدون اشاره به حسن‌بن‌موسی نقل کرده و به ادله آن‌ها اشاره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أن فی الناس من دعاه ذلک 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المعارف و ان کانت مکتسبة کما یقولون، فلن یجوز منه تعالی أن یوجبها علینا و ان اتفق أن ینظر الانسان و تقع له المعرفة باللّه تعالی، کلف الأفعال و ان لم‌یتفق ذلک منه فهو غیرملوم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جعلوها من شرائط التکلیف فیما عداها و جوزوا وقوعها علی سبیل الاتفاق و التبخیت و منعوا لأجل ذلک دخولها تحت التکلیف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قاضی عبدالجبار،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شیخ مفید در جایی دیگر اولین واجب را معرفت خداوند می‌داند، نه نظر؛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مکدرموت،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 کلامی است که خداوند در گوش عاقل ایجاد می‌کند که متضمن اَماراتی است که به واسطه آن‌ها، ترس از ترک نظر و استدلال در قلب عاقل ایجاد می‌شود؛ 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درباره تحریک خواطر توسط رسول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کراجکی، بی‌تا،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 بعد در اهل‌سنت، اشاعره با پذیرش عقل نظری و انکار عقل عملی، راهی بین اهل حدیث و معتزله گشودند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ماتریدیه نیز با پذیرش عقل نظری و عقل عملی، کمی به معتزله نزدیک‌تر شدند؛ هرچند ماتریدیه عقل را تنها منبع معارف اعتقادی نمی‌دانند و اخبار را نیز در کنار عقل یکی از منابع معرفت اعتقادی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ماتریدی معتقد بود که لازم نیست همه عقاید کلامی را با عقل اثبات کرد، بلکه اگر با معجزات پیامبر، رسالت او را پذیرفت، می‌تواند اعتقادات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عالم، ثبوت صانع و وحدانیت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اخبار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نسفی،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امامیه اتفاق نظر دارند که عقل در علم و نتایجش، به 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نیازمند است و دلیل عقل از دلیل سمعی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عاقل را به شیوه استدلال رهنمون می‌شود، جدا نیست؛ بنابراین، باید در ابتدای تکلیف در عالم، رسولی از سوی خداوند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بحث، امامیه با اصحاب حدیث هم‌نظرند و معتزله، خوارج و زیدیه با این دیدگاه مخالفند و گمان می‌کنند که عقل انسان‌ها بدون نیاز به سمع و توقیف عمل می‌کند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هر زمان شنونده‌ای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سخنان خدا را می‌شنود و به مردم منتقل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 از انبیا و حجت‌های خود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انبیا و حجت‌های خدا شیوه استدلال در عقلیات را به مردم گوش‌زد و آن‌ها را به آنچه در سمعیات نمی‌دانند، آگاه می‌کنند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 ینبهون علی طریق الاستدلال المسترشدین و یحرکون الخواطر بالتذکار إلی سنن التأمل و الاعتبار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أمر یدل علیه ما نشاهده من أحوال العقلاء و افتقارهم إلی من یفتح لهم باب الاستدلال أولا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 خرج الحسین‌بن‌علی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ذات یوم علی أصحابه فقال بعد الحمدلله جل وعز و الصلاة علی محمد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العباد إلا لیعرفوه فإذا عرفوه عبدوه فإذا عبدوه استغنوا بعبادته من سواه فقال له رجل بأبی أنت و أمی یا ابن رسول‌الله ما معرفة‌الله قال معرفة أهل کل زمان إمامهم الذی یجب علیهم طاعته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کانت أیضا المعارف الدینیة العقلیة و السمعیة تحصل من جهة الإمام و کان الإمام آمرا بذلک و داعیا إلیه صح القول إن معرفة الإمام و طاعته هی معرفة الله سبحانه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الطریق إلی معرفة اللَّه تعالی هو العقل و لایجوز أن یکون السمع، لان السمع لا یکون دلیلا علی الشی‌ء إلا بعد معرفة اللَّه و حکمته و أنه لا یفعل القبیح و لا یصدق الکذابین، فکیف یدل السمع علی المعرفة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رددنا علی من یذهب من أصحابنا الی أن معرفة اللَّه تستفاد من قول الإمام، لأن معرفة کون الإمام إماما مبنیة علی المعرفة باللّه تعالی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بینا انهم عولوا فی ذلک علی أن الامام ینبه علی النظر فی الادلة فهو غیرصحیح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انه غیر ممتنع ان یعلم الله تعالی أن فی افعال المکلّف ما اذا فعله اختار عنده فعل الواجبات العقلیة او الامتناع من القبائح العقلیة، و فیها ما اذا فعله اختار فعل القبیح او الاخلال بالواجب و اذا علم الله تعالی ذلک فلابد من اعلام المکلف به لیفعل ما یدعوه الی فعل الواجب و یعدل ما یدعوه الی فعل القبیح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شریف مرتضی،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دانشجوی دکتری مذاهب کلامی دانشگاه ادیان و مذاهب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که در تحف‌العقول آمده، یونس‌بن‌عبدالرحمان متهم به اکتسابی بودن معارف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ابن‌شعبه حرانی،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گذشته از صحت یا سقم آن، بیان‌گر آن است که لااقل از منظر راوی، یونس ـ که از شاگردان برجسته هشام‌بن‌حکم است ـ معرفت‌الله را کسبی می‌دانسته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مفهوم‌شناسی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فعلی یا انفعالی بودن آن و نسبت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شایسته بود، اما با توجه به محدودیت موضوع، نوشتاری مجزا و فرصتی دیگر می‌طلبد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قضایایی هستند که قیاس‌های آن‌ها همراهشان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قیاساتها 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با این‌که قضایایی نیستند که مانند اولیات به مجرد تصور طرفینِ قیاس مورد تصدیق قرار گیرند، با این حال حد وسطی که برای تصدیق قضیه فطری لازم است، همواره در ذهن حاضر است و نیازمند به نظر و کسب نیست؛ مانند این‌که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بیست، یک‌پنجمِ عدد صد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 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که ابوسهل در مقام جدل با خصم در موضوع امامت، این سخن را بیان داشته، در نتیجه اعتقاد به معرفت اکتسابی نداشته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حسینی‌زاده،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منتفی است، زیرا اگر از ابوسهل شاهدی مبنی بر اکتسابی نبودن معرفت وجود داشت، می‌توانستیم ادعا کنیم که این عبارت ابوسهل که در تعارض با آن است، در مقام جدل بوده است؛ در حالی که اولاً، چنین شاهدی از ابوسهل نداریم؛ ثانیاً، غیر از عبارت مذکور از التنبیه، همین‌که شیخ مفید در اوائل‌المقالات، دیدگاه نوبختیان را استثنا نکرده، در حالی که خود را موظف بر ذکر دیدگاه‌های اختلافی آنان می‌دانسته، بر‌می‌آید که بنونوبخت هم معرفت را اکتسابی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درباره ابومحمد شاهدی وجود دارد که دیدگاهی متفاوت داشته است؛ لذا از این اتفاق خارج می‌شود، اما از آن‌جا که درباره ابوسهل چنین شاهدی وجود ندارد، بلکه شاهد ضد آن موجود است، می‌توان فهمید که احتمالاً ابوسهل معرفت را اکتسابی می‌دانسته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این معنا هم نیست که کاملاً دیدگاه اعتزالی داشته‌اند و یا لزوماً به آن‌ها نزدیک شده‌اند، زیرا خود معتزلیان درباره معرفت‌الله دیدگاه یکسان و هماهنگی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مقاله‌ای در چیستی و تطور معرفت اضطراری از نظرگاه معتزلیان، به نگارش درآورده است که به زودی منتشر خواهد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ناشی اصغر در مناظره‌اش با اشعری در بحث خلق افعال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حموی،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سوسنجردی برخلاف امامیه در بحث وعید، با معتزلیان هم‌عقیده 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ابوالقاسم کوفی، بغدادی نبوده، از آن‌جا که عراقی بوده و نظریاتش در محیط بغداد حضور داشته، در این‌جا ذکر کردیم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منابع گوناگون آمده است؛ در برخی از منابع به جای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بالنظر تثبت 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برخی دیگر از منابع،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شیخ مفید همین روایت را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بالفطرة تثبت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امالی‌اش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ابن‌شعبه،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طبرسی،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جماعة من المقلدة عندی کفار لأن فیهم من القوة علی الاستدلال ما یصلون به إلی المعارف فإذا انصرفوا عن النظر فی طرقها فقد استحقوا الخلود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چه بسا بتوان این جمله را حمل بر تقلید به جای تحقیق کرد؛ یعنی شیخ مفید مقلدان را مذمت می‌کند، نه کسانی را که قائل به معرفت فطری هستند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واضح است جهل ما، فعل خودمان است نه فعل خداوند، زیرا خداوند فعل قبیح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نمی‌دهد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ردّ نظریه رمّانی است که معرفت را غیر از علم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رمّانی، معرفت چیزی است که شی‌ء به وسیله آن به نحو تفصیلی تبیین می‌شود، اما علم چیزی است که به وسیله آن شیء اجمالاً تبیین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بی‌تا،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و دانشجوی دکتری کلام امامیه دانشگاه قرآن و حدیث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دانشگاه باقرالعلوم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کارشناسی ارشد علوم حدیث گرایش کلام و عقاید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تعاریف، با یکدیگر قابل جمع نیستند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صفات، طبق این تعریف، اعراض در مقابل جوهر نیستند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فرقه‌های مزبور در کیفیت صفات الهی، اختلافاتی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برنجکار،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ربانی‌گلپایگانی،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گفته خواهد شد که ذات خداوند، به دو معنا استعمال می‌شود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تهران پردیس فارابی</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کتاب ارزش‌مند مناقب الشیخین به این موضوع پرداخته شده است اما برخلاف نوشتار حاضر، ادله روایی اهل‌سنت به‌خصوص روایتی که منسوب به امیرالمؤمنین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است و نیز مؤیدات روایی که فخررازی ذیل فرازهای این آیه از آن‌ها بهره برده، اصلاً ذکر نشده است؛ علاوه بر این، در بیان دیدگاه شیعه، ضمن خودداری از ذکر روایاتی که ذیل این آیه درباره امام مهدی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وجود دارد، طریقه جمع بین این دو دسته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روایاتی که مراد از آیه را امیرالمؤمنین و اصحابش می‌داند و روایاتی که از امام مهدی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سخن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بخش تحلیل درونی از آیات نیز بسیار مختصر عمل کرده و برخی سخنان فخررازی،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محاربه، عدم محاربه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مرتدان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نشده است و هم‌چنین به آرای مفسرانی همچون طبری، ابوحیان اندلسی و قرطبی که تطبیق آیه شریفه بر ابوبکر را نپذیرفته‌اند، توجه نشده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در این‌جا سعی کرده است تا از طریق سلب و نفی دیگران، به نتیجه مود نظر خود برسد؛ لذا تلاش کرده است تا با دلایلی، ابتدا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حضرت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بعد هم یمنی‌ها را از مصادیق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کند تا آیه را به ابوبکر اختصاص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اهل‌سنت همچون قرطبی در تفسیر خود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معلوم أن من کانت فیه هذه الصفات فهو ولی 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جصاص،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کیا هراسی،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المراد بهؤلاء القوم ستة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الصّدّیق و أصحابه الذین قاتلوا أهل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و عمر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قوم أبی‌موسی الأشعری و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أهل الیمن و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الأنصار و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المهاجرون و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ابن‌جوزی،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المقطوع و هو المروی عن التابعین قولا لهم أو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عاملی،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صحت این روایت، تردید جدی وجود دارد، چراکه صحابی بودن عیاض اشعری ثابت نیست و عده‌ای از رجالیون اهل‌سنت به تابعی بودن او و مرسل بودن این روایت تصریح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ابن‌ابی‌حاتم در این 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عیاض الأشعری 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انـه قـرأ فسوف یأتی الله بقـوم یحبهم و یحبـونه و هـو تابعی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ابن‌ابی‌حاتم، بی‌تا،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ابن‌حبان نیز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عیاض الأشعری یروی عن عمر‌بن‌الخطاب و أبی‌عبیدة‌بن‌الجراح و أبی‌موسی روی عنه سماک‌بن‌حرب و قد قیل إنه له صحبة و لیس یصح ذلک عندی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ابن‌حبان،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هم به این اختلاف تصریح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عیاض بن عمرو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 صحبته، سکن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ادامه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لولا الخبر الذی روی فی ذلک عن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بالخبر الذی روی عنه ما کان القول عندی فی ذلک إلا 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أبوبکر و أصحابه و ذلک أنه لم‌یقاتل قوما کانوا أظهروا الإسلام علی عهد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ارتدوا علی أعقابهم کفارا، غیر أبی‌بکر و من کان معه ممن قاتل أهل الردة معه بعد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لکنا ترکنا القول فی ذلک للخبر الذی روی فیه عن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البیان عن تأویل ما أنزل الله من وحیه و آی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نزلت فی الأشعریین، ففی الخبر أنها لما نزلت قدم بعد ذلک بیسیر سفائن الأشعریین، و قبائل الیمن من طریق البحر، فکان لهم بلاء فی الإسلام فی زمن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عامة فتوح العراق فی زمن عمر ـ رضی الله عنه ـ علی یدی قبائل الیمن، هذا أصح ما قیل فی نزولها و 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شیعه دو نظر در تفسیر این آیه شریفه مطرح است که در صفحات بعد ذکر خواهد شد، اما همان‌گونه که اشاره شد، قدر متیقن در تفسیر این آیه از دیدگاه شیعه این است که تعابیر موجود در آیه، قابلیت انطباق با ابوبکر و اصحابش را ندارد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استبدال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پایان‌نامه‌ای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سنت استبدال در تأمین هدف خلقت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دانشکده الهیات دانشگاه تهران،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جریان و پاسخ به توجیهات محمد حسنین هیکل در کتاب الصدیق ابوبکر را علامه شرف‌الدین در کتاب اجتهاد در مقابل نص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عاملی،</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نیز معتقد است، مالک به اشتباه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علاوه بر ماجرای مالک، جنایات صورت‌گرفته در حق حضرت زهرا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فجاءه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ایاس‌بن‌عبد‌الله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تأیید مدعای ما در عدم تطبیق اوصاف آیه بر ابوبکر و اصحابش کافی است؛ چنان‌که ابوبکر در لحظات آخر عمر از آن‌ها اظهار پشیمانی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ذهبی،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هیثمی،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طبرانی،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متقی‌هندی،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ابن‌عساکر،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ابن‌حجر،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این رابطه در پاسخ به توجیهات اهل‌سنت، به تفصیل سخن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صفحات قبل بیان شد، این آیه می‌تواند به سنت استبدال اشاره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تَتَوَلَّوْا یَسْتَبْدِلْ قَوْماً غَیْرَکُمْ ثُمَّ لایَکُونُوا أَمْثالَکُمْ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صورت، امام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امام مهدی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اصحابشان از مصادیق بارز قوم جای‌گزینند، چراکه بقا و استمرار دین الهی در زمین، در گرو خواست فرد یا گروه خاصی نیست و هیچ‌کس نباید دین خدا را مدیون خود بداند و اگر قوم یا گروهی، از دین و اجرای برنامه الهی روی برگردانند و خود را تا سطح تعهد و مسئولیت متناسب با رسالت آسمانی، بالا نکشند، رسالت آسمانی تعطیل نخواهد شد و خداوند متعال گروه دیگری را که شرایط بهتر و برتری را برای ایفای نقش خود فراهم آورده و پیرو برنامه الهی باشند، جای‌گزین آن‌ها خواهد کرد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ارشد پژوهشگاه قرآن و حدیث و استادیار پژوهشگاه علوم و فرهنگ اسلامی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دانشجوی دکتری شیعه شناسی دانشگاه ادیان و مذاهب</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یاد‌شده از دیدگاه معتزله را شفاهی از استاد ارجمند حجۀ‌الاسلام‌و‌المسلمین دکتر محمد‌تقی سبحانی شنیدم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ابوالحسن علی‌بن‌محمد قزوینی کسی است که از زحمات و خدمات علمی عیاشی نزد بغدادیان، مانند ابن‌غضائری سخن به میان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این نکته از این روی است که خیاط، اندیشه هایی را به این افراد نسبت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خیاط،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جایی دیگر، صاحبان این اندیشه را در نگاه ابن راوندی، جزء معتدلان از تفکر امامیه معرفی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أجازوا فی الکتاب ـ أو کثیر منهم ـ الزیادة و 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کثیر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جبایی نباشد؛ یا افزوده قاضی است یا نساخان دوره های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قاضی عبدالجبار،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پردیس فارابی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53615</Words>
  <Characters>230559</Characters>
  <CharactersWithSpaces>282367</CharactersWithSpaces>
  <Paragraphs>1746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2026-08-17T12:04:22Z</dcterms:created>
  <dc:creator>ghaemiyeh.com</dc:creator>
  <dc:description/>
  <dc:language>en-US</dc:language>
  <cp:lastModifiedBy/>
  <dcterms:modified xsi:type="dcterms:W3CDTF">2026-08-17T15:34:27Z</dcterms:modified>
  <cp:revision>1</cp:revision>
  <dc:subject/>
  <dc:title>فصلنامه تحقیقات کلامی شماره 4</dc:title>
</cp:coreProperties>
</file>

<file path=docProps/custom.xml><?xml version="1.0" encoding="utf-8"?>
<Properties xmlns="http://schemas.openxmlformats.org/officeDocument/2006/custom-properties" xmlns:vt="http://schemas.openxmlformats.org/officeDocument/2006/docPropsVTypes"/>
</file>