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850_1395250215">
            <w:r>
              <w:rPr>
                <w:webHidden/>
                <w:rStyle w:val="IndexLink"/>
                <w:rtl w:val="true"/>
              </w:rPr>
              <w:t>مشخصات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540852_1395250215">
            <w:r>
              <w:rPr>
                <w:webHidden/>
                <w:rStyle w:val="IndexLink"/>
                <w:rtl w:val="true"/>
              </w:rPr>
              <w:t>رتبه علمی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540854_1395250215">
            <w:r>
              <w:rPr>
                <w:webHidden/>
                <w:rStyle w:val="IndexLink"/>
                <w:rtl w:val="true"/>
              </w:rPr>
              <w:t>راهنمای نویسندگان</w:t>
            </w:r>
            <w:r>
              <w:rPr>
                <w:rStyle w:val="IndexLink"/>
                <w:rtl w:val="true"/>
              </w:rPr>
              <w:tab/>
            </w:r>
            <w:r>
              <w:rPr>
                <w:rStyle w:val="IndexLink"/>
              </w:rPr>
              <w:t>9</w:t>
            </w:r>
          </w:hyperlink>
        </w:p>
        <w:p>
          <w:pPr>
            <w:pStyle w:val="Contents2"/>
            <w:tabs>
              <w:tab w:val="clear" w:pos="8743"/>
              <w:tab w:val="right" w:pos="9026" w:leader="dot"/>
            </w:tabs>
            <w:rPr/>
          </w:pPr>
          <w:hyperlink w:anchor="__RefHeading___Toc540856_1395250215">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40858_1395250215">
            <w:r>
              <w:rPr>
                <w:webHidden/>
                <w:rStyle w:val="IndexLink"/>
                <w:rtl w:val="true"/>
              </w:rPr>
              <w:t>سخن سر دبیر</w:t>
            </w:r>
            <w:r>
              <w:rPr>
                <w:rStyle w:val="IndexLink"/>
                <w:rtl w:val="true"/>
              </w:rPr>
              <w:tab/>
            </w:r>
            <w:r>
              <w:rPr>
                <w:rStyle w:val="IndexLink"/>
              </w:rPr>
              <w:t>12</w:t>
            </w:r>
          </w:hyperlink>
        </w:p>
        <w:p>
          <w:pPr>
            <w:pStyle w:val="Contents2"/>
            <w:tabs>
              <w:tab w:val="clear" w:pos="8743"/>
              <w:tab w:val="right" w:pos="9026" w:leader="dot"/>
            </w:tabs>
            <w:rPr/>
          </w:pPr>
          <w:hyperlink w:anchor="__RefHeading___Toc540860_1395250215">
            <w:r>
              <w:rPr>
                <w:webHidden/>
                <w:rStyle w:val="IndexLink"/>
                <w:rtl w:val="true"/>
              </w:rPr>
              <w:t>حجیت متشابک منابع معرفت در فهم و تبیین آموزه های اعتقادی</w:t>
            </w:r>
            <w:r>
              <w:rPr>
                <w:rStyle w:val="IndexLink"/>
                <w:rtl w:val="true"/>
              </w:rPr>
              <w:tab/>
            </w:r>
            <w:r>
              <w:rPr>
                <w:rStyle w:val="IndexLink"/>
              </w:rPr>
              <w:t>13</w:t>
            </w:r>
          </w:hyperlink>
        </w:p>
        <w:p>
          <w:pPr>
            <w:pStyle w:val="Contents3"/>
            <w:tabs>
              <w:tab w:val="clear" w:pos="8459"/>
              <w:tab w:val="right" w:pos="9026" w:leader="dot"/>
            </w:tabs>
            <w:rPr/>
          </w:pPr>
          <w:hyperlink w:anchor="__RefHeading___Toc540862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40864_1395250215">
            <w:r>
              <w:rPr>
                <w:webHidden/>
                <w:rStyle w:val="IndexLink"/>
                <w:rtl w:val="true"/>
              </w:rPr>
              <w:t>چکیده</w:t>
            </w:r>
            <w:r>
              <w:rPr>
                <w:rStyle w:val="IndexLink"/>
                <w:rtl w:val="true"/>
              </w:rPr>
              <w:tab/>
            </w:r>
            <w:r>
              <w:rPr>
                <w:rStyle w:val="IndexLink"/>
              </w:rPr>
              <w:t>13</w:t>
            </w:r>
          </w:hyperlink>
        </w:p>
        <w:p>
          <w:pPr>
            <w:pStyle w:val="Contents3"/>
            <w:tabs>
              <w:tab w:val="clear" w:pos="8459"/>
              <w:tab w:val="right" w:pos="9026" w:leader="dot"/>
            </w:tabs>
            <w:rPr/>
          </w:pPr>
          <w:hyperlink w:anchor="__RefHeading___Toc540866_1395250215">
            <w:r>
              <w:rPr>
                <w:webHidden/>
                <w:rStyle w:val="IndexLink"/>
                <w:rtl w:val="true"/>
              </w:rPr>
              <w:t>واژگان کلیدی</w:t>
            </w:r>
            <w:r>
              <w:rPr>
                <w:rStyle w:val="IndexLink"/>
                <w:rtl w:val="true"/>
              </w:rPr>
              <w:tab/>
            </w:r>
            <w:r>
              <w:rPr>
                <w:rStyle w:val="IndexLink"/>
              </w:rPr>
              <w:t>13</w:t>
            </w:r>
          </w:hyperlink>
        </w:p>
        <w:p>
          <w:pPr>
            <w:pStyle w:val="Contents3"/>
            <w:tabs>
              <w:tab w:val="clear" w:pos="8459"/>
              <w:tab w:val="right" w:pos="9026" w:leader="dot"/>
            </w:tabs>
            <w:rPr/>
          </w:pPr>
          <w:hyperlink w:anchor="__RefHeading___Toc540868_1395250215">
            <w:r>
              <w:rPr>
                <w:webHidden/>
                <w:rStyle w:val="IndexLink"/>
                <w:rtl w:val="true"/>
              </w:rPr>
              <w:t>طرح مسئله</w:t>
            </w:r>
            <w:r>
              <w:rPr>
                <w:rStyle w:val="IndexLink"/>
                <w:rtl w:val="true"/>
              </w:rPr>
              <w:tab/>
            </w:r>
            <w:r>
              <w:rPr>
                <w:rStyle w:val="IndexLink"/>
              </w:rPr>
              <w:t>14</w:t>
            </w:r>
          </w:hyperlink>
        </w:p>
        <w:p>
          <w:pPr>
            <w:pStyle w:val="Contents3"/>
            <w:tabs>
              <w:tab w:val="clear" w:pos="8459"/>
              <w:tab w:val="right" w:pos="9026" w:leader="dot"/>
            </w:tabs>
            <w:rPr/>
          </w:pPr>
          <w:hyperlink w:anchor="__RefHeading___Toc540870_1395250215">
            <w:r>
              <w:rPr>
                <w:webHidden/>
                <w:rStyle w:val="IndexLink"/>
                <w:rtl w:val="true"/>
              </w:rPr>
              <w:t>تعریف مفاهیم</w:t>
            </w:r>
            <w:r>
              <w:rPr>
                <w:rStyle w:val="IndexLink"/>
                <w:rtl w:val="true"/>
              </w:rPr>
              <w:tab/>
            </w:r>
            <w:r>
              <w:rPr>
                <w:rStyle w:val="IndexLink"/>
              </w:rPr>
              <w:t>16</w:t>
            </w:r>
          </w:hyperlink>
        </w:p>
        <w:p>
          <w:pPr>
            <w:pStyle w:val="Contents3"/>
            <w:tabs>
              <w:tab w:val="clear" w:pos="8459"/>
              <w:tab w:val="right" w:pos="9026" w:leader="dot"/>
            </w:tabs>
            <w:rPr/>
          </w:pPr>
          <w:hyperlink w:anchor="__RefHeading___Toc540872_1395250215">
            <w:r>
              <w:rPr>
                <w:webHidden/>
                <w:rStyle w:val="IndexLink"/>
                <w:rtl w:val="true"/>
              </w:rPr>
              <w:t>عبور از نگاه انحصار گرا به تشابک منابع معرفت</w:t>
            </w:r>
            <w:r>
              <w:rPr>
                <w:rStyle w:val="IndexLink"/>
                <w:rtl w:val="true"/>
              </w:rPr>
              <w:tab/>
            </w:r>
            <w:r>
              <w:rPr>
                <w:rStyle w:val="IndexLink"/>
              </w:rPr>
              <w:t>16</w:t>
            </w:r>
          </w:hyperlink>
        </w:p>
        <w:p>
          <w:pPr>
            <w:pStyle w:val="Contents4"/>
            <w:tabs>
              <w:tab w:val="clear" w:pos="8176"/>
              <w:tab w:val="right" w:pos="9026" w:leader="dot"/>
            </w:tabs>
            <w:rPr/>
          </w:pPr>
          <w:hyperlink w:anchor="__RefHeading___Toc540874_139525021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540876_1395250215">
            <w:r>
              <w:rPr>
                <w:webHidden/>
                <w:rStyle w:val="IndexLink"/>
              </w:rPr>
              <w:t>1</w:t>
            </w:r>
            <w:r>
              <w:rPr>
                <w:rStyle w:val="IndexLink"/>
                <w:rtl w:val="true"/>
              </w:rPr>
              <w:t xml:space="preserve">. </w:t>
            </w:r>
            <w:r>
              <w:rPr>
                <w:rStyle w:val="IndexLink"/>
                <w:rtl w:val="true"/>
              </w:rPr>
              <w:t>بن‌بست روش‌شناسی حصرگرای حکیمان مشائی و رونمایی از ره</w:t>
            </w:r>
            <w:r>
              <w:rPr>
                <w:rStyle w:val="IndexLink"/>
                <w:rtl w:val="true"/>
              </w:rPr>
              <w:t>¬</w:t>
            </w:r>
            <w:r>
              <w:rPr>
                <w:rStyle w:val="IndexLink"/>
                <w:rtl w:val="true"/>
              </w:rPr>
              <w:t>یافت‌های جدید</w:t>
            </w:r>
            <w:r>
              <w:rPr>
                <w:rStyle w:val="IndexLink"/>
                <w:rtl w:val="true"/>
              </w:rPr>
              <w:tab/>
            </w:r>
            <w:r>
              <w:rPr>
                <w:rStyle w:val="IndexLink"/>
              </w:rPr>
              <w:t>19</w:t>
            </w:r>
          </w:hyperlink>
        </w:p>
        <w:p>
          <w:pPr>
            <w:pStyle w:val="Contents4"/>
            <w:tabs>
              <w:tab w:val="clear" w:pos="8176"/>
              <w:tab w:val="right" w:pos="9026" w:leader="dot"/>
            </w:tabs>
            <w:rPr/>
          </w:pPr>
          <w:hyperlink w:anchor="__RefHeading___Toc540878_1395250215">
            <w:r>
              <w:rPr>
                <w:webHidden/>
                <w:rStyle w:val="IndexLink"/>
              </w:rPr>
              <w:t>2</w:t>
            </w:r>
            <w:r>
              <w:rPr>
                <w:rStyle w:val="IndexLink"/>
                <w:rtl w:val="true"/>
              </w:rPr>
              <w:t xml:space="preserve">. </w:t>
            </w:r>
            <w:r>
              <w:rPr>
                <w:rStyle w:val="IndexLink"/>
                <w:rtl w:val="true"/>
              </w:rPr>
              <w:t>شواهد و نمونه‌هایی از امداد وحی به عقل</w:t>
            </w:r>
            <w:r>
              <w:rPr>
                <w:rStyle w:val="IndexLink"/>
                <w:rtl w:val="true"/>
              </w:rPr>
              <w:tab/>
            </w:r>
            <w:r>
              <w:rPr>
                <w:rStyle w:val="IndexLink"/>
              </w:rPr>
              <w:t>24</w:t>
            </w:r>
          </w:hyperlink>
        </w:p>
        <w:p>
          <w:pPr>
            <w:pStyle w:val="Contents4"/>
            <w:tabs>
              <w:tab w:val="clear" w:pos="8176"/>
              <w:tab w:val="right" w:pos="9026" w:leader="dot"/>
            </w:tabs>
            <w:rPr/>
          </w:pPr>
          <w:hyperlink w:anchor="__RefHeading___Toc540880_1395250215">
            <w:r>
              <w:rPr>
                <w:webHidden/>
                <w:rStyle w:val="IndexLink"/>
              </w:rPr>
              <w:t>3</w:t>
            </w:r>
            <w:r>
              <w:rPr>
                <w:rStyle w:val="IndexLink"/>
                <w:rtl w:val="true"/>
              </w:rPr>
              <w:t xml:space="preserve">. </w:t>
            </w:r>
            <w:r>
              <w:rPr>
                <w:rStyle w:val="IndexLink"/>
                <w:rtl w:val="true"/>
              </w:rPr>
              <w:t>حجیت متشابک کتاب و سنت</w:t>
            </w:r>
            <w:r>
              <w:rPr>
                <w:rStyle w:val="IndexLink"/>
                <w:rtl w:val="true"/>
              </w:rPr>
              <w:tab/>
            </w:r>
            <w:r>
              <w:rPr>
                <w:rStyle w:val="IndexLink"/>
              </w:rPr>
              <w:t>26</w:t>
            </w:r>
          </w:hyperlink>
        </w:p>
        <w:p>
          <w:pPr>
            <w:pStyle w:val="Contents3"/>
            <w:tabs>
              <w:tab w:val="clear" w:pos="8459"/>
              <w:tab w:val="right" w:pos="9026" w:leader="dot"/>
            </w:tabs>
            <w:rPr/>
          </w:pPr>
          <w:hyperlink w:anchor="__RefHeading___Toc540882_1395250215">
            <w:r>
              <w:rPr>
                <w:webHidden/>
                <w:rStyle w:val="IndexLink"/>
                <w:rtl w:val="true"/>
              </w:rPr>
              <w:t>جمع بندی و نتیجه گیری</w:t>
            </w:r>
            <w:r>
              <w:rPr>
                <w:rStyle w:val="IndexLink"/>
                <w:rtl w:val="true"/>
              </w:rPr>
              <w:tab/>
            </w:r>
            <w:r>
              <w:rPr>
                <w:rStyle w:val="IndexLink"/>
              </w:rPr>
              <w:t>29</w:t>
            </w:r>
          </w:hyperlink>
        </w:p>
        <w:p>
          <w:pPr>
            <w:pStyle w:val="Contents3"/>
            <w:tabs>
              <w:tab w:val="clear" w:pos="8459"/>
              <w:tab w:val="right" w:pos="9026" w:leader="dot"/>
            </w:tabs>
            <w:rPr/>
          </w:pPr>
          <w:hyperlink w:anchor="__RefHeading___Toc540884_1395250215">
            <w:r>
              <w:rPr>
                <w:webHidden/>
                <w:rStyle w:val="IndexLink"/>
                <w:rtl w:val="true"/>
              </w:rPr>
              <w:t>منابع</w:t>
            </w:r>
            <w:r>
              <w:rPr>
                <w:rStyle w:val="IndexLink"/>
                <w:rtl w:val="true"/>
              </w:rPr>
              <w:tab/>
            </w:r>
            <w:r>
              <w:rPr>
                <w:rStyle w:val="IndexLink"/>
              </w:rPr>
              <w:t>31</w:t>
            </w:r>
          </w:hyperlink>
        </w:p>
        <w:p>
          <w:pPr>
            <w:pStyle w:val="Contents2"/>
            <w:tabs>
              <w:tab w:val="clear" w:pos="8743"/>
              <w:tab w:val="right" w:pos="9026" w:leader="dot"/>
            </w:tabs>
            <w:rPr/>
          </w:pPr>
          <w:hyperlink w:anchor="__RefHeading___Toc540886_1395250215">
            <w:r>
              <w:rPr>
                <w:webHidden/>
                <w:rStyle w:val="IndexLink"/>
                <w:rtl w:val="true"/>
              </w:rPr>
              <w:t>مسئله نفی صفات در روایات اهل بیت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540888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40890_1395250215">
            <w:r>
              <w:rPr>
                <w:webHidden/>
                <w:rStyle w:val="IndexLink"/>
                <w:rtl w:val="true"/>
              </w:rPr>
              <w:t>چکیده</w:t>
            </w:r>
            <w:r>
              <w:rPr>
                <w:rStyle w:val="IndexLink"/>
                <w:rtl w:val="true"/>
              </w:rPr>
              <w:tab/>
            </w:r>
            <w:r>
              <w:rPr>
                <w:rStyle w:val="IndexLink"/>
              </w:rPr>
              <w:t>37</w:t>
            </w:r>
          </w:hyperlink>
        </w:p>
        <w:p>
          <w:pPr>
            <w:pStyle w:val="Contents3"/>
            <w:tabs>
              <w:tab w:val="clear" w:pos="8459"/>
              <w:tab w:val="right" w:pos="9026" w:leader="dot"/>
            </w:tabs>
            <w:rPr/>
          </w:pPr>
          <w:hyperlink w:anchor="__RefHeading___Toc540892_1395250215">
            <w:r>
              <w:rPr>
                <w:webHidden/>
                <w:rStyle w:val="IndexLink"/>
                <w:rtl w:val="true"/>
              </w:rPr>
              <w:t>واژگان کلیدی</w:t>
            </w:r>
            <w:r>
              <w:rPr>
                <w:rStyle w:val="IndexLink"/>
                <w:rtl w:val="true"/>
              </w:rPr>
              <w:tab/>
            </w:r>
            <w:r>
              <w:rPr>
                <w:rStyle w:val="IndexLink"/>
              </w:rPr>
              <w:t>37</w:t>
            </w:r>
          </w:hyperlink>
        </w:p>
        <w:p>
          <w:pPr>
            <w:pStyle w:val="Contents3"/>
            <w:tabs>
              <w:tab w:val="clear" w:pos="8459"/>
              <w:tab w:val="right" w:pos="9026" w:leader="dot"/>
            </w:tabs>
            <w:rPr/>
          </w:pPr>
          <w:hyperlink w:anchor="__RefHeading___Toc540894_1395250215">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540896_1395250215">
            <w:r>
              <w:rPr>
                <w:webHidden/>
                <w:rStyle w:val="IndexLink"/>
                <w:rtl w:val="true"/>
              </w:rPr>
              <w:t>روایات نفی صفات</w:t>
            </w:r>
            <w:r>
              <w:rPr>
                <w:rStyle w:val="IndexLink"/>
                <w:rtl w:val="true"/>
              </w:rPr>
              <w:tab/>
            </w:r>
            <w:r>
              <w:rPr>
                <w:rStyle w:val="IndexLink"/>
              </w:rPr>
              <w:t>39</w:t>
            </w:r>
          </w:hyperlink>
        </w:p>
        <w:p>
          <w:pPr>
            <w:pStyle w:val="Contents3"/>
            <w:tabs>
              <w:tab w:val="clear" w:pos="8459"/>
              <w:tab w:val="right" w:pos="9026" w:leader="dot"/>
            </w:tabs>
            <w:rPr/>
          </w:pPr>
          <w:hyperlink w:anchor="__RefHeading___Toc540898_1395250215">
            <w:r>
              <w:rPr>
                <w:webHidden/>
                <w:rStyle w:val="IndexLink"/>
                <w:rtl w:val="true"/>
              </w:rPr>
              <w:t>روایات اثبات صفات</w:t>
            </w:r>
            <w:r>
              <w:rPr>
                <w:rStyle w:val="IndexLink"/>
                <w:rtl w:val="true"/>
              </w:rPr>
              <w:tab/>
            </w:r>
            <w:r>
              <w:rPr>
                <w:rStyle w:val="IndexLink"/>
              </w:rPr>
              <w:t>45</w:t>
            </w:r>
          </w:hyperlink>
        </w:p>
        <w:p>
          <w:pPr>
            <w:pStyle w:val="Contents3"/>
            <w:tabs>
              <w:tab w:val="clear" w:pos="8459"/>
              <w:tab w:val="right" w:pos="9026" w:leader="dot"/>
            </w:tabs>
            <w:rPr/>
          </w:pPr>
          <w:hyperlink w:anchor="__RefHeading___Toc540900_1395250215">
            <w:r>
              <w:rPr>
                <w:webHidden/>
                <w:rStyle w:val="IndexLink"/>
                <w:rtl w:val="true"/>
              </w:rPr>
              <w:t>وصف سلبی</w:t>
            </w:r>
            <w:r>
              <w:rPr>
                <w:rStyle w:val="IndexLink"/>
                <w:rtl w:val="true"/>
              </w:rPr>
              <w:tab/>
            </w:r>
            <w:r>
              <w:rPr>
                <w:rStyle w:val="IndexLink"/>
              </w:rPr>
              <w:t>48</w:t>
            </w:r>
          </w:hyperlink>
        </w:p>
        <w:p>
          <w:pPr>
            <w:pStyle w:val="Contents3"/>
            <w:tabs>
              <w:tab w:val="clear" w:pos="8459"/>
              <w:tab w:val="right" w:pos="9026" w:leader="dot"/>
            </w:tabs>
            <w:rPr/>
          </w:pPr>
          <w:hyperlink w:anchor="__RefHeading___Toc540902_1395250215">
            <w:r>
              <w:rPr>
                <w:webHidden/>
                <w:rStyle w:val="IndexLink"/>
                <w:rtl w:val="true"/>
              </w:rPr>
              <w:t>وصف به افعال</w:t>
            </w:r>
            <w:r>
              <w:rPr>
                <w:rStyle w:val="IndexLink"/>
                <w:rtl w:val="true"/>
              </w:rPr>
              <w:tab/>
            </w:r>
            <w:r>
              <w:rPr>
                <w:rStyle w:val="IndexLink"/>
              </w:rPr>
              <w:t>50</w:t>
            </w:r>
          </w:hyperlink>
        </w:p>
        <w:p>
          <w:pPr>
            <w:pStyle w:val="Contents3"/>
            <w:tabs>
              <w:tab w:val="clear" w:pos="8459"/>
              <w:tab w:val="right" w:pos="9026" w:leader="dot"/>
            </w:tabs>
            <w:rPr/>
          </w:pPr>
          <w:hyperlink w:anchor="__RefHeading___Toc540904_1395250215">
            <w:r>
              <w:rPr>
                <w:webHidden/>
                <w:rStyle w:val="IndexLink"/>
                <w:rtl w:val="true"/>
              </w:rPr>
              <w:t>چالشهای قول به انتساب صفت در ذات الهی</w:t>
            </w:r>
            <w:r>
              <w:rPr>
                <w:rStyle w:val="IndexLink"/>
                <w:rtl w:val="true"/>
              </w:rPr>
              <w:tab/>
            </w:r>
            <w:r>
              <w:rPr>
                <w:rStyle w:val="IndexLink"/>
              </w:rPr>
              <w:t>51</w:t>
            </w:r>
          </w:hyperlink>
        </w:p>
        <w:p>
          <w:pPr>
            <w:pStyle w:val="Contents4"/>
            <w:tabs>
              <w:tab w:val="clear" w:pos="8176"/>
              <w:tab w:val="right" w:pos="9026" w:leader="dot"/>
            </w:tabs>
            <w:rPr/>
          </w:pPr>
          <w:hyperlink w:anchor="__RefHeading___Toc540906_139525021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40908_1395250215">
            <w:r>
              <w:rPr>
                <w:webHidden/>
                <w:rStyle w:val="IndexLink"/>
                <w:rtl w:val="true"/>
              </w:rPr>
              <w:t>الف</w:t>
            </w:r>
            <w:r>
              <w:rPr>
                <w:rStyle w:val="IndexLink"/>
                <w:rtl w:val="true"/>
              </w:rPr>
              <w:t xml:space="preserve">) </w:t>
            </w:r>
            <w:r>
              <w:rPr>
                <w:rStyle w:val="IndexLink"/>
                <w:rtl w:val="true"/>
              </w:rPr>
              <w:t>وصف و تحدید</w:t>
            </w:r>
            <w:r>
              <w:rPr>
                <w:rStyle w:val="IndexLink"/>
                <w:rtl w:val="true"/>
              </w:rPr>
              <w:tab/>
            </w:r>
            <w:r>
              <w:rPr>
                <w:rStyle w:val="IndexLink"/>
              </w:rPr>
              <w:t>51</w:t>
            </w:r>
          </w:hyperlink>
        </w:p>
        <w:p>
          <w:pPr>
            <w:pStyle w:val="Contents4"/>
            <w:tabs>
              <w:tab w:val="clear" w:pos="8176"/>
              <w:tab w:val="right" w:pos="9026" w:leader="dot"/>
            </w:tabs>
            <w:rPr/>
          </w:pPr>
          <w:hyperlink w:anchor="__RefHeading___Toc540910_1395250215">
            <w:r>
              <w:rPr>
                <w:webHidden/>
                <w:rStyle w:val="IndexLink"/>
                <w:rtl w:val="true"/>
              </w:rPr>
              <w:t>ب</w:t>
            </w:r>
            <w:r>
              <w:rPr>
                <w:rStyle w:val="IndexLink"/>
                <w:rtl w:val="true"/>
              </w:rPr>
              <w:t xml:space="preserve">) </w:t>
            </w:r>
            <w:r>
              <w:rPr>
                <w:rStyle w:val="IndexLink"/>
                <w:rtl w:val="true"/>
              </w:rPr>
              <w:t>وصف و تشبیه</w:t>
            </w:r>
            <w:r>
              <w:rPr>
                <w:rStyle w:val="IndexLink"/>
                <w:rtl w:val="true"/>
              </w:rPr>
              <w:tab/>
            </w:r>
            <w:r>
              <w:rPr>
                <w:rStyle w:val="IndexLink"/>
              </w:rPr>
              <w:t>52</w:t>
            </w:r>
          </w:hyperlink>
        </w:p>
        <w:p>
          <w:pPr>
            <w:pStyle w:val="Contents4"/>
            <w:tabs>
              <w:tab w:val="clear" w:pos="8176"/>
              <w:tab w:val="right" w:pos="9026" w:leader="dot"/>
            </w:tabs>
            <w:rPr/>
          </w:pPr>
          <w:hyperlink w:anchor="__RefHeading___Toc540912_1395250215">
            <w:r>
              <w:rPr>
                <w:webHidden/>
                <w:rStyle w:val="IndexLink"/>
                <w:rtl w:val="true"/>
              </w:rPr>
              <w:t>ج</w:t>
            </w:r>
            <w:r>
              <w:rPr>
                <w:rStyle w:val="IndexLink"/>
                <w:rtl w:val="true"/>
              </w:rPr>
              <w:t xml:space="preserve">) </w:t>
            </w:r>
            <w:r>
              <w:rPr>
                <w:rStyle w:val="IndexLink"/>
                <w:rtl w:val="true"/>
              </w:rPr>
              <w:t>تباین میان خالق و مخلوق</w:t>
            </w:r>
            <w:r>
              <w:rPr>
                <w:rStyle w:val="IndexLink"/>
                <w:rtl w:val="true"/>
              </w:rPr>
              <w:tab/>
            </w:r>
            <w:r>
              <w:rPr>
                <w:rStyle w:val="IndexLink"/>
              </w:rPr>
              <w:t>53</w:t>
            </w:r>
          </w:hyperlink>
        </w:p>
        <w:p>
          <w:pPr>
            <w:pStyle w:val="Contents4"/>
            <w:tabs>
              <w:tab w:val="clear" w:pos="8176"/>
              <w:tab w:val="right" w:pos="9026" w:leader="dot"/>
            </w:tabs>
            <w:rPr/>
          </w:pPr>
          <w:hyperlink w:anchor="__RefHeading___Toc540914_1395250215">
            <w:r>
              <w:rPr>
                <w:webHidden/>
                <w:rStyle w:val="IndexLink"/>
                <w:rtl w:val="true"/>
              </w:rPr>
              <w:t>د</w:t>
            </w:r>
            <w:r>
              <w:rPr>
                <w:rStyle w:val="IndexLink"/>
                <w:rtl w:val="true"/>
              </w:rPr>
              <w:t xml:space="preserve">) </w:t>
            </w:r>
            <w:r>
              <w:rPr>
                <w:rStyle w:val="IndexLink"/>
                <w:rtl w:val="true"/>
              </w:rPr>
              <w:t>وصف و احاطه</w:t>
            </w:r>
            <w:r>
              <w:rPr>
                <w:rStyle w:val="IndexLink"/>
                <w:rtl w:val="true"/>
              </w:rPr>
              <w:tab/>
            </w:r>
            <w:r>
              <w:rPr>
                <w:rStyle w:val="IndexLink"/>
              </w:rPr>
              <w:t>55</w:t>
            </w:r>
          </w:hyperlink>
        </w:p>
        <w:p>
          <w:pPr>
            <w:pStyle w:val="Contents4"/>
            <w:tabs>
              <w:tab w:val="clear" w:pos="8176"/>
              <w:tab w:val="right" w:pos="9026" w:leader="dot"/>
            </w:tabs>
            <w:rPr/>
          </w:pPr>
          <w:hyperlink w:anchor="__RefHeading___Toc540916_1395250215">
            <w:r>
              <w:rPr>
                <w:webHidden/>
                <w:rStyle w:val="IndexLink"/>
                <w:rtl w:val="true"/>
              </w:rPr>
              <w:t>ه</w:t>
            </w:r>
            <w:r>
              <w:rPr>
                <w:rStyle w:val="IndexLink"/>
                <w:rtl w:val="true"/>
              </w:rPr>
              <w:t xml:space="preserve">) </w:t>
            </w:r>
            <w:r>
              <w:rPr>
                <w:rStyle w:val="IndexLink"/>
                <w:rtl w:val="true"/>
              </w:rPr>
              <w:t>وصف و توهم</w:t>
            </w:r>
            <w:r>
              <w:rPr>
                <w:rStyle w:val="IndexLink"/>
                <w:rtl w:val="true"/>
              </w:rPr>
              <w:tab/>
            </w:r>
            <w:r>
              <w:rPr>
                <w:rStyle w:val="IndexLink"/>
              </w:rPr>
              <w:t>55</w:t>
            </w:r>
          </w:hyperlink>
        </w:p>
        <w:p>
          <w:pPr>
            <w:pStyle w:val="Contents3"/>
            <w:tabs>
              <w:tab w:val="clear" w:pos="8459"/>
              <w:tab w:val="right" w:pos="9026" w:leader="dot"/>
            </w:tabs>
            <w:rPr/>
          </w:pPr>
          <w:hyperlink w:anchor="__RefHeading___Toc540918_1395250215">
            <w:r>
              <w:rPr>
                <w:webHidden/>
                <w:rStyle w:val="IndexLink"/>
                <w:rtl w:val="true"/>
              </w:rPr>
              <w:t>نتیجه</w:t>
            </w:r>
            <w:r>
              <w:rPr>
                <w:rStyle w:val="IndexLink"/>
                <w:rtl w:val="true"/>
              </w:rPr>
              <w:tab/>
            </w:r>
            <w:r>
              <w:rPr>
                <w:rStyle w:val="IndexLink"/>
              </w:rPr>
              <w:t>57</w:t>
            </w:r>
          </w:hyperlink>
        </w:p>
        <w:p>
          <w:pPr>
            <w:pStyle w:val="Contents3"/>
            <w:tabs>
              <w:tab w:val="clear" w:pos="8459"/>
              <w:tab w:val="right" w:pos="9026" w:leader="dot"/>
            </w:tabs>
            <w:rPr/>
          </w:pPr>
          <w:hyperlink w:anchor="__RefHeading___Toc540920_1395250215">
            <w:r>
              <w:rPr>
                <w:webHidden/>
                <w:rStyle w:val="IndexLink"/>
                <w:rtl w:val="true"/>
              </w:rPr>
              <w:t>منابع</w:t>
            </w:r>
            <w:r>
              <w:rPr>
                <w:rStyle w:val="IndexLink"/>
                <w:rtl w:val="true"/>
              </w:rPr>
              <w:tab/>
            </w:r>
            <w:r>
              <w:rPr>
                <w:rStyle w:val="IndexLink"/>
              </w:rPr>
              <w:t>58</w:t>
            </w:r>
          </w:hyperlink>
        </w:p>
        <w:p>
          <w:pPr>
            <w:pStyle w:val="Contents2"/>
            <w:tabs>
              <w:tab w:val="clear" w:pos="8743"/>
              <w:tab w:val="right" w:pos="9026" w:leader="dot"/>
            </w:tabs>
            <w:rPr/>
          </w:pPr>
          <w:hyperlink w:anchor="__RefHeading___Toc540922_1395250215">
            <w:r>
              <w:rPr>
                <w:webHidden/>
                <w:rStyle w:val="IndexLink"/>
                <w:rtl w:val="true"/>
              </w:rPr>
              <w:t>آموزه بداء در اندیشه امامیه از آغاز غیبت تا پایان مدرسه بغداد</w:t>
            </w:r>
            <w:r>
              <w:rPr>
                <w:rStyle w:val="IndexLink"/>
                <w:rtl w:val="true"/>
              </w:rPr>
              <w:tab/>
            </w:r>
            <w:r>
              <w:rPr>
                <w:rStyle w:val="IndexLink"/>
              </w:rPr>
              <w:t>60</w:t>
            </w:r>
          </w:hyperlink>
        </w:p>
        <w:p>
          <w:pPr>
            <w:pStyle w:val="Contents3"/>
            <w:tabs>
              <w:tab w:val="clear" w:pos="8459"/>
              <w:tab w:val="right" w:pos="9026" w:leader="dot"/>
            </w:tabs>
            <w:rPr/>
          </w:pPr>
          <w:hyperlink w:anchor="__RefHeading___Toc540924_1395250215">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540926_1395250215">
            <w:r>
              <w:rPr>
                <w:webHidden/>
                <w:rStyle w:val="IndexLink"/>
                <w:rtl w:val="true"/>
              </w:rPr>
              <w:t>چکیده</w:t>
            </w:r>
            <w:r>
              <w:rPr>
                <w:rStyle w:val="IndexLink"/>
                <w:rtl w:val="true"/>
              </w:rPr>
              <w:tab/>
            </w:r>
            <w:r>
              <w:rPr>
                <w:rStyle w:val="IndexLink"/>
              </w:rPr>
              <w:t>60</w:t>
            </w:r>
          </w:hyperlink>
        </w:p>
        <w:p>
          <w:pPr>
            <w:pStyle w:val="Contents3"/>
            <w:tabs>
              <w:tab w:val="clear" w:pos="8459"/>
              <w:tab w:val="right" w:pos="9026" w:leader="dot"/>
            </w:tabs>
            <w:rPr/>
          </w:pPr>
          <w:hyperlink w:anchor="__RefHeading___Toc540928_1395250215">
            <w:r>
              <w:rPr>
                <w:webHidden/>
                <w:rStyle w:val="IndexLink"/>
                <w:rtl w:val="true"/>
              </w:rPr>
              <w:t>واژگان کلیدی</w:t>
            </w:r>
            <w:r>
              <w:rPr>
                <w:rStyle w:val="IndexLink"/>
                <w:rtl w:val="true"/>
              </w:rPr>
              <w:tab/>
            </w:r>
            <w:r>
              <w:rPr>
                <w:rStyle w:val="IndexLink"/>
              </w:rPr>
              <w:t>60</w:t>
            </w:r>
          </w:hyperlink>
        </w:p>
        <w:p>
          <w:pPr>
            <w:pStyle w:val="Contents3"/>
            <w:tabs>
              <w:tab w:val="clear" w:pos="8459"/>
              <w:tab w:val="right" w:pos="9026" w:leader="dot"/>
            </w:tabs>
            <w:rPr/>
          </w:pPr>
          <w:hyperlink w:anchor="__RefHeading___Toc540930_1395250215">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540932_1395250215">
            <w:r>
              <w:rPr>
                <w:webHidden/>
                <w:rStyle w:val="IndexLink"/>
                <w:rtl w:val="true"/>
              </w:rPr>
              <w:t>نقطه آغازین</w:t>
            </w:r>
            <w:r>
              <w:rPr>
                <w:rStyle w:val="IndexLink"/>
                <w:rtl w:val="true"/>
              </w:rPr>
              <w:tab/>
            </w:r>
            <w:r>
              <w:rPr>
                <w:rStyle w:val="IndexLink"/>
              </w:rPr>
              <w:t>62</w:t>
            </w:r>
          </w:hyperlink>
        </w:p>
        <w:p>
          <w:pPr>
            <w:pStyle w:val="Contents3"/>
            <w:tabs>
              <w:tab w:val="clear" w:pos="8459"/>
              <w:tab w:val="right" w:pos="9026" w:leader="dot"/>
            </w:tabs>
            <w:rPr/>
          </w:pPr>
          <w:hyperlink w:anchor="__RefHeading___Toc540934_1395250215">
            <w:r>
              <w:rPr>
                <w:webHidden/>
                <w:rStyle w:val="IndexLink"/>
                <w:rtl w:val="true"/>
              </w:rPr>
              <w:t>چراییِ تغییر در تبیین اندیشه بداء</w:t>
            </w:r>
            <w:r>
              <w:rPr>
                <w:rStyle w:val="IndexLink"/>
                <w:rtl w:val="true"/>
              </w:rPr>
              <w:tab/>
            </w:r>
            <w:r>
              <w:rPr>
                <w:rStyle w:val="IndexLink"/>
              </w:rPr>
              <w:t>64</w:t>
            </w:r>
          </w:hyperlink>
        </w:p>
        <w:p>
          <w:pPr>
            <w:pStyle w:val="Contents3"/>
            <w:tabs>
              <w:tab w:val="clear" w:pos="8459"/>
              <w:tab w:val="right" w:pos="9026" w:leader="dot"/>
            </w:tabs>
            <w:rPr/>
          </w:pPr>
          <w:hyperlink w:anchor="__RefHeading___Toc540936_1395250215">
            <w:r>
              <w:rPr>
                <w:webHidden/>
                <w:rStyle w:val="IndexLink"/>
                <w:rtl w:val="true"/>
              </w:rPr>
              <w:t>اندیشه شیخ صدوق</w:t>
            </w:r>
            <w:r>
              <w:rPr>
                <w:rStyle w:val="IndexLink"/>
                <w:rtl w:val="true"/>
              </w:rPr>
              <w:tab/>
            </w:r>
            <w:r>
              <w:rPr>
                <w:rStyle w:val="IndexLink"/>
              </w:rPr>
              <w:t>66</w:t>
            </w:r>
          </w:hyperlink>
        </w:p>
        <w:p>
          <w:pPr>
            <w:pStyle w:val="Contents3"/>
            <w:tabs>
              <w:tab w:val="clear" w:pos="8459"/>
              <w:tab w:val="right" w:pos="9026" w:leader="dot"/>
            </w:tabs>
            <w:rPr/>
          </w:pPr>
          <w:hyperlink w:anchor="__RefHeading___Toc540938_1395250215">
            <w:r>
              <w:rPr>
                <w:webHidden/>
                <w:rStyle w:val="IndexLink"/>
                <w:rtl w:val="true"/>
              </w:rPr>
              <w:t>شیخ مفید و بداء</w:t>
            </w:r>
            <w:r>
              <w:rPr>
                <w:rStyle w:val="IndexLink"/>
                <w:rtl w:val="true"/>
              </w:rPr>
              <w:tab/>
            </w:r>
            <w:r>
              <w:rPr>
                <w:rStyle w:val="IndexLink"/>
              </w:rPr>
              <w:t>67</w:t>
            </w:r>
          </w:hyperlink>
        </w:p>
        <w:p>
          <w:pPr>
            <w:pStyle w:val="Contents3"/>
            <w:tabs>
              <w:tab w:val="clear" w:pos="8459"/>
              <w:tab w:val="right" w:pos="9026" w:leader="dot"/>
            </w:tabs>
            <w:rPr/>
          </w:pPr>
          <w:hyperlink w:anchor="__RefHeading___Toc540940_1395250215">
            <w:r>
              <w:rPr>
                <w:webHidden/>
                <w:rStyle w:val="IndexLink"/>
                <w:rtl w:val="true"/>
              </w:rPr>
              <w:t>سیدمرتضی</w:t>
            </w:r>
            <w:r>
              <w:rPr>
                <w:rStyle w:val="IndexLink"/>
                <w:rtl w:val="true"/>
              </w:rPr>
              <w:tab/>
            </w:r>
            <w:r>
              <w:rPr>
                <w:rStyle w:val="IndexLink"/>
              </w:rPr>
              <w:t>69</w:t>
            </w:r>
          </w:hyperlink>
        </w:p>
        <w:p>
          <w:pPr>
            <w:pStyle w:val="Contents3"/>
            <w:tabs>
              <w:tab w:val="clear" w:pos="8459"/>
              <w:tab w:val="right" w:pos="9026" w:leader="dot"/>
            </w:tabs>
            <w:rPr/>
          </w:pPr>
          <w:hyperlink w:anchor="__RefHeading___Toc540942_1395250215">
            <w:r>
              <w:rPr>
                <w:webHidden/>
                <w:rStyle w:val="IndexLink"/>
                <w:rtl w:val="true"/>
              </w:rPr>
              <w:t>شیخ طوسی</w:t>
            </w:r>
            <w:r>
              <w:rPr>
                <w:rStyle w:val="IndexLink"/>
                <w:rtl w:val="true"/>
              </w:rPr>
              <w:tab/>
            </w:r>
            <w:r>
              <w:rPr>
                <w:rStyle w:val="IndexLink"/>
              </w:rPr>
              <w:t>72</w:t>
            </w:r>
          </w:hyperlink>
        </w:p>
        <w:p>
          <w:pPr>
            <w:pStyle w:val="Contents3"/>
            <w:tabs>
              <w:tab w:val="clear" w:pos="8459"/>
              <w:tab w:val="right" w:pos="9026" w:leader="dot"/>
            </w:tabs>
            <w:rPr/>
          </w:pPr>
          <w:hyperlink w:anchor="__RefHeading___Toc540944_1395250215">
            <w:r>
              <w:rPr>
                <w:webHidden/>
                <w:rStyle w:val="IndexLink"/>
                <w:rtl w:val="true"/>
              </w:rPr>
              <w:t>ابو</w:t>
            </w:r>
            <w:r>
              <w:rPr>
                <w:rStyle w:val="IndexLink"/>
                <w:rtl w:val="true"/>
              </w:rPr>
              <w:t>¬</w:t>
            </w:r>
            <w:r>
              <w:rPr>
                <w:rStyle w:val="IndexLink"/>
                <w:rtl w:val="true"/>
              </w:rPr>
              <w:t>الفتح کراجکی</w:t>
            </w:r>
            <w:r>
              <w:rPr>
                <w:rStyle w:val="IndexLink"/>
                <w:rtl w:val="true"/>
              </w:rPr>
              <w:tab/>
            </w:r>
            <w:r>
              <w:rPr>
                <w:rStyle w:val="IndexLink"/>
              </w:rPr>
              <w:t>75</w:t>
            </w:r>
          </w:hyperlink>
        </w:p>
        <w:p>
          <w:pPr>
            <w:pStyle w:val="Contents3"/>
            <w:tabs>
              <w:tab w:val="clear" w:pos="8459"/>
              <w:tab w:val="right" w:pos="9026" w:leader="dot"/>
            </w:tabs>
            <w:rPr/>
          </w:pPr>
          <w:hyperlink w:anchor="__RefHeading___Toc540946_1395250215">
            <w:r>
              <w:rPr>
                <w:webHidden/>
                <w:rStyle w:val="IndexLink"/>
                <w:rtl w:val="true"/>
              </w:rPr>
              <w:t>نتیجه</w:t>
            </w:r>
            <w:r>
              <w:rPr>
                <w:rStyle w:val="IndexLink"/>
                <w:rtl w:val="true"/>
              </w:rPr>
              <w:tab/>
            </w:r>
            <w:r>
              <w:rPr>
                <w:rStyle w:val="IndexLink"/>
              </w:rPr>
              <w:t>76</w:t>
            </w:r>
          </w:hyperlink>
        </w:p>
        <w:p>
          <w:pPr>
            <w:pStyle w:val="Contents3"/>
            <w:tabs>
              <w:tab w:val="clear" w:pos="8459"/>
              <w:tab w:val="right" w:pos="9026" w:leader="dot"/>
            </w:tabs>
            <w:rPr/>
          </w:pPr>
          <w:hyperlink w:anchor="__RefHeading___Toc540948_1395250215">
            <w:r>
              <w:rPr>
                <w:webHidden/>
                <w:rStyle w:val="IndexLink"/>
                <w:rtl w:val="true"/>
              </w:rPr>
              <w:t>منابع</w:t>
            </w:r>
            <w:r>
              <w:rPr>
                <w:rStyle w:val="IndexLink"/>
                <w:rtl w:val="true"/>
              </w:rPr>
              <w:tab/>
            </w:r>
            <w:r>
              <w:rPr>
                <w:rStyle w:val="IndexLink"/>
              </w:rPr>
              <w:t>77</w:t>
            </w:r>
          </w:hyperlink>
        </w:p>
        <w:p>
          <w:pPr>
            <w:pStyle w:val="Contents2"/>
            <w:tabs>
              <w:tab w:val="clear" w:pos="8743"/>
              <w:tab w:val="right" w:pos="9026" w:leader="dot"/>
            </w:tabs>
            <w:rPr/>
          </w:pPr>
          <w:hyperlink w:anchor="__RefHeading___Toc540950_1395250215">
            <w:r>
              <w:rPr>
                <w:webHidden/>
                <w:rStyle w:val="IndexLink"/>
                <w:rtl w:val="true"/>
              </w:rPr>
              <w:t>رویکرد متکلمان امامیه در بغداد به معتزلیان شیعه شده</w:t>
            </w:r>
            <w:r>
              <w:rPr>
                <w:rStyle w:val="IndexLink"/>
                <w:rtl w:val="true"/>
              </w:rPr>
              <w:t>(</w:t>
            </w:r>
            <w:r>
              <w:rPr>
                <w:rStyle w:val="IndexLink"/>
                <w:rtl w:val="true"/>
              </w:rPr>
              <w:t>با تاکید بر سید مرتضی،ابن راوندی و ابوعیسی وراق</w:t>
            </w:r>
            <w:r>
              <w:rPr>
                <w:rStyle w:val="IndexLink"/>
                <w:rtl w:val="true"/>
              </w:rPr>
              <w:t>)</w:t>
              <w:tab/>
            </w:r>
            <w:r>
              <w:rPr>
                <w:rStyle w:val="IndexLink"/>
              </w:rPr>
              <w:t>79</w:t>
            </w:r>
          </w:hyperlink>
        </w:p>
        <w:p>
          <w:pPr>
            <w:pStyle w:val="Contents3"/>
            <w:tabs>
              <w:tab w:val="clear" w:pos="8459"/>
              <w:tab w:val="right" w:pos="9026" w:leader="dot"/>
            </w:tabs>
            <w:rPr/>
          </w:pPr>
          <w:hyperlink w:anchor="__RefHeading___Toc540952_139525021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40954_1395250215">
            <w:r>
              <w:rPr>
                <w:webHidden/>
                <w:rStyle w:val="IndexLink"/>
                <w:rtl w:val="true"/>
              </w:rPr>
              <w:t>چکیده</w:t>
            </w:r>
            <w:r>
              <w:rPr>
                <w:rStyle w:val="IndexLink"/>
                <w:rtl w:val="true"/>
              </w:rPr>
              <w:tab/>
            </w:r>
            <w:r>
              <w:rPr>
                <w:rStyle w:val="IndexLink"/>
              </w:rPr>
              <w:t>79</w:t>
            </w:r>
          </w:hyperlink>
        </w:p>
        <w:p>
          <w:pPr>
            <w:pStyle w:val="Contents3"/>
            <w:tabs>
              <w:tab w:val="clear" w:pos="8459"/>
              <w:tab w:val="right" w:pos="9026" w:leader="dot"/>
            </w:tabs>
            <w:rPr/>
          </w:pPr>
          <w:hyperlink w:anchor="__RefHeading___Toc540956_1395250215">
            <w:r>
              <w:rPr>
                <w:webHidden/>
                <w:rStyle w:val="IndexLink"/>
                <w:rtl w:val="true"/>
              </w:rPr>
              <w:t>واژگان کلیدی</w:t>
            </w:r>
            <w:r>
              <w:rPr>
                <w:rStyle w:val="IndexLink"/>
                <w:rtl w:val="true"/>
              </w:rPr>
              <w:tab/>
            </w:r>
            <w:r>
              <w:rPr>
                <w:rStyle w:val="IndexLink"/>
              </w:rPr>
              <w:t>79</w:t>
            </w:r>
          </w:hyperlink>
        </w:p>
        <w:p>
          <w:pPr>
            <w:pStyle w:val="Contents3"/>
            <w:tabs>
              <w:tab w:val="clear" w:pos="8459"/>
              <w:tab w:val="right" w:pos="9026" w:leader="dot"/>
            </w:tabs>
            <w:rPr/>
          </w:pPr>
          <w:hyperlink w:anchor="__RefHeading___Toc540958_1395250215">
            <w:r>
              <w:rPr>
                <w:webHidden/>
                <w:rStyle w:val="IndexLink"/>
                <w:rtl w:val="true"/>
              </w:rPr>
              <w:t>مقدمه</w:t>
            </w:r>
            <w:r>
              <w:rPr>
                <w:rStyle w:val="IndexLink"/>
                <w:rtl w:val="true"/>
              </w:rPr>
              <w:tab/>
            </w:r>
            <w:r>
              <w:rPr>
                <w:rStyle w:val="IndexLink"/>
              </w:rPr>
              <w:t>80</w:t>
            </w:r>
          </w:hyperlink>
        </w:p>
        <w:p>
          <w:pPr>
            <w:pStyle w:val="Contents3"/>
            <w:tabs>
              <w:tab w:val="clear" w:pos="8459"/>
              <w:tab w:val="right" w:pos="9026" w:leader="dot"/>
            </w:tabs>
            <w:rPr/>
          </w:pPr>
          <w:hyperlink w:anchor="__RefHeading___Toc540960_1395250215">
            <w:r>
              <w:rPr>
                <w:webHidden/>
                <w:rStyle w:val="IndexLink"/>
                <w:rtl w:val="true"/>
              </w:rPr>
              <w:t>رابطه نوبختیان با وراق و ابن راوندی</w:t>
            </w:r>
            <w:r>
              <w:rPr>
                <w:rStyle w:val="IndexLink"/>
                <w:rtl w:val="true"/>
              </w:rPr>
              <w:tab/>
            </w:r>
            <w:r>
              <w:rPr>
                <w:rStyle w:val="IndexLink"/>
              </w:rPr>
              <w:t>81</w:t>
            </w:r>
          </w:hyperlink>
        </w:p>
        <w:p>
          <w:pPr>
            <w:pStyle w:val="Contents3"/>
            <w:tabs>
              <w:tab w:val="clear" w:pos="8459"/>
              <w:tab w:val="right" w:pos="9026" w:leader="dot"/>
            </w:tabs>
            <w:rPr/>
          </w:pPr>
          <w:hyperlink w:anchor="__RefHeading___Toc540962_1395250215">
            <w:r>
              <w:rPr>
                <w:webHidden/>
                <w:rStyle w:val="IndexLink"/>
                <w:rtl w:val="true"/>
              </w:rPr>
              <w:t>رابطه شیخ مفید با وراق و ابن راوندی</w:t>
            </w:r>
            <w:r>
              <w:rPr>
                <w:rStyle w:val="IndexLink"/>
                <w:rtl w:val="true"/>
              </w:rPr>
              <w:tab/>
            </w:r>
            <w:r>
              <w:rPr>
                <w:rStyle w:val="IndexLink"/>
              </w:rPr>
              <w:t>83</w:t>
            </w:r>
          </w:hyperlink>
        </w:p>
        <w:p>
          <w:pPr>
            <w:pStyle w:val="Contents3"/>
            <w:tabs>
              <w:tab w:val="clear" w:pos="8459"/>
              <w:tab w:val="right" w:pos="9026" w:leader="dot"/>
            </w:tabs>
            <w:rPr/>
          </w:pPr>
          <w:hyperlink w:anchor="__RefHeading___Toc540964_1395250215">
            <w:r>
              <w:rPr>
                <w:webHidden/>
                <w:rStyle w:val="IndexLink"/>
                <w:rtl w:val="true"/>
              </w:rPr>
              <w:t>رابطه سیدمرتضی، وراق و ابن راوندی</w:t>
            </w:r>
            <w:r>
              <w:rPr>
                <w:rStyle w:val="IndexLink"/>
                <w:rtl w:val="true"/>
              </w:rPr>
              <w:tab/>
            </w:r>
            <w:r>
              <w:rPr>
                <w:rStyle w:val="IndexLink"/>
              </w:rPr>
              <w:t>84</w:t>
            </w:r>
          </w:hyperlink>
        </w:p>
        <w:p>
          <w:pPr>
            <w:pStyle w:val="Contents3"/>
            <w:tabs>
              <w:tab w:val="clear" w:pos="8459"/>
              <w:tab w:val="right" w:pos="9026" w:leader="dot"/>
            </w:tabs>
            <w:rPr/>
          </w:pPr>
          <w:hyperlink w:anchor="__RefHeading___Toc540966_1395250215">
            <w:r>
              <w:rPr>
                <w:webHidden/>
                <w:rStyle w:val="IndexLink"/>
                <w:rtl w:val="true"/>
              </w:rPr>
              <w:t>مقایسه اندیشه</w:t>
            </w:r>
            <w:r>
              <w:rPr>
                <w:rStyle w:val="IndexLink"/>
                <w:rtl w:val="true"/>
              </w:rPr>
              <w:t>¬</w:t>
            </w:r>
            <w:r>
              <w:rPr>
                <w:rStyle w:val="IndexLink"/>
                <w:rtl w:val="true"/>
              </w:rPr>
              <w:t>های سیدمرتضی و ابن راوندی</w:t>
            </w:r>
            <w:r>
              <w:rPr>
                <w:rStyle w:val="IndexLink"/>
                <w:rtl w:val="true"/>
              </w:rPr>
              <w:tab/>
            </w:r>
            <w:r>
              <w:rPr>
                <w:rStyle w:val="IndexLink"/>
              </w:rPr>
              <w:t>88</w:t>
            </w:r>
          </w:hyperlink>
        </w:p>
        <w:p>
          <w:pPr>
            <w:pStyle w:val="Contents4"/>
            <w:tabs>
              <w:tab w:val="clear" w:pos="8176"/>
              <w:tab w:val="right" w:pos="9026" w:leader="dot"/>
            </w:tabs>
            <w:rPr/>
          </w:pPr>
          <w:hyperlink w:anchor="__RefHeading___Toc540968_139525021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40970_1395250215">
            <w:r>
              <w:rPr>
                <w:webHidden/>
                <w:rStyle w:val="IndexLink"/>
                <w:rtl w:val="true"/>
              </w:rPr>
              <w:t>علم الهی</w:t>
            </w:r>
            <w:r>
              <w:rPr>
                <w:rStyle w:val="IndexLink"/>
                <w:rtl w:val="true"/>
              </w:rPr>
              <w:tab/>
            </w:r>
            <w:r>
              <w:rPr>
                <w:rStyle w:val="IndexLink"/>
              </w:rPr>
              <w:t>88</w:t>
            </w:r>
          </w:hyperlink>
        </w:p>
        <w:p>
          <w:pPr>
            <w:pStyle w:val="Contents4"/>
            <w:tabs>
              <w:tab w:val="clear" w:pos="8176"/>
              <w:tab w:val="right" w:pos="9026" w:leader="dot"/>
            </w:tabs>
            <w:rPr/>
          </w:pPr>
          <w:hyperlink w:anchor="__RefHeading___Toc540972_1395250215">
            <w:r>
              <w:rPr>
                <w:webHidden/>
                <w:rStyle w:val="IndexLink"/>
                <w:rtl w:val="true"/>
              </w:rPr>
              <w:t>بداء</w:t>
            </w:r>
            <w:r>
              <w:rPr>
                <w:rStyle w:val="IndexLink"/>
                <w:rtl w:val="true"/>
              </w:rPr>
              <w:tab/>
            </w:r>
            <w:r>
              <w:rPr>
                <w:rStyle w:val="IndexLink"/>
              </w:rPr>
              <w:t>89</w:t>
            </w:r>
          </w:hyperlink>
        </w:p>
        <w:p>
          <w:pPr>
            <w:pStyle w:val="Contents4"/>
            <w:tabs>
              <w:tab w:val="clear" w:pos="8176"/>
              <w:tab w:val="right" w:pos="9026" w:leader="dot"/>
            </w:tabs>
            <w:rPr/>
          </w:pPr>
          <w:hyperlink w:anchor="__RefHeading___Toc540974_1395250215">
            <w:r>
              <w:rPr>
                <w:webHidden/>
                <w:rStyle w:val="IndexLink"/>
                <w:rtl w:val="true"/>
              </w:rPr>
              <w:t>کلام الهی</w:t>
            </w:r>
            <w:r>
              <w:rPr>
                <w:rStyle w:val="IndexLink"/>
                <w:rtl w:val="true"/>
              </w:rPr>
              <w:tab/>
            </w:r>
            <w:r>
              <w:rPr>
                <w:rStyle w:val="IndexLink"/>
              </w:rPr>
              <w:t>89</w:t>
            </w:r>
          </w:hyperlink>
        </w:p>
        <w:p>
          <w:pPr>
            <w:pStyle w:val="Contents4"/>
            <w:tabs>
              <w:tab w:val="clear" w:pos="8176"/>
              <w:tab w:val="right" w:pos="9026" w:leader="dot"/>
            </w:tabs>
            <w:rPr/>
          </w:pPr>
          <w:hyperlink w:anchor="__RefHeading___Toc540976_1395250215">
            <w:r>
              <w:rPr>
                <w:webHidden/>
                <w:rStyle w:val="IndexLink"/>
                <w:rtl w:val="true"/>
              </w:rPr>
              <w:t>ایمان و کفر</w:t>
            </w:r>
            <w:r>
              <w:rPr>
                <w:rStyle w:val="IndexLink"/>
                <w:rtl w:val="true"/>
              </w:rPr>
              <w:tab/>
            </w:r>
            <w:r>
              <w:rPr>
                <w:rStyle w:val="IndexLink"/>
              </w:rPr>
              <w:t>89</w:t>
            </w:r>
          </w:hyperlink>
        </w:p>
        <w:p>
          <w:pPr>
            <w:pStyle w:val="Contents4"/>
            <w:tabs>
              <w:tab w:val="clear" w:pos="8176"/>
              <w:tab w:val="right" w:pos="9026" w:leader="dot"/>
            </w:tabs>
            <w:rPr/>
          </w:pPr>
          <w:hyperlink w:anchor="__RefHeading___Toc540978_1395250215">
            <w:r>
              <w:rPr>
                <w:webHidden/>
                <w:rStyle w:val="IndexLink"/>
                <w:rtl w:val="true"/>
              </w:rPr>
              <w:t>قدرت</w:t>
            </w:r>
            <w:r>
              <w:rPr>
                <w:rStyle w:val="IndexLink"/>
                <w:rtl w:val="true"/>
              </w:rPr>
              <w:tab/>
            </w:r>
            <w:r>
              <w:rPr>
                <w:rStyle w:val="IndexLink"/>
              </w:rPr>
              <w:t>90</w:t>
            </w:r>
          </w:hyperlink>
        </w:p>
        <w:p>
          <w:pPr>
            <w:pStyle w:val="Contents4"/>
            <w:tabs>
              <w:tab w:val="clear" w:pos="8176"/>
              <w:tab w:val="right" w:pos="9026" w:leader="dot"/>
            </w:tabs>
            <w:rPr/>
          </w:pPr>
          <w:hyperlink w:anchor="__RefHeading___Toc540980_1395250215">
            <w:r>
              <w:rPr>
                <w:webHidden/>
                <w:rStyle w:val="IndexLink"/>
                <w:rtl w:val="true"/>
              </w:rPr>
              <w:t>حقیقت انسان</w:t>
            </w:r>
            <w:r>
              <w:rPr>
                <w:rStyle w:val="IndexLink"/>
                <w:rtl w:val="true"/>
              </w:rPr>
              <w:tab/>
            </w:r>
            <w:r>
              <w:rPr>
                <w:rStyle w:val="IndexLink"/>
              </w:rPr>
              <w:t>90</w:t>
            </w:r>
          </w:hyperlink>
        </w:p>
        <w:p>
          <w:pPr>
            <w:pStyle w:val="Contents4"/>
            <w:tabs>
              <w:tab w:val="clear" w:pos="8176"/>
              <w:tab w:val="right" w:pos="9026" w:leader="dot"/>
            </w:tabs>
            <w:rPr/>
          </w:pPr>
          <w:hyperlink w:anchor="__RefHeading___Toc540982_1395250215">
            <w:r>
              <w:rPr>
                <w:webHidden/>
                <w:rStyle w:val="IndexLink"/>
                <w:rtl w:val="true"/>
              </w:rPr>
              <w:t>ثواب و عقاب</w:t>
            </w:r>
            <w:r>
              <w:rPr>
                <w:rStyle w:val="IndexLink"/>
                <w:rtl w:val="true"/>
              </w:rPr>
              <w:tab/>
            </w:r>
            <w:r>
              <w:rPr>
                <w:rStyle w:val="IndexLink"/>
              </w:rPr>
              <w:t>92</w:t>
            </w:r>
          </w:hyperlink>
        </w:p>
        <w:p>
          <w:pPr>
            <w:pStyle w:val="Contents4"/>
            <w:tabs>
              <w:tab w:val="clear" w:pos="8176"/>
              <w:tab w:val="right" w:pos="9026" w:leader="dot"/>
            </w:tabs>
            <w:rPr/>
          </w:pPr>
          <w:hyperlink w:anchor="__RefHeading___Toc540984_1395250215">
            <w:r>
              <w:rPr>
                <w:webHidden/>
                <w:rStyle w:val="IndexLink"/>
                <w:rtl w:val="true"/>
              </w:rPr>
              <w:t>امامت</w:t>
            </w:r>
            <w:r>
              <w:rPr>
                <w:rStyle w:val="IndexLink"/>
                <w:rtl w:val="true"/>
              </w:rPr>
              <w:tab/>
            </w:r>
            <w:r>
              <w:rPr>
                <w:rStyle w:val="IndexLink"/>
              </w:rPr>
              <w:t>92</w:t>
            </w:r>
          </w:hyperlink>
        </w:p>
        <w:p>
          <w:pPr>
            <w:pStyle w:val="Contents3"/>
            <w:tabs>
              <w:tab w:val="clear" w:pos="8459"/>
              <w:tab w:val="right" w:pos="9026" w:leader="dot"/>
            </w:tabs>
            <w:rPr/>
          </w:pPr>
          <w:hyperlink w:anchor="__RefHeading___Toc540986_1395250215">
            <w:r>
              <w:rPr>
                <w:webHidden/>
                <w:rStyle w:val="IndexLink"/>
                <w:rtl w:val="true"/>
              </w:rPr>
              <w:t>نتیجه</w:t>
            </w:r>
            <w:r>
              <w:rPr>
                <w:rStyle w:val="IndexLink"/>
                <w:rtl w:val="true"/>
              </w:rPr>
              <w:tab/>
            </w:r>
            <w:r>
              <w:rPr>
                <w:rStyle w:val="IndexLink"/>
              </w:rPr>
              <w:t>93</w:t>
            </w:r>
          </w:hyperlink>
        </w:p>
        <w:p>
          <w:pPr>
            <w:pStyle w:val="Contents3"/>
            <w:tabs>
              <w:tab w:val="clear" w:pos="8459"/>
              <w:tab w:val="right" w:pos="9026" w:leader="dot"/>
            </w:tabs>
            <w:rPr/>
          </w:pPr>
          <w:hyperlink w:anchor="__RefHeading___Toc540988_1395250215">
            <w:r>
              <w:rPr>
                <w:webHidden/>
                <w:rStyle w:val="IndexLink"/>
                <w:rtl w:val="true"/>
              </w:rPr>
              <w:t>منابع</w:t>
            </w:r>
            <w:r>
              <w:rPr>
                <w:rStyle w:val="IndexLink"/>
                <w:rtl w:val="true"/>
              </w:rPr>
              <w:tab/>
            </w:r>
            <w:r>
              <w:rPr>
                <w:rStyle w:val="IndexLink"/>
              </w:rPr>
              <w:t>94</w:t>
            </w:r>
          </w:hyperlink>
        </w:p>
        <w:p>
          <w:pPr>
            <w:pStyle w:val="Contents2"/>
            <w:tabs>
              <w:tab w:val="clear" w:pos="8743"/>
              <w:tab w:val="right" w:pos="9026" w:leader="dot"/>
            </w:tabs>
            <w:rPr/>
          </w:pPr>
          <w:hyperlink w:anchor="__RefHeading___Toc540990_1395250215">
            <w:r>
              <w:rPr>
                <w:webHidden/>
                <w:rStyle w:val="IndexLink"/>
                <w:rtl w:val="true"/>
              </w:rPr>
              <w:t>مقایسه اندیشه های کلامی نوبختیان و شیخ مفید در بستر میراث کلامی امامیه و معتزله</w:t>
            </w:r>
            <w:r>
              <w:rPr>
                <w:rStyle w:val="IndexLink"/>
                <w:rtl w:val="true"/>
              </w:rPr>
              <w:tab/>
            </w:r>
            <w:r>
              <w:rPr>
                <w:rStyle w:val="IndexLink"/>
              </w:rPr>
              <w:t>97</w:t>
            </w:r>
          </w:hyperlink>
        </w:p>
        <w:p>
          <w:pPr>
            <w:pStyle w:val="Contents3"/>
            <w:tabs>
              <w:tab w:val="clear" w:pos="8459"/>
              <w:tab w:val="right" w:pos="9026" w:leader="dot"/>
            </w:tabs>
            <w:rPr/>
          </w:pPr>
          <w:hyperlink w:anchor="__RefHeading___Toc540992_139525021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540994_1395250215">
            <w:r>
              <w:rPr>
                <w:webHidden/>
                <w:rStyle w:val="IndexLink"/>
                <w:rtl w:val="true"/>
              </w:rPr>
              <w:t>چکیده</w:t>
            </w:r>
            <w:r>
              <w:rPr>
                <w:rStyle w:val="IndexLink"/>
                <w:rtl w:val="true"/>
              </w:rPr>
              <w:tab/>
            </w:r>
            <w:r>
              <w:rPr>
                <w:rStyle w:val="IndexLink"/>
              </w:rPr>
              <w:t>97</w:t>
            </w:r>
          </w:hyperlink>
        </w:p>
        <w:p>
          <w:pPr>
            <w:pStyle w:val="Contents3"/>
            <w:tabs>
              <w:tab w:val="clear" w:pos="8459"/>
              <w:tab w:val="right" w:pos="9026" w:leader="dot"/>
            </w:tabs>
            <w:rPr/>
          </w:pPr>
          <w:hyperlink w:anchor="__RefHeading___Toc540996_1395250215">
            <w:r>
              <w:rPr>
                <w:webHidden/>
                <w:rStyle w:val="IndexLink"/>
                <w:rtl w:val="true"/>
              </w:rPr>
              <w:t>واژگان کلیدی</w:t>
            </w:r>
            <w:r>
              <w:rPr>
                <w:rStyle w:val="IndexLink"/>
                <w:rtl w:val="true"/>
              </w:rPr>
              <w:tab/>
            </w:r>
            <w:r>
              <w:rPr>
                <w:rStyle w:val="IndexLink"/>
              </w:rPr>
              <w:t>97</w:t>
            </w:r>
          </w:hyperlink>
        </w:p>
        <w:p>
          <w:pPr>
            <w:pStyle w:val="Contents3"/>
            <w:tabs>
              <w:tab w:val="clear" w:pos="8459"/>
              <w:tab w:val="right" w:pos="9026" w:leader="dot"/>
            </w:tabs>
            <w:rPr/>
          </w:pPr>
          <w:hyperlink w:anchor="__RefHeading___Toc540998_1395250215">
            <w:r>
              <w:rPr>
                <w:webHidden/>
                <w:rStyle w:val="IndexLink"/>
                <w:rtl w:val="true"/>
              </w:rPr>
              <w:t>درآمد</w:t>
            </w:r>
            <w:r>
              <w:rPr>
                <w:rStyle w:val="IndexLink"/>
                <w:rtl w:val="true"/>
              </w:rPr>
              <w:tab/>
            </w:r>
            <w:r>
              <w:rPr>
                <w:rStyle w:val="IndexLink"/>
              </w:rPr>
              <w:t>98</w:t>
            </w:r>
          </w:hyperlink>
        </w:p>
        <w:p>
          <w:pPr>
            <w:pStyle w:val="Contents3"/>
            <w:tabs>
              <w:tab w:val="clear" w:pos="8459"/>
              <w:tab w:val="right" w:pos="9026" w:leader="dot"/>
            </w:tabs>
            <w:rPr/>
          </w:pPr>
          <w:hyperlink w:anchor="__RefHeading___Toc541000_1395250215">
            <w:r>
              <w:rPr>
                <w:webHidden/>
                <w:rStyle w:val="IndexLink"/>
                <w:rtl w:val="true"/>
              </w:rPr>
              <w:t>معرفت و ابزار شناخت</w:t>
            </w:r>
            <w:r>
              <w:rPr>
                <w:rStyle w:val="IndexLink"/>
                <w:rtl w:val="true"/>
              </w:rPr>
              <w:tab/>
            </w:r>
            <w:r>
              <w:rPr>
                <w:rStyle w:val="IndexLink"/>
              </w:rPr>
              <w:t>99</w:t>
            </w:r>
          </w:hyperlink>
        </w:p>
        <w:p>
          <w:pPr>
            <w:pStyle w:val="Contents3"/>
            <w:tabs>
              <w:tab w:val="clear" w:pos="8459"/>
              <w:tab w:val="right" w:pos="9026" w:leader="dot"/>
            </w:tabs>
            <w:rPr/>
          </w:pPr>
          <w:hyperlink w:anchor="__RefHeading___Toc541002_1395250215">
            <w:r>
              <w:rPr>
                <w:webHidden/>
                <w:rStyle w:val="IndexLink"/>
                <w:rtl w:val="true"/>
              </w:rPr>
              <w:t>خداشناسی</w:t>
            </w:r>
            <w:r>
              <w:rPr>
                <w:rStyle w:val="IndexLink"/>
                <w:rtl w:val="true"/>
              </w:rPr>
              <w:tab/>
            </w:r>
            <w:r>
              <w:rPr>
                <w:rStyle w:val="IndexLink"/>
              </w:rPr>
              <w:t>102</w:t>
            </w:r>
          </w:hyperlink>
        </w:p>
        <w:p>
          <w:pPr>
            <w:pStyle w:val="Contents3"/>
            <w:tabs>
              <w:tab w:val="clear" w:pos="8459"/>
              <w:tab w:val="right" w:pos="9026" w:leader="dot"/>
            </w:tabs>
            <w:rPr/>
          </w:pPr>
          <w:hyperlink w:anchor="__RefHeading___Toc541004_1395250215">
            <w:r>
              <w:rPr>
                <w:webHidden/>
                <w:rStyle w:val="IndexLink"/>
                <w:rtl w:val="true"/>
              </w:rPr>
              <w:t>جهان‌شناسی</w:t>
            </w:r>
            <w:r>
              <w:rPr>
                <w:rStyle w:val="IndexLink"/>
                <w:rtl w:val="true"/>
              </w:rPr>
              <w:tab/>
            </w:r>
            <w:r>
              <w:rPr>
                <w:rStyle w:val="IndexLink"/>
              </w:rPr>
              <w:t>103</w:t>
            </w:r>
          </w:hyperlink>
        </w:p>
        <w:p>
          <w:pPr>
            <w:pStyle w:val="Contents3"/>
            <w:tabs>
              <w:tab w:val="clear" w:pos="8459"/>
              <w:tab w:val="right" w:pos="9026" w:leader="dot"/>
            </w:tabs>
            <w:rPr/>
          </w:pPr>
          <w:hyperlink w:anchor="__RefHeading___Toc541006_1395250215">
            <w:r>
              <w:rPr>
                <w:webHidden/>
                <w:rStyle w:val="IndexLink"/>
                <w:rtl w:val="true"/>
              </w:rPr>
              <w:t>حرکت و سکون عالم</w:t>
            </w:r>
            <w:r>
              <w:rPr>
                <w:rStyle w:val="IndexLink"/>
                <w:rtl w:val="true"/>
              </w:rPr>
              <w:tab/>
            </w:r>
            <w:r>
              <w:rPr>
                <w:rStyle w:val="IndexLink"/>
              </w:rPr>
              <w:t>104</w:t>
            </w:r>
          </w:hyperlink>
        </w:p>
        <w:p>
          <w:pPr>
            <w:pStyle w:val="Contents3"/>
            <w:tabs>
              <w:tab w:val="clear" w:pos="8459"/>
              <w:tab w:val="right" w:pos="9026" w:leader="dot"/>
            </w:tabs>
            <w:rPr/>
          </w:pPr>
          <w:hyperlink w:anchor="__RefHeading___Toc541008_1395250215">
            <w:r>
              <w:rPr>
                <w:webHidden/>
                <w:rStyle w:val="IndexLink"/>
                <w:rtl w:val="true"/>
              </w:rPr>
              <w:t>طبایع اربعه</w:t>
            </w:r>
            <w:r>
              <w:rPr>
                <w:rStyle w:val="IndexLink"/>
                <w:rtl w:val="true"/>
              </w:rPr>
              <w:tab/>
            </w:r>
            <w:r>
              <w:rPr>
                <w:rStyle w:val="IndexLink"/>
              </w:rPr>
              <w:t>104</w:t>
            </w:r>
          </w:hyperlink>
        </w:p>
        <w:p>
          <w:pPr>
            <w:pStyle w:val="Contents3"/>
            <w:tabs>
              <w:tab w:val="clear" w:pos="8459"/>
              <w:tab w:val="right" w:pos="9026" w:leader="dot"/>
            </w:tabs>
            <w:rPr/>
          </w:pPr>
          <w:hyperlink w:anchor="__RefHeading___Toc541010_1395250215">
            <w:r>
              <w:rPr>
                <w:webHidden/>
                <w:rStyle w:val="IndexLink"/>
                <w:rtl w:val="true"/>
              </w:rPr>
              <w:t>بقای جواهر</w:t>
            </w:r>
            <w:r>
              <w:rPr>
                <w:rStyle w:val="IndexLink"/>
                <w:rtl w:val="true"/>
              </w:rPr>
              <w:tab/>
            </w:r>
            <w:r>
              <w:rPr>
                <w:rStyle w:val="IndexLink"/>
              </w:rPr>
              <w:t>104</w:t>
            </w:r>
          </w:hyperlink>
        </w:p>
        <w:p>
          <w:pPr>
            <w:pStyle w:val="Contents3"/>
            <w:tabs>
              <w:tab w:val="clear" w:pos="8459"/>
              <w:tab w:val="right" w:pos="9026" w:leader="dot"/>
            </w:tabs>
            <w:rPr/>
          </w:pPr>
          <w:hyperlink w:anchor="__RefHeading___Toc541012_1395250215">
            <w:r>
              <w:rPr>
                <w:webHidden/>
                <w:rStyle w:val="IndexLink"/>
                <w:rtl w:val="true"/>
              </w:rPr>
              <w:t>مکان</w:t>
            </w:r>
            <w:r>
              <w:rPr>
                <w:rStyle w:val="IndexLink"/>
                <w:rtl w:val="true"/>
              </w:rPr>
              <w:tab/>
            </w:r>
            <w:r>
              <w:rPr>
                <w:rStyle w:val="IndexLink"/>
              </w:rPr>
              <w:t>104</w:t>
            </w:r>
          </w:hyperlink>
        </w:p>
        <w:p>
          <w:pPr>
            <w:pStyle w:val="Contents3"/>
            <w:tabs>
              <w:tab w:val="clear" w:pos="8459"/>
              <w:tab w:val="right" w:pos="9026" w:leader="dot"/>
            </w:tabs>
            <w:rPr/>
          </w:pPr>
          <w:hyperlink w:anchor="__RefHeading___Toc541014_1395250215">
            <w:r>
              <w:rPr>
                <w:webHidden/>
                <w:rStyle w:val="IndexLink"/>
                <w:rtl w:val="true"/>
              </w:rPr>
              <w:t>عدل الهی</w:t>
            </w:r>
            <w:r>
              <w:rPr>
                <w:rStyle w:val="IndexLink"/>
                <w:rtl w:val="true"/>
              </w:rPr>
              <w:tab/>
            </w:r>
            <w:r>
              <w:rPr>
                <w:rStyle w:val="IndexLink"/>
              </w:rPr>
              <w:t>105</w:t>
            </w:r>
          </w:hyperlink>
        </w:p>
        <w:p>
          <w:pPr>
            <w:pStyle w:val="Contents3"/>
            <w:tabs>
              <w:tab w:val="clear" w:pos="8459"/>
              <w:tab w:val="right" w:pos="9026" w:leader="dot"/>
            </w:tabs>
            <w:rPr/>
          </w:pPr>
          <w:hyperlink w:anchor="__RefHeading___Toc541016_1395250215">
            <w:r>
              <w:rPr>
                <w:webHidden/>
                <w:rStyle w:val="IndexLink"/>
                <w:rtl w:val="true"/>
              </w:rPr>
              <w:t>حقیقتِ انسان</w:t>
            </w:r>
            <w:r>
              <w:rPr>
                <w:rStyle w:val="IndexLink"/>
                <w:rtl w:val="true"/>
              </w:rPr>
              <w:tab/>
            </w:r>
            <w:r>
              <w:rPr>
                <w:rStyle w:val="IndexLink"/>
              </w:rPr>
              <w:t>105</w:t>
            </w:r>
          </w:hyperlink>
        </w:p>
        <w:p>
          <w:pPr>
            <w:pStyle w:val="Contents3"/>
            <w:tabs>
              <w:tab w:val="clear" w:pos="8459"/>
              <w:tab w:val="right" w:pos="9026" w:leader="dot"/>
            </w:tabs>
            <w:rPr/>
          </w:pPr>
          <w:hyperlink w:anchor="__RefHeading___Toc541018_1395250215">
            <w:r>
              <w:rPr>
                <w:webHidden/>
                <w:rStyle w:val="IndexLink"/>
                <w:rtl w:val="true"/>
              </w:rPr>
              <w:t>استطاعت</w:t>
            </w:r>
            <w:r>
              <w:rPr>
                <w:rStyle w:val="IndexLink"/>
                <w:rtl w:val="true"/>
              </w:rPr>
              <w:tab/>
            </w:r>
            <w:r>
              <w:rPr>
                <w:rStyle w:val="IndexLink"/>
              </w:rPr>
              <w:t>106</w:t>
            </w:r>
          </w:hyperlink>
        </w:p>
        <w:p>
          <w:pPr>
            <w:pStyle w:val="Contents3"/>
            <w:tabs>
              <w:tab w:val="clear" w:pos="8459"/>
              <w:tab w:val="right" w:pos="9026" w:leader="dot"/>
            </w:tabs>
            <w:rPr/>
          </w:pPr>
          <w:hyperlink w:anchor="__RefHeading___Toc541020_1395250215">
            <w:r>
              <w:rPr>
                <w:webHidden/>
                <w:rStyle w:val="IndexLink"/>
                <w:rtl w:val="true"/>
              </w:rPr>
              <w:t>ایمان و اسما و احکام</w:t>
            </w:r>
            <w:r>
              <w:rPr>
                <w:rStyle w:val="IndexLink"/>
                <w:rtl w:val="true"/>
              </w:rPr>
              <w:tab/>
            </w:r>
            <w:r>
              <w:rPr>
                <w:rStyle w:val="IndexLink"/>
              </w:rPr>
              <w:t>108</w:t>
            </w:r>
          </w:hyperlink>
        </w:p>
        <w:p>
          <w:pPr>
            <w:pStyle w:val="Contents3"/>
            <w:tabs>
              <w:tab w:val="clear" w:pos="8459"/>
              <w:tab w:val="right" w:pos="9026" w:leader="dot"/>
            </w:tabs>
            <w:rPr/>
          </w:pPr>
          <w:hyperlink w:anchor="__RefHeading___Toc541022_1395250215">
            <w:r>
              <w:rPr>
                <w:webHidden/>
                <w:rStyle w:val="IndexLink"/>
                <w:rtl w:val="true"/>
              </w:rPr>
              <w:t>وعید</w:t>
            </w:r>
            <w:r>
              <w:rPr>
                <w:rStyle w:val="IndexLink"/>
                <w:rtl w:val="true"/>
              </w:rPr>
              <w:tab/>
            </w:r>
            <w:r>
              <w:rPr>
                <w:rStyle w:val="IndexLink"/>
              </w:rPr>
              <w:t>109</w:t>
            </w:r>
          </w:hyperlink>
        </w:p>
        <w:p>
          <w:pPr>
            <w:pStyle w:val="Contents3"/>
            <w:tabs>
              <w:tab w:val="clear" w:pos="8459"/>
              <w:tab w:val="right" w:pos="9026" w:leader="dot"/>
            </w:tabs>
            <w:rPr/>
          </w:pPr>
          <w:hyperlink w:anchor="__RefHeading___Toc541024_1395250215">
            <w:r>
              <w:rPr>
                <w:webHidden/>
                <w:rStyle w:val="IndexLink"/>
                <w:rtl w:val="true"/>
              </w:rPr>
              <w:t>موافات</w:t>
            </w:r>
            <w:r>
              <w:rPr>
                <w:rStyle w:val="IndexLink"/>
                <w:rtl w:val="true"/>
              </w:rPr>
              <w:tab/>
            </w:r>
            <w:r>
              <w:rPr>
                <w:rStyle w:val="IndexLink"/>
              </w:rPr>
              <w:t>110</w:t>
            </w:r>
          </w:hyperlink>
        </w:p>
        <w:p>
          <w:pPr>
            <w:pStyle w:val="Contents3"/>
            <w:tabs>
              <w:tab w:val="clear" w:pos="8459"/>
              <w:tab w:val="right" w:pos="9026" w:leader="dot"/>
            </w:tabs>
            <w:rPr/>
          </w:pPr>
          <w:hyperlink w:anchor="__RefHeading___Toc541026_1395250215">
            <w:r>
              <w:rPr>
                <w:webHidden/>
                <w:rStyle w:val="IndexLink"/>
                <w:rtl w:val="true"/>
              </w:rPr>
              <w:t>احباط</w:t>
            </w:r>
            <w:r>
              <w:rPr>
                <w:rStyle w:val="IndexLink"/>
                <w:rtl w:val="true"/>
              </w:rPr>
              <w:tab/>
            </w:r>
            <w:r>
              <w:rPr>
                <w:rStyle w:val="IndexLink"/>
              </w:rPr>
              <w:t>111</w:t>
            </w:r>
          </w:hyperlink>
        </w:p>
        <w:p>
          <w:pPr>
            <w:pStyle w:val="Contents3"/>
            <w:tabs>
              <w:tab w:val="clear" w:pos="8459"/>
              <w:tab w:val="right" w:pos="9026" w:leader="dot"/>
            </w:tabs>
            <w:rPr/>
          </w:pPr>
          <w:hyperlink w:anchor="__RefHeading___Toc541028_1395250215">
            <w:r>
              <w:rPr>
                <w:webHidden/>
                <w:rStyle w:val="IndexLink"/>
                <w:rtl w:val="true"/>
              </w:rPr>
              <w:t>گناهان صغیره و کبیره</w:t>
            </w:r>
            <w:r>
              <w:rPr>
                <w:rStyle w:val="IndexLink"/>
                <w:rtl w:val="true"/>
              </w:rPr>
              <w:tab/>
            </w:r>
            <w:r>
              <w:rPr>
                <w:rStyle w:val="IndexLink"/>
              </w:rPr>
              <w:t>112</w:t>
            </w:r>
          </w:hyperlink>
        </w:p>
        <w:p>
          <w:pPr>
            <w:pStyle w:val="Contents3"/>
            <w:tabs>
              <w:tab w:val="clear" w:pos="8459"/>
              <w:tab w:val="right" w:pos="9026" w:leader="dot"/>
            </w:tabs>
            <w:rPr/>
          </w:pPr>
          <w:hyperlink w:anchor="__RefHeading___Toc541030_1395250215">
            <w:r>
              <w:rPr>
                <w:webHidden/>
                <w:rStyle w:val="IndexLink"/>
                <w:rtl w:val="true"/>
              </w:rPr>
              <w:t>معرفت و طاعت کفار</w:t>
            </w:r>
            <w:r>
              <w:rPr>
                <w:rStyle w:val="IndexLink"/>
                <w:rtl w:val="true"/>
              </w:rPr>
              <w:tab/>
            </w:r>
            <w:r>
              <w:rPr>
                <w:rStyle w:val="IndexLink"/>
              </w:rPr>
              <w:t>112</w:t>
            </w:r>
          </w:hyperlink>
        </w:p>
        <w:p>
          <w:pPr>
            <w:pStyle w:val="Contents3"/>
            <w:tabs>
              <w:tab w:val="clear" w:pos="8459"/>
              <w:tab w:val="right" w:pos="9026" w:leader="dot"/>
            </w:tabs>
            <w:rPr/>
          </w:pPr>
          <w:hyperlink w:anchor="__RefHeading___Toc541032_1395250215">
            <w:r>
              <w:rPr>
                <w:webHidden/>
                <w:rStyle w:val="IndexLink"/>
                <w:rtl w:val="true"/>
              </w:rPr>
              <w:t>أعواض</w:t>
            </w:r>
            <w:r>
              <w:rPr>
                <w:rStyle w:val="IndexLink"/>
                <w:rtl w:val="true"/>
              </w:rPr>
              <w:tab/>
            </w:r>
            <w:r>
              <w:rPr>
                <w:rStyle w:val="IndexLink"/>
              </w:rPr>
              <w:t>114</w:t>
            </w:r>
          </w:hyperlink>
        </w:p>
        <w:p>
          <w:pPr>
            <w:pStyle w:val="Contents3"/>
            <w:tabs>
              <w:tab w:val="clear" w:pos="8459"/>
              <w:tab w:val="right" w:pos="9026" w:leader="dot"/>
            </w:tabs>
            <w:rPr/>
          </w:pPr>
          <w:hyperlink w:anchor="__RefHeading___Toc541034_1395250215">
            <w:r>
              <w:rPr>
                <w:webHidden/>
                <w:rStyle w:val="IndexLink"/>
                <w:rtl w:val="true"/>
              </w:rPr>
              <w:t>پیامبرشناسی</w:t>
            </w:r>
            <w:r>
              <w:rPr>
                <w:rStyle w:val="IndexLink"/>
                <w:rtl w:val="true"/>
              </w:rPr>
              <w:tab/>
            </w:r>
            <w:r>
              <w:rPr>
                <w:rStyle w:val="IndexLink"/>
              </w:rPr>
              <w:t>114</w:t>
            </w:r>
          </w:hyperlink>
        </w:p>
        <w:p>
          <w:pPr>
            <w:pStyle w:val="Contents3"/>
            <w:tabs>
              <w:tab w:val="clear" w:pos="8459"/>
              <w:tab w:val="right" w:pos="9026" w:leader="dot"/>
            </w:tabs>
            <w:rPr/>
          </w:pPr>
          <w:hyperlink w:anchor="__RefHeading___Toc541036_1395250215">
            <w:r>
              <w:rPr>
                <w:webHidden/>
                <w:rStyle w:val="IndexLink"/>
                <w:rtl w:val="true"/>
              </w:rPr>
              <w:t>«</w:t>
            </w:r>
            <w:r>
              <w:rPr>
                <w:rStyle w:val="IndexLink"/>
                <w:rtl w:val="true"/>
              </w:rPr>
              <w:t>نبوت</w:t>
            </w:r>
            <w:r>
              <w:rPr>
                <w:rStyle w:val="IndexLink"/>
                <w:rtl w:val="true"/>
              </w:rPr>
              <w:t xml:space="preserve">» </w:t>
            </w:r>
            <w:r>
              <w:rPr>
                <w:rStyle w:val="IndexLink"/>
                <w:rtl w:val="true"/>
              </w:rPr>
              <w:t>تفضل است یا استحقاق؟</w:t>
            </w:r>
            <w:r>
              <w:rPr>
                <w:rStyle w:val="IndexLink"/>
                <w:rtl w:val="true"/>
              </w:rPr>
              <w:tab/>
            </w:r>
            <w:r>
              <w:rPr>
                <w:rStyle w:val="IndexLink"/>
              </w:rPr>
              <w:t>114</w:t>
            </w:r>
          </w:hyperlink>
        </w:p>
        <w:p>
          <w:pPr>
            <w:pStyle w:val="Contents3"/>
            <w:tabs>
              <w:tab w:val="clear" w:pos="8459"/>
              <w:tab w:val="right" w:pos="9026" w:leader="dot"/>
            </w:tabs>
            <w:rPr/>
          </w:pPr>
          <w:hyperlink w:anchor="__RefHeading___Toc541038_1395250215">
            <w:r>
              <w:rPr>
                <w:webHidden/>
                <w:rStyle w:val="IndexLink"/>
                <w:rtl w:val="true"/>
              </w:rPr>
              <w:t>تحریف قرآن</w:t>
            </w:r>
            <w:r>
              <w:rPr>
                <w:rStyle w:val="IndexLink"/>
                <w:rtl w:val="true"/>
              </w:rPr>
              <w:tab/>
            </w:r>
            <w:r>
              <w:rPr>
                <w:rStyle w:val="IndexLink"/>
              </w:rPr>
              <w:t>115</w:t>
            </w:r>
          </w:hyperlink>
        </w:p>
        <w:p>
          <w:pPr>
            <w:pStyle w:val="Contents3"/>
            <w:tabs>
              <w:tab w:val="clear" w:pos="8459"/>
              <w:tab w:val="right" w:pos="9026" w:leader="dot"/>
            </w:tabs>
            <w:rPr/>
          </w:pPr>
          <w:hyperlink w:anchor="__RefHeading___Toc541040_1395250215">
            <w:r>
              <w:rPr>
                <w:webHidden/>
                <w:rStyle w:val="IndexLink"/>
                <w:rtl w:val="true"/>
              </w:rPr>
              <w:t>امام</w:t>
            </w:r>
            <w:r>
              <w:rPr>
                <w:rStyle w:val="IndexLink"/>
                <w:rtl w:val="true"/>
              </w:rPr>
              <w:t>¬</w:t>
            </w:r>
            <w:r>
              <w:rPr>
                <w:rStyle w:val="IndexLink"/>
                <w:rtl w:val="true"/>
              </w:rPr>
              <w:t>شناسی</w:t>
            </w:r>
            <w:r>
              <w:rPr>
                <w:rStyle w:val="IndexLink"/>
                <w:rtl w:val="true"/>
              </w:rPr>
              <w:tab/>
            </w:r>
            <w:r>
              <w:rPr>
                <w:rStyle w:val="IndexLink"/>
              </w:rPr>
              <w:t>117</w:t>
            </w:r>
          </w:hyperlink>
        </w:p>
        <w:p>
          <w:pPr>
            <w:pStyle w:val="Contents3"/>
            <w:tabs>
              <w:tab w:val="clear" w:pos="8459"/>
              <w:tab w:val="right" w:pos="9026" w:leader="dot"/>
            </w:tabs>
            <w:rPr/>
          </w:pPr>
          <w:hyperlink w:anchor="__RefHeading___Toc541042_1395250215">
            <w:r>
              <w:rPr>
                <w:webHidden/>
                <w:rStyle w:val="IndexLink"/>
                <w:rtl w:val="true"/>
              </w:rPr>
              <w:t>راه شناخت امام</w:t>
            </w:r>
            <w:r>
              <w:rPr>
                <w:rStyle w:val="IndexLink"/>
                <w:rtl w:val="true"/>
              </w:rPr>
              <w:tab/>
            </w:r>
            <w:r>
              <w:rPr>
                <w:rStyle w:val="IndexLink"/>
              </w:rPr>
              <w:t>118</w:t>
            </w:r>
          </w:hyperlink>
        </w:p>
        <w:p>
          <w:pPr>
            <w:pStyle w:val="Contents3"/>
            <w:tabs>
              <w:tab w:val="clear" w:pos="8459"/>
              <w:tab w:val="right" w:pos="9026" w:leader="dot"/>
            </w:tabs>
            <w:rPr/>
          </w:pPr>
          <w:hyperlink w:anchor="__RefHeading___Toc541044_1395250215">
            <w:r>
              <w:rPr>
                <w:webHidden/>
                <w:rStyle w:val="IndexLink"/>
                <w:rtl w:val="true"/>
              </w:rPr>
              <w:t>علمِ امام</w:t>
            </w:r>
            <w:r>
              <w:rPr>
                <w:rStyle w:val="IndexLink"/>
                <w:rtl w:val="true"/>
              </w:rPr>
              <w:tab/>
            </w:r>
            <w:r>
              <w:rPr>
                <w:rStyle w:val="IndexLink"/>
              </w:rPr>
              <w:t>118</w:t>
            </w:r>
          </w:hyperlink>
        </w:p>
        <w:p>
          <w:pPr>
            <w:pStyle w:val="Contents3"/>
            <w:tabs>
              <w:tab w:val="clear" w:pos="8459"/>
              <w:tab w:val="right" w:pos="9026" w:leader="dot"/>
            </w:tabs>
            <w:rPr/>
          </w:pPr>
          <w:hyperlink w:anchor="__RefHeading___Toc541046_1395250215">
            <w:r>
              <w:rPr>
                <w:webHidden/>
                <w:rStyle w:val="IndexLink"/>
                <w:rtl w:val="true"/>
              </w:rPr>
              <w:t>اعجازِ امام</w:t>
            </w:r>
            <w:r>
              <w:rPr>
                <w:rStyle w:val="IndexLink"/>
                <w:rtl w:val="true"/>
              </w:rPr>
              <w:tab/>
            </w:r>
            <w:r>
              <w:rPr>
                <w:rStyle w:val="IndexLink"/>
              </w:rPr>
              <w:t>119</w:t>
            </w:r>
          </w:hyperlink>
        </w:p>
        <w:p>
          <w:pPr>
            <w:pStyle w:val="Contents3"/>
            <w:tabs>
              <w:tab w:val="clear" w:pos="8459"/>
              <w:tab w:val="right" w:pos="9026" w:leader="dot"/>
            </w:tabs>
            <w:rPr/>
          </w:pPr>
          <w:hyperlink w:anchor="__RefHeading___Toc541048_1395250215">
            <w:r>
              <w:rPr>
                <w:webHidden/>
                <w:rStyle w:val="IndexLink"/>
                <w:rtl w:val="true"/>
              </w:rPr>
              <w:t>ارتباط امام با فرشتگان</w:t>
            </w:r>
            <w:r>
              <w:rPr>
                <w:rStyle w:val="IndexLink"/>
                <w:rtl w:val="true"/>
              </w:rPr>
              <w:tab/>
            </w:r>
            <w:r>
              <w:rPr>
                <w:rStyle w:val="IndexLink"/>
              </w:rPr>
              <w:t>121</w:t>
            </w:r>
          </w:hyperlink>
        </w:p>
        <w:p>
          <w:pPr>
            <w:pStyle w:val="Contents3"/>
            <w:tabs>
              <w:tab w:val="clear" w:pos="8459"/>
              <w:tab w:val="right" w:pos="9026" w:leader="dot"/>
            </w:tabs>
            <w:rPr/>
          </w:pPr>
          <w:hyperlink w:anchor="__RefHeading___Toc541050_1395250215">
            <w:r>
              <w:rPr>
                <w:webHidden/>
                <w:rStyle w:val="IndexLink"/>
                <w:rtl w:val="true"/>
              </w:rPr>
              <w:t>انبیا و امامان پس از رحلت</w:t>
            </w:r>
            <w:r>
              <w:rPr>
                <w:rStyle w:val="IndexLink"/>
                <w:rtl w:val="true"/>
              </w:rPr>
              <w:tab/>
            </w:r>
            <w:r>
              <w:rPr>
                <w:rStyle w:val="IndexLink"/>
              </w:rPr>
              <w:t>121</w:t>
            </w:r>
          </w:hyperlink>
        </w:p>
        <w:p>
          <w:pPr>
            <w:pStyle w:val="Contents3"/>
            <w:tabs>
              <w:tab w:val="clear" w:pos="8459"/>
              <w:tab w:val="right" w:pos="9026" w:leader="dot"/>
            </w:tabs>
            <w:rPr/>
          </w:pPr>
          <w:hyperlink w:anchor="__RefHeading___Toc541052_1395250215">
            <w:r>
              <w:rPr>
                <w:webHidden/>
                <w:rStyle w:val="IndexLink"/>
                <w:rtl w:val="true"/>
              </w:rPr>
              <w:t>انتخاب کارگزاران امام</w:t>
            </w:r>
            <w:r>
              <w:rPr>
                <w:rStyle w:val="IndexLink"/>
                <w:rtl w:val="true"/>
              </w:rPr>
              <w:tab/>
            </w:r>
            <w:r>
              <w:rPr>
                <w:rStyle w:val="IndexLink"/>
              </w:rPr>
              <w:t>122</w:t>
            </w:r>
          </w:hyperlink>
        </w:p>
        <w:p>
          <w:pPr>
            <w:pStyle w:val="Contents3"/>
            <w:tabs>
              <w:tab w:val="clear" w:pos="8459"/>
              <w:tab w:val="right" w:pos="9026" w:leader="dot"/>
            </w:tabs>
            <w:rPr/>
          </w:pPr>
          <w:hyperlink w:anchor="__RefHeading___Toc541054_1395250215">
            <w:r>
              <w:rPr>
                <w:webHidden/>
                <w:rStyle w:val="IndexLink"/>
                <w:rtl w:val="true"/>
              </w:rPr>
              <w:t>نتیجه</w:t>
            </w:r>
            <w:r>
              <w:rPr>
                <w:rStyle w:val="IndexLink"/>
                <w:rtl w:val="true"/>
              </w:rPr>
              <w:t>¬</w:t>
            </w:r>
            <w:r>
              <w:rPr>
                <w:rStyle w:val="IndexLink"/>
                <w:rtl w:val="true"/>
              </w:rPr>
              <w:t>گیری</w:t>
            </w:r>
            <w:r>
              <w:rPr>
                <w:rStyle w:val="IndexLink"/>
                <w:rtl w:val="true"/>
              </w:rPr>
              <w:tab/>
            </w:r>
            <w:r>
              <w:rPr>
                <w:rStyle w:val="IndexLink"/>
              </w:rPr>
              <w:t>122</w:t>
            </w:r>
          </w:hyperlink>
        </w:p>
        <w:p>
          <w:pPr>
            <w:pStyle w:val="Contents3"/>
            <w:tabs>
              <w:tab w:val="clear" w:pos="8459"/>
              <w:tab w:val="right" w:pos="9026" w:leader="dot"/>
            </w:tabs>
            <w:rPr/>
          </w:pPr>
          <w:hyperlink w:anchor="__RefHeading___Toc541056_1395250215">
            <w:r>
              <w:rPr>
                <w:webHidden/>
                <w:rStyle w:val="IndexLink"/>
                <w:rtl w:val="true"/>
              </w:rPr>
              <w:t>منابع</w:t>
            </w:r>
            <w:r>
              <w:rPr>
                <w:rStyle w:val="IndexLink"/>
                <w:rtl w:val="true"/>
              </w:rPr>
              <w:tab/>
            </w:r>
            <w:r>
              <w:rPr>
                <w:rStyle w:val="IndexLink"/>
              </w:rPr>
              <w:t>124</w:t>
            </w:r>
          </w:hyperlink>
        </w:p>
        <w:p>
          <w:pPr>
            <w:pStyle w:val="Contents2"/>
            <w:tabs>
              <w:tab w:val="clear" w:pos="8743"/>
              <w:tab w:val="right" w:pos="9026" w:leader="dot"/>
            </w:tabs>
            <w:rPr/>
          </w:pPr>
          <w:hyperlink w:anchor="__RefHeading___Toc541058_1395250215">
            <w:r>
              <w:rPr>
                <w:webHidden/>
                <w:rStyle w:val="IndexLink"/>
                <w:rtl w:val="true"/>
              </w:rPr>
              <w:t>مراحل تبیین اصل امامت در عصر حضور</w:t>
            </w:r>
            <w:r>
              <w:rPr>
                <w:rStyle w:val="IndexLink"/>
                <w:rtl w:val="true"/>
              </w:rPr>
              <w:tab/>
            </w:r>
            <w:r>
              <w:rPr>
                <w:rStyle w:val="IndexLink"/>
              </w:rPr>
              <w:t>128</w:t>
            </w:r>
          </w:hyperlink>
        </w:p>
        <w:p>
          <w:pPr>
            <w:pStyle w:val="Contents3"/>
            <w:tabs>
              <w:tab w:val="clear" w:pos="8459"/>
              <w:tab w:val="right" w:pos="9026" w:leader="dot"/>
            </w:tabs>
            <w:rPr/>
          </w:pPr>
          <w:hyperlink w:anchor="__RefHeading___Toc541060_1395250215">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41062_1395250215">
            <w:r>
              <w:rPr>
                <w:webHidden/>
                <w:rStyle w:val="IndexLink"/>
                <w:rtl w:val="true"/>
              </w:rPr>
              <w:t>چکیده</w:t>
            </w:r>
            <w:r>
              <w:rPr>
                <w:rStyle w:val="IndexLink"/>
                <w:rtl w:val="true"/>
              </w:rPr>
              <w:tab/>
            </w:r>
            <w:r>
              <w:rPr>
                <w:rStyle w:val="IndexLink"/>
              </w:rPr>
              <w:t>128</w:t>
            </w:r>
          </w:hyperlink>
        </w:p>
        <w:p>
          <w:pPr>
            <w:pStyle w:val="Contents3"/>
            <w:tabs>
              <w:tab w:val="clear" w:pos="8459"/>
              <w:tab w:val="right" w:pos="9026" w:leader="dot"/>
            </w:tabs>
            <w:rPr/>
          </w:pPr>
          <w:hyperlink w:anchor="__RefHeading___Toc541064_1395250215">
            <w:r>
              <w:rPr>
                <w:webHidden/>
                <w:rStyle w:val="IndexLink"/>
                <w:rtl w:val="true"/>
              </w:rPr>
              <w:t>واژگان کلیدی</w:t>
            </w:r>
            <w:r>
              <w:rPr>
                <w:rStyle w:val="IndexLink"/>
                <w:rtl w:val="true"/>
              </w:rPr>
              <w:tab/>
            </w:r>
            <w:r>
              <w:rPr>
                <w:rStyle w:val="IndexLink"/>
              </w:rPr>
              <w:t>128</w:t>
            </w:r>
          </w:hyperlink>
        </w:p>
        <w:p>
          <w:pPr>
            <w:pStyle w:val="Contents3"/>
            <w:tabs>
              <w:tab w:val="clear" w:pos="8459"/>
              <w:tab w:val="right" w:pos="9026" w:leader="dot"/>
            </w:tabs>
            <w:rPr/>
          </w:pPr>
          <w:hyperlink w:anchor="__RefHeading___Toc541066_1395250215">
            <w:r>
              <w:rPr>
                <w:webHidden/>
                <w:rStyle w:val="IndexLink"/>
                <w:rtl w:val="true"/>
              </w:rPr>
              <w:t>درآمد</w:t>
            </w:r>
            <w:r>
              <w:rPr>
                <w:rStyle w:val="IndexLink"/>
                <w:rtl w:val="true"/>
              </w:rPr>
              <w:tab/>
            </w:r>
            <w:r>
              <w:rPr>
                <w:rStyle w:val="IndexLink"/>
              </w:rPr>
              <w:t>129</w:t>
            </w:r>
          </w:hyperlink>
        </w:p>
        <w:p>
          <w:pPr>
            <w:pStyle w:val="Contents3"/>
            <w:tabs>
              <w:tab w:val="clear" w:pos="8459"/>
              <w:tab w:val="right" w:pos="9026" w:leader="dot"/>
            </w:tabs>
            <w:rPr/>
          </w:pPr>
          <w:hyperlink w:anchor="__RefHeading___Toc541068_1395250215">
            <w:r>
              <w:rPr>
                <w:webHidden/>
                <w:rStyle w:val="IndexLink"/>
                <w:rtl w:val="true"/>
              </w:rPr>
              <w:t xml:space="preserve">تبیین اصل </w:t>
            </w:r>
            <w:r>
              <w:rPr>
                <w:rStyle w:val="IndexLink"/>
                <w:rtl w:val="true"/>
              </w:rPr>
              <w:t>«</w:t>
            </w:r>
            <w:r>
              <w:rPr>
                <w:rStyle w:val="IndexLink"/>
                <w:rtl w:val="true"/>
              </w:rPr>
              <w:t>امامت</w:t>
            </w:r>
            <w:r>
              <w:rPr>
                <w:rStyle w:val="IndexLink"/>
                <w:rtl w:val="true"/>
              </w:rPr>
              <w:t xml:space="preserve">» </w:t>
            </w:r>
            <w:r>
              <w:rPr>
                <w:rStyle w:val="IndexLink"/>
                <w:rtl w:val="true"/>
              </w:rPr>
              <w:t>در چهار دوره</w:t>
            </w:r>
            <w:r>
              <w:rPr>
                <w:rStyle w:val="IndexLink"/>
                <w:rtl w:val="true"/>
              </w:rPr>
              <w:tab/>
            </w:r>
            <w:r>
              <w:rPr>
                <w:rStyle w:val="IndexLink"/>
              </w:rPr>
              <w:t>130</w:t>
            </w:r>
          </w:hyperlink>
        </w:p>
        <w:p>
          <w:pPr>
            <w:pStyle w:val="Contents4"/>
            <w:tabs>
              <w:tab w:val="clear" w:pos="8176"/>
              <w:tab w:val="right" w:pos="9026" w:leader="dot"/>
            </w:tabs>
            <w:rPr/>
          </w:pPr>
          <w:hyperlink w:anchor="__RefHeading___Toc541070_139525021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41072_1395250215">
            <w:r>
              <w:rPr>
                <w:webHidden/>
                <w:rStyle w:val="IndexLink"/>
              </w:rPr>
              <w:t>1</w:t>
            </w:r>
            <w:r>
              <w:rPr>
                <w:rStyle w:val="IndexLink"/>
                <w:rtl w:val="true"/>
              </w:rPr>
              <w:t>ـ دورۀ پیامبر اسلام تا پایان دورۀ امامت امام سجاد</w:t>
            </w:r>
            <w:r>
              <w:rPr>
                <w:rStyle w:val="IndexLink"/>
                <w:rtl w:val="true"/>
              </w:rPr>
              <w:t>(</w:t>
            </w:r>
            <w:r>
              <w:rPr>
                <w:rStyle w:val="IndexLink"/>
                <w:rtl w:val="true"/>
              </w:rPr>
              <w:t>ع</w:t>
            </w:r>
            <w:r>
              <w:rPr>
                <w:rStyle w:val="IndexLink"/>
                <w:rtl w:val="true"/>
              </w:rPr>
              <w:t>)</w:t>
              <w:tab/>
            </w:r>
            <w:r>
              <w:rPr>
                <w:rStyle w:val="IndexLink"/>
              </w:rPr>
              <w:t>130</w:t>
            </w:r>
          </w:hyperlink>
        </w:p>
        <w:p>
          <w:pPr>
            <w:pStyle w:val="Contents5"/>
            <w:tabs>
              <w:tab w:val="clear" w:pos="7892"/>
              <w:tab w:val="right" w:pos="9026" w:leader="dot"/>
            </w:tabs>
            <w:rPr/>
          </w:pPr>
          <w:hyperlink w:anchor="__RefHeading___Toc541074_139525021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541076_1395250215">
            <w:r>
              <w:rPr>
                <w:webHidden/>
                <w:rStyle w:val="IndexLink"/>
                <w:rtl w:val="true"/>
              </w:rPr>
              <w:t>الف</w:t>
            </w:r>
            <w:r>
              <w:rPr>
                <w:rStyle w:val="IndexLink"/>
                <w:rtl w:val="true"/>
              </w:rPr>
              <w:t xml:space="preserve">) </w:t>
            </w:r>
            <w:r>
              <w:rPr>
                <w:rStyle w:val="IndexLink"/>
                <w:rtl w:val="true"/>
              </w:rPr>
              <w:t>نمونه های قرآنی</w:t>
            </w:r>
            <w:r>
              <w:rPr>
                <w:rStyle w:val="IndexLink"/>
                <w:rtl w:val="true"/>
              </w:rPr>
              <w:tab/>
            </w:r>
            <w:r>
              <w:rPr>
                <w:rStyle w:val="IndexLink"/>
              </w:rPr>
              <w:t>131</w:t>
            </w:r>
          </w:hyperlink>
        </w:p>
        <w:p>
          <w:pPr>
            <w:pStyle w:val="Contents5"/>
            <w:tabs>
              <w:tab w:val="clear" w:pos="7892"/>
              <w:tab w:val="right" w:pos="9026" w:leader="dot"/>
            </w:tabs>
            <w:rPr/>
          </w:pPr>
          <w:hyperlink w:anchor="__RefHeading___Toc541078_1395250215">
            <w:r>
              <w:rPr>
                <w:webHidden/>
                <w:rStyle w:val="IndexLink"/>
                <w:rtl w:val="true"/>
              </w:rPr>
              <w:t>ب</w:t>
            </w:r>
            <w:r>
              <w:rPr>
                <w:rStyle w:val="IndexLink"/>
                <w:rtl w:val="true"/>
              </w:rPr>
              <w:t xml:space="preserve">) </w:t>
            </w:r>
            <w:r>
              <w:rPr>
                <w:rStyle w:val="IndexLink"/>
                <w:rtl w:val="true"/>
              </w:rPr>
              <w:t>نمونه هایی از روایات</w:t>
            </w:r>
            <w:r>
              <w:rPr>
                <w:rStyle w:val="IndexLink"/>
                <w:rtl w:val="true"/>
              </w:rPr>
              <w:tab/>
            </w:r>
            <w:r>
              <w:rPr>
                <w:rStyle w:val="IndexLink"/>
              </w:rPr>
              <w:t>132</w:t>
            </w:r>
          </w:hyperlink>
        </w:p>
        <w:p>
          <w:pPr>
            <w:pStyle w:val="Contents6"/>
            <w:tabs>
              <w:tab w:val="clear" w:pos="7609"/>
              <w:tab w:val="right" w:pos="9026" w:leader="dot"/>
            </w:tabs>
            <w:rPr/>
          </w:pPr>
          <w:hyperlink w:anchor="__RefHeading___Toc541080_1395250215">
            <w:r>
              <w:rPr>
                <w:webHidden/>
                <w:rStyle w:val="IndexLink"/>
                <w:rtl w:val="true"/>
              </w:rPr>
              <w:t>خلافت</w:t>
            </w:r>
            <w:r>
              <w:rPr>
                <w:rStyle w:val="IndexLink"/>
                <w:rtl w:val="true"/>
              </w:rPr>
              <w:tab/>
            </w:r>
            <w:r>
              <w:rPr>
                <w:rStyle w:val="IndexLink"/>
              </w:rPr>
              <w:t>132</w:t>
            </w:r>
          </w:hyperlink>
        </w:p>
        <w:p>
          <w:pPr>
            <w:pStyle w:val="Contents6"/>
            <w:tabs>
              <w:tab w:val="clear" w:pos="7609"/>
              <w:tab w:val="right" w:pos="9026" w:leader="dot"/>
            </w:tabs>
            <w:rPr/>
          </w:pPr>
          <w:hyperlink w:anchor="__RefHeading___Toc541082_1395250215">
            <w:r>
              <w:rPr>
                <w:webHidden/>
                <w:rStyle w:val="IndexLink"/>
                <w:rtl w:val="true"/>
              </w:rPr>
              <w:t>ولایت</w:t>
            </w:r>
            <w:r>
              <w:rPr>
                <w:rStyle w:val="IndexLink"/>
                <w:rtl w:val="true"/>
              </w:rPr>
              <w:tab/>
            </w:r>
            <w:r>
              <w:rPr>
                <w:rStyle w:val="IndexLink"/>
              </w:rPr>
              <w:t>133</w:t>
            </w:r>
          </w:hyperlink>
        </w:p>
        <w:p>
          <w:pPr>
            <w:pStyle w:val="Contents6"/>
            <w:tabs>
              <w:tab w:val="clear" w:pos="7609"/>
              <w:tab w:val="right" w:pos="9026" w:leader="dot"/>
            </w:tabs>
            <w:rPr/>
          </w:pPr>
          <w:hyperlink w:anchor="__RefHeading___Toc541084_1395250215">
            <w:r>
              <w:rPr>
                <w:webHidden/>
                <w:rStyle w:val="IndexLink"/>
                <w:rtl w:val="true"/>
              </w:rPr>
              <w:t>امامت و علم</w:t>
            </w:r>
            <w:r>
              <w:rPr>
                <w:rStyle w:val="IndexLink"/>
                <w:rtl w:val="true"/>
              </w:rPr>
              <w:tab/>
            </w:r>
            <w:r>
              <w:rPr>
                <w:rStyle w:val="IndexLink"/>
              </w:rPr>
              <w:t>134</w:t>
            </w:r>
          </w:hyperlink>
        </w:p>
        <w:p>
          <w:pPr>
            <w:pStyle w:val="Contents6"/>
            <w:tabs>
              <w:tab w:val="clear" w:pos="7609"/>
              <w:tab w:val="right" w:pos="9026" w:leader="dot"/>
            </w:tabs>
            <w:rPr/>
          </w:pPr>
          <w:hyperlink w:anchor="__RefHeading___Toc541086_1395250215">
            <w:r>
              <w:rPr>
                <w:webHidden/>
                <w:rStyle w:val="IndexLink"/>
                <w:rtl w:val="true"/>
              </w:rPr>
              <w:t>وراثت و وصیت</w:t>
            </w:r>
            <w:r>
              <w:rPr>
                <w:rStyle w:val="IndexLink"/>
                <w:rtl w:val="true"/>
              </w:rPr>
              <w:tab/>
            </w:r>
            <w:r>
              <w:rPr>
                <w:rStyle w:val="IndexLink"/>
              </w:rPr>
              <w:t>134</w:t>
            </w:r>
          </w:hyperlink>
        </w:p>
        <w:p>
          <w:pPr>
            <w:pStyle w:val="Contents6"/>
            <w:tabs>
              <w:tab w:val="clear" w:pos="7609"/>
              <w:tab w:val="right" w:pos="9026" w:leader="dot"/>
            </w:tabs>
            <w:rPr/>
          </w:pPr>
          <w:hyperlink w:anchor="__RefHeading___Toc541088_1395250215">
            <w:r>
              <w:rPr>
                <w:webHidden/>
                <w:rStyle w:val="IndexLink"/>
                <w:rtl w:val="true"/>
              </w:rPr>
              <w:t>عصمت</w:t>
            </w:r>
            <w:r>
              <w:rPr>
                <w:rStyle w:val="IndexLink"/>
                <w:rtl w:val="true"/>
              </w:rPr>
              <w:tab/>
            </w:r>
            <w:r>
              <w:rPr>
                <w:rStyle w:val="IndexLink"/>
              </w:rPr>
              <w:t>134</w:t>
            </w:r>
          </w:hyperlink>
        </w:p>
        <w:p>
          <w:pPr>
            <w:pStyle w:val="Contents4"/>
            <w:tabs>
              <w:tab w:val="clear" w:pos="8176"/>
              <w:tab w:val="right" w:pos="9026" w:leader="dot"/>
            </w:tabs>
            <w:rPr/>
          </w:pPr>
          <w:hyperlink w:anchor="__RefHeading___Toc541090_1395250215">
            <w:r>
              <w:rPr>
                <w:webHidden/>
                <w:rStyle w:val="IndexLink"/>
              </w:rPr>
              <w:t>2</w:t>
            </w:r>
            <w:r>
              <w:rPr>
                <w:rStyle w:val="IndexLink"/>
                <w:rtl w:val="true"/>
              </w:rPr>
              <w:t xml:space="preserve">. </w:t>
            </w:r>
            <w:r>
              <w:rPr>
                <w:rStyle w:val="IndexLink"/>
                <w:rtl w:val="true"/>
              </w:rPr>
              <w:t>دورۀ صادقین علیهما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541092_1395250215">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541094_1395250215">
            <w:r>
              <w:rPr>
                <w:webHidden/>
                <w:rStyle w:val="IndexLink"/>
                <w:rtl w:val="true"/>
              </w:rPr>
              <w:t>نصّ و نصب</w:t>
            </w:r>
            <w:r>
              <w:rPr>
                <w:rStyle w:val="IndexLink"/>
                <w:rtl w:val="true"/>
              </w:rPr>
              <w:tab/>
            </w:r>
            <w:r>
              <w:rPr>
                <w:rStyle w:val="IndexLink"/>
              </w:rPr>
              <w:t>136</w:t>
            </w:r>
          </w:hyperlink>
        </w:p>
        <w:p>
          <w:pPr>
            <w:pStyle w:val="Contents5"/>
            <w:tabs>
              <w:tab w:val="clear" w:pos="7892"/>
              <w:tab w:val="right" w:pos="9026" w:leader="dot"/>
            </w:tabs>
            <w:rPr/>
          </w:pPr>
          <w:hyperlink w:anchor="__RefHeading___Toc541096_1395250215">
            <w:r>
              <w:rPr>
                <w:webHidden/>
                <w:rStyle w:val="IndexLink"/>
                <w:rtl w:val="true"/>
              </w:rPr>
              <w:t>علم</w:t>
            </w:r>
            <w:r>
              <w:rPr>
                <w:rStyle w:val="IndexLink"/>
                <w:rtl w:val="true"/>
              </w:rPr>
              <w:tab/>
            </w:r>
            <w:r>
              <w:rPr>
                <w:rStyle w:val="IndexLink"/>
              </w:rPr>
              <w:t>136</w:t>
            </w:r>
          </w:hyperlink>
        </w:p>
        <w:p>
          <w:pPr>
            <w:pStyle w:val="Contents5"/>
            <w:tabs>
              <w:tab w:val="clear" w:pos="7892"/>
              <w:tab w:val="right" w:pos="9026" w:leader="dot"/>
            </w:tabs>
            <w:rPr/>
          </w:pPr>
          <w:hyperlink w:anchor="__RefHeading___Toc541098_1395250215">
            <w:r>
              <w:rPr>
                <w:webHidden/>
                <w:rStyle w:val="IndexLink"/>
                <w:rtl w:val="true"/>
              </w:rPr>
              <w:t>علم غیب</w:t>
            </w:r>
            <w:r>
              <w:rPr>
                <w:rStyle w:val="IndexLink"/>
                <w:rtl w:val="true"/>
              </w:rPr>
              <w:tab/>
            </w:r>
            <w:r>
              <w:rPr>
                <w:rStyle w:val="IndexLink"/>
              </w:rPr>
              <w:t>138</w:t>
            </w:r>
          </w:hyperlink>
        </w:p>
        <w:p>
          <w:pPr>
            <w:pStyle w:val="Contents5"/>
            <w:tabs>
              <w:tab w:val="clear" w:pos="7892"/>
              <w:tab w:val="right" w:pos="9026" w:leader="dot"/>
            </w:tabs>
            <w:rPr/>
          </w:pPr>
          <w:hyperlink w:anchor="__RefHeading___Toc541100_1395250215">
            <w:r>
              <w:rPr>
                <w:webHidden/>
                <w:rStyle w:val="IndexLink"/>
                <w:rtl w:val="true"/>
              </w:rPr>
              <w:t>عصمت</w:t>
            </w:r>
            <w:r>
              <w:rPr>
                <w:rStyle w:val="IndexLink"/>
                <w:rtl w:val="true"/>
              </w:rPr>
              <w:tab/>
            </w:r>
            <w:r>
              <w:rPr>
                <w:rStyle w:val="IndexLink"/>
              </w:rPr>
              <w:t>138</w:t>
            </w:r>
          </w:hyperlink>
        </w:p>
        <w:p>
          <w:pPr>
            <w:pStyle w:val="Contents4"/>
            <w:tabs>
              <w:tab w:val="clear" w:pos="8176"/>
              <w:tab w:val="right" w:pos="9026" w:leader="dot"/>
            </w:tabs>
            <w:rPr/>
          </w:pPr>
          <w:hyperlink w:anchor="__RefHeading___Toc541102_1395250215">
            <w:r>
              <w:rPr>
                <w:webHidden/>
                <w:rStyle w:val="IndexLink"/>
              </w:rPr>
              <w:t>3</w:t>
            </w:r>
            <w:r>
              <w:rPr>
                <w:rStyle w:val="IndexLink"/>
                <w:rtl w:val="true"/>
              </w:rPr>
              <w:t xml:space="preserve">. </w:t>
            </w:r>
            <w:r>
              <w:rPr>
                <w:rStyle w:val="IndexLink"/>
                <w:rtl w:val="true"/>
              </w:rPr>
              <w:t xml:space="preserve">دورۀ امام کاظم و امام رضا علیهماالسلام </w:t>
            </w:r>
            <w:r>
              <w:rPr>
                <w:rStyle w:val="IndexLink"/>
                <w:rtl w:val="true"/>
              </w:rPr>
              <w:t>(</w:t>
            </w:r>
            <w:r>
              <w:rPr>
                <w:rStyle w:val="IndexLink"/>
                <w:rtl w:val="true"/>
              </w:rPr>
              <w:t>تثبیت و تصحیح اندیشه</w:t>
            </w:r>
            <w:r>
              <w:rPr>
                <w:rStyle w:val="IndexLink"/>
                <w:rtl w:val="true"/>
              </w:rPr>
              <w:t>)</w:t>
              <w:tab/>
            </w:r>
            <w:r>
              <w:rPr>
                <w:rStyle w:val="IndexLink"/>
              </w:rPr>
              <w:t>139</w:t>
            </w:r>
          </w:hyperlink>
        </w:p>
        <w:p>
          <w:pPr>
            <w:pStyle w:val="Contents5"/>
            <w:tabs>
              <w:tab w:val="clear" w:pos="7892"/>
              <w:tab w:val="right" w:pos="9026" w:leader="dot"/>
            </w:tabs>
            <w:rPr/>
          </w:pPr>
          <w:hyperlink w:anchor="__RefHeading___Toc541104_139525021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41106_1395250215">
            <w:r>
              <w:rPr>
                <w:webHidden/>
                <w:rStyle w:val="IndexLink"/>
                <w:rtl w:val="true"/>
              </w:rPr>
              <w:t>نص، علم و عصمت</w:t>
            </w:r>
            <w:r>
              <w:rPr>
                <w:rStyle w:val="IndexLink"/>
                <w:rtl w:val="true"/>
              </w:rPr>
              <w:tab/>
            </w:r>
            <w:r>
              <w:rPr>
                <w:rStyle w:val="IndexLink"/>
              </w:rPr>
              <w:t>140</w:t>
            </w:r>
          </w:hyperlink>
        </w:p>
        <w:p>
          <w:pPr>
            <w:pStyle w:val="Contents5"/>
            <w:tabs>
              <w:tab w:val="clear" w:pos="7892"/>
              <w:tab w:val="right" w:pos="9026" w:leader="dot"/>
            </w:tabs>
            <w:rPr/>
          </w:pPr>
          <w:hyperlink w:anchor="__RefHeading___Toc541108_1395250215">
            <w:r>
              <w:rPr>
                <w:webHidden/>
                <w:rStyle w:val="IndexLink"/>
                <w:rtl w:val="true"/>
              </w:rPr>
              <w:t>سخنی جامع در باب امامت و صفات آن</w:t>
            </w:r>
            <w:r>
              <w:rPr>
                <w:rStyle w:val="IndexLink"/>
                <w:rtl w:val="true"/>
              </w:rPr>
              <w:tab/>
            </w:r>
            <w:r>
              <w:rPr>
                <w:rStyle w:val="IndexLink"/>
              </w:rPr>
              <w:t>142</w:t>
            </w:r>
          </w:hyperlink>
        </w:p>
        <w:p>
          <w:pPr>
            <w:pStyle w:val="Contents4"/>
            <w:tabs>
              <w:tab w:val="clear" w:pos="8176"/>
              <w:tab w:val="right" w:pos="9026" w:leader="dot"/>
            </w:tabs>
            <w:rPr/>
          </w:pPr>
          <w:hyperlink w:anchor="__RefHeading___Toc541110_1395250215">
            <w:r>
              <w:rPr>
                <w:webHidden/>
                <w:rStyle w:val="IndexLink"/>
              </w:rPr>
              <w:t>4</w:t>
            </w:r>
            <w:r>
              <w:rPr>
                <w:rStyle w:val="IndexLink"/>
                <w:rtl w:val="true"/>
              </w:rPr>
              <w:t xml:space="preserve">. </w:t>
            </w:r>
            <w:r>
              <w:rPr>
                <w:rStyle w:val="IndexLink"/>
                <w:rtl w:val="true"/>
              </w:rPr>
              <w:t>از دورۀ امام جواد</w:t>
            </w:r>
            <w:r>
              <w:rPr>
                <w:rStyle w:val="IndexLink"/>
                <w:rtl w:val="true"/>
              </w:rPr>
              <w:t>(</w:t>
            </w:r>
            <w:r>
              <w:rPr>
                <w:rStyle w:val="IndexLink"/>
                <w:rtl w:val="true"/>
              </w:rPr>
              <w:t>ع</w:t>
            </w:r>
            <w:r>
              <w:rPr>
                <w:rStyle w:val="IndexLink"/>
                <w:rtl w:val="true"/>
              </w:rPr>
              <w:t xml:space="preserve">) </w:t>
            </w:r>
            <w:r>
              <w:rPr>
                <w:rStyle w:val="IndexLink"/>
                <w:rtl w:val="true"/>
              </w:rPr>
              <w:t xml:space="preserve">تا ابتدای عصر غیبت </w:t>
            </w:r>
            <w:r>
              <w:rPr>
                <w:rStyle w:val="IndexLink"/>
                <w:rtl w:val="true"/>
              </w:rPr>
              <w:t>(</w:t>
            </w:r>
            <w:r>
              <w:rPr>
                <w:rStyle w:val="IndexLink"/>
                <w:rtl w:val="true"/>
              </w:rPr>
              <w:t>عینیت اندیشه</w:t>
            </w:r>
            <w:r>
              <w:rPr>
                <w:rStyle w:val="IndexLink"/>
                <w:rtl w:val="true"/>
              </w:rPr>
              <w:t>)</w:t>
              <w:tab/>
            </w:r>
            <w:r>
              <w:rPr>
                <w:rStyle w:val="IndexLink"/>
              </w:rPr>
              <w:t>143</w:t>
            </w:r>
          </w:hyperlink>
        </w:p>
        <w:p>
          <w:pPr>
            <w:pStyle w:val="Contents5"/>
            <w:tabs>
              <w:tab w:val="clear" w:pos="7892"/>
              <w:tab w:val="right" w:pos="9026" w:leader="dot"/>
            </w:tabs>
            <w:rPr/>
          </w:pPr>
          <w:hyperlink w:anchor="__RefHeading___Toc541112_1395250215">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541114_1395250215">
            <w:r>
              <w:rPr>
                <w:webHidden/>
                <w:rStyle w:val="IndexLink"/>
                <w:rtl w:val="true"/>
              </w:rPr>
              <w:t>نگرشی جامع بر صفات امام</w:t>
            </w:r>
            <w:r>
              <w:rPr>
                <w:rStyle w:val="IndexLink"/>
                <w:rtl w:val="true"/>
              </w:rPr>
              <w:tab/>
            </w:r>
            <w:r>
              <w:rPr>
                <w:rStyle w:val="IndexLink"/>
              </w:rPr>
              <w:t>143</w:t>
            </w:r>
          </w:hyperlink>
        </w:p>
        <w:p>
          <w:pPr>
            <w:pStyle w:val="Contents5"/>
            <w:tabs>
              <w:tab w:val="clear" w:pos="7892"/>
              <w:tab w:val="right" w:pos="9026" w:leader="dot"/>
            </w:tabs>
            <w:rPr/>
          </w:pPr>
          <w:hyperlink w:anchor="__RefHeading___Toc541116_1395250215">
            <w:r>
              <w:rPr>
                <w:webHidden/>
                <w:rStyle w:val="IndexLink"/>
                <w:rtl w:val="true"/>
              </w:rPr>
              <w:t>موضوع غیبت امام دوازدهم و سازمان وکالت</w:t>
            </w:r>
            <w:r>
              <w:rPr>
                <w:rStyle w:val="IndexLink"/>
                <w:rtl w:val="true"/>
              </w:rPr>
              <w:tab/>
            </w:r>
            <w:r>
              <w:rPr>
                <w:rStyle w:val="IndexLink"/>
              </w:rPr>
              <w:t>145</w:t>
            </w:r>
          </w:hyperlink>
        </w:p>
        <w:p>
          <w:pPr>
            <w:pStyle w:val="Contents3"/>
            <w:tabs>
              <w:tab w:val="clear" w:pos="8459"/>
              <w:tab w:val="right" w:pos="9026" w:leader="dot"/>
            </w:tabs>
            <w:rPr/>
          </w:pPr>
          <w:hyperlink w:anchor="__RefHeading___Toc541118_1395250215">
            <w:r>
              <w:rPr>
                <w:webHidden/>
                <w:rStyle w:val="IndexLink"/>
                <w:rtl w:val="true"/>
              </w:rPr>
              <w:t>نتایج</w:t>
            </w:r>
            <w:r>
              <w:rPr>
                <w:rStyle w:val="IndexLink"/>
                <w:rtl w:val="true"/>
              </w:rPr>
              <w:tab/>
            </w:r>
            <w:r>
              <w:rPr>
                <w:rStyle w:val="IndexLink"/>
              </w:rPr>
              <w:t>146</w:t>
            </w:r>
          </w:hyperlink>
        </w:p>
        <w:p>
          <w:pPr>
            <w:pStyle w:val="Contents3"/>
            <w:tabs>
              <w:tab w:val="clear" w:pos="8459"/>
              <w:tab w:val="right" w:pos="9026" w:leader="dot"/>
            </w:tabs>
            <w:rPr/>
          </w:pPr>
          <w:hyperlink w:anchor="__RefHeading___Toc541120_1395250215">
            <w:r>
              <w:rPr>
                <w:webHidden/>
                <w:rStyle w:val="IndexLink"/>
                <w:rtl w:val="true"/>
              </w:rPr>
              <w:t>منابع</w:t>
            </w:r>
            <w:r>
              <w:rPr>
                <w:rStyle w:val="IndexLink"/>
                <w:rtl w:val="true"/>
              </w:rPr>
              <w:tab/>
            </w:r>
            <w:r>
              <w:rPr>
                <w:rStyle w:val="IndexLink"/>
              </w:rPr>
              <w:t>147</w:t>
            </w:r>
          </w:hyperlink>
        </w:p>
        <w:p>
          <w:pPr>
            <w:pStyle w:val="Contents2"/>
            <w:tabs>
              <w:tab w:val="clear" w:pos="8743"/>
              <w:tab w:val="right" w:pos="9026" w:leader="dot"/>
            </w:tabs>
            <w:rPr/>
          </w:pPr>
          <w:hyperlink w:anchor="__RefHeading___Toc541122_1395250215">
            <w:r>
              <w:rPr>
                <w:webHidden/>
                <w:rStyle w:val="IndexLink"/>
                <w:rtl w:val="true"/>
              </w:rPr>
              <w:t xml:space="preserve">اری روبین و نظریه امامت مورثی شیعه </w:t>
            </w:r>
            <w:r>
              <w:rPr>
                <w:rStyle w:val="IndexLink"/>
                <w:rtl w:val="true"/>
              </w:rPr>
              <w:t xml:space="preserve">( </w:t>
            </w:r>
            <w:r>
              <w:rPr>
                <w:rStyle w:val="IndexLink"/>
                <w:rtl w:val="true"/>
              </w:rPr>
              <w:t>در بوته سنجش</w:t>
            </w:r>
            <w:r>
              <w:rPr>
                <w:rStyle w:val="IndexLink"/>
                <w:rtl w:val="true"/>
              </w:rPr>
              <w:t>)</w:t>
              <w:tab/>
            </w:r>
            <w:r>
              <w:rPr>
                <w:rStyle w:val="IndexLink"/>
              </w:rPr>
              <w:t>151</w:t>
            </w:r>
          </w:hyperlink>
        </w:p>
        <w:p>
          <w:pPr>
            <w:pStyle w:val="Contents3"/>
            <w:tabs>
              <w:tab w:val="clear" w:pos="8459"/>
              <w:tab w:val="right" w:pos="9026" w:leader="dot"/>
            </w:tabs>
            <w:rPr/>
          </w:pPr>
          <w:hyperlink w:anchor="__RefHeading___Toc541124_1395250215">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41126_1395250215">
            <w:r>
              <w:rPr>
                <w:webHidden/>
                <w:rStyle w:val="IndexLink"/>
                <w:rtl w:val="true"/>
              </w:rPr>
              <w:t>چکیده</w:t>
            </w:r>
            <w:r>
              <w:rPr>
                <w:rStyle w:val="IndexLink"/>
                <w:rtl w:val="true"/>
              </w:rPr>
              <w:tab/>
            </w:r>
            <w:r>
              <w:rPr>
                <w:rStyle w:val="IndexLink"/>
              </w:rPr>
              <w:t>151</w:t>
            </w:r>
          </w:hyperlink>
        </w:p>
        <w:p>
          <w:pPr>
            <w:pStyle w:val="Contents3"/>
            <w:tabs>
              <w:tab w:val="clear" w:pos="8459"/>
              <w:tab w:val="right" w:pos="9026" w:leader="dot"/>
            </w:tabs>
            <w:rPr/>
          </w:pPr>
          <w:hyperlink w:anchor="__RefHeading___Toc541128_1395250215">
            <w:r>
              <w:rPr>
                <w:webHidden/>
                <w:rStyle w:val="IndexLink"/>
                <w:rtl w:val="true"/>
              </w:rPr>
              <w:t>واژگان کلیدی</w:t>
            </w:r>
            <w:r>
              <w:rPr>
                <w:rStyle w:val="IndexLink"/>
                <w:rtl w:val="true"/>
              </w:rPr>
              <w:tab/>
            </w:r>
            <w:r>
              <w:rPr>
                <w:rStyle w:val="IndexLink"/>
              </w:rPr>
              <w:t>151</w:t>
            </w:r>
          </w:hyperlink>
        </w:p>
        <w:p>
          <w:pPr>
            <w:pStyle w:val="Contents3"/>
            <w:tabs>
              <w:tab w:val="clear" w:pos="8459"/>
              <w:tab w:val="right" w:pos="9026" w:leader="dot"/>
            </w:tabs>
            <w:rPr/>
          </w:pPr>
          <w:hyperlink w:anchor="__RefHeading___Toc541130_1395250215">
            <w:r>
              <w:rPr>
                <w:webHidden/>
                <w:rStyle w:val="IndexLink"/>
                <w:rtl w:val="true"/>
              </w:rPr>
              <w:t>درآمد</w:t>
            </w:r>
            <w:r>
              <w:rPr>
                <w:rStyle w:val="IndexLink"/>
                <w:rtl w:val="true"/>
              </w:rPr>
              <w:tab/>
            </w:r>
            <w:r>
              <w:rPr>
                <w:rStyle w:val="IndexLink"/>
              </w:rPr>
              <w:t>152</w:t>
            </w:r>
          </w:hyperlink>
        </w:p>
        <w:p>
          <w:pPr>
            <w:pStyle w:val="Contents3"/>
            <w:tabs>
              <w:tab w:val="clear" w:pos="8459"/>
              <w:tab w:val="right" w:pos="9026" w:leader="dot"/>
            </w:tabs>
            <w:rPr/>
          </w:pPr>
          <w:hyperlink w:anchor="__RefHeading___Toc541132_1395250215">
            <w:r>
              <w:rPr>
                <w:webHidden/>
                <w:rStyle w:val="IndexLink"/>
                <w:rtl w:val="true"/>
              </w:rPr>
              <w:t>نقد کلی</w:t>
            </w:r>
            <w:r>
              <w:rPr>
                <w:rStyle w:val="IndexLink"/>
                <w:rtl w:val="true"/>
              </w:rPr>
              <w:tab/>
            </w:r>
            <w:r>
              <w:rPr>
                <w:rStyle w:val="IndexLink"/>
              </w:rPr>
              <w:t>154</w:t>
            </w:r>
          </w:hyperlink>
        </w:p>
        <w:p>
          <w:pPr>
            <w:pStyle w:val="Contents4"/>
            <w:tabs>
              <w:tab w:val="clear" w:pos="8176"/>
              <w:tab w:val="right" w:pos="9026" w:leader="dot"/>
            </w:tabs>
            <w:rPr/>
          </w:pPr>
          <w:hyperlink w:anchor="__RefHeading___Toc541134_139525021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41136_1395250215">
            <w:r>
              <w:rPr>
                <w:webHidden/>
                <w:rStyle w:val="IndexLink"/>
              </w:rPr>
              <w:t>1</w:t>
            </w:r>
            <w:r>
              <w:rPr>
                <w:rStyle w:val="IndexLink"/>
                <w:rtl w:val="true"/>
              </w:rPr>
              <w:t xml:space="preserve">. </w:t>
            </w:r>
            <w:r>
              <w:rPr>
                <w:rStyle w:val="IndexLink"/>
                <w:rtl w:val="true"/>
              </w:rPr>
              <w:t>عدم تناسب عنوان با متن</w:t>
            </w:r>
            <w:r>
              <w:rPr>
                <w:rStyle w:val="IndexLink"/>
                <w:rtl w:val="true"/>
              </w:rPr>
              <w:tab/>
            </w:r>
            <w:r>
              <w:rPr>
                <w:rStyle w:val="IndexLink"/>
              </w:rPr>
              <w:t>154</w:t>
            </w:r>
          </w:hyperlink>
        </w:p>
        <w:p>
          <w:pPr>
            <w:pStyle w:val="Contents4"/>
            <w:tabs>
              <w:tab w:val="clear" w:pos="8176"/>
              <w:tab w:val="right" w:pos="9026" w:leader="dot"/>
            </w:tabs>
            <w:rPr/>
          </w:pPr>
          <w:hyperlink w:anchor="__RefHeading___Toc541138_1395250215">
            <w:r>
              <w:rPr>
                <w:webHidden/>
                <w:rStyle w:val="IndexLink"/>
              </w:rPr>
              <w:t>2</w:t>
            </w:r>
            <w:r>
              <w:rPr>
                <w:rStyle w:val="IndexLink"/>
                <w:rtl w:val="true"/>
              </w:rPr>
              <w:t xml:space="preserve">. </w:t>
            </w:r>
            <w:r>
              <w:rPr>
                <w:rStyle w:val="IndexLink"/>
                <w:rtl w:val="true"/>
              </w:rPr>
              <w:t>عدم جامعیت منابع تحقیق</w:t>
            </w:r>
            <w:r>
              <w:rPr>
                <w:rStyle w:val="IndexLink"/>
                <w:rtl w:val="true"/>
              </w:rPr>
              <w:tab/>
            </w:r>
            <w:r>
              <w:rPr>
                <w:rStyle w:val="IndexLink"/>
              </w:rPr>
              <w:t>155</w:t>
            </w:r>
          </w:hyperlink>
        </w:p>
        <w:p>
          <w:pPr>
            <w:pStyle w:val="Contents3"/>
            <w:tabs>
              <w:tab w:val="clear" w:pos="8459"/>
              <w:tab w:val="right" w:pos="9026" w:leader="dot"/>
            </w:tabs>
            <w:rPr/>
          </w:pPr>
          <w:hyperlink w:anchor="__RefHeading___Toc541140_1395250215">
            <w:r>
              <w:rPr>
                <w:webHidden/>
                <w:rStyle w:val="IndexLink"/>
                <w:rtl w:val="true"/>
              </w:rPr>
              <w:t>نقد روشی</w:t>
            </w:r>
            <w:r>
              <w:rPr>
                <w:rStyle w:val="IndexLink"/>
                <w:rtl w:val="true"/>
              </w:rPr>
              <w:tab/>
            </w:r>
            <w:r>
              <w:rPr>
                <w:rStyle w:val="IndexLink"/>
              </w:rPr>
              <w:t>155</w:t>
            </w:r>
          </w:hyperlink>
        </w:p>
        <w:p>
          <w:pPr>
            <w:pStyle w:val="Contents3"/>
            <w:tabs>
              <w:tab w:val="clear" w:pos="8459"/>
              <w:tab w:val="right" w:pos="9026" w:leader="dot"/>
            </w:tabs>
            <w:rPr/>
          </w:pPr>
          <w:hyperlink w:anchor="__RefHeading___Toc541142_1395250215">
            <w:r>
              <w:rPr>
                <w:webHidden/>
                <w:rStyle w:val="IndexLink"/>
                <w:rtl w:val="true"/>
              </w:rPr>
              <w:t>نقد محتوایی</w:t>
            </w:r>
            <w:r>
              <w:rPr>
                <w:rStyle w:val="IndexLink"/>
                <w:rtl w:val="true"/>
              </w:rPr>
              <w:tab/>
            </w:r>
            <w:r>
              <w:rPr>
                <w:rStyle w:val="IndexLink"/>
              </w:rPr>
              <w:t>156</w:t>
            </w:r>
          </w:hyperlink>
        </w:p>
        <w:p>
          <w:pPr>
            <w:pStyle w:val="Contents4"/>
            <w:tabs>
              <w:tab w:val="clear" w:pos="8176"/>
              <w:tab w:val="right" w:pos="9026" w:leader="dot"/>
            </w:tabs>
            <w:rPr/>
          </w:pPr>
          <w:hyperlink w:anchor="__RefHeading___Toc541144_1395250215">
            <w:r>
              <w:rPr>
                <w:webHidden/>
                <w:rStyle w:val="IndexLink"/>
                <w:rtl w:val="true"/>
              </w:rPr>
              <w:t>مفهوم شناسی</w:t>
            </w:r>
            <w:r>
              <w:rPr>
                <w:rStyle w:val="IndexLink"/>
                <w:rtl w:val="true"/>
              </w:rPr>
              <w:tab/>
            </w:r>
            <w:r>
              <w:rPr>
                <w:rStyle w:val="IndexLink"/>
              </w:rPr>
              <w:t>156</w:t>
            </w:r>
          </w:hyperlink>
        </w:p>
        <w:p>
          <w:pPr>
            <w:pStyle w:val="Contents4"/>
            <w:tabs>
              <w:tab w:val="clear" w:pos="8176"/>
              <w:tab w:val="right" w:pos="9026" w:leader="dot"/>
            </w:tabs>
            <w:rPr/>
          </w:pPr>
          <w:hyperlink w:anchor="__RefHeading___Toc541146_1395250215">
            <w:r>
              <w:rPr>
                <w:webHidden/>
                <w:rStyle w:val="IndexLink"/>
                <w:rtl w:val="true"/>
              </w:rPr>
              <w:t>وراثت در لغت و اصطلاح</w:t>
            </w:r>
            <w:r>
              <w:rPr>
                <w:rStyle w:val="IndexLink"/>
                <w:rtl w:val="true"/>
              </w:rPr>
              <w:tab/>
            </w:r>
            <w:r>
              <w:rPr>
                <w:rStyle w:val="IndexLink"/>
              </w:rPr>
              <w:t>157</w:t>
            </w:r>
          </w:hyperlink>
        </w:p>
        <w:p>
          <w:pPr>
            <w:pStyle w:val="Contents5"/>
            <w:tabs>
              <w:tab w:val="clear" w:pos="7892"/>
              <w:tab w:val="right" w:pos="9026" w:leader="dot"/>
            </w:tabs>
            <w:rPr/>
          </w:pPr>
          <w:hyperlink w:anchor="__RefHeading___Toc541148_1395250215">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541150_1395250215">
            <w:r>
              <w:rPr>
                <w:webHidden/>
                <w:rStyle w:val="IndexLink"/>
              </w:rPr>
              <w:t>1</w:t>
            </w:r>
            <w:r>
              <w:rPr>
                <w:rStyle w:val="IndexLink"/>
                <w:rtl w:val="true"/>
              </w:rPr>
              <w:t xml:space="preserve">. </w:t>
            </w:r>
            <w:r>
              <w:rPr>
                <w:rStyle w:val="IndexLink"/>
                <w:rtl w:val="true"/>
              </w:rPr>
              <w:t>وراثت در برداشت فقهی</w:t>
            </w:r>
            <w:r>
              <w:rPr>
                <w:rStyle w:val="IndexLink"/>
                <w:rtl w:val="true"/>
              </w:rPr>
              <w:tab/>
            </w:r>
            <w:r>
              <w:rPr>
                <w:rStyle w:val="IndexLink"/>
              </w:rPr>
              <w:t>158</w:t>
            </w:r>
          </w:hyperlink>
        </w:p>
        <w:p>
          <w:pPr>
            <w:pStyle w:val="Contents6"/>
            <w:tabs>
              <w:tab w:val="clear" w:pos="7609"/>
              <w:tab w:val="right" w:pos="9026" w:leader="dot"/>
            </w:tabs>
            <w:rPr/>
          </w:pPr>
          <w:hyperlink w:anchor="__RefHeading___Toc541152_1395250215">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541154_1395250215">
            <w:r>
              <w:rPr>
                <w:webHidden/>
                <w:rStyle w:val="IndexLink"/>
                <w:rtl w:val="true"/>
              </w:rPr>
              <w:t>الف</w:t>
            </w:r>
            <w:r>
              <w:rPr>
                <w:rStyle w:val="IndexLink"/>
                <w:rtl w:val="true"/>
              </w:rPr>
              <w:t xml:space="preserve">) </w:t>
            </w:r>
            <w:r>
              <w:rPr>
                <w:rStyle w:val="IndexLink"/>
                <w:rtl w:val="true"/>
              </w:rPr>
              <w:t>وراثت در فقه</w:t>
            </w:r>
            <w:r>
              <w:rPr>
                <w:rStyle w:val="IndexLink"/>
                <w:rtl w:val="true"/>
              </w:rPr>
              <w:tab/>
            </w:r>
            <w:r>
              <w:rPr>
                <w:rStyle w:val="IndexLink"/>
              </w:rPr>
              <w:t>158</w:t>
            </w:r>
          </w:hyperlink>
        </w:p>
        <w:p>
          <w:pPr>
            <w:pStyle w:val="Contents6"/>
            <w:tabs>
              <w:tab w:val="clear" w:pos="7609"/>
              <w:tab w:val="right" w:pos="9026" w:leader="dot"/>
            </w:tabs>
            <w:rPr/>
          </w:pPr>
          <w:hyperlink w:anchor="__RefHeading___Toc541156_1395250215">
            <w:r>
              <w:rPr>
                <w:webHidden/>
                <w:rStyle w:val="IndexLink"/>
                <w:rtl w:val="true"/>
              </w:rPr>
              <w:t>ب</w:t>
            </w:r>
            <w:r>
              <w:rPr>
                <w:rStyle w:val="IndexLink"/>
                <w:rtl w:val="true"/>
              </w:rPr>
              <w:t xml:space="preserve">) </w:t>
            </w:r>
            <w:r>
              <w:rPr>
                <w:rStyle w:val="IndexLink"/>
                <w:rtl w:val="true"/>
              </w:rPr>
              <w:t>وراثت در قرآن</w:t>
            </w:r>
            <w:r>
              <w:rPr>
                <w:rStyle w:val="IndexLink"/>
                <w:rtl w:val="true"/>
              </w:rPr>
              <w:tab/>
            </w:r>
            <w:r>
              <w:rPr>
                <w:rStyle w:val="IndexLink"/>
              </w:rPr>
              <w:t>159</w:t>
            </w:r>
          </w:hyperlink>
        </w:p>
        <w:p>
          <w:pPr>
            <w:pStyle w:val="Contents6"/>
            <w:tabs>
              <w:tab w:val="clear" w:pos="7609"/>
              <w:tab w:val="right" w:pos="9026" w:leader="dot"/>
            </w:tabs>
            <w:rPr/>
          </w:pPr>
          <w:hyperlink w:anchor="__RefHeading___Toc541158_1395250215">
            <w:r>
              <w:rPr>
                <w:webHidden/>
                <w:rStyle w:val="IndexLink"/>
                <w:rtl w:val="true"/>
              </w:rPr>
              <w:t>ج</w:t>
            </w:r>
            <w:r>
              <w:rPr>
                <w:rStyle w:val="IndexLink"/>
                <w:rtl w:val="true"/>
              </w:rPr>
              <w:t xml:space="preserve">) </w:t>
            </w:r>
            <w:r>
              <w:rPr>
                <w:rStyle w:val="IndexLink"/>
                <w:rtl w:val="true"/>
              </w:rPr>
              <w:t>وراثت در روایات</w:t>
            </w:r>
            <w:r>
              <w:rPr>
                <w:rStyle w:val="IndexLink"/>
                <w:rtl w:val="true"/>
              </w:rPr>
              <w:tab/>
            </w:r>
            <w:r>
              <w:rPr>
                <w:rStyle w:val="IndexLink"/>
              </w:rPr>
              <w:t>159</w:t>
            </w:r>
          </w:hyperlink>
        </w:p>
        <w:p>
          <w:pPr>
            <w:pStyle w:val="Contents6"/>
            <w:tabs>
              <w:tab w:val="clear" w:pos="7609"/>
              <w:tab w:val="right" w:pos="9026" w:leader="dot"/>
            </w:tabs>
            <w:rPr/>
          </w:pPr>
          <w:hyperlink w:anchor="__RefHeading___Toc541160_1395250215">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541162_1395250215">
            <w:r>
              <w:rPr>
                <w:webHidden/>
                <w:rStyle w:val="IndexLink"/>
                <w:rtl w:val="true"/>
              </w:rPr>
              <w:t>تحلیل روایات</w:t>
            </w:r>
            <w:r>
              <w:rPr>
                <w:rStyle w:val="IndexLink"/>
                <w:rtl w:val="true"/>
              </w:rPr>
              <w:tab/>
            </w:r>
            <w:r>
              <w:rPr>
                <w:rStyle w:val="IndexLink"/>
              </w:rPr>
              <w:t>160</w:t>
            </w:r>
          </w:hyperlink>
        </w:p>
        <w:p>
          <w:pPr>
            <w:pStyle w:val="Contents5"/>
            <w:tabs>
              <w:tab w:val="clear" w:pos="7892"/>
              <w:tab w:val="right" w:pos="9026" w:leader="dot"/>
            </w:tabs>
            <w:rPr/>
          </w:pPr>
          <w:hyperlink w:anchor="__RefHeading___Toc541164_1395250215">
            <w:r>
              <w:rPr>
                <w:webHidden/>
                <w:rStyle w:val="IndexLink"/>
              </w:rPr>
              <w:t>2</w:t>
            </w:r>
            <w:r>
              <w:rPr>
                <w:rStyle w:val="IndexLink"/>
                <w:rtl w:val="true"/>
              </w:rPr>
              <w:t xml:space="preserve">. </w:t>
            </w:r>
            <w:r>
              <w:rPr>
                <w:rStyle w:val="IndexLink"/>
                <w:rtl w:val="true"/>
              </w:rPr>
              <w:t>وراثت ژنتیکی</w:t>
            </w:r>
            <w:r>
              <w:rPr>
                <w:rStyle w:val="IndexLink"/>
                <w:rtl w:val="true"/>
              </w:rPr>
              <w:tab/>
            </w:r>
            <w:r>
              <w:rPr>
                <w:rStyle w:val="IndexLink"/>
              </w:rPr>
              <w:t>161</w:t>
            </w:r>
          </w:hyperlink>
        </w:p>
        <w:p>
          <w:pPr>
            <w:pStyle w:val="Contents5"/>
            <w:tabs>
              <w:tab w:val="clear" w:pos="7892"/>
              <w:tab w:val="right" w:pos="9026" w:leader="dot"/>
            </w:tabs>
            <w:rPr/>
          </w:pPr>
          <w:hyperlink w:anchor="__RefHeading___Toc541166_1395250215">
            <w:r>
              <w:rPr>
                <w:webHidden/>
                <w:rStyle w:val="IndexLink"/>
              </w:rPr>
              <w:t>3</w:t>
            </w:r>
            <w:r>
              <w:rPr>
                <w:rStyle w:val="IndexLink"/>
                <w:rtl w:val="true"/>
              </w:rPr>
              <w:t xml:space="preserve">. </w:t>
            </w:r>
            <w:r>
              <w:rPr>
                <w:rStyle w:val="IndexLink"/>
                <w:rtl w:val="true"/>
              </w:rPr>
              <w:t>وراثت مواخاتی</w:t>
            </w:r>
            <w:r>
              <w:rPr>
                <w:rStyle w:val="IndexLink"/>
                <w:rtl w:val="true"/>
              </w:rPr>
              <w:tab/>
            </w:r>
            <w:r>
              <w:rPr>
                <w:rStyle w:val="IndexLink"/>
              </w:rPr>
              <w:t>163</w:t>
            </w:r>
          </w:hyperlink>
        </w:p>
        <w:p>
          <w:pPr>
            <w:pStyle w:val="Contents6"/>
            <w:tabs>
              <w:tab w:val="clear" w:pos="7609"/>
              <w:tab w:val="right" w:pos="9026" w:leader="dot"/>
            </w:tabs>
            <w:rPr/>
          </w:pPr>
          <w:hyperlink w:anchor="__RefHeading___Toc541168_1395250215">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541170_1395250215">
            <w:r>
              <w:rPr>
                <w:webHidden/>
                <w:rStyle w:val="IndexLink"/>
                <w:rtl w:val="true"/>
              </w:rPr>
              <w:t>جنبه اجتماعی</w:t>
            </w:r>
            <w:r>
              <w:rPr>
                <w:rStyle w:val="IndexLink"/>
                <w:rtl w:val="true"/>
              </w:rPr>
              <w:tab/>
            </w:r>
            <w:r>
              <w:rPr>
                <w:rStyle w:val="IndexLink"/>
              </w:rPr>
              <w:t>163</w:t>
            </w:r>
          </w:hyperlink>
        </w:p>
        <w:p>
          <w:pPr>
            <w:pStyle w:val="Contents6"/>
            <w:tabs>
              <w:tab w:val="clear" w:pos="7609"/>
              <w:tab w:val="right" w:pos="9026" w:leader="dot"/>
            </w:tabs>
            <w:rPr/>
          </w:pPr>
          <w:hyperlink w:anchor="__RefHeading___Toc541172_1395250215">
            <w:r>
              <w:rPr>
                <w:webHidden/>
                <w:rStyle w:val="IndexLink"/>
                <w:rtl w:val="true"/>
              </w:rPr>
              <w:t>جنبه حقوقی</w:t>
            </w:r>
            <w:r>
              <w:rPr>
                <w:rStyle w:val="IndexLink"/>
                <w:rtl w:val="true"/>
              </w:rPr>
              <w:tab/>
            </w:r>
            <w:r>
              <w:rPr>
                <w:rStyle w:val="IndexLink"/>
              </w:rPr>
              <w:t>164</w:t>
            </w:r>
          </w:hyperlink>
        </w:p>
        <w:p>
          <w:pPr>
            <w:pStyle w:val="Contents6"/>
            <w:tabs>
              <w:tab w:val="clear" w:pos="7609"/>
              <w:tab w:val="right" w:pos="9026" w:leader="dot"/>
            </w:tabs>
            <w:rPr/>
          </w:pPr>
          <w:hyperlink w:anchor="__RefHeading___Toc541174_1395250215">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541176_1395250215">
            <w:r>
              <w:rPr>
                <w:webHidden/>
                <w:rStyle w:val="IndexLink"/>
              </w:rPr>
              <w:t>1</w:t>
            </w:r>
            <w:r>
              <w:rPr>
                <w:rStyle w:val="IndexLink"/>
                <w:rtl w:val="true"/>
              </w:rPr>
              <w:t xml:space="preserve">. </w:t>
            </w:r>
            <w:r>
              <w:rPr>
                <w:rStyle w:val="IndexLink"/>
                <w:rtl w:val="true"/>
              </w:rPr>
              <w:t>دلالت روایات مواخات بر ارث</w:t>
            </w:r>
            <w:r>
              <w:rPr>
                <w:rStyle w:val="IndexLink"/>
                <w:rtl w:val="true"/>
              </w:rPr>
              <w:tab/>
            </w:r>
            <w:r>
              <w:rPr>
                <w:rStyle w:val="IndexLink"/>
              </w:rPr>
              <w:t>165</w:t>
            </w:r>
          </w:hyperlink>
        </w:p>
        <w:p>
          <w:pPr>
            <w:pStyle w:val="Contents6"/>
            <w:tabs>
              <w:tab w:val="clear" w:pos="7609"/>
              <w:tab w:val="right" w:pos="9026" w:leader="dot"/>
            </w:tabs>
            <w:rPr/>
          </w:pPr>
          <w:hyperlink w:anchor="__RefHeading___Toc541178_1395250215">
            <w:r>
              <w:rPr>
                <w:webHidden/>
                <w:rStyle w:val="IndexLink"/>
              </w:rPr>
              <w:t>2</w:t>
            </w:r>
            <w:r>
              <w:rPr>
                <w:rStyle w:val="IndexLink"/>
                <w:rtl w:val="true"/>
              </w:rPr>
              <w:t xml:space="preserve">. </w:t>
            </w:r>
            <w:r>
              <w:rPr>
                <w:rStyle w:val="IndexLink"/>
                <w:rtl w:val="true"/>
              </w:rPr>
              <w:t>دلالت ارث مواخاتی بر امامت ائمۀ شیعه</w:t>
            </w:r>
            <w:r>
              <w:rPr>
                <w:rStyle w:val="IndexLink"/>
                <w:rtl w:val="true"/>
              </w:rPr>
              <w:tab/>
            </w:r>
            <w:r>
              <w:rPr>
                <w:rStyle w:val="IndexLink"/>
              </w:rPr>
              <w:t>165</w:t>
            </w:r>
          </w:hyperlink>
        </w:p>
        <w:p>
          <w:pPr>
            <w:pStyle w:val="Contents3"/>
            <w:tabs>
              <w:tab w:val="clear" w:pos="8459"/>
              <w:tab w:val="right" w:pos="9026" w:leader="dot"/>
            </w:tabs>
            <w:rPr/>
          </w:pPr>
          <w:hyperlink w:anchor="__RefHeading___Toc541180_1395250215">
            <w:r>
              <w:rPr>
                <w:webHidden/>
                <w:rStyle w:val="IndexLink"/>
                <w:rtl w:val="true"/>
              </w:rPr>
              <w:t>نتایج</w:t>
            </w:r>
            <w:r>
              <w:rPr>
                <w:rStyle w:val="IndexLink"/>
                <w:rtl w:val="true"/>
              </w:rPr>
              <w:tab/>
            </w:r>
            <w:r>
              <w:rPr>
                <w:rStyle w:val="IndexLink"/>
              </w:rPr>
              <w:t>166</w:t>
            </w:r>
          </w:hyperlink>
        </w:p>
        <w:p>
          <w:pPr>
            <w:pStyle w:val="Contents3"/>
            <w:tabs>
              <w:tab w:val="clear" w:pos="8459"/>
              <w:tab w:val="right" w:pos="9026" w:leader="dot"/>
            </w:tabs>
            <w:rPr/>
          </w:pPr>
          <w:hyperlink w:anchor="__RefHeading___Toc541182_1395250215">
            <w:r>
              <w:rPr>
                <w:webHidden/>
                <w:rStyle w:val="IndexLink"/>
                <w:rtl w:val="true"/>
              </w:rPr>
              <w:t>منابع</w:t>
            </w:r>
            <w:r>
              <w:rPr>
                <w:rStyle w:val="IndexLink"/>
                <w:rtl w:val="true"/>
              </w:rPr>
              <w:tab/>
            </w:r>
            <w:r>
              <w:rPr>
                <w:rStyle w:val="IndexLink"/>
              </w:rPr>
              <w:t>167</w:t>
            </w:r>
          </w:hyperlink>
        </w:p>
        <w:p>
          <w:pPr>
            <w:pStyle w:val="Contents2"/>
            <w:tabs>
              <w:tab w:val="clear" w:pos="8743"/>
              <w:tab w:val="right" w:pos="9026" w:leader="dot"/>
            </w:tabs>
            <w:rPr/>
          </w:pPr>
          <w:hyperlink w:anchor="__RefHeading___Toc541184_1395250215">
            <w:r>
              <w:rPr>
                <w:webHidden/>
                <w:rStyle w:val="IndexLink"/>
                <w:rtl w:val="true"/>
              </w:rPr>
              <w:t>چکیده عربی مقالات</w:t>
            </w:r>
            <w:r>
              <w:rPr>
                <w:rStyle w:val="IndexLink"/>
                <w:rtl w:val="true"/>
              </w:rPr>
              <w:tab/>
            </w:r>
            <w:r>
              <w:rPr>
                <w:rStyle w:val="IndexLink"/>
              </w:rPr>
              <w:t>170</w:t>
            </w:r>
          </w:hyperlink>
        </w:p>
        <w:p>
          <w:pPr>
            <w:pStyle w:val="Contents2"/>
            <w:tabs>
              <w:tab w:val="clear" w:pos="8743"/>
              <w:tab w:val="right" w:pos="9026" w:leader="dot"/>
            </w:tabs>
            <w:rPr/>
          </w:pPr>
          <w:hyperlink w:anchor="__RefHeading___Toc541186_1395250215">
            <w:r>
              <w:rPr>
                <w:webHidden/>
                <w:rStyle w:val="IndexLink"/>
                <w:rtl w:val="true"/>
              </w:rPr>
              <w:t>چکیده انگلیسی مقالات</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8_20742"/>
      <w:bookmarkStart w:id="1" w:name="pg2628_20742"/>
      <w:bookmarkEnd w:id="1"/>
    </w:p>
    <w:p>
      <w:pPr>
        <w:pStyle w:val="Heading2"/>
        <w:numPr>
          <w:ilvl w:val="1"/>
          <w:numId w:val="1"/>
        </w:numPr>
        <w:rPr/>
      </w:pPr>
      <w:bookmarkStart w:id="2" w:name="pg2628_20742"/>
      <w:bookmarkStart w:id="3" w:name="__RefHeading___Toc540850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اول، شماره دوم، پاییز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برنجکار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www.tkalam.ir www.ikq.ir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852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bookmarkStart w:id="7" w:name="pg2628_20748"/>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2"/>
        <w:numPr>
          <w:ilvl w:val="1"/>
          <w:numId w:val="1"/>
        </w:numPr>
        <w:rPr/>
      </w:pPr>
      <w:bookmarkStart w:id="8" w:name="__RefHeading___Toc540854_1395250215"/>
      <w:bookmarkStart w:id="9" w:name="_Toc3"/>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پرسش ها و شبهات مطرح در مسأله؛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معتبر و کافی؛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28_20750"/>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2"/>
        <w:numPr>
          <w:ilvl w:val="1"/>
          <w:numId w:val="1"/>
        </w:numPr>
        <w:rPr/>
      </w:pPr>
      <w:bookmarkStart w:id="11" w:name="__RefHeading___Toc540856_1395250215"/>
      <w:bookmarkStart w:id="12" w:name="_Toc4"/>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حجیت متشابک منابع معرفت در فهم و تبیین آموزه‌های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سبحانی، سیدمحمدمهدی افضلی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مسئله نفی صفات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اعتصامی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آموزه بداء در اندیشه امامیه از آغاز غیبت تا پایان مدرسه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سیدجمال الدین موسوی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رویکرد متکلمان امامیه در بغداد به معتزلیانِ شیعه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سیدمرتضی، ابن راوندی و ابوعیسی وراق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میرزایی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مقایسه اندیشه‌های کلامی نوبختیان و شیخ مفید در بستر میراث کلامیِ 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حسینی زاده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مراحل تبیین اصل امامت در عصر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سیدمحمدکاظم طباطبایی، سیدمصطفی مطهری </w:t>
      </w:r>
      <w:r>
        <w:rPr>
          <w:rFonts w:eastAsia="IRNazanin" w:cs="IRNazanin"/>
          <w:color w:val="111111"/>
          <w:sz w:val="28"/>
          <w:szCs w:val="28"/>
          <w:lang w:bidi="fa-IR"/>
        </w:rPr>
        <w:t>117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اری روبین و نظریه امامت موروثی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سیدرسول هاشمی، علی راد </w:t>
      </w:r>
      <w:r>
        <w:rPr>
          <w:rFonts w:eastAsia="IRNazanin" w:cs="IRNazanin"/>
          <w:color w:val="111111"/>
          <w:sz w:val="28"/>
          <w:szCs w:val="28"/>
          <w:lang w:bidi="fa-IR"/>
        </w:rPr>
        <w:t>139</w:t>
      </w:r>
      <w:bookmarkStart w:id="13" w:name="pg2628_2075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2"/>
        <w:numPr>
          <w:ilvl w:val="1"/>
          <w:numId w:val="1"/>
        </w:numPr>
        <w:rPr/>
      </w:pPr>
      <w:bookmarkStart w:id="14" w:name="__RefHeading___Toc540858_1395250215"/>
      <w:bookmarkStart w:id="15" w:name="_Toc5"/>
      <w:bookmarkEnd w:id="14"/>
      <w:r>
        <w:rPr>
          <w:rtl w:val="true"/>
        </w:rPr>
        <w:t>سخن سر دبیر</w:t>
      </w:r>
      <w:bookmarkEnd w:id="15"/>
    </w:p>
    <w:p>
      <w:pPr>
        <w:pStyle w:val="BookText"/>
        <w:rPr/>
      </w:pPr>
      <w:r>
        <w:rPr>
          <w:rFonts w:ascii="IRNazanin" w:hAnsi="IRNazanin" w:eastAsia="IRNazanin"/>
          <w:color w:val="111111"/>
          <w:sz w:val="28"/>
          <w:sz w:val="28"/>
          <w:szCs w:val="28"/>
          <w:rtl w:val="true"/>
          <w:lang w:bidi="fa-IR"/>
        </w:rPr>
        <w:t>هنگامی که سخن از علمی به میان می آید، پیش و بیش از همه، موضوعات و مسائل آن علم به ذهن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با بررسیِ موضوع یا موضوعاتی خاص آغاز شده و هرچه پیش تر می رود، مسائل بیشتری درباره موضوع علم پدید می آید؛ اما آن گاه که دانش به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بلوغ و اهمیت رسید که به خودِ آن، از آن جهت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توجه گردد، دانش دیگری پدید می آید که به آن دانشِ درجه دوم یا فلسفه آن علم می گویند و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ای از اهمیت و رشد رسیده است که نیازمند پیدایش علمی جدید پیرامون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های اصلیِ شناخت یک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مبادی تصوریه و تصدیقیه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البته این سه، مکمل یکدیگر برای درک درست و کامل آن دانش اند؛ بدین سان، امروزه در کنار توجه به آموزه های کلامی و تبیین روش مند و دفاع عقلانی از آن ها، باید به مباحث روشی و تاریخیِ دانش کلام نیز توجه کرد، چرا که از مقدمات ضروری حوزه کلامیِ روش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مندانه باید گفت، در این حوزه ها کار درخوری صورت نگرفته و مستشرقان گوی سبقت را، به خصوص در مطالعات تاریخی کلام شیعی از ما ربوده اند و بر اساس پژوهش های جهت دار و گاهی مغرضانه، شبهاتی را در اصالت کلام امامیه و برخی آموزه های اساسی تشیع ایراد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شماره مجله در کنار مباحث موضوعی به همین رویکرد، یعنی توجه به مباحث روشی و تاریخی عنایت داشت و در این زمینه از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تحقیقات کلامی از دانشوران و محققان عرصه کلام دعوت می کند تا در کنار بررسی مسائل کلامی، به مباحث روشی و تاریخیِ کلام توجه کنند و نیز آمادگی خود را جهت انتشار این گونه تحقیقات که بر اساس روش های علمی و پذیرفته شده انجام گرفته اند، اعلام می دارد؛ بدیهی است که نتیجه آن، تقویت علم کلام و افزایش توان دفاع از آموزه های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16" w:name="pg2628_20754"/>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2"/>
        <w:numPr>
          <w:ilvl w:val="1"/>
          <w:numId w:val="1"/>
        </w:numPr>
        <w:rPr/>
      </w:pPr>
      <w:bookmarkStart w:id="17" w:name="__RefHeading___Toc540860_1395250215"/>
      <w:bookmarkStart w:id="18" w:name="_Toc6"/>
      <w:bookmarkEnd w:id="17"/>
      <w:r>
        <w:rPr>
          <w:rtl w:val="true"/>
        </w:rPr>
        <w:t>حجیت متشابک منابع معرفت در فهم و تبیین آموزه های اعتقادی</w:t>
      </w:r>
      <w:bookmarkEnd w:id="18"/>
    </w:p>
    <w:p>
      <w:pPr>
        <w:pStyle w:val="Heading3"/>
        <w:numPr>
          <w:ilvl w:val="2"/>
          <w:numId w:val="1"/>
        </w:numPr>
        <w:rPr/>
      </w:pPr>
      <w:bookmarkStart w:id="19" w:name="__RefHeading___Toc540862_139525021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محمدتقی سبحانی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سیدمحمد مهدی افضلی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1392/06/04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1392/08/07</w:t>
      </w:r>
    </w:p>
    <w:p>
      <w:pPr>
        <w:pStyle w:val="Heading3"/>
        <w:numPr>
          <w:ilvl w:val="2"/>
          <w:numId w:val="1"/>
        </w:numPr>
        <w:rPr/>
      </w:pPr>
      <w:bookmarkStart w:id="21" w:name="__RefHeading___Toc540864_1395250215"/>
      <w:bookmarkStart w:id="22" w:name="_Toc8"/>
      <w:bookmarkEnd w:id="21"/>
      <w:r>
        <w:rPr>
          <w:rtl w:val="true"/>
        </w:rPr>
        <w:t>چکیده</w:t>
      </w:r>
      <w:bookmarkEnd w:id="22"/>
    </w:p>
    <w:p>
      <w:pPr>
        <w:pStyle w:val="BookText"/>
        <w:rPr/>
      </w:pPr>
      <w:r>
        <w:rPr>
          <w:rFonts w:ascii="IRNazanin" w:hAnsi="IRNazanin" w:eastAsia="IRNazanin"/>
          <w:color w:val="111111"/>
          <w:sz w:val="28"/>
          <w:sz w:val="28"/>
          <w:szCs w:val="28"/>
          <w:rtl w:val="true"/>
          <w:lang w:bidi="fa-IR"/>
        </w:rPr>
        <w:t>سخن از ربط و نسبت منابع شناخت، در نظام معرفت دینی،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موجود در این زمینه، از ره یافت‌های گوناگونی بهره جسته‌اند؛ برخی عقل را در مقام ثبوت و اثبات مستقل دیده و برخی دیگر نص را کاملاً خود بسنده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هردو نگاه، ناتمام معرفی شده و از حجیت متشابک عقل و نقل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چه در مقام معناگری و فهم گزاره‌ها، چه در مقام تبیین و تدلیل آن‌ها و چه در مقام دفاع، همراه نقل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نیز در تنبیه، تقریر، تذکر و تعلیم حقایق به دیگران و کمال یافتن روش، به عقل مدد می‌رساند؛ در غیر این صورت، عقل به تعلیق، تقلیل و تأویل بی‌ضابطة آموزه‌های دینی منتهی شده و نقل نیز از پایگاه بین‌اذهانی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عقل امدادهای نقل را تصدیق و در ساختار خود هضم می‌کند، روش‌شناسی نهاییِ مورد قبول، عقلی است</w:t>
      </w:r>
      <w:r>
        <w:rPr>
          <w:rFonts w:eastAsia="IRNazanin" w:cs="IRNazanin"/>
          <w:color w:val="111111"/>
          <w:sz w:val="28"/>
          <w:szCs w:val="28"/>
          <w:rtl w:val="true"/>
          <w:lang w:bidi="fa-IR"/>
        </w:rPr>
        <w:t>.</w:t>
      </w:r>
    </w:p>
    <w:p>
      <w:pPr>
        <w:pStyle w:val="Heading3"/>
        <w:numPr>
          <w:ilvl w:val="2"/>
          <w:numId w:val="1"/>
        </w:numPr>
        <w:rPr/>
      </w:pPr>
      <w:bookmarkStart w:id="23" w:name="__RefHeading___Toc540866_1395250215"/>
      <w:bookmarkStart w:id="24" w:name="_Toc9"/>
      <w:bookmarkEnd w:id="23"/>
      <w:r>
        <w:rPr>
          <w:rtl w:val="true"/>
        </w:rPr>
        <w:t>واژگان کلیدی</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نقل، فطرت، منابع معرفت، حجیت متشابک، توسعۀ ظرفیت عقل</w:t>
      </w:r>
      <w:r>
        <w:rPr>
          <w:rFonts w:eastAsia="IRNazanin" w:cs="IRNazanin"/>
          <w:color w:val="111111"/>
          <w:sz w:val="28"/>
          <w:szCs w:val="28"/>
          <w:rtl w:val="true"/>
          <w:lang w:bidi="fa-IR"/>
        </w:rPr>
        <w:t>.</w:t>
      </w:r>
      <w:bookmarkStart w:id="25" w:name="pg2628_20756"/>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6" w:name="__RefHeading___Toc540868_1395250215"/>
      <w:bookmarkStart w:id="27" w:name="_Toc10"/>
      <w:bookmarkEnd w:id="26"/>
      <w:r>
        <w:rPr>
          <w:rtl w:val="true"/>
        </w:rPr>
        <w:t>طرح مسئله</w:t>
      </w:r>
      <w:bookmarkEnd w:id="27"/>
    </w:p>
    <w:p>
      <w:pPr>
        <w:pStyle w:val="BookText"/>
        <w:rPr/>
      </w:pPr>
      <w:r>
        <w:rPr>
          <w:rFonts w:ascii="IRNazanin" w:hAnsi="IRNazanin" w:eastAsia="IRNazanin"/>
          <w:color w:val="111111"/>
          <w:sz w:val="28"/>
          <w:sz w:val="28"/>
          <w:szCs w:val="28"/>
          <w:rtl w:val="true"/>
          <w:lang w:bidi="fa-IR"/>
        </w:rPr>
        <w:t>ربط و نسبت منابع معرفت</w:t>
      </w:r>
      <w:r>
        <w:rPr>
          <w:rStyle w:val="FootnoteAnchor"/>
          <w:rtl w:val="true"/>
        </w:rPr>
        <w:footnoteReference w:id="4"/>
      </w:r>
      <w:r>
        <w:rPr>
          <w:rFonts w:ascii="IRNazanin" w:hAnsi="IRNazanin" w:eastAsia="IRNazanin"/>
          <w:color w:val="111111"/>
          <w:sz w:val="28"/>
          <w:sz w:val="28"/>
          <w:szCs w:val="28"/>
          <w:rtl w:val="true"/>
          <w:lang w:bidi="fa-IR"/>
        </w:rPr>
        <w:t>در نظام معرفت دینی، یکی از مهم‌ترین مسائل معرفت‌شناسی دینی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تفکر دینی دربارۀ فهم، تبیین و توجیه عقلانی گزاره‌های دینی، صحنة مواجهۀ افکار گوناگونِ موافق و مخالف بوده و در نهایت، طیفی از دیدگاه‌های مختلف و احیاناً متضاد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بستر‌های تاریخی ِشکل‌گیری این جریانات و تقدم و تأخر آن‌ها، جریان مخالفِ استدلال و توجیه عقلی دربارۀ آموزه‌ها و گزاره‌های دینی، خود به دو جریان عمدة فرعی تقسیم می‌شود؛ یکی جریانی که تعالیم دینی را فراتر از عقل دانسته و ورود استدلال را به معنای تنزّل و تنازل ساحت دین تلقی می‌کند؛ دیگری، کسانی که این تعالیم را فروتر از عقل و استدلال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خود به دو گروه عمده قابل طبقه‌بندی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ضمن پذیرش نقل و گزاره‌های دینی، می‌کوشد تأویل‌ها و توجیهات عقلانی از آن‌ها ارائه دهد، که فیلسوفان مشائی و معتزلیان، عمدتاً چنین نگاهی دارند؛ گروه دیگر با انکار حجیت معرفت‌شناختی وحی، حتی منطق‌سازی برای فهم و تبیین بین‌اذهانی این آموزه‌ها و گزاره‌ها را بر نتابیده و از موجه‌سازی آن‌ها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یاد می‌کنند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میان کسانی که نگاه فرودستانه به عقل دارند، گاه التزام به ظواهر نص دارند و گاه به مفاد ظواهر نصوص اکتفا نمی‌کنند، اما عقل را نیز برای دست‌یابی به حقایقی فراتر از ظاهر، شایسته تلقی نمی‌کنند، بلکه در پی تصفیۀ درون، بصیرت و مواجید درونی از سنخ یافت‌های نبوی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عرفا عمدتاً در همین نگره می‌گنجد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ناتمام بودن حجت منحصر دانستن عقل یا نص، از مراجعه به متون دینی به راحتی خودش را نشان می‌دهد؛ ضمن آن‌که روند جاری و موجود تاریخ اندیشۀ اسلامی نیز بهترین شاهد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نادقیق بودن روش‌شناسی‌های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آنچه از متون دینی، قابل استفاده است، نظریه‌ای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متشابک و ترکیبی منابع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روش‌شناسی، ضمن پذیرش حجیت ذاتی از سویی، و حجیت استقلالی عقل در مواردی از سوی دیگر، حجیت انحصاری عقل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ناحیة وحی نیز، ضمن آن‌که حجیت معرفت‌شناختی وحی را به رسمیت می‌شناسد، اما مخاطب آن را عقل آدمی می‌داند؛ عقلی که نه منفعل، بلکه فعال است و ضمن درک و هضم گزار‌ه‌ها و آموزه‌های وحیانی، ساختار وجودی خویش را توسعه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روش‌شناسیِ مبتنی بر تشابک عقل و نقل، در مقام اثبات و استدلال، قوة عقل را در جایگاه حجت درونی و عام میان تمام انسان‌ها، پایه قرار می‌دهد، بر اساس اعتبار ذاتیِ عقل، حجیت معرفت‌شناختی وحی را اثبات می‌کند و با تدبّر در محتوای آن، با بهره‌جویی از عقل استکشافی یا مصباحی و یا هر نامی که بتوان به آن داد، ضمن توسعه بخشیدن به ساختار خود، به سازوکار شناخت معتبر و موجه از گزاره‌های دینی نیز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روند، عقل و وحی در تعامل و تلائم با یکدیگر حرکت می‌کنند؛ نقل، عقل را به جنبش می اندازد و عقلِ برانگیخته‌شده نیز با توسعه بخشیدن به ساختار خود، لایه‌ها و بطون معنایی وحی را برملا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نظریۀ حجیت متشابک، با التفات به ثمرات نامطلوب روش‌شناسی‌های انحصارگرا در باب معرفت دینی، از روش و ره یافتی بهره می‌گیرد که سهم هیچ یک از عقل و وحی به عنوان دو منبع اصلی منابع معرفت دینی نادیده انگاشته نمی‌شود؛ نه دین در چنبرة منابع متعارف بشر محصور می‌ماند و نه عقل صرفاً به کشف و جعل قوانین، قواعد و احکام انگشت شماری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این نظریه، نه آموزه‌های دینی گرفتار تعلیق، تقلیل و تأویل‌های بی‌ضابطه می‌گردد؛ آن‌سان که در نظریة تقلیل منابع معرفت به منابع متعارف رخ می‌دهد و نه دین فاقد تکیه‌گاه معتبر و بی‌بهره از دستگاه مفهومی مورد رضایت دو طرف و اسیر خرافات و مانند آن می‌گردد؛ آن‌گونه که در نگرش نص‌گرا و ظاهرگرا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نوشتار با ثمرات و نتایج این نظریه بیشتر مواجه خواهیم شد، ولی پیشاپیش ذکر برخی از نتایج، خالی از فایده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حجیت متشابک در مقام فهم و معناگری گزاره‌ها و آموزه‌های موجود در دین در لایه‌های مختلف هستی‌شناسی، ارزش‌شناسی و تکلیف‌شناسی پذیرفته شود، برایند کار در هر</w:t>
      </w:r>
      <w:bookmarkStart w:id="28" w:name="pg2628_20760"/>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سه ساحت، تفاوت اساسی با روش‌شناسی‌های دیگر دارد که یا این نگاه را قبول ندارند، یا آن را به صورت جزئی و حاشیه‌ای قلمداد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دومین ثمرة مهم این نگاه در مقام موجه‌سازی و اقامة دلیل بر آموزه‌های دینی، در هر سه ساحت یادشده و دفاع از آن‌ها، خودش را نشان می‌دهد؛ برای نمونه، مسئله اساسی ختم نبوت در آموزه‌های اسلامی تبیین دقیق‌تری می‌یابد که این تبیین در نظریات رقیب قابل وصول نیست</w:t>
      </w:r>
      <w:r>
        <w:rPr>
          <w:rFonts w:eastAsia="IRNazanin" w:cs="IRNazanin"/>
          <w:color w:val="111111"/>
          <w:sz w:val="28"/>
          <w:szCs w:val="28"/>
          <w:rtl w:val="true"/>
          <w:lang w:bidi="fa-IR"/>
        </w:rPr>
        <w:t>.</w:t>
      </w:r>
    </w:p>
    <w:p>
      <w:pPr>
        <w:pStyle w:val="Heading3"/>
        <w:numPr>
          <w:ilvl w:val="2"/>
          <w:numId w:val="1"/>
        </w:numPr>
        <w:rPr/>
      </w:pPr>
      <w:bookmarkStart w:id="29" w:name="__RefHeading___Toc540870_1395250215"/>
      <w:bookmarkStart w:id="30" w:name="_Toc11"/>
      <w:bookmarkEnd w:id="29"/>
      <w:r>
        <w:rPr>
          <w:rtl w:val="true"/>
        </w:rPr>
        <w:t>تعریف مفاهیم</w:t>
      </w:r>
      <w:bookmarkEnd w:id="30"/>
    </w:p>
    <w:p>
      <w:pPr>
        <w:pStyle w:val="BookText"/>
        <w:rPr/>
      </w:pPr>
      <w:r>
        <w:rPr>
          <w:rFonts w:ascii="IRNazanin" w:hAnsi="IRNazanin" w:eastAsia="IRNazanin"/>
          <w:color w:val="111111"/>
          <w:sz w:val="28"/>
          <w:sz w:val="28"/>
          <w:szCs w:val="28"/>
          <w:rtl w:val="true"/>
          <w:lang w:bidi="fa-IR"/>
        </w:rPr>
        <w:t xml:space="preserve">دو مفهوم اساسی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دربارۀ آن‌ها تعیین مراد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اقسام و ساحت‌های عقل، غیر از بعد هستی شناختی عقل، از قوه‌ای یاد می‌شود که یکی از عوامل تمایز انسان از سایر جانداران و منبع و ابزار شناخت و عمل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عماره،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نیز، مجموعه معارف و حقایقی است که در پاسخ به نیازهای مختلف و متعدد انسان، از سوی خداوند برای هدایت بشر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بر زبان پیامبر جریان یافته و در نهایت، مابین الدفتین در اختیار بشر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تبیین و تعلیم آن به وسیلة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 دیگر که ولایت تفسیری‌شان از سوی خداوند، حجت معرفی شده است، برگ دیگری را در دفتر معرفت گشوده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حاصل هردو، امروزه به عنوان متون دینی، در برابر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دانش‌های مرتبط، باید میان دو نوع سنت، یعنی سنت حاکی و محکی، تفاوتی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سنت محکی، یعنی قول، فعل و تقریر معصوم، و مراد از سنت حاکی، چیزی است که موارد یادشده 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سنت محکی است، اما با توجه به این‌که جز سنت حاکی، راهی برای دست یابی به سنت محکی وجود ندارد، بیان ارتباط کتاب و سنت محکی، به حاکی‌ها نیز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به کار‌گیری تعابیر در این نوشتار، ممکن است هم از آن به وحی یاد شود و هم به نقل؛ در هر دو حالت، مراد همین منبعی است که در کنار منابع متعارف معرفت قرار می‌گیرد</w:t>
      </w:r>
      <w:r>
        <w:rPr>
          <w:rFonts w:eastAsia="IRNazanin" w:cs="IRNazanin"/>
          <w:color w:val="111111"/>
          <w:sz w:val="28"/>
          <w:szCs w:val="28"/>
          <w:rtl w:val="true"/>
          <w:lang w:bidi="fa-IR"/>
        </w:rPr>
        <w:t>.</w:t>
      </w:r>
    </w:p>
    <w:p>
      <w:pPr>
        <w:pStyle w:val="Heading3"/>
        <w:numPr>
          <w:ilvl w:val="2"/>
          <w:numId w:val="1"/>
        </w:numPr>
        <w:rPr/>
      </w:pPr>
      <w:bookmarkStart w:id="31" w:name="__RefHeading___Toc540872_1395250215"/>
      <w:bookmarkStart w:id="32" w:name="_Toc12"/>
      <w:bookmarkEnd w:id="31"/>
      <w:r>
        <w:rPr>
          <w:rtl w:val="true"/>
        </w:rPr>
        <w:t>عبور از نگاه انحصار گرا به تشابک منابع معرفت</w:t>
      </w:r>
      <w:bookmarkEnd w:id="32"/>
    </w:p>
    <w:p>
      <w:pPr>
        <w:pStyle w:val="Heading4"/>
        <w:numPr>
          <w:ilvl w:val="3"/>
          <w:numId w:val="1"/>
        </w:numPr>
        <w:rPr/>
      </w:pPr>
      <w:bookmarkStart w:id="33" w:name="__RefHeading___Toc540874_1395250215"/>
      <w:bookmarkStart w:id="34" w:name="_Toc13"/>
      <w:bookmarkEnd w:id="33"/>
      <w:r>
        <w:rPr>
          <w:rtl w:val="true"/>
        </w:rPr>
        <w:t>اشاره</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عقل و نقل در نظام فکری غالب اندیشوران مسلمان، دربارۀ نحوة ارتباط آن‌ها، تفاوت‌هایی در میان جریان‌های فکری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غالباً بر این عقیده‌اند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چیزی که صدق نبی بر آن مبتنی باشد،</w:t>
      </w:r>
      <w:r>
        <w:rPr>
          <w:rStyle w:val="FootnoteAnchor"/>
          <w:rtl w:val="true"/>
        </w:rPr>
        <w:footnoteReference w:id="6"/>
      </w:r>
      <w:r>
        <w:rPr>
          <w:rFonts w:ascii="IRNazanin" w:hAnsi="IRNazanin" w:eastAsia="IRNazanin"/>
          <w:color w:val="111111"/>
          <w:sz w:val="28"/>
          <w:sz w:val="28"/>
          <w:szCs w:val="28"/>
          <w:rtl w:val="true"/>
          <w:lang w:bidi="fa-IR"/>
        </w:rPr>
        <w:t>با سمع قابل اثبات نیست، چون به دور باطل مبتلا می‌شود؛ بدین معنا که تمام اموری که صدق نبی بر آن مبتنی است، باید اعتبارش را از منبعی عام تر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ترین منبع معتبر در این زمینه عقل است؛ وقتی اعتبار نبوت و صدق نبی از عقل تحصیل می شود، یاری رساندن وحی به عقل، به لحاظ منطقی دور خواهد بود که بطلان آن نیازی به استدلال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عبدالجبار معتزلی،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تفتازانی، جرجانی،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علامه حلی،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جریان نقل‌گرا، غیر از مقام ورود به دین، در مقام فهم، تبیین و سنجش گزاره‌های دینی، ورود عقل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 متشابک، مدعی ناتمام بودن این رویکردها و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پرسش معقول این است که نشان داده شود، وقتی ادعا می‌شود که عقل، وحی قرآنی و سنت، حجیت متشابک و ترکیبی دارند و به نحوی از ره یافت های رایج عبور می‌شود، دقیقاً چه چیزی مقصود است؟ چه مسائل و مشکلات لاینحل، یا چه پی آمد‌ها و لوازم غیر قابل پذیرشی در این زمینه وجود دارد که از نظریة حجیت متشابک دفاع می‌شود؟ نقد تفصیلی مبانی و دلایل، نیازمند نوشتاری مستقل است، و ما بیشتر جنبة اثباتی دیدگاه تشابک منابع معرفت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سرچشمة تمام معارف انسانی، خداوند متعال است؛ فعل و قول الهی، آفاق و انفس، همه در هماهنگی تمام، مجموعة شناخت انسان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کتاب تدوین و کتاب تکوین، هردو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تکوینی مرتبط با انسان، فطرت، عقل و قلب همة انسان‌ها را بر این معارف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رسول حق و پیامبر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حدیث طولانی، که موسی بن جعفر علیهما السلام به هشام‌بن‌حکم حقایقی را تعلیم فرموده‌اند،</w:t>
      </w:r>
      <w:r>
        <w:rPr>
          <w:rStyle w:val="FootnoteAnchor"/>
          <w:rtl w:val="true"/>
        </w:rPr>
        <w:footnoteReference w:id="7"/>
      </w:r>
      <w:r>
        <w:rPr>
          <w:rFonts w:ascii="IRNazanin" w:hAnsi="IRNazanin" w:eastAsia="IRNazanin"/>
          <w:color w:val="111111"/>
          <w:sz w:val="28"/>
          <w:sz w:val="28"/>
          <w:szCs w:val="28"/>
          <w:rtl w:val="true"/>
          <w:lang w:bidi="fa-IR"/>
        </w:rPr>
        <w:t>عقل و انبیا هردو، حجت الهی معرفی شده‌اند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درونی و حجت بیرونی؛ حجت برون، پیامبران و امامانند و حجت درون، عقل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عقل چون حجت و رسول است، همانند پیامبر ظاهری، برای خود شریعت و باید‌ها و نبایدهایی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نیز وقتی با حقایق مواجه می‌شود، هرچه را با ساختار خویش موافق ببیند، می‌پذیرد و هر آنچه را ناسازگار یافت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صادق علیه السلام، حجت خداوند بر بندگان، پیامبر و حجت میان بندگان و خداوند،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مقام حاملان وحی و الهام می‌آیند تا قدرت درک و استدلال عقل را افزایش داده و فطرت انسان را بیدار کنند و میثاق ازلی حق‌تعالی با او را به یادش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برجستة شیعی، دربارة عدم انفکاک عقل و سمع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امامیه بر این مطلب، که عقل در شناخت و استنتاجات خویش به نقل نیازمند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 این نکات که عقل در کیفیت استدلال و آغاز تکلیف در عالم نیازمند پیامبر است، نیز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با امامیه در این زمینه هم رأی و معتزله، خوارج و زیدیه با ایشان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اینان، عقل در موارد یادشده، بی نیاز از نقل ایفای نقش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متکلم برجستة اشعری نیز در این زمینه به این دیدگاه تا حدودی نزدیک می‌شود و با استناد به عبارات حارث محاسبی </w:t>
      </w:r>
      <w:r>
        <w:rPr>
          <w:rStyle w:val="FootnoteAnchor"/>
          <w:rtl w:val="true"/>
        </w:rPr>
        <w:footnoteReference w:id="8"/>
      </w:r>
      <w:r>
        <w:rPr>
          <w:rFonts w:ascii="IRNazanin" w:hAnsi="IRNazanin" w:eastAsia="IRNazanin"/>
          <w:color w:val="111111"/>
          <w:sz w:val="28"/>
          <w:sz w:val="28"/>
          <w:szCs w:val="28"/>
          <w:rtl w:val="true"/>
          <w:lang w:bidi="fa-IR"/>
        </w:rPr>
        <w:t>در معانی عقل، در نهایت چنین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عقل نمی‌توان از سمع بی نیاز شد و برعکس؛ آن که به نقل بدون تعقل دعوت می کند، نادان و آن که به عقل صرف اکتفا می کند و از انوار کتاب و سنت اعلان بی نیازی می کند، مغرور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معاصر مصری نیز شبیه همین ادعا را طرح کرده و به نحوی به این نگاه نزدیک‌تر شده‌اند</w:t>
      </w:r>
      <w:r>
        <w:rPr>
          <w:rFonts w:eastAsia="IRNazanin" w:cs="IRNazanin"/>
          <w:color w:val="111111"/>
          <w:sz w:val="28"/>
          <w:szCs w:val="28"/>
          <w:rtl w:val="true"/>
          <w:lang w:bidi="fa-IR"/>
        </w:rPr>
        <w:t>.</w:t>
      </w:r>
      <w:r>
        <w:rPr>
          <w:rStyle w:val="FootnoteAnchor"/>
          <w:rtl w:val="true"/>
        </w:rPr>
        <w:footnoteReference w:id="9"/>
      </w:r>
      <w:bookmarkStart w:id="35" w:name="pg2628_20766"/>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4"/>
        <w:numPr>
          <w:ilvl w:val="3"/>
          <w:numId w:val="1"/>
        </w:numPr>
        <w:rPr/>
      </w:pPr>
      <w:bookmarkStart w:id="36" w:name="__RefHeading___Toc540876_1395250215"/>
      <w:bookmarkStart w:id="37" w:name="_Toc14"/>
      <w:bookmarkEnd w:id="36"/>
      <w:r>
        <w:rPr/>
        <w:t>1</w:t>
      </w:r>
      <w:r>
        <w:rPr>
          <w:rtl w:val="true"/>
        </w:rPr>
        <w:t xml:space="preserve">. </w:t>
      </w:r>
      <w:r>
        <w:rPr>
          <w:rtl w:val="true"/>
        </w:rPr>
        <w:t>بن‌بست روش‌شناسی حصرگرای حکیمان مشائی و رونمایی از ره</w:t>
      </w:r>
      <w:r>
        <w:rPr>
          <w:rtl w:val="true"/>
        </w:rPr>
        <w:t>¬</w:t>
      </w:r>
      <w:r>
        <w:rPr>
          <w:rtl w:val="true"/>
        </w:rPr>
        <w:t>یافت‌های جدید</w:t>
      </w:r>
      <w:bookmarkEnd w:id="37"/>
    </w:p>
    <w:p>
      <w:pPr>
        <w:pStyle w:val="BookText"/>
        <w:rPr/>
      </w:pPr>
      <w:r>
        <w:rPr>
          <w:rFonts w:ascii="IRNazanin" w:hAnsi="IRNazanin" w:eastAsia="IRNazanin"/>
          <w:color w:val="111111"/>
          <w:sz w:val="28"/>
          <w:sz w:val="28"/>
          <w:szCs w:val="28"/>
          <w:rtl w:val="true"/>
          <w:lang w:bidi="fa-IR"/>
        </w:rPr>
        <w:t>در تاریخ فلسفه، نگاه اولیۀ فیلسوفان مشائی مسلمان، به دلیل مشکلات خاص خود، نیازمند جرح و تعدیل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تعدیل‌های کلامی ـ عرفانی که شهرستانی، فخررازی و غزالی صورت داده اند، شهاب‌الدین سهروردی از ضرورت به رسمیت شناخته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بحث و استدلال سخن به میان آورد و مکتب فلسفیِ جدیدی را پی نهاد که در جای خود سهم مؤثری در تعدیل نگاه انحصارگرایانه دربارۀ صدق و توجیه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سهروردی به این دلیل نگاه مشائیان را ناتمام تلقی کرد که بسیاری از مسائل اسیر تقلیل، تحویل و تأویل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نکته دربارۀ وحی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کوشید دایرۀ شناخت در این مقام وسیع تر شود؛ در کنار عقل مشائی و شهود مورد نظر شیخ اشراق، برای وحی نیز به صورت روشمندتر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نقطة مطلوب در این زمینه نیازمند تلاش‌های نظام‌یافته‌تر مستمر و بیش از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معاصران نیز مطالب را از منظر دیگری نگریسته و دیدگاه جدید تری را در این زمینه تدارک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 در زمینة نیازمندی عقل به وحی در مسائل مربوط به دین، می‌نویسد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تمام علوم نیازمند به عاملی بیرون از ذات خود است، وگرنه به آن علوم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حسی، تجربی و استقرایی نیازمند حواس، تجربه و آمار و استقراست، در علوم تاریخی به مدارک و مسموعات، در علوم فلسفی به منطق و قواعد آن، در علوم اشراقی و عرفانی به کشف و اشراق و معیارهای صحت کشف و در علوم وحیانی به وحی و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عقل را برای رسیدن به داده‌های آن چند گونه علم نیازمند به غیر عقل بداند، همه می‌پذیرند و کسی صاحب این عقیده را منکر یا مخالف عقل نمی‌شمارد؛ پس چطور است که تا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معارف عالیة مبدئی و معادی از نیازمندی به امداد سخن به میان آید، اتهام مخالفت با عقل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عقل همانند سایر موارد، دربارۀ شناخت حقایق هستی از وحی مدد می‌گیرد و آن را به صورت عقلی می‌فهمد، در این نسبت دوسویه، سخن از تلائم، تعامل و تشابک است، نه تعبد به ظواهر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چنین نیست که فرآورده‌ها و فرایند‌های عقلی فارغ از وحی بر آن تطبیق شود، بلکه داد و ستد متقابل به لحاظ ماده و صورت انجام می‌شود و در نهایت آستانة درک عقل بالاتر می‌آید و عقل به درک این ارتباط و فرآورده‌های آن نایل می‌شود و همین، مجوزی برای طبقه بندی این روش شناسی، در دایرة روش شناسی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گونه که در مقام ثبوت از حس و وحی تغذیه می‌کند، در مقام اثبات نیز از این منابع، ساختارش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ماجرای حضرت ابراهیم علیه السلام در مقابل بت‌پرستان و ستاره پرستان مشاهده می‌شود؛ حضرت مقداری با ایشان مماشات کرده و همراه می‌شود، اما در نهایت با ارجاع آن‌ها به اصلی عقلانی که از آن غفلت داشتند، توحید را اثبات و بطلان شرک را آشکار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نمونه‌ای از تربیت و راهبریِ عقل به دست وحی و معلم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قرآن به مسئله معاد را نیز که بشر نمی‌توانست بدون وحی بدان راه بیابد، به گونه‌ای است که در آن مشابه همین سیر قابل تنسیق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پس از طرح مسئله معاد و عدم پذیرش از سوی منکران، در گام نخست می‌کوشد مسئولیت معرفتی منکران را گوشزد کند که هر کسی نفی می‌کند، باید اقامة دلیل بر ادعای نفی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این گام، تأکید می‌کند که برهانی بر نفی معاد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برای تقریب به اذهان منکران، از پدیده‌های مشابه معاد سخن به میان می‌آورد تا استبعاد موجود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سوم، برخی از شبهاتی که در اذهان منکران خلجان می‌کند و احیاناً تنسیق شده است، ارزیابی شده و ناتمام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چهارم، برای کسانی که اعتقادی به مبدأ دارند، معاد را نیز از وعده‌های حتمی و تخلف ناپذیر الهی معرفی می‌کند و در گام پنجم، خطاباتی قرار دارد که برهان عقلی بر ضرورت معاد را پیشنهاد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تصویری روشن از کارکرد عقل و وحی در این حجیت تعاملی و متشابک، ساحت‌های کمک متقابل را از نظر می‌گذرانیم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گذرا، نقش عقل در حوزة دین در مقامات ذیل می‌گنجد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مقام فهم معنای گزاره‌های دینی؛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مقام استنباط گزاره‌های دینی از متون مقدس؛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مقام ایجاد هماهنگی و تلائم میان آن‌ها؛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مقام تعلیم گزاره‌های دینی؛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مقام اثبات گزاره‌های دینی؛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مقام دفاع از گزاره‌های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مقامات یادشده در محاوره ای نظام‌مند با وحی و متون دینی فرجام می‌یابد که وحی نیز کارکردهای زیر را در ساحت و ساختار عقل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کنندۀ مسئله برای عقل، دست‌کم مسائل عمده‌ای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و ربوبیت الهی، وحی، معاد، حیات برزخی و مانند آن؛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تأثیر در اقامۀ برهان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بخشیدن و تنبیه کردن بر اقامۀ برهان؛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پیشنهاد و القای برهان تا عقل آن برهان را اقامه کند؛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هدایت کردنِ عقل؛ وحی و کشف اثر می‌نهند تا عقل راه اقامۀ برهان را درست بپیماید؛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کشف مغالطه؛ بدین معنا که اگر محتوای وحی و شهود با نتیجۀ حاصل از روش برهانی متعارض باشند، می‌توانند سبب شوند تا فیلسوف دلیل نقضیِ عقلی که مستلزم کذب نتیجه و بطلان استدلال است اقامه کند و در نتیجه به کشف مغالطه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مؤید نتایجی باشند که از روش برهان حاصل آمده‌اند و در مقام استشهاد و نه استدلال به کار روند؛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اطمینان‌بخش باشند و از دهشت مخاطب در رویارویی با اندیشه‌های حِکمی یا اندیشه‌های بدیع و خلاف اجماع عقلی بکاهند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استبعاد از نظرگاه حجیت متشابک، نیازمند تحلیل بیشتر از ابعاد گوناگون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این نگاه، مسبوق نیست، بلکه پس از بررسی دیدگاه ها، روشن می شود که تاکنون تحلیل دقیقی از نسبت ترکیبی و متشابک عقل و وحی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صدد تبیین این نسبت به طور دقیق است؛ با این تببین روشن می شود که این تعامل هم گسترده تر و هم دقیق تر و نظام مند تر از آن است که در عبارت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بیاناتی که در این موارد وجود دارد، غالباً این تعامل را امری موردی و حاشیه 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تلقی می کنند، به گونه ای که گویا عقل یا نقل، هرکدام کارکرد خود را دارند و گاه این تعامل هم صورت می گیرد؛ در حالی که مطلب فراتر و گسترده تر از این است؛ این تعامل نه تنها کاملاً روش مند است، بلکه در دریافت شناخت عقلی و نقلی ضروری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که، حجیت عقل در دو مرحله و دو مقام قابل پی‌گیری است؛ یکی مقام ثبوت، که از آن به حجیت ذاتی تعبیر می‌شود؛ دوم در مقام اثبات، که در این مقام ممکن است تلقی‌ها 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دوم، یادداشت‌های شخصی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مقام، عقل را بی‌نیاز از هر منبع دیگر می‌دانند، آن را علاوه بر حجیت ذاتی، دارای حجیت انفرادی و انحصاری عقل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 اساس دیدگاه برخی از اندیشوران ادوار مختلف و جریان‌های متفاوت فکری، همانند برخی از اصحاب ائمه علیهم السلام، شیخ مفید و جمعی از معاصران حجیت ذاتی عقل، به معنای حجیت انفرادی و انحصاری عقل نیست، بلکه می‌توان برای عقل حجیت ذاتی قائل شد، ولی حجیت انحصاری آن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تشابک و درهم‌تنیدگی عقل و نقل، در نظرگاه اصحاب خاص امامان شیعی، تعابیر بسیار دقیقی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تاریخ نشان می دهد ایشان با همین نگرش با امام مواجه می‌شدند؛ برای نمونه، هشام‌بن حکم، متکلم برجسته شیعی، شرط ابوهذیل علاف، مبنی بر تبعیت هریک از طرفِ ظفرمند را، در طرف ابوهذیل می‌پذیرد و جانب خودش را به مراجعه به امامش قید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نبی و ولیّ در تفکر شیعی، معلم عقل است و عقل بدون هادی و معلم نمی‌تواند پاره‌ای از حقایق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 نگاه افراطی اخباریان و برخی از محدثان شیعی، که با وجود امام از تعطیلی عقل دم می‌زنند،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حقیقت، عقل را هدایت و نظارت می‌کند، نه تعطیل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عصر غیبت معصوم، راه دست یابیِ ما به معصوم، مجموعه روایات و سیره‌ای است که از ایشان در مصنفات و مجموعه‌های حدیثی گردآوری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در این مصنفات سره و ناسره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دست‌یابی آسان به بیانات سره و بی‌شائبه، قابل قبول نیست؛ به همین دلیل، یکی از معیارهای مهم برای احراز صدور روایتی از معصوم نیز می‌تواند سازگاری با سایر منابع باشد و در پرتو حجیت متشابک می‌توان به سازوکاری رسید که در راستای احراز صدور، قرین توفیق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مطلب با وجود اهمیت، ما را از مقصد دور می‌کند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همین طور، افزون بر جریان های یادشده، از سخنان کسانی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چون حارث محاسبی، غزالی، راغب اصفهانی و امثال ایشان نیز تا اندازه ای این نگرش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تلقی، وحی یاریگر عقل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تلقی نخست، کار وحی، در اصول و مبادی می‌تواند ارشاد به حکم عقل باشد، ولی در تلقی دوم، وحی نسبت به عقل می‌تواند دست‌کم یکی از نقش‌های زیر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عقل می‌تواند گزاره ای را به طور کامل تصدیق کند و به اصطلاح، از مستقلات عقلیه است، عقل نقش بیدارگر را ایفا می‌کند؛ البته در مواردی، اصول بدیهی عقلی نیز نیاز به تنبیه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وحی می‌آید و بر آن اصول، عقل را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نیایند و عقل در مقام ثبوت، هیچ فهمی حتی در بدیهیات نداشته و نیازمند منبّه بیرونی باشد، دورِ محال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و مذکِّر بیرونی در مقام ثبوت، به عقل کمک می‌کند، تنبیه می‌کند، اما در مقام اثبات، خود عقل می‌فهمد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سال‌ها بگذرد و عقل به آن نکته توجه نکند و دربارۀ آن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عقلا از بیان و تجربة دیگران استفاده می‌کنند، اما فهم حقایق مجرّب، بعد از شنیدن از دیگران، عقلی است؛ برای نمونه، در علوم پایه، نخست آن را از دیگران فرا می‌گیرد، ولی پس از فراگیری، دیگر قوانین مربوط به آن را به صورت تعبدی نمی‌پذیرد، با اتکا به عقل خود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شناخت هستی و آغاز و انجام آن نیز مطلب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شرک و بت پرستی و تصویر‌ها و تفسیر‌های نسنجیده از انسان و جهان و سرشت و سرنوشت آن‌ها نشان می‌دهد که انسان‌ها با این که عقل دارند، اما عقل آنان دچار انحراف می‌شود و از درک حقیقت ماجرا باز می‌مانند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عقل، اموری را اجمالاً می‌فهمد و کلیات آن را درک کرده و شواهدی از عقل بر درستی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آن را اثبات نیز می‌کند، ولی جزئیات آن را نمی‌فهمد؛ از این رو، تحلیل و تبیین دقیق و روشنی از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حقیقت نفس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عقل می‌تواند از طریق آثار نفس، به برخی از ویژگی‌های آن به صورت پراکنده آگاهی یابد، اما تبیین روشن و کاملی برای آن ندارد؛ به کمک نقل به این تبیین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کمک وحی راه خودش را یافت، این تبیین را نیز تبیین عقلی و نه تعبدی خواهد یافت؛ عقل می‌تواند در باب آن داوری و صحت آن را تأیید و تصدیق کند</w:t>
      </w:r>
      <w:r>
        <w:rPr>
          <w:rFonts w:eastAsia="IRNazanin" w:cs="IRNazanin"/>
          <w:color w:val="111111"/>
          <w:sz w:val="28"/>
          <w:szCs w:val="28"/>
          <w:rtl w:val="true"/>
          <w:lang w:bidi="fa-IR"/>
        </w:rPr>
        <w:t>.</w:t>
      </w:r>
      <w:bookmarkStart w:id="38" w:name="pg2628_20776"/>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 هست، که عقل استقلالاً هیچ گونه فهمی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کاملاً نیازمند تعلیم و آگاهی بخشی بیرونی است، به گونه‌ای که حتی وقتی معلم می‌گوید نیز عقل از درک آن ناتوان است، و آن را تعبداً و از روی اتکا به معلم می‌فهمد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بنابراین، صدور حکم یگانه و کلی در این باب منطقی نیست، بلکه در هر موردی، به تناسب نقش عقل و وحی، روابط میان آن‌ها قابل تعریف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دوم</w:t>
      </w:r>
      <w:r>
        <w:rPr>
          <w:rFonts w:eastAsia="IRNazanin" w:cs="IRNazanin"/>
          <w:color w:val="111111"/>
          <w:sz w:val="28"/>
          <w:szCs w:val="28"/>
          <w:rtl w:val="true"/>
          <w:lang w:bidi="fa-IR"/>
        </w:rPr>
        <w:t>).</w:t>
      </w:r>
    </w:p>
    <w:p>
      <w:pPr>
        <w:pStyle w:val="Heading4"/>
        <w:numPr>
          <w:ilvl w:val="3"/>
          <w:numId w:val="1"/>
        </w:numPr>
        <w:rPr/>
      </w:pPr>
      <w:bookmarkStart w:id="39" w:name="__RefHeading___Toc540878_1395250215"/>
      <w:bookmarkStart w:id="40" w:name="_Toc15"/>
      <w:bookmarkEnd w:id="39"/>
      <w:r>
        <w:rPr/>
        <w:t>2</w:t>
      </w:r>
      <w:r>
        <w:rPr>
          <w:rtl w:val="true"/>
        </w:rPr>
        <w:t xml:space="preserve">. </w:t>
      </w:r>
      <w:r>
        <w:rPr>
          <w:rtl w:val="true"/>
        </w:rPr>
        <w:t>شواهد و نمونه‌هایی از امداد وحی به عقل</w:t>
      </w:r>
      <w:bookmarkEnd w:id="40"/>
    </w:p>
    <w:p>
      <w:pPr>
        <w:pStyle w:val="BookText"/>
        <w:rPr/>
      </w:pPr>
      <w:r>
        <w:rPr>
          <w:rFonts w:ascii="IRNazanin" w:hAnsi="IRNazanin" w:eastAsia="IRNazanin"/>
          <w:color w:val="111111"/>
          <w:sz w:val="28"/>
          <w:sz w:val="28"/>
          <w:szCs w:val="28"/>
          <w:rtl w:val="true"/>
          <w:lang w:bidi="fa-IR"/>
        </w:rPr>
        <w:t xml:space="preserve">به تعبیر حضرت علی علیه السلام مهم‌ترین کار انبیا، تذکر به همان امور عقلی و شکوفا کردن عقل برای فهم حقایق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دربارۀ دو نمونه از راهبری عقل در مقام شناخت مبدأ و معاد به اختصار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تفصیل بیشتر مطلب را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استشهاد می‌توان به خطاباتی از نص اشاره کرد که انسان را هنگام به دنیا آمدن، فاقد هرگونه شناختی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نظریة حجیت متشابک، با وجود به رسمیت شناختن عقل به عنوان قوة فاهمة تعبیه شده از سوی خداوند متعال در ساختار وجودی انسان و توانا در فهم بخش قابل توجهی از حقایق، بر این نکته نیز پای می‌فشارد که در صورت نیامدن انبیا و نبود تعالیم وحیانی، عقل بشر ممکن است دربارۀ بسیاری از این معارف جاهل بماند و هیچ محالی نیز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گفتاری به جناب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با نبود پیامبران، انسان ره صواب را نمی‌یافت و نمی‌پیمود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یَظْهَرْ نَبِیٌ وَ کَانَ فِی الْأَرْضِ مُؤْمِنٌ تَقِیُّ لَکَانَ فِی دُعَائِهِ إِلَی اللَّهِ مُخْطِئاً أَوْ مُصِیباً، بَلْ وَاللَّهِ مُخْطِئاً، حَتَّی یَنْصِبَهُ اللَّهُ لِذَلِکَ وَ یُؤَهِّلَهُ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حرانی،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نازل نشده بود، باب معرفه الله الی‌الابد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تنزّل، دست‌کم می‌توان این ادعا را اثبات کرد که بدون سمع، بسیاری از افق‌ها برای عقل نامکشوف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تلقی، با متون دینی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بیشتر تسدید و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این پرسش با متون دینی مواجه شویم که مسئولیت شناخت و هدایت بر عهدة چه کسی است، در آیات و روایات به نکات ظریفی برمی‌خوریم که می‌تواند برای محقق افق‌گشا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بر عهدة خداوند باشد، در این صورت انسان بدون این هدایت و به تنهایی، ره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صادره از معصومان علیهم السلام در این باره ملاحظه شود، مفاد آیۀ مبارک و فراز یادشده از دعای عرفه و سایر دعاهای مشابه، بهتر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مردم ابزاری نهاده شده که با آن به معرفت برسند؟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کسب معرفت تکلیف دارند؟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 خداست که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کس را جز به مقدار طاقت تکلیف نکند و خدا هیچ کس را جز به آنچه داده است تکلیف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دیگر از روایات آمده است که اصلاً شناخت خداوند بدون شناخت از طریق خودش ناممکن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در التوحید مشابه بیان مزبور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خدا را شناخته است که او را به وسیلة خودش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خدا را به وسیلة آنچه خداوند خودش را معرفی کرده است، نشناسد، خودش را نشناخته، بلکه کسی غیر از خدا را 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به صراحت خداوند را مسئول شناساندن خودش به عباد معرفی می‌کند؛ بر اساس آن، خداوند تا خودش را معرفی نکند، بندگان، مکلّف به شناختن نیستند، و وقتی خود را شناساند، باید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بندگان وقتی تمام می‌شود که خویش را به ایشان معرفی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نیز نقل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از ایشان پرسیده می‌شود که پروردگارت را به چه وسیله‌ای شناختی؟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خود خویشتن را به من شناسانده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امام‌حسین علیه‌السلام در فرازی از دعای عرفه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 حجتک بأن ألهمتنی معرفتک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تأییدی است بر این‌که در مقام ثبوت، بدون دخالت خداوند در ساختار وجودی آدمی و تعبیه کردن سلسله شناخت‌های فطری و از سوی دیگر، به فعلیت رساندن آن با وحی نبوی، عقل انسان مستقلاً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در بحث معاد جسمانی معلّم بودن وحی برای</w:t>
      </w:r>
      <w:bookmarkStart w:id="41" w:name="pg2628_20780"/>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عقل را به صورت رقیق و کم رنگ می‌پذیرد، اما صدرالمتألهین به صورت مکرّر در بسیاری از متون فلسفی و تفسیری خویش بر این موقف پای می‌فشارد که عقل بدون وحی و معارف نبوی، در بسیاری از موارد نمی‌تواند به فهم حقایق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نوزدهمین مفتاح از 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 تصریح می‌کند که بسیاری از معارف، به ویژه آنچه به معاد و مسائل مشابه باز می‌گردد، برگرفته از مشکات خاتم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فکر کسی قد نداده، به افراط و تفریط افتاده، بدان دلیل است که انوار حکمت را از مشکات نبوت دریافت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2" w:name="__RefHeading___Toc540880_1395250215"/>
      <w:bookmarkStart w:id="43" w:name="_Toc16"/>
      <w:bookmarkEnd w:id="42"/>
      <w:r>
        <w:rPr/>
        <w:t>3</w:t>
      </w:r>
      <w:r>
        <w:rPr>
          <w:rtl w:val="true"/>
        </w:rPr>
        <w:t xml:space="preserve">. </w:t>
      </w:r>
      <w:r>
        <w:rPr>
          <w:rtl w:val="true"/>
        </w:rPr>
        <w:t>حجیت متشابک کتاب و سنت</w:t>
      </w:r>
      <w:bookmarkEnd w:id="43"/>
    </w:p>
    <w:p>
      <w:pPr>
        <w:pStyle w:val="BookText"/>
        <w:rPr/>
      </w:pPr>
      <w:r>
        <w:rPr>
          <w:rFonts w:ascii="IRNazanin" w:hAnsi="IRNazanin" w:eastAsia="IRNazanin"/>
          <w:color w:val="111111"/>
          <w:sz w:val="28"/>
          <w:sz w:val="28"/>
          <w:szCs w:val="28"/>
          <w:rtl w:val="true"/>
          <w:lang w:bidi="fa-IR"/>
        </w:rPr>
        <w:t>به منظور متمم و مکمل بحث از حجیت متشابک عقل و وحی، مناسب است به تشابک کتاب و سنت در درون ساختار نقل نیز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میان عقل و وحی متجلی در کتاب این ارتباط را بپذیرد، اما چنین ارتباطی را میان کتاب و سنت برقرار نبیند؛ یا این حجیت معرفت‌شناختی را برای کتاب قائل باشد، یا اگر سنت را هم دخیل می‌داند، به صورت موردی و غیرنظام‌مند آن را جاری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وقتی این ارتباط اثبات شد، دایرة منابع و ابزارهایی که در شکوفایی عقل دخالت دارد، وسیع‌تر خواهد شد؛ سنت نیز می‌تواند در بسط افق دید عقل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کتاب و سنت نبوی و اهل‌بیت نیز لازم است موقف یادشده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باوریم که در این جا نیز مانند بحث عقل و وحیِ متجلی در کتاب، حجیت کتاب و سنت، حجیت متشابک و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ترابط کتاب و سنت، می‌توان از ترابط سنت و عقل نیز سخن به میان آورد؛ ضمن آن‌که برخی از تعالیم دینی، در قرآن کریم بیان نشده، بلکه در سنت آمده است؛ از این رو، همان نقشی را که عقل در برابر قرآن ایفا می‌کرد و برعکس، عقل نیز در برابر سنت و سنت در برابر عقل ایفا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معصوم اعم از نبی و ولیّ، هادیِ عقل به شمار می‌آید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میان کتاب و سنت رابطة متقابل وجود دارد، به این دلیل است که قرآن، خود را حقیقتی همراه با رسول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رُسُلَنَا بِالْبَیِّنَاتِ وَ أَنْزَلْنَا مَعَهُمُ الْکِتَابَ وَ الْمِیزَانَ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قرآن‌کریم، همة کتاب‌های آسمانی، به معلّم و مبیّن نیاز دارند و بدون معلم، هدف نزول وحی، تأمین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رسولان، کتاب و میزان فرستاده می‌شود، تا در مقام نظر و عمل به درک درست دست یابند و ادراکات موجود خویش و در نتیجه، ساختار عقلانیت خویش را توسعه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قرآن مشروط به وجود رسول است، و همان نسبتی را که وحی با عقل داشت، رسول با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سه نوع تعلیم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متشابهات و مجملات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رسول نسبت به محکمات مذکِّر، نسبت به متشابهات مبیِّن و نسبت به مجملات معلِّم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دوم؛ نصیری،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رابطة متقابل رسالت و رسول یا وحی و سنت، از بسیاری از آیات مبارک قرآنی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چنین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أَنزَلْنَا إِلَیْکَ الذِّکْرَ لِتُبَیِّنَ لِلنَّاسِ مَانُزِّل إِلَیْهِمْ وَ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أَنزَلْنَا عَلَیْکَ الْکِتَابَ إِلاّ َلِتُبَیِّنَ لَهُمُ الَّذِی اخْتَلَفُواْ فِیهِ وَ هُدًی وَ رَحْمَةً لِّقَوْمٍ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دوم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پیامبر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معلم کتاب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تبیین و تعلیم کتاب، بدون وجود معلم و مبیّن، که همان پیامبر و پس از او، جانشینان ایشان هستند،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مواردی بیان می کند که این آیات نه تنها می‌تواند هدایتگری نداشته باشد، بلکه در صورت جدایی از رسول، می‌تواند منشأ اختلاف نیز باشد، زیرا به تعبیر علی‌بن ابی‌طالب علیه‌السلام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ذووجوه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قابلیت برداشت و تفاسیر مختلف را دارد و معلِّمی باید باشد تا عقل انسان را در فهم آیات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مبانی و ره یافت برخی از اندیشوران معاصر اهل‌سنت در این زمینه است که در آن بر همین نکته ابرام و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ابوالاعلی مودودی در نیازمندی به سنت نبوی در فهم قرآن‌کریم تعبیر ظریفی ذیل عنوان اهمیت و نقش حدیث در تأویل قرآن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قرآن را تصنیف آن حضرت می‌داند، باید بپذیرد که تشریح انجام شده به وسیلة وی بیانگر اصل اهداف قرآن است و اگر آن را کلام خدا می‌داند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معترف است که خدا برای تعلیم دادن قرآن، حضرت محمد را مأمور فرموده بود، نیز باید قبول کند مفهومی را که حضرت محمد از کلام خدا فهمیده بود، همان است که مفهوم مستند آن، البته در این‌که آیا حدیث وارد شده صحیح السند است یا نه، بحث دیگری است، اما این سخن غیر قابل انکار است که ما در فهم و شناخت قرآن از حدیث بی نیاز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مودودی،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شیعی، همین استدلال برای کسانی که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تفسیری داشته باشند، نیز جاری است؛ در این نگاه، بدون حجت حیّ، قرآن و سنت نبوی نمی‌توانند به تنهایی رفع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چهارم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الی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متضمن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 حکم، با مرد شامی که در پی مناظره با اصحاب امام صادق علیه السلام بر آمده است، گفت وگویی دارد که در روشن شدن بحث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مرد شامی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مخلوقش خیراندیش‌تر است یا مخلوقات به خودشان؟ 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ثمرات این خیراندیشی می‌پرسد و شامی از معرفی کردن حجت و دلیل سخن به میان می‌آورد تا مخلوقات متفرق و مختلف نشوند و او ایشان را هم الفت دهد و هم ناهمواری‌ها را هموار سازد، که همان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دربارۀ امتداد این حجت و دلیل پس از رسول خدا می پرسد و شامی از قرآن و سنت نبوی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سودمندی قرآن و سنت در رفع اختلاف خود و شامی می‌پرسد که پاسخ شامی مثبت است، اما هشام دوباره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ما دو نفر با هم اختلاف داریم؟ مرد شامی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وارد ماجرا شده و از راز سکوت شامی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کتاب و سنت از ما رفع اختلاف می‌کند، باطل گفته‌ام، زیرا عبارات کتاب و سنت حامل وجوه مختلفی است، و اگر بگویم اختلاف داریم و هریک از ما مدعی حق هستیم، قرآن و سنت به ما سودی ندهند، زیرا هرکدام آن‌ها را به سود خویش توجیه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ظاهر محکمات قرآن حجت است و در متشابهات نیز به دلیل آن که تاب تحمل وجوه مختلف را دارد، قرآن بعد از بیان رسول و امام حجیت می‌یابد؛</w:t>
      </w:r>
      <w:r>
        <w:rPr>
          <w:rStyle w:val="FootnoteAnchor"/>
          <w:rtl w:val="true"/>
        </w:rPr>
        <w:footnoteReference w:id="17"/>
      </w:r>
      <w:r>
        <w:rPr>
          <w:rFonts w:ascii="IRNazanin" w:hAnsi="IRNazanin" w:eastAsia="IRNazanin"/>
          <w:color w:val="111111"/>
          <w:sz w:val="28"/>
          <w:sz w:val="28"/>
          <w:szCs w:val="28"/>
          <w:rtl w:val="true"/>
          <w:lang w:bidi="fa-IR"/>
        </w:rPr>
        <w:t>بدین معنا که بیان رسول سبب می‌شود که بسیاری از آنچه پیش از این، مجمل یا متشابه و امثال آن تلقی می‌شد، از</w:t>
      </w:r>
      <w:bookmarkStart w:id="44" w:name="pg2628_20786"/>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اجمال برون آمده و لباس محکم و نص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این‌که رسول و امام نیز بیان را از خود قرآن می‌آورند یا از طرق دیگر برایشان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مبنایی که در این زمینه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 اصل اثبات این ولایت تفسیری در تبیین و تعلیم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با آمدن بیان مفسر معصوم، حجیت بیان قرآن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جوادی آملی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خطوط کلی قرآن‌کریم در مقام عمل، که از مراجعه به شواهد درونی حاصل می‌شود، حجیت فی‌الجمله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باید با تمسک به روایات اهل بیت علیهم السلام بالجمله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شواهد درونی و تحصیل خطوط کلی، تنها در نیمۀ راه معرفت به سر می‌بریم؛ این مسیر با مراجعه به روایات و سخن اهل‌بیت عصمت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مراجعه نیز خود قرآن‌کریم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آتیکم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راستا قرار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سخن مستقل قرآن را بدون سخن و رأی معصوم پیام قران بداند، به یقین این سخن دیدگاه و رأی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لزوم تمام شدنِ قرآن‌کریم با روایات تأکید کرده و بیان می دارد که خطوط کلی‌ای که قرآن ترسیم می‌کند، اگر با ولایت تبیین نشود، امری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45" w:name="__RefHeading___Toc540882_1395250215"/>
      <w:bookmarkStart w:id="46" w:name="_Toc17"/>
      <w:bookmarkEnd w:id="45"/>
      <w:r>
        <w:rPr>
          <w:rtl w:val="true"/>
        </w:rPr>
        <w:t>جمع بندی و نتیجه گیری</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این نوشتار، حجیت ترکیبی و متشابک منابع معرفت، هم در قسمت ارتباط عقل و وحی و هم در بخش وحی قرآنی و سنت، پذیرفته شده است؛ اثبات حجیت ظواهر قرآن‌کریم، در برابر نگرش دست‌کم برخی از اخباریان، به معنای حجیت انفرادی و انحصاری قرآن و بی‌نیازی از حجت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معارف وحیانی ـ اعم از وحی رسالی و غیررسالی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شده در بیانات معصومان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عقل، ارتباط متقابل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 توجه به مقدماتی که تاکنون تقریر و تنسیق شدند و در ادامه به اختصار از نظر می‌گذرند، اعتبار سنجی گزاره‌های دینی نیز، همانند سایر مقامات نگرش منضبط به معارف اعتقادی و تدوین نظام‌مند آن، تابع حجیت متشابک عقل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اثبات شدة این نگاه، به شکل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گزاره‌های دینی، استدلال‌پذیر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دیدگاه‌ها و ره یافت‌های ظاهرگرایان و مخالفان حیث معرفت‌شناختی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حدود عقل، هم از ناحیة خود عقل و هم از ناحیة وحی، هردو امکان‌پذیر است، زیرا در مواردی که وحی اعلام محدودیت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سلبی نگاه وحی نسبت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 در حد پیشنهاد برای عقل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وحی، در حیث ایجابی نیز مبادی و موادی را برای تحلیل عقل فراهم کرده و افق دیدش را وسعت می‌بخشد؛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هردو نگاه سلبی و ایجابی وحی را نسبت به خودش تحلیل و در نتیجه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می‌شود، پیشنهاد وحی را خود متذکر می‌شود، یا خود برهانی که وحی تدارک دیده و پیشنهاد کرده است، اقامه می‌کند؛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در تشابک با وحی، هم ساختار خویش را توسعه داده و هم نسبت به گزاره‌های دینی استدلال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مقدمات یادشده،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حدودی غیر قابل هضم جلوه می‌کنند، زیرا در نظر تمام طرف داران عقل، به ویژه در نظر طرف داران حجیت انفرادی، عقل واجد سازوکار خودسامان دهنده است؛ برای خارج نشدن از دایرة عقلانیت، باید محدودیت‌های عقل را نیز خودش درک کند؛ این‌که در نگاه حجیت متشابک، این محدودیت، افزون بر خود عقل، گاه به وسیلة شریعت نیز اعلام شود، به معنای خارج شدن از دایرة عقلانیت و ناپذیرفتنی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چنان‌که اظهار شد، این‌که این محدودیت به وسیلة وحی اعلام می‌شود و یا افق تازه‌ای برای عقل گشوده می‌شود که پیش از آن، بدان وقوف نیافته بود و بلکه آن را ناپذیرفتنی می‌خواند، به معنای تعطیلی عقل و تعبد و تقلید کور و در نهایت خروج از مرز عقلانیت نیست، بلکه از سنخ راهنمایی معلّم است که متعلّم ممکن است در زمان فراگیری، متوجه حقیقت مسئله نباشد، اما به مرور زمان که از درک بالاتری برخوردار می‌شود، خودش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فرایند، مسئله را از عقلی بودن خارج نمی‌کند؛ اعلام محدودیت به وسیلة نقل است، اما عقل آدمی ساختار خویش را در محاورۀ نظام‌مند، روبه روی متن قرار می‌دهد و با</w:t>
      </w:r>
      <w:bookmarkStart w:id="47" w:name="pg2628_20789"/>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ایمان و حتی گاه تعبد به آنچه متن می‌گوید، می‌کوشد آن را در ساختار عقلانیت خود فهم و هضم کند و این همان حجیت متشابک منابع معرفت در هندسۀ معرفتی اسلام به تفسیر اهل‌بیت علیهم السلام است</w:t>
      </w:r>
      <w:r>
        <w:rPr>
          <w:rFonts w:eastAsia="IRNazanin" w:cs="IRNazanin"/>
          <w:color w:val="111111"/>
          <w:sz w:val="28"/>
          <w:szCs w:val="28"/>
          <w:rtl w:val="true"/>
          <w:lang w:bidi="fa-IR"/>
        </w:rPr>
        <w:t>.</w:t>
      </w:r>
    </w:p>
    <w:p>
      <w:pPr>
        <w:pStyle w:val="Heading3"/>
        <w:numPr>
          <w:ilvl w:val="2"/>
          <w:numId w:val="1"/>
        </w:numPr>
        <w:rPr/>
      </w:pPr>
      <w:bookmarkStart w:id="48" w:name="__RefHeading___Toc540884_1395250215"/>
      <w:bookmarkStart w:id="49" w:name="_Toc18"/>
      <w:bookmarkEnd w:id="48"/>
      <w:r>
        <w:rPr>
          <w:rtl w:val="true"/>
        </w:rPr>
        <w:t>منابع</w:t>
      </w:r>
      <w:bookmarkEnd w:id="49"/>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جعفر شهیدی، تهران، انتشارات علمی و فرهنگی، چاپ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احمد‌بن عبدالحلیم،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درء تعارض العقل و النقل،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الریاض، دار الکنوز الأدبیة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حسین‌بن عبدالله،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ابن سینا،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عفیفی، قم، مکتبة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الاشارات و التنبیهات، مع الشرح للمحقق الطوسی، قم، نشر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رضی‌الدین علی،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المحجه لثمره المهجه، نجف، مطبعة 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السعود للنفوس، تحقیق فارس تبریزیان، الحسون، قم،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شرح‌المقاصد،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عمیره، قم، منشورات شریف الرضی،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الجوزو، محمدعلی،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العقل و القلب فی القرآن و السنة، بیروت، دارالعلم للملایین،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تصحیح هاشم حسینی، قم، جامعه مدرسین،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الاعتقادات فی دین الامامیة،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مازندرانی،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نصیرالدین،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المعروف بنقد المحصل، بیروت، 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عضدالدین،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المواقف، بیروت،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میر سید 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المواقف، الطبعة الاولی، علی نفقة الحاج محمد افندی ساسی المغربی‌التونسی،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عقل در هندسه معرفت دینی،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شمس‌الوحی تبریزی،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عقل، قم،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الملکوت فی شرح الیاقوت،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نجمی، قم،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موسوی زنجانی،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دوستدار، آرامش،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امتناع تفکر در فرهنگ دینی، پاریس، خاوران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حسین‌بن محمد،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الی مکارم الشریعه، قاهره، دارالسلام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محمد‌بن ابراهیم،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المتعالیه فی الاسفار العقلیة الاربعة، بیروت، دار احیاء التراث العربی،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المبدأ و المعاد، بیروت، دارالهادی،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المشاعر، به اهتمام هنری کربین، تهران، کتابخانه طهوری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فلسفی، تعلیق،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آشتیانی، مشهد، دانشکده الهیات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الشواهد الربوبیة فی المناهج السلوکیة، تصحیح، تعلیق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آشتیانی، بیروت، المرکز الجامعی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مؤسسه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 مؤسسة الاعلمی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اسلام،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تعلیقة علی بحار الانوار، طبع شده با بحار الانوار، تهران، دار الکتب الاسلامیة،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اسلام، دفتر انتشارات اسلامی،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عبدالرسول،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به نظام حکمت صدرایی، تهران و قم، سمت و مؤسسه آموزشی و پژوهشی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عماره، محمد،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العقل فی الاسلام، قاهره، نهضة مصر للطباعة و النشر و التوزیع،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علوم الدین، دار 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اسمعیل، محمد اسمعیل،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القرآن و النظر العقلی، الولایات المتحدة الامریکیة، المعهد العالمی للفکر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خلیل‌بن احمد، العین،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بی‌جا، دار 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 دار الکتب الاسلامیة،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محاسبی، حارث‌بن اسد،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العقل و فهم القرآن،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قوتلی، بیروت، دارالکندی للطباعة و النشر و التوزیع،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مجموعة 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مؤسسه آموزشی و پژوهشی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عقاید، تهران، سازمان تبلیغات اسلامی، چاپ سی‌وششم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نعمان،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الاعتقادیة، بیروت، دار المفید،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مصنفات الشیخ المفید، تحقیق شیخ ابراهیم انصاری زنجانی،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مودودی، ابوالاعلی،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و مسائل کامل، مترجم احمد مودودی چشتی، لاهور، دارالعروبة للدعوة الاسلامیة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متقابل کتاب و سنت، تهران،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نوفان عبیدات، عبدالکریم،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العقلیة فی القرآن، اردن، دار النفائس للنشر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 پناه، سیدیدالله،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شرح و سنجش دستگاه فلسفی شیخ شهاب‌الدین 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مهدی علی پور، قم، پژوهشگاه حوزه و دانشگاه و سمت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منابعی‌که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شده‌اند، برگرفته از نرم‌افزارهای مختلف علوم اسلامی مرکز تحقیقات کامپیوتری علوم اسلامی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50" w:name="pg2628_20793"/>
    </w:p>
    <w:p>
      <w:pPr>
        <w:pStyle w:val="BookText"/>
        <w:rPr/>
      </w:pPr>
      <w:bookmarkEnd w:id="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2"/>
        <w:numPr>
          <w:ilvl w:val="1"/>
          <w:numId w:val="1"/>
        </w:numPr>
        <w:rPr/>
      </w:pPr>
      <w:bookmarkStart w:id="51" w:name="__RefHeading___Toc540886_1395250215"/>
      <w:bookmarkStart w:id="52" w:name="_Toc19"/>
      <w:bookmarkEnd w:id="51"/>
      <w:r>
        <w:rPr>
          <w:rtl w:val="true"/>
        </w:rPr>
        <w:t>مسئله نفی صفات در روایات اهل بیت علیهم السلام</w:t>
      </w:r>
      <w:bookmarkEnd w:id="52"/>
    </w:p>
    <w:p>
      <w:pPr>
        <w:pStyle w:val="Heading3"/>
        <w:numPr>
          <w:ilvl w:val="2"/>
          <w:numId w:val="1"/>
        </w:numPr>
        <w:rPr/>
      </w:pPr>
      <w:bookmarkStart w:id="53" w:name="__RefHeading___Toc540888_1395250215"/>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عبدالهادی اعتصامی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1392/05/15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1392/06/29</w:t>
      </w:r>
    </w:p>
    <w:p>
      <w:pPr>
        <w:pStyle w:val="Heading3"/>
        <w:numPr>
          <w:ilvl w:val="2"/>
          <w:numId w:val="1"/>
        </w:numPr>
        <w:rPr/>
      </w:pPr>
      <w:bookmarkStart w:id="55" w:name="__RefHeading___Toc540890_1395250215"/>
      <w:bookmarkStart w:id="56" w:name="_Toc21"/>
      <w:bookmarkEnd w:id="55"/>
      <w:r>
        <w:rPr>
          <w:rtl w:val="true"/>
        </w:rPr>
        <w:t>چکیده</w:t>
      </w:r>
      <w:bookmarkEnd w:id="56"/>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بحث و مناقشه دربارۀ اتصاف یا عدم اتصاف ذات الهی به اسما و صفات، از نخستین پرسش های اعتقادی است که همواره معرکۀ آرای اصناف گوناگون اندیشمندان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بر آن است تا روایاتی را که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غیرمستقیم ناظر به مسئله نفی صفات از ذات الهی اند، مورد تبیین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مقایسۀ میان این دو گروه از روایات این نتیجه حاصل شد که انتساب هرگونه صفتی به ذات الهی مستلزم تحدید و تشبیه است و حق تعالی هیچ گونه صفتی در مقام ذات ندارد و از هر معنا و مفهومی که ذات را نشان دهد، منزه و مبرّاست؛ بنابراین، تمام اسما و صفاتی که بر خداوند به نحو ایجابی اطلاق می شوند، وصف فعلی یا سلبی اند</w:t>
      </w:r>
      <w:r>
        <w:rPr>
          <w:rFonts w:eastAsia="IRNazanin" w:cs="IRNazanin"/>
          <w:color w:val="111111"/>
          <w:sz w:val="28"/>
          <w:szCs w:val="28"/>
          <w:rtl w:val="true"/>
          <w:lang w:bidi="fa-IR"/>
        </w:rPr>
        <w:t>.</w:t>
      </w:r>
    </w:p>
    <w:p>
      <w:pPr>
        <w:pStyle w:val="Heading3"/>
        <w:numPr>
          <w:ilvl w:val="2"/>
          <w:numId w:val="1"/>
        </w:numPr>
        <w:rPr/>
      </w:pPr>
      <w:bookmarkStart w:id="57" w:name="__RefHeading___Toc540892_1395250215"/>
      <w:bookmarkStart w:id="58" w:name="_Toc22"/>
      <w:bookmarkEnd w:id="57"/>
      <w:r>
        <w:rPr>
          <w:rtl w:val="true"/>
        </w:rPr>
        <w:t>واژگان کلیدی</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ذاتی، صفات فعلی، وجودشناسی صفات، معناشناسی صفات</w:t>
      </w:r>
      <w:r>
        <w:rPr>
          <w:rFonts w:eastAsia="IRNazanin" w:cs="IRNazanin"/>
          <w:color w:val="111111"/>
          <w:sz w:val="28"/>
          <w:szCs w:val="28"/>
          <w:rtl w:val="true"/>
          <w:lang w:bidi="fa-IR"/>
        </w:rPr>
        <w:t>.</w:t>
      </w:r>
      <w:bookmarkStart w:id="59" w:name="pg2628_20794"/>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p>
    <w:p>
      <w:pPr>
        <w:pStyle w:val="Heading3"/>
        <w:numPr>
          <w:ilvl w:val="2"/>
          <w:numId w:val="1"/>
        </w:numPr>
        <w:rPr/>
      </w:pPr>
      <w:bookmarkStart w:id="60" w:name="__RefHeading___Toc540894_1395250215"/>
      <w:bookmarkStart w:id="61" w:name="_Toc23"/>
      <w:bookmarkEnd w:id="60"/>
      <w:r>
        <w:rPr>
          <w:rtl w:val="true"/>
        </w:rPr>
        <w:t>مقدمه</w:t>
      </w:r>
      <w:bookmarkEnd w:id="61"/>
    </w:p>
    <w:p>
      <w:pPr>
        <w:pStyle w:val="BookText"/>
        <w:rPr/>
      </w:pPr>
      <w:r>
        <w:rPr>
          <w:rFonts w:ascii="IRNazanin" w:hAnsi="IRNazanin" w:eastAsia="IRNazanin"/>
          <w:color w:val="111111"/>
          <w:sz w:val="28"/>
          <w:sz w:val="28"/>
          <w:szCs w:val="28"/>
          <w:rtl w:val="true"/>
          <w:lang w:bidi="fa-IR"/>
        </w:rPr>
        <w:t>مسئله صفات خداوند و کیفیت اتصاف ذات پروردگار به این اوصاف و ارتباط آن با توحید حقیقی، از مباحث کهن و بنیادین در تاریخ عقاید و اندیشۀ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اعتقادی که اندیشمندان اسلامی همواره دربارۀ آن به ارائه نظر پرداختند، بحث دربارۀ اتصاف یا عدم اتصاف ذات الهی به اسما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داران نظریۀ اتصاف به سبب خالی ندانستن ذات از کمالات وجودی، با تأکید بر ظواهر متون دینی، وجود صفات را در ذات خداوند مسلّم می پندارند؛ در مقابل، مخالفان نظریۀ اتصاف، به سبب تلازم محدودیت، مخلوقیت و تعدد با اثبات صفت برای خداوند، هرگونه صفت را از ذات پروردگار سلب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زمینۀ پیدایش این دو رویکرد از آن جا نشئت می گیرد که در پاره ای از روایات، توصیف خداوند به هرگونه وصفی مغایر با توحید خالص خداوند شناخته شده و کمال توحید و بالاترین درجۀ اخلاص در نفی صفات از ذات پروردگار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مطابق ٱیات قرآن و برخی روایات، صفاتی برای ذات پروردگار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ظاهری در دو دسته از روایات، این سؤال را ایجاد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اتصاف ذات به صفت صحیح است؟ و به فرض مثبت بودن جواب، چرا مطابق گروهی از روایات، انتساب صفت به ذات پروردگار با کمال اخلاص و توحید ناب ناسازگار است؟ آیا بین این دو گروه از روایات تعارضی وجود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اندیشمندان اسلامی با توجه به پیش فرض های کلامی خود در صدد پاسخ به این پرسش ها برآمده اند، و از این رهگذر نظریات گوناگونی به منصۀ ظهور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نظریۀ نفی صفات از مهم ترین رویکردهای الهیاتی است که به نحو دقیقی به سخن گفتن دربارۀ رابطه ذات با صفات می پردازد، تنها به بررسی روایاتی می پردازیم که به نحوی ناظر به نظریۀ نفی صفات از منظر وجودشناسی</w:t>
      </w:r>
      <w:r>
        <w:rPr>
          <w:rStyle w:val="FootnoteAnchor"/>
          <w:rtl w:val="true"/>
        </w:rPr>
        <w:footnoteReference w:id="2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این دیدگاه موافقان </w:t>
      </w:r>
      <w:r>
        <w:rPr>
          <w:rStyle w:val="FootnoteAnchor"/>
          <w:rtl w:val="true"/>
        </w:rPr>
        <w:footnoteReference w:id="21"/>
      </w:r>
      <w:r>
        <w:rPr>
          <w:rFonts w:ascii="IRNazanin" w:hAnsi="IRNazanin" w:eastAsia="IRNazanin"/>
          <w:color w:val="111111"/>
          <w:sz w:val="28"/>
          <w:sz w:val="28"/>
          <w:szCs w:val="28"/>
          <w:rtl w:val="true"/>
          <w:lang w:bidi="fa-IR"/>
        </w:rPr>
        <w:t>و مخالفانی دارد که هریک برای تأیید و تثبیت آرای خویش به روایات تمسک جسته و رأی</w:t>
      </w:r>
      <w:bookmarkStart w:id="62" w:name="pg2628_20795"/>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خویش را منطبق بر گفتار معصومان علیهم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تنها به بررسی روایات پرداخته و از نقل و نقد آرای دیگران جز در موارد ضروری پرهیز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سخنان معصومان علیهم السلام دربارۀ صفات را می 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صراحت و به طور مطلق، هرگونه صفتی را برای حق تعالی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صفاتی را برای خداوند ثابت می کنند</w:t>
      </w:r>
      <w:r>
        <w:rPr>
          <w:rFonts w:eastAsia="IRNazanin" w:cs="IRNazanin"/>
          <w:color w:val="111111"/>
          <w:sz w:val="28"/>
          <w:szCs w:val="28"/>
          <w:rtl w:val="true"/>
          <w:lang w:bidi="fa-IR"/>
        </w:rPr>
        <w:t>.</w:t>
      </w:r>
    </w:p>
    <w:p>
      <w:pPr>
        <w:pStyle w:val="Heading3"/>
        <w:numPr>
          <w:ilvl w:val="2"/>
          <w:numId w:val="1"/>
        </w:numPr>
        <w:rPr/>
      </w:pPr>
      <w:bookmarkStart w:id="63" w:name="__RefHeading___Toc540896_1395250215"/>
      <w:bookmarkStart w:id="64" w:name="_Toc24"/>
      <w:bookmarkEnd w:id="63"/>
      <w:r>
        <w:rPr>
          <w:rtl w:val="true"/>
        </w:rPr>
        <w:t>روایات نفی صفات</w:t>
      </w:r>
      <w:bookmarkEnd w:id="64"/>
    </w:p>
    <w:p>
      <w:pPr>
        <w:pStyle w:val="BookText"/>
        <w:rPr/>
      </w:pPr>
      <w:r>
        <w:rPr>
          <w:rFonts w:ascii="IRNazanin" w:hAnsi="IRNazanin" w:eastAsia="IRNazanin"/>
          <w:color w:val="111111"/>
          <w:sz w:val="28"/>
          <w:sz w:val="28"/>
          <w:szCs w:val="28"/>
          <w:rtl w:val="true"/>
          <w:lang w:bidi="fa-IR"/>
        </w:rPr>
        <w:t>روایات نفی صفات</w:t>
      </w:r>
    </w:p>
    <w:p>
      <w:pPr>
        <w:pStyle w:val="BookText"/>
        <w:rPr/>
      </w:pPr>
      <w:r>
        <w:rPr>
          <w:rFonts w:ascii="IRNazanin" w:hAnsi="IRNazanin" w:eastAsia="IRNazanin"/>
          <w:color w:val="111111"/>
          <w:sz w:val="28"/>
          <w:sz w:val="28"/>
          <w:szCs w:val="28"/>
          <w:rtl w:val="true"/>
          <w:lang w:bidi="fa-IR"/>
        </w:rPr>
        <w:t>پاره ای از روایات به صراحت بر نفی صفت از ذات الهی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بیشتر در سخنان امیرالمؤمنین علیه السلام و بعد از ایشان، از امام رضا علیه السلام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اول نهج البلاغه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مزبور، کمال توحید به اخلاص، و کمال اخلاص به نفی صفات از حق تعالی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پیداست که اخلاص در این جا، اخلاص عملی نیست، بلکه منظور، اخلاص در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خویی،</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کمال توحید او، اخلاص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اصل معرفت خداوند مربوط می شود، نه به درجۀ خاصی از آن؛ یعنی هر معرفتی وقتی کامل و صحیح است که به توحید خداوند منتهی شود و در غیر این صورت، اصلاً معرفت نیست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ارتباط اخلاص با نفی صفات چگونه است؟ شاید بتوان این گونه توضیح داد که اخلاص کامل برای خداوند به این است که انسان به طور کلی از او نفی صفات کند، چون لازمۀ هرگونه توصیفی از خداوند، قرین کردن غیر او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بعدیِ این خطبۀ شریفه به همین مطلب تذکر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خداوند را به صفتی وصف کند، او را همراه و قرین با غیر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تقارن، مستلزم دو بودن، تجزیه و تحدید در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حدیثی شبیه به روایت پیشین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تَوْحِیدِهِ نَفْیُ الصِّفَاتِ عَنْهُ بِشَهَادَةِ کُلِّ صِفَةٍ أَنَّهَا غَیْرُ الْمَوْصُوفِ وَ شَهَادَةِ الْمَوْصُوفِ أَنَّهُ غَیْرُ الصِّفَةِ وَ شَهَادَتِهِمَا جَمِیعاً بِالتَّثْنِیَةِ الْمُمْتَنِعِ مِنْهُ الْأَزَلُ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استدلال شده که صفت و موصوف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صفت بودن صفت اقتضا می کند که غیر موصوف باشد و موصوف بودن موصوف هم اقتضا می کند که غیر از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چیزی بخواهد عین آن و خود آن باشد، دیگر نمی توان اطلاق صفت بر آن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ای دیگر 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تَوْحِیدِهِ نَفْیُ الصِّفَاتِ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خطبه ای که امام رضا علیه السلام در مجلس مأمون ایراد فرمودند، به این مطلب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عِبَادَةِ اللَّهِ مَعْرِفَتُهُ وَ أَصْلُ مَعْرِفَةِ اللَّهِ تَوْحِیدُهُ وَ نِظَامُ تَوْحِیدِ اللَّهِ نَفْیُ الصِّفَاتِ عَنْهُ لِشَهَادَةِ الْعُقُولِ أَنَّ کُلَّ صِفَةٍ وَ مَوْصُوفٍ مَخْلُوقٌ وَ شَهَادَةِ کُلِّ مَخْلُوقٍ أَنَّ لَهُ خَالِقاً لَیْسَ بِصِفَةٍ وَ لَا مَوْصُوفٍ وَ شَهَادَةِ کُلِّ صِفَةٍ وَ مَوْصُوفٍ بِالاقْتِرَانِ وَ شَهَادَةِ الِاقْتِرَانِ بِالْحَدَثِ وَ شَهَادَةِ الْحَدَثِ بِالامْتِنَاعِ مِنَ الْأَزَلِ الْمُمْتَنِعِ مِنَ الْحَدَثِ فَلَیْسَ اللَّهَ عَرَفَ مَنْ عَرَفَ بِالتَّشْبِیهِ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بیان مستدل کرده که صفت و موصوف بودن، هردو از نشانه های مخلوقی بودن هستند؛ بنابراین،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مخلوق است و موصوف واقع شدن به معنای نیازمندی به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گواهند بر این که هر صفت و موصوفی مخلوقند، زیرا وقتی برای چیزی صفتی قرار می دهیم در واقع او را محدود می کنیم، زیرا خود صفت حد است و موصوف هم محدود به آن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عقل گواهی می دهد به این که صفت و موصوف هردو مخلوقند، چون هر محدودی مخلوق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عقل گواهی می دهد، این است که صفت و موصوف همیشه با همند و به تعبیر دیگر اقتران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دو چیز گواه است بر این که آن دو حادثند و نمی توانند ازلی باشند ، چراکه وجود دو قدیم ازلی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حدوث از خصوصیات مخلوقات است و خدای خارج از حد تشبیه نمی تواند متصف به صفات مخلوقی باشد، پس خدای ازلی نمی تواند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سیر عقلانی این است که وجود صفت و موصوف نشانۀ مخلوقیت است و مخلوقات باید متکی به خالقی باشند که نه صفت باشد و نه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پس کسی که خدا را می شناسد، باید او را بالاتر از حد صفت و موصوف قرار دهد، وگرنه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همچون ابن ابی الحدید معتزلی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دلیلی است بر این که مقصود امام از نفی صفات، صفات زاید بر ذات حق بوده است، وگرنه صفات ذات که عین ذات حق تعالی هستند، لوازمی چون دو بودن و تحدید را در پی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امام می خواهند برای هر صفتی نسبت به موصوفشان، ویژگی کلی ای را بیان کنند و به طور کلی، هر صفتی را غیر موصوف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چنان بود که منظور صفات زاید بر ذات بود، باید ائمه علیهم السلام به جای این همه تأکید بر غیریت صفت با ذات، دست کم اشاره ای می کردند به این که صفات مخلوق، غیر ذوات آن ها، ولی صفت خالق، عین ذات اوست؛ نه این که به صورت قضیۀ موجبۀ کلیه بر این مطلب اصرار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صفتی مغایر با موصوف و هر موصوفی مغایر با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که کلیت این قضیه را دلیل بر نفی صفات از ذات خداوند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امام رضا علیه السلام در پاسخ به پرسش فتح بن یزید جرجانی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همان بیان امام علی علیه السلام را نگاشت و در استدلال بر ضرورت نفی صفات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التَّوْحِیدِ نَفْیُ الصِّفَاتِ عَنْهُ لِشَهَادَةِ کُلِّ صِفَةٍ أَنَّهَا غَیْرُ الْمَوْصُوفِ وَ شَهَادَةِ الْمَوْصُوفِ أَنَّهُ غَیْرُ الصِّفَةِ وَ شَهَادَتِهِمَا جَمِیعاً عَلَی أَنْفُسِهِمَا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بالتثنیه 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مِنْهَا الْأَزَل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نیز استدلال شده که هر صفت و موصوفی در ذات خود بینونت و ثنویت دارند و دو امر متباین و متغایر نمی توانند ازلی باشند، چراکه پیش از وجود دو بودن، وحدت و فردیت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که می تواند تأکیدی بر این نکته باشد، سخن امام صادق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مَوْصُوفٍ مَصْنُوعٌ وَ صَانِعُ الْأَشْیَاءِ غَیْرُ مَوْصُوفٍ بِحَدٍّ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حدیث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وصف می پذیرد، مصنوع است؛ در نتیجه غیر مصنوع، غیر قابل وصف خواهد بود؛ به عبارت دیگر می توان گفت، همۀ مفاهیمی که برای توصیف خداوند به کار می بریم، برگرفته از مصنوعات هستند و معنا و مدلول این مفاهیم چیزی جز خود مصنوعات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معلوم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مصطفی،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کمالی که مفهومی از آن درک می شود، برای ما معلوم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حاصل فرمودۀ امام صادق علیه السلام این است که صانع متعال موصوف به هیچ وصفی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 دیگر از امام علی علیه السلام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الْمُمْتَنِعَةِ مِنَ الصِّفَاتِ ذَاتُهُ وَ مِنَ الْأَبْصَارِ رُؤْیَتُهُ وَ مِنَ الْأَوْهَامِ الْإِحَاطَةُ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ذات مقدس پروردگار از صفات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حدیث از امام رضا علیه السلام نیز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این روایت بر می آید این است که انتساب هرگونه صفت به ذات الهی،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امتناع روشن است، زیرا صفت داشتن مستلزم تحدید و احاطه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تحدید و احاطه از خصوصیت ذاتی اشیا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تباین ذاتی میان خالق و مخلوق در تمام جهات، ذات الهی از هرگونه صفت که از ویژگی ذاتی مخلوق است، امتناع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علیه السلام در خطبه ای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فَلَیْسَتْ لَهُ صِفَةٌ تُنَالُ وَ لَا حَدٌّ تُضْرَبُ لَهُ فِیهِ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جا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فَلَیْسَتْ لَهُ صِفَةٌ تُنَال ُ وَ لَا حَدٌّ تُضْرَبُ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نیست که خداوند صفت دارد، اما به آن نمی توان رسید یا این که حد دارد، اما برایش نمی شود مثال زد؛ بلکه به قرینۀ فقرۀ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از ذات الهی نفی کرده است، روشن می شود که نفی در فقرۀ اول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تنال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منظور این نیست که خداوند صفت دست یافتنی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می توان این گونه بیان کرد که اگر خداوند صفت داشته باشد، به وسیلۀ مفاهیم قابل دسترسی است و حدی اگر داشته باشد، قابل مثال زدن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قابل نیل ندارد، یعنی اصلاً هیچ صفتی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دربارۀ حد، مقصود این است که اصلاً حدی ندارد، چون اگر حد داشت، قابل مثال زدن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خطبه ای از امیرالمؤمنین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کَالْأَشْیَاءِ فَتَقَعَ عَلَیْهِ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عبارت، صفات از خصوصیات اشیا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هرگونه صفتی از خداوند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در این دسته از روایات این است که چگونه نفی صفات از خداوند، کمال توحید معرفی می شود؟ در حالی که مطابق آیات قرآن و روایات، اوصاف فراوانی برای خداوند ذکر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اقوالی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مسلمان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نفی صفات زاید بر ذات معنا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فاضل مقداد،</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گروه، صفات خداوند جنبۀ ثبوتی دارد و همۀ این صفات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عین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نفی صفات را به معنای نفی صفات مخلوق از ذات خالق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برخی معتقدند این کلام از امام به معنای نفی مطلق هرگونه صفات از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صدوق،</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قاضی سعید،</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هیچ صفتی برای خداوند در مقام ذات اثبات نمی شود و تمام صفاتی که در روایات برای خداوند ذکر شده به صورت سلبی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دیدگاه، اتحاد و عینیت ذات و صفت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همۀ کسانی که صفات ثبوتی را به معنای سلب نقیض آن ها دانسته اند، ملتزم به نظریۀ نفی صفات نشده اند، بلکه نظریۀ عینیت را برگزیده اند و تنها در بعد معناشناختی، صفات ثبوتی ذاتی را به صفات سلبی ارجاع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فاضل مقداد،</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فرض این که مراد امام از نفی صفت، نفی صفات زاید بر ذات باشد نمی توان گفت به حصر عقلی صفات خداوند یا باید زاید بر ذات باشد یا عین ذات، زیرا فرض سومی نیز وجود دارد و آن این است که گفته شود خداوند در مقام ذات اصلاً صفتی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پیشین اشاره شد که افرادی چون شیخ کلینی، صدوق و قاضی سعید قمی به این نظریه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قائل به اعتباری بودن صفات هستند که علاوه بر نفی صفات زاید بر ذات، نظریۀ عینیت را نیز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رجوع به اقوال نمی توان نظریۀ خاصی را به احادیث نفی صفات 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تعدد آرا و اختلاف در تفسیر این گونه احادیث ما را به بازخوانی روایات نفی صفات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هیچ قرینه ای در الفاظ حدیث مبنی بر عینیت صفت با ذات وجود ندارد، زیرا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صفتی است و به صفت خاصی اختصاص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است و شامل هر صفتی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هم اطلاق و هم عمومیت دارد و تمام صفات را از حق تعالی نفی می کند، زیرا هیچ گونه قیدی که صفت را به قسم خاصی محدود کند، وجود ندارد و به دلیل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مُحلی به الف و لام است، این جمله عمومیت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نکته در فراز بعدی امام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خود امام علیه السلام به صراحت بیان فرموده اند،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لشَهَادَةِ کُلِّ صِفَةٍ أَنَّهَا غَیْرُ الْمَوْصُوفِ وَ شَهَادَةِ الْمَوْصُوفِ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صفتی به غیریتش با موصوف گواهی می دهد و هر موصوفی هم به غیریتش با صفت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بعد از این که در این فقره امام به جدایی صفت و موصوف تذکر می دهند، در عبارت بعدی نتیجه می گیرد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 مَنْ قَرَنَهُ فَقَدْ ثَنَّاهُ وَ مَنْ ثَنَّاهُ فَقَدْ 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وصف آوردن برای خداوند، باعث تقارن صفت و موصوف می شود و تقارن مستلزم دو بودن، تجزیه و تحدید در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کربلایی رحمه الله علیه در توضیح سخن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کُلِّ صِفَةٍ أَنَّهَا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استدلال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صفتیت مقتضی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عینیت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این که اگر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نباشد، دو حقیقت خواهند بود، نه یکی؛ لشهادﺓ کل صِفَة انها غیر الموصوف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تهرانی،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صفت بودن، مقتضی امتیاز از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نخواهیم صفت را از معنای اصلی آن خارج کنیم از موصوف جداست، و در صورتی که صفت عین ذات باشد، دیگر نمی تواند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صفتی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نامحدود فرض شود با برداشتن حد آن هم با ذات یکی نمی شود، چون همان گونه که امام فرمودند، عقلاً هر صفتی به غیریتش با موصوف شهادت می دهد، چه آن صفت محدود باشد چه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 که قائلان به نظریۀ عینیت، صفات نامحدود خداوند را با ذات متحد می پندارند و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مصداقی و تغایر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مفهومی صفات را در ذات اثبات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1981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کثرت مفاهیم این است که هریک دارای مفهومی جداگانه باشند؛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باید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 جا مطرح می شود این است که آیا مفاهیم مغایر، حیثیتی را در ذات اثبات می کنند یا خیر؟ اگر هریک حیثیتی جداگانه در ذات اثبات می کنند، لازمه اش کثرت حیثیات در ذات می شود؛ در حالی که قائلان به نظریۀ عینیت، ذات را بسیط محض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صفاتی چون علم، قدرت و حیات با هم متحد شوند، باید مفاهیمشان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حفظ مفهوم هرکدام، نمی توان آن ها را با یکدیگر متحد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تنها وقتی صفات کمالیه با هم متحد می شوند که هر صفتی، مفهوم خود را از دست بدهد و از دست دادن مفهوم مساوی است با از بین رفتن خود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 می شود که اگر صفتی دارای مفهوم نباشد، بر چیزی در موصوف خود دلالت نمی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 این است که اگر صفات در ذات اموری وجودی باشند، چون صفتند، پس غیر از ذاتند، و هر چیزی که غیرذات باشد مخلوق ذات است؛ بنابراین نمی تواند عین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صفات واقعیت نداشته باشند و اموری اعتباری فرض شوند، دیگر بهره ای از</w:t>
      </w:r>
      <w:bookmarkStart w:id="65" w:name="pg2628_20801"/>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وجود ندارند و امری که بهره ای از واقعیت ندارد، چگونه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عین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ذات حق از واقعیت صفات خالی خواهد بود؛ و به تعبیری، نظریۀ اعتباری بودن صفات به نظریۀ نفی صفات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از لحاظ عقلی و هم به جهت نقلی، نظریۀ عینیت با اشکالات جدی مواجه است</w:t>
      </w:r>
      <w:r>
        <w:rPr>
          <w:rFonts w:eastAsia="IRNazanin" w:cs="IRNazanin"/>
          <w:color w:val="111111"/>
          <w:sz w:val="28"/>
          <w:szCs w:val="28"/>
          <w:rtl w:val="true"/>
          <w:lang w:bidi="fa-IR"/>
        </w:rPr>
        <w:t>.</w:t>
      </w:r>
    </w:p>
    <w:p>
      <w:pPr>
        <w:pStyle w:val="Heading3"/>
        <w:numPr>
          <w:ilvl w:val="2"/>
          <w:numId w:val="1"/>
        </w:numPr>
        <w:rPr/>
      </w:pPr>
      <w:bookmarkStart w:id="66" w:name="__RefHeading___Toc540898_1395250215"/>
      <w:bookmarkStart w:id="67" w:name="_Toc25"/>
      <w:bookmarkEnd w:id="66"/>
      <w:r>
        <w:rPr>
          <w:rtl w:val="true"/>
        </w:rPr>
        <w:t>روایات اثبات صفات</w:t>
      </w:r>
      <w:bookmarkEnd w:id="67"/>
    </w:p>
    <w:p>
      <w:pPr>
        <w:pStyle w:val="BookText"/>
        <w:rPr/>
      </w:pPr>
      <w:r>
        <w:rPr>
          <w:rFonts w:ascii="IRNazanin" w:hAnsi="IRNazanin" w:eastAsia="IRNazanin"/>
          <w:color w:val="111111"/>
          <w:sz w:val="28"/>
          <w:sz w:val="28"/>
          <w:szCs w:val="28"/>
          <w:rtl w:val="true"/>
          <w:lang w:bidi="fa-IR"/>
        </w:rPr>
        <w:t>گروه دوم روایاتی است که بر وجود صفت در خداوند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یادآوری است که در این جا صفت در معنای وجود شناختی آن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روایات بررسی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سخنان امیرالمؤمنین علیه 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 دُونَ بُلُوغِ صِفَتِهِ أَوْهَامُ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فقره ظاهراً برای ذات خداوند صفتی متصور شده، اما از دسترس اوهام آفریدگان خارج است و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این معنا قابل برداشت است که خداوند صفتی دارد، اما قابل درک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خطبۀ امام رضا علیه السلام در مجلس مأمون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لاتَصْحَبُهُ الْأَوْقَاتُ وَ لَا تَضَمَّنُهُ الْأَمَاکِنُ وَ لَا تَأْخُذُهُ السِّنَاتُ وَ لَا تَحُدُّهُ الصِّفَاتُ وَ لَا تُقَیِّدُهُ الْأَدَوَات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امام وجود صفت برای خداوند را مفروض می گیرد، اما در ادامه می فرماید که صفات او را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 این است که گفته شود صفت داشتن به طور مطلق، مستلزم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از هر حدی منزه است و صفت نیز مستلزم تحدید است، پس مطابق این حدیث، هرگونه صفت از ذات خداوند نفی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امام حسن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تُدْرِکُ الْعُقُولُ وَ أَوْهَامُهَا وَ لَا الْفِکَرُ وَ خَطَرَاتُهَا وَ لَا الْأَلْبَابُ وَ أَذْهَانُهَا 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به ظاهر برای خداوند صفت مفروض دانسته شده، اما این صفت با عقول و اوهام قابل درک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ای از امام علی علیه السلام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لِصِفَتِهِ حَدٌّ مَحْدُودٌ وَ لَا نَعْتٌ مَوْجُودٌ وَ لَا وَقْتٌ مَعْدُودٌ وَ لَا أَجَلٌ 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 نیز به ظاهر برای خداوند صفت مفروض دانسته شده، اما این صفت محدود به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برای تحلیل این گروه از روایات ناگزیر باید گفت یا خداوند به لحاظ وجود شناسی صفت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داشته باشد یا صفات خداوند محدود است یا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قائل شویم که خداوند صفات نامحدود دارد، باید روایات نفی صفات را تأویل کنیم و مطابق قول برخی بگوییم منظور از نفی صفت، نفی صفات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صفات زاید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باید قائل به عینیت ذات با صفات شویم، در حالی که در روایات به طور فراوان بر این نکته تأکید شده که صفت داشتن مستلزم تحدید و احاطه و توهم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نتیجه، مطرح کردن صفات نامحدود نوعی پارادوکس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 خداوند در مقام ذات صفت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ظاهر روایاتی که کمالاتی را به ذات خداوند منتسب می کنند،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وجود دارد که در انتساب صفاتی چون علم، قدرت و حیات به ذات خداوند نسبت به روایات یاد شده ظهور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آن ها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امام صادق علیه السلام به ابوبصیر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اللَّهُ عَزَّ وَ جَلَّ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دیگر امام صادق علیه السلام دربارۀ توحید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عَزَّ وَ جَلَّ نُعُوتٌ وَ صِفَاتٌ فَالصِّفَاتُ لَهُ وَ أَسْمَاؤُهَا جَارِیَةٌ عَلَی الْمَخْلُوقِینَ مِثْلُ السَّمِیعِ وَ الْبَصِیرِ وَ الرَّءُوفِ وَ الرَّحِیمِ وَ أَشْبَاهِ ذَلِکَ وَ النُّعُوتُ نُعُوتُ الذَّاتِ لَا تَلِیقُ إِلَّا بِاللَّهِ تَبَارَکَ وَ تَعَالَی وَ اللَّهُ نُورٌ لَا ظَلَامَ فِیهِ وَ حَیٌّ لَا مَوْتَ لَهُ وَ عَالِمٌ لَا جَهْلَ فِیهِ وَ صَمَدٌ لَا مَدْخَلَ فِیهِ رَبُّنَا نُورِیُّ الذَّاتِ حَیُّ الذَّاتِ عَالِمُ الذَّاتِ صَمَدِیُّ 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یَزَلِ اللَّهُ عَزَّ وَ جَلَّ عَلِیماً قَادِراً حَیّاً قَدِیماً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لَمْ‌یَزَلِ اللَّهُ عَالِماً قَادِراً ثُمَّ 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دید که مدلول این احادیث چگونه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آیا این گروه از روایات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آیا لازمۀ نفی صفات از ذات الهی، این است که هر گونه کمالی از ذات خداوند سلب شود؟ اگر چنین باشد، خداوند را ناقص و بدون کمال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صفاتی را در ذات اثبات کنیم یا این که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این تعابیر به ذات اشاره کنیم؟ فرق این دو، در نتیجۀ بحث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گفته شود منظور اثبات صفت است، مدلول این روایات با روایات نفی صفات متعارض می شود؛ اما در صورتی که گفته شود این صفات تنها به ذات اشاره می کنند، تعارضی بین این روایات و روایات نفی صفات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برای دست یابی به درکی صحیح در این موضوع باید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روایات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صفت هر دو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احادیث ، اسم و صفت ، معنای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بر واحد بودن اسم و صفت تصریح شده است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برای مثال، امام باقر علیه السلام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الْأَسْمَاءَ صِفَاتٌ وَصَفَ بِهَا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امام رضا علیه السلام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 </w:t>
      </w:r>
      <w:r>
        <w:rPr>
          <w:rStyle w:val="FootnoteAnchor"/>
          <w:rtl w:val="true"/>
        </w:rPr>
        <w:footnoteReference w:id="25"/>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معنای لغوی و روایات می توان نتیجه گرفت که اسم و صفت در لغت عرب، هردو به معنای علامت و نشانه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معنای اسم و صفت باید به این پرسش پاسخ دهیم که اسما و صفاتی که در احادیث یادشده به ذات خداوند نسبت داده شده اند آیا بیانگر اثبات صفت در ذات هستند یا این که خداوند خودش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وصف کرده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اسم و صفت در لغت و روایات، این اسما و صفات به ذات خداوند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زیبای امام رضا علیه 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فاسمائه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اشاره به همین نکته باشد که این اسما تنها از ذات اقدس او تعبیر می کنند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با این معنا هیچ گونه تعارضی بین این روایات با روایات نفی صفات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نفی صفت به طور مطلق از ذات نفی صفت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خداوند به واسطۀ اسما و صفات خودش را وصف می کند؛ به این معنا که با صفات عالم و قادر به ذات خویش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 شود که صفاتی را که در آیات قرآن و روایات به خداوند نسبت داده شده است، چگونه باید فهمید؟ آیا معانی اثباتی دارند و برای ذات خداوند حیثیتی را اثبات می کنند یا این که</w:t>
      </w:r>
      <w:bookmarkStart w:id="68" w:name="pg2628_20804"/>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معنای دیگری دارند؟ این ها پرسش هایی است که در حوزۀ معناشناسی صفات مطرح است که باید به آن ها پاسخ داده شود</w:t>
      </w:r>
      <w:r>
        <w:rPr>
          <w:rFonts w:eastAsia="IRNazanin" w:cs="IRNazanin"/>
          <w:color w:val="111111"/>
          <w:sz w:val="28"/>
          <w:szCs w:val="28"/>
          <w:rtl w:val="true"/>
          <w:lang w:bidi="fa-IR"/>
        </w:rPr>
        <w:t>.</w:t>
      </w:r>
    </w:p>
    <w:p>
      <w:pPr>
        <w:pStyle w:val="Heading3"/>
        <w:numPr>
          <w:ilvl w:val="2"/>
          <w:numId w:val="1"/>
        </w:numPr>
        <w:rPr/>
      </w:pPr>
      <w:bookmarkStart w:id="69" w:name="__RefHeading___Toc540900_1395250215"/>
      <w:bookmarkStart w:id="70" w:name="_Toc26"/>
      <w:bookmarkEnd w:id="69"/>
      <w:r>
        <w:rPr>
          <w:rtl w:val="true"/>
        </w:rPr>
        <w:t>وصف سلبی</w:t>
      </w:r>
      <w:bookmarkEnd w:id="70"/>
    </w:p>
    <w:p>
      <w:pPr>
        <w:pStyle w:val="BookText"/>
        <w:rPr/>
      </w:pPr>
      <w:r>
        <w:rPr>
          <w:rFonts w:ascii="IRNazanin" w:hAnsi="IRNazanin" w:eastAsia="IRNazanin"/>
          <w:color w:val="111111"/>
          <w:sz w:val="28"/>
          <w:sz w:val="28"/>
          <w:szCs w:val="28"/>
          <w:rtl w:val="true"/>
          <w:lang w:bidi="fa-IR"/>
        </w:rPr>
        <w:t>بعد از توضیح و تبیین روایات اثبات صفات باید به این سؤال پاسخ داده شود که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پیشین ذکر شد، چگونه معنا می شوند؟ با توجه به این که الفاظی مثل عالم و قادر برای مخلوقات نیز به کار می رود، معانی مخلوقی این الفاظ بر خداوند قابل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سخن امام کاظم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فَصِفُوهُ بِمَا وَصَفَ بِهِ نَفْسَهُ وَ کُفُّوا عَمَّا سِوَی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 کردن این الفاظ باید به سخنان معصومان علیهم السلام رجوع کنیم و این، قاعدۀ مسلّم عقلی است که اگر رعایت نشود محذور تشبیه نسبت به خالق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معنایی که برای صفات می توان قائل شد،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از معانی تنزیهی هیچ گونه مفاهیم اثباتی برای ذات خداوند اراده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معانی مخلوقی علم را بر خداوند اطلاق کنیم، بلکه مقصود نفی نادانی و جهل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برگرفته از تعالیم اهل بیت علیهم السلام است، </w:t>
      </w:r>
      <w:r>
        <w:rPr>
          <w:rStyle w:val="FootnoteAnchor"/>
          <w:rtl w:val="true"/>
        </w:rPr>
        <w:footnoteReference w:id="27"/>
      </w:r>
      <w:r>
        <w:rPr>
          <w:rFonts w:ascii="IRNazanin" w:hAnsi="IRNazanin" w:eastAsia="IRNazanin"/>
          <w:color w:val="111111"/>
          <w:sz w:val="28"/>
          <w:sz w:val="28"/>
          <w:szCs w:val="28"/>
          <w:rtl w:val="true"/>
          <w:lang w:bidi="fa-IR"/>
        </w:rPr>
        <w:t>زیرا در بسیاری از موارد، وقتی از امامان معصوم علیهم السلام دربارۀ اسما و صفات پروردگار سؤال می شد، آنان اسما و صفات را به صفات سلبی و تنزیهی بر می گرداندند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حدیث اول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دقیقاً همان معانی تنزیهی اراده می شود، زیرا ما هیچ مفهومی از علم ذاتی یا سمع ذاتی و یا بصر ذاتی نداریم و هرگونه تصوری که از علم، سمع یا بصر داشته باشیم، به نحوی برخاسته از همین اوصاف در مخلوقات است؛ بنابراین، باید به صورت تنزیهی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دوم نیز که صفاتی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همۀ این صفات، معانی تنزیهی دارند، که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لاجهل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لاظلام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لاموت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به همین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احادیث دیگر نیز این گونه صفات که منتسب به ذات خداوند هستند، به صورت تنزیهی معنا شده اند؛ برای نمونه، 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سُمِّیَ اللَّهُ عَالِماً لِأَنَّهُ لَا یَجْهَلُ شَیْئاً فَقَدْ جَمَعَ الْخَالِقَ وَ الْمَخْلُوقَ اسْمُ الْعِلْمِ وَ اخْتَلَفَ الْمَعْنَی عَلَی مَا رَأَیْتَ وَ سُمِّیَ رَبُّنَا سَمِیعاً لَا بِجُزْءٍ فِیهِ یَسْمَعُ بِهِ الصَّوْتَ وَ لَا یُبْصِرُ بِهِ کَمَا أَنَّ جُزْءَنَا الَّذِی نَسْمَعُ بِهِ لَا نَقْوَی عَلَی النَّظَرِ بِهِ وَ لَکِنَّهُ أَخْبَرَ أَنَّهُ لَا یَخْفَی عَلَیْهِ الْأَصْوَاتُ لَیْسَ عَلَی حَدِّ مَا سُمِّینَا نَحْنُ فَقَدْ جَمَعَنَا الِاسْمُ بِالسَّمِیعِ وَ اخْتَلَفَ الْمَعْنَی وَ هَکَذَا الْبَصَرُ لَا بِجُزْءٍ بِهِ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بَصِیرٌ لَا یَجْهَلُ شَخْصاً مَنْظُوراً إِلَیْهِ فَقَدْ جَمَعَنَا الِاسْمُ وَ اخْتَلَفَ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صرفاً معنای تنزیهی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از امام جواد علیه السلام حدیث جامعی نقل کرده که قسمتی از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قَوْلُک‌إِنَّ اللَّهَ قَدِیرٌ خَبَّرْتَ أَنَّهُ لَا یُعْجِزُهُ شَیْ‌ءٌ فَنَفَیْتَ بِالْکَلِمَةِ الْعَجْزَ وَ جَعَلْتَ الْعَجْزَ سِوَاهُ وَ کَذلِکَ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نَفَیْتَ بِالْکَلِمَةِ الْجَهْلَ وَ جَعَلْتَ الْجَهْلَ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سَمَّیْنَا رَبَّنَا سَمِیعاً؟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لَایَخْفی عَلَیْهِ مَا یُدْرَکُ بِالْأَسْمَاعِ وَ لَمْ نَصِفْهُ بِالسَّمْعِ الْمَعْقُولِ فِی الرَّأْسِ وَ کَذلِکَ سَمَّیْنَاهُ بَصِیراً لِأَنَّهُ لَایَخْفی عَلَیْهِ مَا یُدْرَکُ بِالْأَبْصَارِ مِنْ لَوْنٍ أَوْ شَخْصٍ أَوْ غَیْرِ ذلِکَ وَ لَمْ نَصِفْهُ بِبَصَرِ لَحْظَةِ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نیز امام جواد علیه السلام چهار صفت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تنزیهی معنا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شخصی از امام باقر علیه السلام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چگونه پروردگارمان را سمیع نامیده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یَخْفَی عَلَیْهِ مَا یُدْرَکُ بِالْأَسْمَاعِ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سَمَّیْنَاهُ بَصِیراً لِأَنَّهُ لَا یَخْفَی عَلَیْهِ مَا یُدْرَکُ بِالْأَبْصَار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صفات منسوب به ذات پروردگار صرفاً معنای تنزیهی دارند، قاعده ای کلی است که امامان معصوم با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مختلف آن را تبیین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نتیجۀ سخن آن است که بین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صفات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صفات برای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منتسب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تنزیه خدای متعال از نقص و حد و تشبیه به مخلوقات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 یک از آن ها مفهومی اثباتی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احادیث نفی صفات نیز دقیقاً همین معانی را از ذات الهی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این صفات نقش</w:t>
      </w:r>
      <w:bookmarkStart w:id="71" w:name="pg2628_20806"/>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تعبیری دارند نه توصیفی؛ یعنی اسما و صفات انسان را به سوی خدای شناخته شده عبور می دهند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2" w:name="__RefHeading___Toc540902_1395250215"/>
      <w:bookmarkStart w:id="73" w:name="_Toc27"/>
      <w:bookmarkEnd w:id="72"/>
      <w:r>
        <w:rPr>
          <w:rtl w:val="true"/>
        </w:rPr>
        <w:t>وصف به افعال</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گاه در کنار وصف سلبی و نفی هرگونه صفتی از خداوند متعال، معنای دیگری از صفت را به پروردگار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این است که مخلوقاتِ خداوند را صفت و نشانۀ خداوند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به این گونه صفات مخلوقی،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فعلی بدین معناست که تمام اوصاف خداوندی از علم و قدرت گرفته تا سایر اسما و صفات، همگی به افعال و آثار حق تعالی در عالم خلق اشاره دارند و بدین وسیله منشأ آن کمالات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 یعنی توصیف فعلی خداوند با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ناپذیری خداوند و نفی صفت از ذات الهی کاملاً سازگار است، زیرا همان گونه که پیش تر گفته شد، روایات نفی صفات همه ناظر به نفی صفت و حیثیات متعدد از ذات خداوند است، اما در مقام فعل، اثبات صفت برای خداوند کاملاً صحیح است و در این زمینه روایات متعددی وجود دارد؛ برای مثال، در اهمیت توصیف فعلی خداوند، امیرالمؤمنین علیه السلام در خطبۀ مشهوری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سُئِلَتِ الْأَنْبِیَاءُ عَنْهُ فَلَمْ تَصِفْهُ بِحَدٍّ وَ لَا بنقص بَلْ وَصَفَتْهُ بِفِعَالِهِ وَ دَلَّتْ عَلَیْهِ بِآیَاتِه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هنگامی که از پیامبران دربارۀ خدا پرسش می شد، آن ها خداوند را به حد و نقص وصف نمی کردند، بلکه او را با افعالش وصف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در این حدیث که مؤید مطالب پیشین در نفی صفات از ذات الهی است، این است که امام هرگونه وصفی ناظر به ذات خداوند را مستلزم نقص و تحدید می داند و تنها وصفی را صحیح می داند که ناظر به افعال و آیات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تنها صفاتی را می توان به خدا نسبت داد که مخلوق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فعلی خداوند در روایات اهل بیت به طور مفصل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قسمتی از یک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 اللَّطِیفُ لِلْخَلْقِ اللَّطِیف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ما خداوند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خلقش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 خداوند با صفت مخلوقی خودش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اسما و صفاتی که به نحو ایجابی بر خداوند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وصف فعلی یا سلبی هستند</w:t>
      </w:r>
      <w:r>
        <w:rPr>
          <w:rFonts w:eastAsia="IRNazanin" w:cs="IRNazanin"/>
          <w:color w:val="111111"/>
          <w:sz w:val="28"/>
          <w:szCs w:val="28"/>
          <w:rtl w:val="true"/>
          <w:lang w:bidi="fa-IR"/>
        </w:rPr>
        <w:t>.</w:t>
      </w:r>
      <w:bookmarkStart w:id="74" w:name="pg2628_20807"/>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75" w:name="__RefHeading___Toc540904_1395250215"/>
      <w:bookmarkStart w:id="76" w:name="_Toc28"/>
      <w:bookmarkEnd w:id="75"/>
      <w:r>
        <w:rPr>
          <w:rtl w:val="true"/>
        </w:rPr>
        <w:t>چالشهای قول به انتساب صفت در ذات الهی</w:t>
      </w:r>
      <w:bookmarkEnd w:id="76"/>
    </w:p>
    <w:p>
      <w:pPr>
        <w:pStyle w:val="Heading4"/>
        <w:numPr>
          <w:ilvl w:val="3"/>
          <w:numId w:val="1"/>
        </w:numPr>
        <w:rPr/>
      </w:pPr>
      <w:bookmarkStart w:id="77" w:name="__RefHeading___Toc540906_1395250215"/>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بعد از این که نحوۀ انتساب صحیح صفات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فعلی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اکنون باید دید در سخنان معصومان علیهم السلام چه معارفی دربارۀ معناشناسی صفات ارائه شد و به لحاظ عقلی چه محذوراتی وجود داشت که امامان معصوم از اثبات صفت در ذات الهی دوری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ائمه علیهم السلام دربارۀ معناشناسی صفات هرکدام به قاعده ای کلی اشاره دارد که برای نمونه به برخی اشاره می شود</w:t>
      </w:r>
      <w:r>
        <w:rPr>
          <w:rFonts w:eastAsia="IRNazanin" w:cs="IRNazanin"/>
          <w:color w:val="111111"/>
          <w:sz w:val="28"/>
          <w:szCs w:val="28"/>
          <w:rtl w:val="true"/>
          <w:lang w:bidi="fa-IR"/>
        </w:rPr>
        <w:t>.</w:t>
      </w:r>
    </w:p>
    <w:p>
      <w:pPr>
        <w:pStyle w:val="Heading4"/>
        <w:numPr>
          <w:ilvl w:val="3"/>
          <w:numId w:val="1"/>
        </w:numPr>
        <w:rPr/>
      </w:pPr>
      <w:bookmarkStart w:id="79" w:name="__RefHeading___Toc540908_1395250215"/>
      <w:bookmarkStart w:id="80" w:name="_Toc30"/>
      <w:bookmarkEnd w:id="79"/>
      <w:r>
        <w:rPr>
          <w:rtl w:val="true"/>
        </w:rPr>
        <w:t>الف</w:t>
      </w:r>
      <w:r>
        <w:rPr>
          <w:rtl w:val="true"/>
        </w:rPr>
        <w:t xml:space="preserve">) </w:t>
      </w:r>
      <w:r>
        <w:rPr>
          <w:rtl w:val="true"/>
        </w:rPr>
        <w:t>وصف و تحدید</w:t>
      </w:r>
      <w:bookmarkEnd w:id="80"/>
    </w:p>
    <w:p>
      <w:pPr>
        <w:pStyle w:val="BookText"/>
        <w:rPr/>
      </w:pPr>
      <w:r>
        <w:rPr>
          <w:rFonts w:ascii="IRNazanin" w:hAnsi="IRNazanin" w:eastAsia="IRNazanin"/>
          <w:color w:val="111111"/>
          <w:sz w:val="28"/>
          <w:sz w:val="28"/>
          <w:szCs w:val="28"/>
          <w:rtl w:val="true"/>
          <w:lang w:bidi="fa-IR"/>
        </w:rPr>
        <w:t>در سخنان معصومان علیهم السلام، همواره وصف و تحدید ملازم همدیگر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از روایات به راحتی استنباط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امیرالمؤمنین علیه السلام ضمن ایراد خطبه ای برای مردم کوفه،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 اللَّهَ فَقَدْ حَدَّهُ وَ مَنْ حَدَّهُ فَقَدْ عَدَّهُ وَ مَنْ عَدَّهُ فَقَدْ أَبْطَلَ أَزَلَهُ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این خطبه می فرمایند که هرگونه توصیفی از خداوند، باعث محدود کردن او می شود، هرکس خداوند را محدود کند، او را شمارش کرده و کسی که خداوند را شمارش کند، ازلیت او را باطل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مزبور، هرگونه توصیفی از خداوند سبب محدویت خدا دانسته شده، زیرا همۀ اوصافی که ما می فهمیم از عالم مخلوقات اخذ شده؛ به بیان دیگر، هر صفتی که برای خداوند قائل می شویم، در واقع ویژگی ای از ویژگی های مخلوقات را به او نسبت داده و با همین وسیله او را محدود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نیز باعث شمارش می شود، زیرا شمارش کردن به این است که به او عددی را نسبت دهیم؛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کنار دو، سه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هرکس او را محدود کند، عددی را به او نسبت داده است؟ به خاطر این که برای او مثل و شبیه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بیان وصفی برای خداوند او را محدود کرده است، در حقیقت شبیه و مانندی برای او از در نزد خود تصور کرده و آن را در کنار خدای واقعی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را یکی فرض کرده که در کنارش دو،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عدد به او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امام سجاد علیه السلام به ابوحمزه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یُوصَفُ بِمَحْدُودِیَّةٍ عَظُمَ رَبُّنَا عَنِ الصِّفَةِ فَکَیْفَ یُوصَفُ بِمَحْدُودِیَّةٍ مَنْ لَا یُحَدُّ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به این نکته اشاره شده است که هر نوع وصف کردنی، نوعی محدود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 می فرماید خداوند بزرگ تر از آن است که قابل وصف کردن باشد</w:t>
      </w:r>
      <w:r>
        <w:rPr>
          <w:rFonts w:eastAsia="IRNazanin" w:cs="IRNazanin"/>
          <w:color w:val="111111"/>
          <w:sz w:val="28"/>
          <w:szCs w:val="28"/>
          <w:rtl w:val="true"/>
          <w:lang w:bidi="fa-IR"/>
        </w:rPr>
        <w:t>.</w:t>
      </w:r>
      <w:bookmarkStart w:id="81" w:name="pg2628_20808"/>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حدیثی مشابه حدیث مزبور، امام صادق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فَلَا یُوصَفُ بِقَدَرٍ إِلَّا کَانَ أَعْظَمَ 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وصفی حاکی از اندازه و حدی است که خداوند از هر اندازه و حدی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احادیثی که در تفسیر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گویای این نکته است که هر گونه وصف، حتی در جایی که خداوند را برتر و بزرگ تر از هر چیزی می شماریم، مستلزم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احادیث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حضور امام صادق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چیزی بزرگ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بزرگ تر از آن است که وصف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مهمی که امام در این حدیث تذکر داده اند این است که اگر کسی معتقد شود خداوند از هر چیزی بزرگ تر است، به نوعی او را محدود کرده است، زیرا بین خدا و چیزهای دیگر مشابهت قائل شده، سپس خدا را از آن ها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خداوند حقیقتاً غیر قابل تشبیه به غیر خودش باشد، به هیچ حدی محدود و به هیچ وصفی موصوف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 به همین حقیقت دارد که خداوند برتر از آن است که به وصف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قابل وصف نیست پس هیچ صفتی برای ذات مقدسش نمی توان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رحمه الله علیه در کتاب 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الصفه بغیر ما وصف 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با سندهای مختلف نقل می کند که در این عبارت مشترک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یُحَدُّ وَ لَا یُوصَفُ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نیز حد نداشتن و وصف نداشتن با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احادیث این اشکال مطرح شود که این احادیث تنها به معنای نفی توصیف خداوند است؛ در جواب می توان گفت که در احادیث پیشین ثابت شد که هر صفت و موصوفی مخلوق است و هر مخلوقی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مخلوقی حد نداشته باشد و قابل توصیف نباشد؟ بنابراین نمی توان گفت که این احادیث در مقام اثبات صفات نامحدود برای حق تعالی است، زیرا تعبیر صفات نامحدود ـ همان طور که پیش تر اشاره شد ـ نوعی تناقض گویی است</w:t>
      </w:r>
      <w:r>
        <w:rPr>
          <w:rFonts w:eastAsia="IRNazanin" w:cs="IRNazanin"/>
          <w:color w:val="111111"/>
          <w:sz w:val="28"/>
          <w:szCs w:val="28"/>
          <w:rtl w:val="true"/>
          <w:lang w:bidi="fa-IR"/>
        </w:rPr>
        <w:t>.</w:t>
      </w:r>
    </w:p>
    <w:p>
      <w:pPr>
        <w:pStyle w:val="Heading4"/>
        <w:numPr>
          <w:ilvl w:val="3"/>
          <w:numId w:val="1"/>
        </w:numPr>
        <w:rPr/>
      </w:pPr>
      <w:bookmarkStart w:id="82" w:name="__RefHeading___Toc540910_1395250215"/>
      <w:bookmarkStart w:id="83" w:name="_Toc31"/>
      <w:bookmarkEnd w:id="82"/>
      <w:r>
        <w:rPr>
          <w:rtl w:val="true"/>
        </w:rPr>
        <w:t>ب</w:t>
      </w:r>
      <w:r>
        <w:rPr>
          <w:rtl w:val="true"/>
        </w:rPr>
        <w:t xml:space="preserve">) </w:t>
      </w:r>
      <w:r>
        <w:rPr>
          <w:rtl w:val="true"/>
        </w:rPr>
        <w:t>وصف و تشبیه</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پیشین، روشن شد که لازمۀ اثبات صفت مستلزم تحدید است و نیز بر این نکته تأکید شد که صفت و موصوف هر دو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احادیث به صورت قاعدۀ کلی</w:t>
      </w:r>
      <w:bookmarkStart w:id="84" w:name="pg2628_20809"/>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صفت برای ذات الهی مستلزم تشبیه کردن خداوند به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رضا علیه السلام ضمن ایراد خطبه ای در باب توحید،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نَفْیَ مَعَ إِثْبَاتِ الصِّفَاتِ لِلتَّشْبِیهِ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وجود اثبات صفت، تشبیه نفی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فقره، لازمۀ نفی تشبیه از صانع، این است که صفتی را برای ذات اثبات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دیگری را شیخ مفید در این باره نقل کرده است که می تواند تأیید بر این نکته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نِظَامُ تَوْحِیدِهِ نَفْیُ التَّشْبِیهِ عَنْهُ جَلَّ عَنْ أَنْ تَحُلَّهُ الصِّفَاتُ لِشَهَادَةِ الْعُقُولِ أَنَّ کُلَّ مَنْ حَلَّتْهُ الصِّفَاتُ مَصْنُوعٌ وَ شَهَادَةِ الْعُقُولِ أَنَّهُ جَلَّ جَلَالُهُ صَانِعٌ لَیْسَ بِمَصْنُوعٍ بِصُنْعِ اللَّهِ یُسْتَدَلُ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مفید،</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کلام نیز اثبات صفت برای خداوند مستلزم تشبیه دانسته شده است</w:t>
      </w:r>
      <w:r>
        <w:rPr>
          <w:rFonts w:eastAsia="IRNazanin" w:cs="IRNazanin"/>
          <w:color w:val="111111"/>
          <w:sz w:val="28"/>
          <w:szCs w:val="28"/>
          <w:rtl w:val="true"/>
          <w:lang w:bidi="fa-IR"/>
        </w:rPr>
        <w:t>.</w:t>
      </w:r>
    </w:p>
    <w:p>
      <w:pPr>
        <w:pStyle w:val="Heading4"/>
        <w:numPr>
          <w:ilvl w:val="3"/>
          <w:numId w:val="1"/>
        </w:numPr>
        <w:rPr/>
      </w:pPr>
      <w:bookmarkStart w:id="85" w:name="__RefHeading___Toc540912_1395250215"/>
      <w:bookmarkStart w:id="86" w:name="_Toc32"/>
      <w:bookmarkEnd w:id="85"/>
      <w:r>
        <w:rPr>
          <w:rtl w:val="true"/>
        </w:rPr>
        <w:t>ج</w:t>
      </w:r>
      <w:r>
        <w:rPr>
          <w:rtl w:val="true"/>
        </w:rPr>
        <w:t xml:space="preserve">) </w:t>
      </w:r>
      <w:r>
        <w:rPr>
          <w:rtl w:val="true"/>
        </w:rPr>
        <w:t>تباین میان خالق و مخلوق</w:t>
      </w:r>
      <w:bookmarkEnd w:id="86"/>
    </w:p>
    <w:p>
      <w:pPr>
        <w:pStyle w:val="BookText"/>
        <w:rPr/>
      </w:pPr>
      <w:r>
        <w:rPr>
          <w:rFonts w:ascii="IRNazanin" w:hAnsi="IRNazanin" w:eastAsia="IRNazanin"/>
          <w:color w:val="111111"/>
          <w:sz w:val="28"/>
          <w:sz w:val="28"/>
          <w:szCs w:val="28"/>
          <w:rtl w:val="true"/>
          <w:lang w:bidi="fa-IR"/>
        </w:rPr>
        <w:t>پیش تر گفته شد که وصف، مستلزم تحدید و تشبیه است و صفت داشتن خاص اشیا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و مهمی که باید مد نظر قرار گیرد این است که میان خالق و مخلوق در ذات و صفات تباین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متعددی وجود دارد که بر این قاعدۀ کلی و مهم تأکید دارند؛ مثلاً در خطبه ای از امام رضا علیه السلام که در گذشته قسمتی از آن را نقل کردیم،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مَا فِی الْخَلْقِ لَا یُوجَدُ فِی خَالِقِهِ وَ کُلُّ مَا یُمْکِنُ فِیهِ یَمْتَنِعُ مِنْ صَانِعِهِ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فقره از حدیث، امام به قاعده ای عقلی اشاره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مخلوقات است، در خالق آن ها یافت نمی شود؛ یعنی باید همۀ ویژگی های مخلوقات را از خالق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عقلی دیگر در این حدیث آن است که هر صفتی که در مخلوقات امکان وقوع دارد، برای خالق ممتنع است؛ یعنی اگر اتصاف مخلوقی به صفت ممکن باشد، باید اتصاف آن را به خالق محال بدانیم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ای از امیرالمؤمنین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بَانَ مِنَ الْخَلْقِ فَلَا شَیْ‌ءَ کَمِثْلِهِ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مباین با خلق است، پس هیچ چیز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یعنی جدایی خلق از خالق به این است که صفات و خصوصیات آن ها شباهتی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در ادامۀ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شَیْ‌ءَ کَمِثْلِهِ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جدایی در احادیث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آنچه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امیرالمؤمنین علیه السلام نقل شده، بینونت میان خلق و خالق بینونت صفت است نه بینونت عزلت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این مطلب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بینونت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انتزاع شود که خدا در مقام ذات صفت دارد، چرا که قاعدۀ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الاخلاص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دیگری که از حضرت امیر علیه السلام برای بیان همین معنا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مُبَایِنٌ لِجَمِیعِ مَا أَحْدَثَ فِی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همۀ آنچه ایجاد کرده، در صفات مباین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توضیح بینونت صفت است که در سخن امام علی علیه السلام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امام علیه السلام هر صفتی که مخلوقات دارند، نباید مشابه آن را به خالق نسبت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خطبۀ دیگری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الْحِجَابُ بَیْنَهُ وَ بَیْنَ خَلْقِهِ خَلْقُهُ إِیَّاهُمْ لِامْتِنَاعِهِ مِمَّا یُمْکِنُ فِی ذَوَاتِهِمْ وَ لِإِمْکَانٍ مِمَّا یَمْتَنِعُ مِنْهُ وَ لِافْتِرَاقِ الصَّانِعِ مِنَ الْمَصْنُوعِ وَ الْحَادِّ مِنَ الْمَحْدُودِ وَ الرَّبِّ مِنَ الْمَرْبُوب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حدیث، تمامی احکامی که در مصنوع و محدود جاری است، در صانع و حاد نباید جاری گردد؛ از این رو، هیچ یک از صفات مخلوقات قابل انتساب به خالق آن ها نیستند، زیرا این ها همگی حدودی هستند که صانع برای مصنوعات قرار داده و محال است که آن حدود، خود صانع را محدود کند و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معصومان علیهم السلام به وفور به این نکته اشاره شده است که فقط به ذکر یک حدیث بسنده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زراره از امام صادق علیه السلام روایت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 خَلْقَهُ خِلْوٌ مِنْهُ وَ کُلُّ مَا وَقَعَ عَلَیْهِ اسْمُ شَیْ‌ءٍ فَهُوَ مَخْلُوقٌ مَا خَلَا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تعبیر خلو و خالی بودن آمده که بیانگر تباین در ذات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اخیر حدیث که در روایات اهل بیت تکرار شده، بر همین مطلب تأکید ورزیده و افزوده اند که حتی 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و آفریدگان به یک معنا نیست و کاربرد این واژه در هر دو مورد، هیچ گونه سنخیتی را نشان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صفت داشتن مستلزم تحدید است و از خصوصیات اشیا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نسبت بین خدا و خلق تباین است، طبق این گروه از احادیث، خداوند در مقام ذات هیچ گونه صفتی ندارد</w:t>
      </w:r>
      <w:r>
        <w:rPr>
          <w:rFonts w:eastAsia="IRNazanin" w:cs="IRNazanin"/>
          <w:color w:val="111111"/>
          <w:sz w:val="28"/>
          <w:szCs w:val="28"/>
          <w:rtl w:val="true"/>
          <w:lang w:bidi="fa-IR"/>
        </w:rPr>
        <w:t>.</w:t>
      </w:r>
      <w:bookmarkStart w:id="87" w:name="pg2628_20811"/>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4"/>
        <w:numPr>
          <w:ilvl w:val="3"/>
          <w:numId w:val="1"/>
        </w:numPr>
        <w:rPr/>
      </w:pPr>
      <w:bookmarkStart w:id="88" w:name="__RefHeading___Toc540914_1395250215"/>
      <w:bookmarkStart w:id="89" w:name="_Toc33"/>
      <w:bookmarkEnd w:id="88"/>
      <w:r>
        <w:rPr>
          <w:rtl w:val="true"/>
        </w:rPr>
        <w:t>د</w:t>
      </w:r>
      <w:r>
        <w:rPr>
          <w:rtl w:val="true"/>
        </w:rPr>
        <w:t xml:space="preserve">) </w:t>
      </w:r>
      <w:r>
        <w:rPr>
          <w:rtl w:val="true"/>
        </w:rPr>
        <w:t>وصف و احاطه</w:t>
      </w:r>
      <w:bookmarkEnd w:id="89"/>
    </w:p>
    <w:p>
      <w:pPr>
        <w:pStyle w:val="BookText"/>
        <w:rPr/>
      </w:pPr>
      <w:r>
        <w:rPr>
          <w:rFonts w:ascii="IRNazanin" w:hAnsi="IRNazanin" w:eastAsia="IRNazanin"/>
          <w:color w:val="111111"/>
          <w:sz w:val="28"/>
          <w:sz w:val="28"/>
          <w:szCs w:val="28"/>
          <w:rtl w:val="true"/>
          <w:lang w:bidi="fa-IR"/>
        </w:rPr>
        <w:t>در روایات متعدد از امامان معصوم علیهم السلام، وصف مستلزم نوعی احاطه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در هر جا و نسبت به هر کس باشد، گونه ای از احاطه به موصوف را در پی دارد؛ یعنی احاطۀ علمی همواره از طریق وصف حاصل می شود و داشتن وصف از شیئی، به احاطۀ علمی او می 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اهل بیت علیهم السلام به طور صریح هرگونه احاطۀ فکری، عقلی و وهمی از خداوند نفی شده است؛ مثلاً در خطبه ای از امیرالمؤمنین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لَا تُحِیطُ بِهِ الْأَفْکَارُ وَ لَا تُقَدِّرُهُ الْعُقُولُ وَ لَا تَقَعُ عَلَیْهِ الْأَوْهَام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هرچند احاطه از طریق افکار نفی شده، با آنچه در همین روایت دربارۀ عقول و اوهام آمده است، دانسته می شود که احاطۀ فکری با احاطۀ عقلی از این جهت 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خطبۀ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یَئِسَتْ مِنِ اسْتِنْبَاطِ الْإِحَاطَةِ بِهِ طَوَامِحُ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تَحَیَّرَتِ الْأَوْهَامُ عَنْ إِحَاطَةِ ذِکْرِ أَزَلِیَّتِهِ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خطبه هرگونه احاطۀ عقلی و وهمی را از خداوند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الْمُمْتَنِعِ مِنَ الصِّفَاتِ ذَاتُهُ وَ مِنَ الْأَبْصَارِ رُؤْیَتُهُ وَ مِنَ الْأَوْهَامِ الْإِحَاطَةُ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هرگونه صفت و تسلط اوهام بر ذات الهی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صفات احاطه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و تمام صفاتی که در لسان ائمه علیهم السلام به خداوند منسوب است، در زمرۀ صفات اقرار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توحید مفضل به این نکته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شناخت حقیقی پروردگار را فراتر از عقل شمرده،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تَرَی کَیْفَ وَقَفَ الْبَصَرُ عَلَی حَدِّهِ فَلَمْ یَتَجَاوَزْهُ فَکَذَلِکَ یَقِفُ الْعَقْلُ عَلَی حَدِّهِ مِنْ مَعْرِفَةِ الْخَالِقِ فَلَا یَعْدُوهُ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یَعْرِفُ الْخَالِقَ مِنْ جِهَةٍ تُوجِبُ عَلَیْهِ الْإِقْرَارَ وَ لَا یَعْرِفُهُ بِمَا یُوجِبُ لَهُ الْإِحَاطَةَ بِصِفَتِه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بی تا</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از شناختی که سبب احاطه به صفات خداوند شود، ناتوان است و توان عقل در شناخت پروردگار تنها در حد اقرار و اعتراف اوست</w:t>
      </w:r>
      <w:r>
        <w:rPr>
          <w:rFonts w:eastAsia="IRNazanin" w:cs="IRNazanin"/>
          <w:color w:val="111111"/>
          <w:sz w:val="28"/>
          <w:szCs w:val="28"/>
          <w:rtl w:val="true"/>
          <w:lang w:bidi="fa-IR"/>
        </w:rPr>
        <w:t>.</w:t>
      </w:r>
    </w:p>
    <w:p>
      <w:pPr>
        <w:pStyle w:val="Heading4"/>
        <w:numPr>
          <w:ilvl w:val="3"/>
          <w:numId w:val="1"/>
        </w:numPr>
        <w:rPr/>
      </w:pPr>
      <w:bookmarkStart w:id="90" w:name="__RefHeading___Toc540916_1395250215"/>
      <w:bookmarkStart w:id="91" w:name="_Toc34"/>
      <w:bookmarkEnd w:id="90"/>
      <w:r>
        <w:rPr>
          <w:rtl w:val="true"/>
        </w:rPr>
        <w:t>ه</w:t>
      </w:r>
      <w:r>
        <w:rPr>
          <w:rtl w:val="true"/>
        </w:rPr>
        <w:t xml:space="preserve">) </w:t>
      </w:r>
      <w:r>
        <w:rPr>
          <w:rtl w:val="true"/>
        </w:rPr>
        <w:t>وصف و توهم</w:t>
      </w:r>
      <w:bookmarkEnd w:id="9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در توضیح روایات گفته شد که همواره وصف و تحدید ملازم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روایات به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که وصف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برای موصوف است که این حد، 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حسی، گاه وهمی و گاه عقلی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بنابراین می توان گفت که میان وصف و توهم نیز ملازمه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نیز به این ملازمه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باره ابوهاشم جعفری حدیثی از امام رضا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اللَّهِ هَلْ یُوصَفُ؟ فَقَالَ أَمَا تَقْرَأُ الْقُرْآنَ قُلْتُ بَلَی قَالَ أَمَا تَقْرَأُ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قُلْتُ بَلَی قَالَ فَتَعْرِفُونَ الْأَبْصَارَ قُلْتُ بَلَی قَالَ مَا هِیَ قُلْتُ أَبْصَارُ الْعُیُونِ فَقَالَ إِنَّ أَوْهَامَ الْقُلُوبِ أَکْبَرُ مِنْ أَبْصَارِ الْعُیُونِ فَهُوَ لَا تُدْرِکُهُ الْأَوْهَامُ وَ هُوَ یُدْرِکُ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امام به أبصار العیون اشاره کرده و فرمودند که اوهام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دیدگان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پس افکار او را در نمی یابند، در حالی که او افکار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ابوهاشم جعفری دربارۀ توصیف ناپذیری خداوند سؤال می کند، اما امام علیه السلام در پاسخ به توهم </w:t>
      </w:r>
      <w:r>
        <w:rPr>
          <w:rStyle w:val="FootnoteAnchor"/>
          <w:rtl w:val="true"/>
        </w:rPr>
        <w:footnoteReference w:id="32"/>
      </w:r>
      <w:r>
        <w:rPr>
          <w:rFonts w:ascii="IRNazanin" w:hAnsi="IRNazanin" w:eastAsia="IRNazanin"/>
          <w:color w:val="111111"/>
          <w:sz w:val="28"/>
          <w:sz w:val="28"/>
          <w:szCs w:val="28"/>
          <w:rtl w:val="true"/>
          <w:lang w:bidi="fa-IR"/>
        </w:rPr>
        <w:t>ناپذیری و تصورناپذیری خداوند متعال تذکر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میان توصیف خداوند و توهم و تصور خداوند ملازمه و ارتباط برقرار است؛ یعنی در واقع امام از طریق توهم ناپذیری خداوند، به توصیف ناپذیری خداوند تذکر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مدنظر قرار گیرد این است که در برخی احادیث مثل حدیث مزبور، هر جا سخن از توصیف ناپذیری خداوند مطرح شده، به آیۀ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عَظِیمٌ رَفِیعٌ لَا یَقْدِرُ الْعِبَادُ عَلَی صِفَتِهِ وَ لَا یَبْلُغُونَ کُنْهَ عَظَمَتِهِ لا تُدْرِکُهُ الْأَبْصارُ وَ هُوَ یُدْرِکُ الْأَبْصارَ وَ هُوَ اللَّطِیفُ الْخَبِیرُ وَ لَا یُوصَفُ بِکَیْفٍ وَ لَا أَیْنٍ وَ حَیْثٍ وَ کَیْفَ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نیز توصیف ناپذیری خداوند توسط بندگان به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تفسیر امامان معصوم علیهم السلام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اوهام و افکار تفسیر شده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 عنایت به این دو نکته</w:t>
      </w:r>
      <w:bookmarkStart w:id="92" w:name="pg2628_20813"/>
    </w:p>
    <w:p>
      <w:pPr>
        <w:pStyle w:val="BookText"/>
        <w:rPr/>
      </w:pPr>
      <w:bookmarkEnd w:id="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می توان به این نتیجه رسید که توصیف خداوند ممکن نیست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اوهام نمی توانند خداوند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حدیث نیز لازمۀ توصیف خداوند، تصور خداوند با اوهام و افکار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سخن امام سجاد علیه السلام به ابوحمزه ثمالی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یوصف من لا یحد وَ هُوَ یُدْرِکُ الْأَبْصارَ و 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تفسیری که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خداوند با تحدید و توهم خداوند، ملازم یکدیگر دانسته شده است</w:t>
      </w:r>
      <w:r>
        <w:rPr>
          <w:rFonts w:eastAsia="IRNazanin" w:cs="IRNazanin"/>
          <w:color w:val="111111"/>
          <w:sz w:val="28"/>
          <w:szCs w:val="28"/>
          <w:rtl w:val="true"/>
          <w:lang w:bidi="fa-IR"/>
        </w:rPr>
        <w:t>.</w:t>
      </w:r>
    </w:p>
    <w:p>
      <w:pPr>
        <w:pStyle w:val="Heading3"/>
        <w:numPr>
          <w:ilvl w:val="2"/>
          <w:numId w:val="1"/>
        </w:numPr>
        <w:rPr/>
      </w:pPr>
      <w:bookmarkStart w:id="93" w:name="__RefHeading___Toc540918_1395250215"/>
      <w:bookmarkStart w:id="94" w:name="_Toc35"/>
      <w:bookmarkEnd w:id="93"/>
      <w:r>
        <w:rPr>
          <w:rtl w:val="true"/>
        </w:rPr>
        <w:t>نتیجه</w:t>
      </w:r>
      <w:bookmarkEnd w:id="94"/>
    </w:p>
    <w:p>
      <w:pPr>
        <w:pStyle w:val="BookText"/>
        <w:rPr/>
      </w:pPr>
      <w:r>
        <w:rPr>
          <w:rFonts w:ascii="IRNazanin" w:hAnsi="IRNazanin" w:eastAsia="IRNazanin"/>
          <w:color w:val="111111"/>
          <w:sz w:val="28"/>
          <w:sz w:val="28"/>
          <w:szCs w:val="28"/>
          <w:rtl w:val="true"/>
          <w:lang w:bidi="fa-IR"/>
        </w:rPr>
        <w:t>از مجموع آنچه ذکر شد می توان به این نتیجه رسید که مطابق روایات اهل بیت علیهم السلام، اساساً صفت داشتن از ویژگی های مخلوق و اشیاست و اثبات هرگونه صفت و حیثیت در ذات ممتنع است، زیرا اتصاف ذات الهی به هرگونه صفتی مستلزم تحدید، احاطه، تشبیه و تعین ذات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روایات اسلامی کمال توحید، نظام توحید و کمال اخلاص در نفی صفات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حقیقت اوصافی که خداوند به واسطۀ آن خود را ستوده ناظر به وصف فعلی یا سلبی خداوند هستند؛ از این رو، به فرمودۀ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هذه صفات اقرار لا صفات 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آنچه خداوند خود را به آن ستوده تنها اقرار و از حمل هرگونه مفاهیم اثباتی بر ذات خداوند، احتراز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از این نظریۀ معرفتی، یعنی نفی صفت از ذات و حمل اوصاف خداوند به وصف سلبی و فعلی، به مذهب اثبات بلا تشبیه،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این نظریه برگرفته از حدیث امیرالمؤمنین علیه السلام است که هنگامی که از ایشان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لِلنَّاسِ فِی التَّوْحِیدِ ثَلَاثَةَ مَذَاهِبَ مَذْهَبُ إِثْبَاتٍ بِتَشْبِیهٍ وَ مَذْهَبُ النَّفْیِ وَ مَذْهَبُ إِثْبَاتٍ بِلَا تَشْبِیهٍ فَمَذْهَبُ الْإِثْبَاتِ بِتَشْبِیهٍ لَا یَجُوزُ وَ مَذْهَبُ النَّفْیِ لَا یَجُوزُ وَ الطَّرِیقُ فِی الْمَذْهَبِ الثَّالِثِ إِثْبَاتٌ بِلَا تَشْبِیهٍ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95" w:name="pg2628_20814"/>
    </w:p>
    <w:p>
      <w:pPr>
        <w:pStyle w:val="BookText"/>
        <w:rPr/>
      </w:pPr>
      <w:bookmarkEnd w:id="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96" w:name="__RefHeading___Toc540920_1395250215"/>
      <w:bookmarkStart w:id="97" w:name="_Toc36"/>
      <w:bookmarkEnd w:id="96"/>
      <w:r>
        <w:rPr>
          <w:rtl w:val="true"/>
        </w:rPr>
        <w:t>منابع</w:t>
      </w:r>
      <w:bookmarkEnd w:id="97"/>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هبه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 ابوالفضل، قم، کتابخانه آیة الله مرعشی نجفی،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 جامعه مدرسین،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ابراهیم مصطفی،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الوسیط، استانبول، المکتبه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و اندیشه دینی، تهران، انتشارات نبأ،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جعفی کوفی،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المفضل،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مظفر، قم، نشر داوری،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علمی و عینی،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 زاده آملی،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بیروت، دارالقلم،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مندرج در دانشنامه امام علی،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مرکز نشر پژوهشگاه فرهنگ و اندیشه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عبدالله،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قم، نشر هجرت،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مؤسسه مطالعات و تحقیقات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اسفار اربعه،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نشر مرتضی،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عیاشی،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تهران، المطبعه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سیوری،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الالهیه،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قاضی طباطبایی، قم، دفتر تبلیغات اسلامی،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قاضی سعید،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توحید صدوق،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حبیبی، تهران، وزارت فرهنگ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الاسلامیه،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 دار احیاء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قم، کنگره شیخ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ولفسن، هری اوسترین،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علم کلام، ترجمه احمد آرام، تهران، انتشارات الهدی،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میانجی، تهران، مکتبه الاسلامیه، چاپ چهارم</w:t>
      </w:r>
      <w:r>
        <w:rPr>
          <w:rFonts w:eastAsia="IRNazanin" w:cs="IRNazanin"/>
          <w:color w:val="111111"/>
          <w:sz w:val="28"/>
          <w:szCs w:val="28"/>
          <w:rtl w:val="true"/>
          <w:lang w:bidi="fa-IR"/>
        </w:rPr>
        <w:t>.</w:t>
      </w:r>
      <w:bookmarkStart w:id="98" w:name="pg2628_20815"/>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2"/>
        <w:numPr>
          <w:ilvl w:val="1"/>
          <w:numId w:val="1"/>
        </w:numPr>
        <w:rPr/>
      </w:pPr>
      <w:bookmarkStart w:id="99" w:name="__RefHeading___Toc540922_1395250215"/>
      <w:bookmarkStart w:id="100" w:name="_Toc37"/>
      <w:bookmarkEnd w:id="99"/>
      <w:r>
        <w:rPr>
          <w:rtl w:val="true"/>
        </w:rPr>
        <w:t>آموزه بداء در اندیشه امامیه از آغاز غیبت تا پایان مدرسه بغداد</w:t>
      </w:r>
      <w:bookmarkEnd w:id="100"/>
    </w:p>
    <w:p>
      <w:pPr>
        <w:pStyle w:val="Heading3"/>
        <w:numPr>
          <w:ilvl w:val="2"/>
          <w:numId w:val="1"/>
        </w:numPr>
        <w:rPr/>
      </w:pPr>
      <w:bookmarkStart w:id="101" w:name="__RefHeading___Toc540924_1395250215"/>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سیدجمال الدین موسوی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1392/05/18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1392/06/26</w:t>
      </w:r>
    </w:p>
    <w:p>
      <w:pPr>
        <w:pStyle w:val="Heading3"/>
        <w:numPr>
          <w:ilvl w:val="2"/>
          <w:numId w:val="1"/>
        </w:numPr>
        <w:rPr/>
      </w:pPr>
      <w:bookmarkStart w:id="103" w:name="__RefHeading___Toc540926_1395250215"/>
      <w:bookmarkStart w:id="104" w:name="_Toc39"/>
      <w:bookmarkEnd w:id="103"/>
      <w:r>
        <w:rPr>
          <w:rtl w:val="true"/>
        </w:rPr>
        <w:t>چکیده</w:t>
      </w:r>
      <w:bookmarkEnd w:id="104"/>
    </w:p>
    <w:p>
      <w:pPr>
        <w:pStyle w:val="BookText"/>
        <w:rPr/>
      </w:pPr>
      <w:r>
        <w:rPr>
          <w:rFonts w:ascii="IRNazanin" w:hAnsi="IRNazanin" w:eastAsia="IRNazanin"/>
          <w:color w:val="111111"/>
          <w:sz w:val="28"/>
          <w:sz w:val="28"/>
          <w:szCs w:val="28"/>
          <w:rtl w:val="true"/>
          <w:lang w:bidi="fa-IR"/>
        </w:rPr>
        <w:t xml:space="preserve">اندیشۀ ناب و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جامعۀ مسلمانان نخستین وجود داشت، اما بنا به دلایلی تنها در جامعۀ شیعی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عصر حضور ائمه علیهم السلام، میان متکلمان شیعه اختلافی در تبیین بداء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دوره و در زمانی که کلام شیعه دوران رکود و فترت را پشت سر می گذاشت، گروهی از معتزلیانِ شیعه شده و متکلمان عقل گرای شیعه تبیین جدیدی از بداء ارائه داده و آن را هم وزن نسخ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اندیشۀ جدید که در ابتدا گروه اندکی طرف دار آن بودند، رفته رفته جایگاه مهمی در میان متکلمان شیعه پیدا کرد، به گونه ای که در اواسط قرن پنجم تقریباً همه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اندیشۀ جدید با شیخ مفید ادامه یافت و شاگردان وی نیز ادامه دهندۀ همین مسیر بودند</w:t>
      </w:r>
      <w:r>
        <w:rPr>
          <w:rFonts w:eastAsia="IRNazanin" w:cs="IRNazanin"/>
          <w:color w:val="111111"/>
          <w:sz w:val="28"/>
          <w:szCs w:val="28"/>
          <w:rtl w:val="true"/>
          <w:lang w:bidi="fa-IR"/>
        </w:rPr>
        <w:t>.</w:t>
      </w:r>
    </w:p>
    <w:p>
      <w:pPr>
        <w:pStyle w:val="Heading3"/>
        <w:numPr>
          <w:ilvl w:val="2"/>
          <w:numId w:val="1"/>
        </w:numPr>
        <w:rPr/>
      </w:pPr>
      <w:bookmarkStart w:id="105" w:name="__RefHeading___Toc540928_1395250215"/>
      <w:bookmarkStart w:id="106" w:name="_Toc40"/>
      <w:bookmarkEnd w:id="105"/>
      <w:r>
        <w:rPr>
          <w:rtl w:val="true"/>
        </w:rPr>
        <w:t>واژگان کلیدی</w:t>
      </w:r>
      <w:bookmarkEnd w:id="10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متکلمان بغداد، نسخ، متکلمان کوفه</w:t>
      </w:r>
      <w:r>
        <w:rPr>
          <w:rFonts w:eastAsia="IRNazanin" w:cs="IRNazanin"/>
          <w:color w:val="111111"/>
          <w:sz w:val="28"/>
          <w:szCs w:val="28"/>
          <w:rtl w:val="true"/>
          <w:lang w:bidi="fa-IR"/>
        </w:rPr>
        <w:t>.</w:t>
      </w:r>
      <w:bookmarkStart w:id="107" w:name="pg2628_20816"/>
    </w:p>
    <w:p>
      <w:pPr>
        <w:pStyle w:val="BookText"/>
        <w:rPr/>
      </w:pPr>
      <w:bookmarkEnd w:id="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Heading3"/>
        <w:numPr>
          <w:ilvl w:val="2"/>
          <w:numId w:val="1"/>
        </w:numPr>
        <w:rPr/>
      </w:pPr>
      <w:bookmarkStart w:id="108" w:name="__RefHeading___Toc540930_1395250215"/>
      <w:bookmarkStart w:id="109" w:name="_Toc41"/>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با مطالعه در عناوین و موضوعات کلامی به تغییر و تحولاتی در آن برمی خوریم که گاه موجب فرسنگ ها فاصله میان دیدگاه های نخستین با نظریۀ دانشمندان دوره 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تاریخی و روش مند می تواند ما را در تبیین و تحلیل بهتر این تغییرات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اندیشۀ ناب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خوش تغییر و تبدیل در دوره های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جوهرۀ تفکر بداء در میان مسلمانان نخستین وجود داشت، هرچند در آن دوره به پختگی کامل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وجود روایات بسیار محدود در تصریح به بداء و عدم پرسشگری راویان از این آموزه است؛ گرچه روایات فراوانی مانند تغییر مدت عمر به واسطۀ اعمالی مانند صدقه و صله رحم و به طور کلی تغییر قضا و قدر وجود دارد که از آن به جوهرۀ بداء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متکلمان و محدثان امامیه در کوفه، اختلافی در این باره وجود نداشته و همگی آنان قائل به جواز بداء دربارۀ خداوند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بداء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ارادۀ خداوند است، به گونه ای که در وقتی از اوقات ارادۀ انجام کاری را دارد و به علت حدوث بداء از انجام آن خودداری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که در اصطلاح متکلمان قرن چهارم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متکلمان کوفه و هم فکران آن ها اختصاص داشت و از اواسط قرن سوم رفته رفته متکلمان شیعی، تبیین جدیدی از بداء ارائه کردند که در آن بداء را مساوی با نسخ و به تعبیری بداء در اوامر و نواهی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متکلمان مدرسۀ بغداد نظیر شیخ مفید و سپس شاگردانش با اندکی تغییر، این تبیین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متکلمان بغداد به اصول کلامی و معرفتی شیعه پای بند بودند، اما در مقام تبیین آن ها بنا به دلایلی، از جمله جریان غالب و عقل گرای معتزلی به حداقل اکتفا کردند؛ از این رو، در بسیاری از آموزه ها با متکلمان پیشین امامیه هم رأی بوده و فقط در پاره ای از جزئیات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بداء نیز افرادی مانند شیخ مفید و شیخ طوسی روایات بداء را پذیرفته و در صدد توجیه آن ها بر آمده اند، به گونه ای که با علم پیشین خداوند منافات نداشته باشد و آن ها را بر تغییر شرایط و مصالح حمل کرده اند؛ گرچه افرادی مانند سید مرتضی با ناصحیح خواندن روایات بداء، فاصلۀ بیشتری با متکلمان کوفه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متکلمان بغدادی محدود نبوده و احیاناً افرادی مانند شیخ صدوق را نیز که از متکلمان مدرسۀ قم بوده و دیدگاهش دربارۀ بداء شبیه به دیدگاه بغدادیان است، شامل می گردد</w:t>
      </w:r>
      <w:r>
        <w:rPr>
          <w:rFonts w:eastAsia="IRNazanin" w:cs="IRNazanin"/>
          <w:color w:val="111111"/>
          <w:sz w:val="28"/>
          <w:szCs w:val="28"/>
          <w:rtl w:val="true"/>
          <w:lang w:bidi="fa-IR"/>
        </w:rPr>
        <w:t>.</w:t>
      </w:r>
      <w:bookmarkStart w:id="110" w:name="pg2628_20817"/>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این مقاله با نگاهی تاریخی به مسئله، در صدد یافتن چیستی، چگونگی و چرایی این تغییر است</w:t>
      </w:r>
      <w:r>
        <w:rPr>
          <w:rFonts w:eastAsia="IRNazanin" w:cs="IRNazanin"/>
          <w:color w:val="111111"/>
          <w:sz w:val="28"/>
          <w:szCs w:val="28"/>
          <w:rtl w:val="true"/>
          <w:lang w:bidi="fa-IR"/>
        </w:rPr>
        <w:t>.</w:t>
      </w:r>
    </w:p>
    <w:p>
      <w:pPr>
        <w:pStyle w:val="Heading3"/>
        <w:numPr>
          <w:ilvl w:val="2"/>
          <w:numId w:val="1"/>
        </w:numPr>
        <w:rPr/>
      </w:pPr>
      <w:bookmarkStart w:id="111" w:name="__RefHeading___Toc540932_1395250215"/>
      <w:bookmarkStart w:id="112" w:name="_Toc42"/>
      <w:bookmarkEnd w:id="111"/>
      <w:r>
        <w:rPr>
          <w:rtl w:val="true"/>
        </w:rPr>
        <w:t>نقطه آغازین</w:t>
      </w:r>
      <w:bookmarkEnd w:id="112"/>
    </w:p>
    <w:p>
      <w:pPr>
        <w:pStyle w:val="BookText"/>
        <w:rPr/>
      </w:pPr>
      <w:r>
        <w:rPr>
          <w:rFonts w:ascii="IRNazanin" w:hAnsi="IRNazanin" w:eastAsia="IRNazanin"/>
          <w:color w:val="111111"/>
          <w:sz w:val="28"/>
          <w:sz w:val="28"/>
          <w:szCs w:val="28"/>
          <w:rtl w:val="true"/>
          <w:lang w:bidi="fa-IR"/>
        </w:rPr>
        <w:t xml:space="preserve">شواهد بسیاری بر اختلاف و تغییر در اندیشۀ بداء میان متکلمان کوفه و متکلمان بغداد وجود دارد؛ از جمله گزارش خیاط معتزلی است که در آن قول به بداء را به همۀ شیعه نسبت داده و بداء نزد آنان را به این معنا دانسته که خداوند خبر می دهد کاری را انجام خواهد داد و سپس بداء برای او حاصل شده و آن را انجام نمی دهد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نیز اندیشۀ بداء را به تمامی شیعه نسبت داده 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می گویند خداوند اراده می کند کاری را انجام دهد و سپس به علت بداء آن را انجام نمی دهد، و این به معنای نسخ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تصریح شده که بداء با نسخ تفاوت دارد و این از بهترین شواهد بر اختلاف تبیین کوفی و بغدادی بِداست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قسمت انتهایی گزارش</w:t>
      </w:r>
      <w:r>
        <w:rPr>
          <w:rStyle w:val="FootnoteAnchor"/>
          <w:rtl w:val="true"/>
        </w:rPr>
        <w:footnoteReference w:id="36"/>
      </w:r>
      <w:r>
        <w:rPr>
          <w:rFonts w:ascii="IRNazanin" w:hAnsi="IRNazanin" w:eastAsia="IRNazanin"/>
          <w:color w:val="111111"/>
          <w:sz w:val="28"/>
          <w:sz w:val="28"/>
          <w:szCs w:val="28"/>
          <w:rtl w:val="true"/>
          <w:lang w:bidi="fa-IR"/>
        </w:rPr>
        <w:t xml:space="preserve">، کلام خود اشعری باشد که در این صورت نیز باز شاهد خوبی بر این مطلب است، زیرا فهم متکلم بزرگی چون اشعری و هم چنین خیاط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حوالی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اختلاف این دو تبیین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 ترین گزارشی که دربارۀ تبیین جدید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مربوط به گزارش خیاط معتزلی در ردّ بر ابن راوندی در کتاب الانتصار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البداء فان حذاق الشیعة یذهبون الی ما یذهب الیه المعتزلة فی النسخ، فالخلاف بینهم و بین هولاء فی الاسم دون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گزارش دو نکته به دست می آید؛ اول این که در این زمان، یعنی اواخر قرن سوم، هنوز این قول در جامعۀ شیعه فراگیر نشده و عدۀ کمی قائل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مقابل نیز نظر متکلمان کوفه در این باب است که تا اوایل قرن چهارم ادامه داشته و نظر اکثریت جامعۀ شیعه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کتاب هایی روایی با موضوع بداء و تفکر کوفی در این دوره از شواهد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بن ابی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شلمغانی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کتاب در زمینۀ بداء و با تفکر کوفی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نیز که به نوعی ادامه دهندۀ مکتب کوفه است، محمدبن ابی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قبل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دربارۀ بداء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شواهد ادامۀ تفکر کوفی در باب بداء در اوایل قرن چهارم، گزارش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یکی از مشایخ شیعه به نام حسن بن محمد بن جمهور شنیده است که در مواردی که خداوند خبری را به بندگان ابلاغ نکرده باشد، بداء صورت می گیرد و در مواردی که اطلاع داده باشد، بداء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شواهد بر این مطلب، پاسخی است که خیاط معتزلی به ابن راوندی داده و در آن تبیین جدیدی از بداء را به عده ای که با معتزله هم صحبت بوده اند، نسبت می دهد و قول همۀ شیعه را بداء در اخبار دانسته و این معنای از بداء هیچ گونه ارتباطی به نسخ در اوامر و نواهی ندارد</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این مطلب، گزارش اشعری در حوالی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سه قول به شیعه نسبت داده شده که دو قول اول، نظر متکلمان کوفه بوده و نظر سوم که در آن بداء نفی شده است، مربوط به متکلمان عقل گرای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دوم این که، قائلان این نظریه از افراد نخبه و به اصطلاح روشن فکر شیعه بوده اند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نظریه مربوط به متکلمان عقل گرای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این افراد کافی است نگاهی به متکلمان نیمۀ دوم قرن سوم و معاصران ابن راوندی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همان کسانی هستند که خیاط معتزلی در جای جای کتاب خود از آنان به عنوان افرادی که با معتزله نشست و برخاست و ارتباط علمی داشته اند، یاد می کند و سعی دارد افکار و آرای آنان را متأثر از معتزله جلوه دهد؛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الاحوص مصری، ابوعیسی وراق، ابن جبرویه، ابن مملک اصفهانی، ابن قبه رازی، محمد بن بشر حمدونی سوسنجردی، ابوسهل و حسن بن موسی نوبختی و 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عسکری</w:t>
      </w:r>
      <w:r>
        <w:rPr>
          <w:rFonts w:eastAsia="IRNazanin" w:cs="IRNazanin"/>
          <w:color w:val="111111"/>
          <w:sz w:val="28"/>
          <w:szCs w:val="28"/>
          <w:rtl w:val="true"/>
          <w:lang w:bidi="fa-IR"/>
        </w:rPr>
        <w:t>.</w:t>
      </w:r>
      <w:r>
        <w:rPr>
          <w:rStyle w:val="FootnoteAnchor"/>
          <w:rtl w:val="true"/>
        </w:rPr>
        <w:footnoteReference w:id="39"/>
      </w:r>
      <w:bookmarkStart w:id="113" w:name="pg2628_20819"/>
    </w:p>
    <w:p>
      <w:pPr>
        <w:pStyle w:val="BookText"/>
        <w:rPr/>
      </w:pPr>
      <w:bookmarkEnd w:id="1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ابو الاحوص مصری به تصریح نجاشی فردی فقیه، متکلم و از اصحاب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اسدبن اعفر نیز از مشایخ حدیثی است و هر دوی آن ها ثقه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مسلک حدیثی داشته و نمی تواند از متکلمان عقل گرایی باشد که بداء را به معنای نسخ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هارون ابو عیسی وراق از متکلمان معتزلی است که شیعه شده و متوفای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بغداد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افرادی است که به احتمال قوی، مورد نظر ابن راوندی بوده و استاد ابن راوندی نیز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جبرویه نیز از متکلمانی است که با معتزله در ارتباط بوده و با عباد بن سلیمان و افراد هم طبقۀ وی مباحثاتی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مملک اصفهانی از دانشمندان معتزلی است که به دست ابن جبرویه شیعه شده و مجالس و مناظراتی با ابوعلی جبایی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بشر حمدونی سوسنجردی نیز از متکلمانی است که با معتزله حشر و نشر داشته و کتاب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را نزد بلخی برده و سپس نقض آن توسط بلخی را به ابن قبه تحویل داده است، و این اتفاق بار دیگر تکرار شده تا این که ابن قبه از دنیا رفته است؛ بر این اساس، وی تا زمان وفات ابن قبه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ابوسهل و حسن بن موسی نوبختی نیز که تقریباً در یک زمان می زیسته اند، از متکلمان عقل گرا در این دوره بوده و مناظرات بسیاری با معتزلیان زمان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معاصر ابن راوندی بوده و به احتمال فراوان، از جمله حذاق شیعه ای هستند که ابن راوندی در کتاب خود ذکر کرده است</w:t>
      </w:r>
      <w:r>
        <w:rPr>
          <w:rFonts w:eastAsia="IRNazanin" w:cs="IRNazanin"/>
          <w:color w:val="111111"/>
          <w:sz w:val="28"/>
          <w:szCs w:val="28"/>
          <w:rtl w:val="true"/>
          <w:lang w:bidi="fa-IR"/>
        </w:rPr>
        <w:t>.</w:t>
      </w:r>
    </w:p>
    <w:p>
      <w:pPr>
        <w:pStyle w:val="Heading3"/>
        <w:numPr>
          <w:ilvl w:val="2"/>
          <w:numId w:val="1"/>
        </w:numPr>
        <w:rPr/>
      </w:pPr>
      <w:bookmarkStart w:id="114" w:name="__RefHeading___Toc540934_1395250215"/>
      <w:bookmarkStart w:id="115" w:name="_Toc43"/>
      <w:bookmarkEnd w:id="114"/>
      <w:r>
        <w:rPr>
          <w:rtl w:val="true"/>
        </w:rPr>
        <w:t>چراییِ تغییر در تبیین اندیشه بداء</w:t>
      </w:r>
      <w:bookmarkEnd w:id="115"/>
    </w:p>
    <w:p>
      <w:pPr>
        <w:pStyle w:val="BookText"/>
        <w:rPr/>
      </w:pPr>
      <w:r>
        <w:rPr>
          <w:rFonts w:ascii="IRNazanin" w:hAnsi="IRNazanin" w:eastAsia="IRNazanin"/>
          <w:color w:val="111111"/>
          <w:sz w:val="28"/>
          <w:sz w:val="28"/>
          <w:szCs w:val="28"/>
          <w:rtl w:val="true"/>
          <w:lang w:bidi="fa-IR"/>
        </w:rPr>
        <w:t>چراییِ تغییر در تبیین اندیشۀ بداء</w:t>
      </w:r>
    </w:p>
    <w:p>
      <w:pPr>
        <w:pStyle w:val="BookText"/>
        <w:rPr/>
      </w:pPr>
      <w:r>
        <w:rPr>
          <w:rFonts w:ascii="IRNazanin" w:hAnsi="IRNazanin" w:eastAsia="IRNazanin"/>
          <w:color w:val="111111"/>
          <w:sz w:val="28"/>
          <w:sz w:val="28"/>
          <w:szCs w:val="28"/>
          <w:rtl w:val="true"/>
          <w:lang w:bidi="fa-IR"/>
        </w:rPr>
        <w:t>با توجه به ارتباط علمی متکلمان امامیه در نیمۀ دوم قرن سوم با معتزله، بررسی اشکالات آنان بر بحث بداء می تواند در تحلیل چرایی این تغییر ما را یاری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ایراد معتزله بر بداء دو مطلب است که گزارش آن در منابعی مانند مقالات الاسلامیین و الانتصار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 که، معتزله نسخ در اوامر و نواهی را قبول داشته و این مطلب مورد پذیرش تمامی مسلمانان است، اما نسخ در اخبار که همان بِداست را منکر شده اند، زیرا هرگاه خداوند خبر دهد کاری را انجام می دهد و سپس آن را نسخ کرده و انجام ندهد، مستلزم کذب یکی از دو خبر است و کذب در ساحت خداوند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اشکال دوم در کتاب الانتصار انعکاس یافته و در آن بداء مستلزم جهل به امور دانسته شده و هنگامی که خداوند از فعلی خبر دهد یا کاری را انجام دهد و سپس برای او روشن شود که درست نبوده است، کار دیگری را انجام می دهد، و چنین خدایی دارای کاستی است و خداوند از این امور به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اشکالات، طبیعی به نظر می رسد عده ای از متکلمان شیعیِ عقل گرا که با جریان معتزلی بحث علمی دارند و از سوی دیگر، اصطلاحات و دستگاه مفهومی جریان متکلمان نظریه پرداز به حاشیه رفته است، در این مسئله هم رأی با معتزله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سنگ بنای بحث بداء دو مطلب است؛ علم و ارادۀ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علم، بداء در مدرسۀ کوفه با تقسیم علم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 شد؛ بدین گونه که خداوند عالم به تمامی امور بوده و اموری که در آن بداء صورت می گیرد نیز معلوم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علم ذاتی است که از سنخ علوم بشری نبوده و تنها معرفت ما به آن این است که جاهل نیست و ضد آن را از او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دیگر از علم خداوند، علم فعلی است که بسته به شرایط مختلف قابل تغییر بوده و بداء در این مرحله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اشکالاتی که منکران بداء مطرح می کردند، متوجه علم ذاتی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پایانی قرن سوم، با توجه به اوج گیری معتزله و از رونق افتادن تبیین متکلمان کوفه از علم خداوند، متکلمان بغداد نیز فقط علم ذاتی را برای خداوند قائل شدند که بر اساس این تبیین، دو اشکال سابق بر بحث بداء وارد بوده و از این رو، بداء را به معنای نسخ دانستند؛ اما با این حال با توجیهاتی، تغییر در برخی تقدیرات الهی را پذیرفتند و در واقع بداء را به گونه ای تبیین کردند که مستلزم جهل در ساحت خداوند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تبیین حداقلیِ متکلمان بغدادی از آموزۀ بداست که هدف از آن، دفاع از این آموزه در مقابل حملات معتزلیان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پیشینۀ بیشتری نیز داشته است، به گونه ای که از خود ائمه علیهم السلام نیز دربارۀ علم خداوند سؤال شده و آنان نیز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همواره بر عالم بودن خداوند به تمامی امور، قبل الخلق و بعد الخلق تأکید کرده اند و بداء را مستلزم جهل خداوند ندانسته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اشکالات مطرح شده به بداء از سوی معتزله و پاسخ های آن توسط متکلمان امامیه، اثری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ردپای این بحث در گزارش های پراکنده ای است که در آنها</w:t>
      </w:r>
      <w:bookmarkStart w:id="116" w:name="pg2628_20821"/>
    </w:p>
    <w:p>
      <w:pPr>
        <w:pStyle w:val="BookText"/>
        <w:rPr/>
      </w:pPr>
      <w:bookmarkEnd w:id="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عقیدۀ متکلمان کوفه در باب بداء گزارش شده است؛ عباراتی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ان یبدو له اذا اراد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ان یفعل الشیئ فی وقت من الاوقات ثم لا یحدثه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نزد معتزله، صفت فعل بوده و خداوند مرید افعال خودش است به اراده محدثِ لا فی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او در تکوینیات، ایجاد آن ها و در تشریعیات امر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ارادۀ خداوند را همان افعال او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 الجبار، </w:t>
      </w:r>
      <w:r>
        <w:rPr>
          <w:rFonts w:eastAsia="IRNazanin" w:cs="IRNazanin"/>
          <w:color w:val="111111"/>
          <w:sz w:val="28"/>
          <w:szCs w:val="28"/>
          <w:lang w:bidi="fa-IR"/>
        </w:rPr>
        <w:t>1962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امامی بغداد نیز اراده به معنای کوفی آن را قائل نشدند، چنان که شیخ مفید ارادۀ خداوند را در افعالش، خود آن افعال می داند و مرید بودن خداوند را فقط از جهت سمع پذیرفته و آن را قابل تبیین عقلی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اشکالات و پاسخ های داده شده در باب بداء فقط بر پایۀ علم بوده، در حالی که علاوه بر علم، اراده نیز در این بحث دخیل است</w:t>
      </w:r>
      <w:r>
        <w:rPr>
          <w:rFonts w:eastAsia="IRNazanin" w:cs="IRNazanin"/>
          <w:color w:val="111111"/>
          <w:sz w:val="28"/>
          <w:szCs w:val="28"/>
          <w:rtl w:val="true"/>
          <w:lang w:bidi="fa-IR"/>
        </w:rPr>
        <w:t>.</w:t>
      </w:r>
    </w:p>
    <w:p>
      <w:pPr>
        <w:pStyle w:val="Heading3"/>
        <w:numPr>
          <w:ilvl w:val="2"/>
          <w:numId w:val="1"/>
        </w:numPr>
        <w:rPr/>
      </w:pPr>
      <w:bookmarkStart w:id="117" w:name="__RefHeading___Toc540936_1395250215"/>
      <w:bookmarkStart w:id="118" w:name="_Toc44"/>
      <w:bookmarkEnd w:id="117"/>
      <w:r>
        <w:rPr>
          <w:rtl w:val="true"/>
        </w:rPr>
        <w:t>اندیشه شیخ صدوق</w:t>
      </w:r>
      <w:bookmarkEnd w:id="118"/>
    </w:p>
    <w:p>
      <w:pPr>
        <w:pStyle w:val="BookText"/>
        <w:rPr/>
      </w:pPr>
      <w:r>
        <w:rPr>
          <w:rFonts w:ascii="IRNazanin" w:hAnsi="IRNazanin" w:eastAsia="IRNazanin"/>
          <w:color w:val="111111"/>
          <w:sz w:val="28"/>
          <w:sz w:val="28"/>
          <w:szCs w:val="28"/>
          <w:rtl w:val="true"/>
          <w:lang w:bidi="fa-IR"/>
        </w:rPr>
        <w:t>شیخ صدوق از محدثان و متکلمان قرن چهارم است و در زمان حیاتش، تغییر در تبیین بداء حدود یک قرن قبل اتفاق افتاده بود و بسیاری از متکلمان در این دوره این گونه می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ری نیز از این امر مستثنا نبوده و علاوه بر این، شاهد حضور برخی از متکلمان معتزلی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شیخ صدوق از محدثان و متکلمان مدرسۀ قم به حساب می آید، اما با توجه به مقطع زمانی حیات ایشان که در میانۀ عصر نوبختیان و معتزلیانِ شیعه شده و مدرسۀ کلامی شیخ مفید قرار دارد و نیز، تفکر ایشان در باب بداء که بسیار نزدیک به تفکر شیخ مفید است، بررسی اندیشۀ ایشان ضروری به نظر می 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عبدالجبار همدانی، دانشمند برجستۀ معتزلی، به دعوت صاحب بن عباد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وارد ری شده و سمت قاضی القضاتی این شهر را عهده دار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ورود وی، بسیاری از شاگردان او و افراد متعددی از نقاط دور و نزدیک به ری آمده و حوزۀ درسی قوی با اندیشۀ معتزلی در 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مصادف با سال های اوج فعالیت علمی شیخ صدوق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فردی مانند شیخ صدوق که قصد ندارد از چهارچوب روایات خارج شود و در عین حال، دغدغۀ تبیین معارف شیعی و دفاع از آنان در فضایی آکنده از اندیشۀ معتزلی را دارد، در بحث بداء به گونه ای موضع می گیرد که اشکالات کمتری از ناحیۀ معتزله به او وارد باشد، اما هم چنان از اصل این آموزه فاصله نگرفته و بر آن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شیخ صدوق اندکی با تبیین متکلمان کوفه فاصله دارد و می توان گفت،</w:t>
      </w:r>
      <w:bookmarkStart w:id="119" w:name="pg2628_20822"/>
    </w:p>
    <w:p>
      <w:pPr>
        <w:pStyle w:val="BookText"/>
        <w:rPr/>
      </w:pPr>
      <w:bookmarkEnd w:id="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 نوعی شبیه دیدگاه شیخ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شیخ مفید در تصحیح الاعتقاد در باب بداء فقط در صدد تبیین و توضیح آن برآمده و برخلاف بسیاری از موارد، اشکالی بر شیخ صدوق وارد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3"/>
        <w:numPr>
          <w:ilvl w:val="2"/>
          <w:numId w:val="1"/>
        </w:numPr>
        <w:rPr/>
      </w:pPr>
      <w:bookmarkStart w:id="120" w:name="__RefHeading___Toc540938_1395250215"/>
      <w:bookmarkStart w:id="121" w:name="_Toc45"/>
      <w:bookmarkEnd w:id="120"/>
      <w:r>
        <w:rPr>
          <w:rtl w:val="true"/>
        </w:rPr>
        <w:t>شیخ مفید و بداء</w:t>
      </w:r>
      <w:bookmarkEnd w:id="121"/>
    </w:p>
    <w:p>
      <w:pPr>
        <w:pStyle w:val="BookText"/>
        <w:rPr/>
      </w:pPr>
      <w:r>
        <w:rPr>
          <w:rFonts w:ascii="IRNazanin" w:hAnsi="IRNazanin" w:eastAsia="IRNazanin"/>
          <w:color w:val="111111"/>
          <w:sz w:val="28"/>
          <w:sz w:val="28"/>
          <w:szCs w:val="28"/>
          <w:rtl w:val="true"/>
          <w:lang w:bidi="fa-IR"/>
        </w:rPr>
        <w:t>شیخ مفید را مؤسس مدرسۀ کلامی بغداد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در دوره های پیش از ایشان چنین تفکری وجود نداشته و این اندیشه به ناگاه در جامعۀ شیعه به وجود آمده است، بلکه ریشه های این اندیشه را می توان در افکار نوبختیان و متکلمان عقل گرای نیمۀ دوم قرن سوم و نیمۀ اول قرن چهارم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کلامی ایشان در واقع، راه میانه ای بین مدرسۀ کوفه و مدرسۀ عقل گرای بغداد است؛ از این رو، اندیشۀ مفید در برخی مسائل با اندیشۀ شاگردان ایشان مانند سید مرتضی و شیخ طوسی اندکی تفاوت داشته و توجه به روایات اعتقادی و احیاناً استدلال به آن ها در اندیشۀ 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بداء از بهترین شواهد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جای جای آثار خود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را صحیح دانسته و علت آن را فقط طریق سمع و آثار صحیحه از ائمه هدی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شاگردان ایشان مانند سید مرتضی، اساساً بداء در مورد خداوند را منکر شده و اطلاق آن را بر خداوند صحیح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اندیشۀ شیخ مفید در باب بداء با دو مطلب مواجه هستیم؛ نخست چیستی بداء در نزد ایشان و سپس حیطه و محدودۀ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چیستی بداء، وی بداء را مساوی با نسخ دانسته و هر آنچه تمامی مسلمانان در بارۀ نسخ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باب بداء 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کسانی که با بداء مخالفند، در واقع با نام آن اختلاف دارند و در معنا آن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لله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معادل رأی جدید و وضوح امری که پیش تر بر خداوند مخفی بوده، نیست، زیرا تمامی افعال خداوند از ازل معلومِ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استدلال، عدم تفکیک علم خداوند به ذاتی و فعلی کاملاً نمایان است و شیخ مفید غیر از علم ذاتی که در آن خداوند از ازل، عالم به تمامی افعال خویش است، علم دیگری را برای خداوند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شیخ مفید قول دیگری را به نقل از فردی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در آن اطلاق بداء بر خداوند به نحو استعاره بوده و اطلاق مجازی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مجازی به خداوند اسناد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کلمات شیخ مفید چنین برمی آید که ایشان اِسناد بداء به خداوند را بدون تأویل و توجیه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طبق مختار خود در اوائل المقالات که در صدد بیان اقوال و نظریات خود در هر باب است، بداء را به معنای نسخ دانسته و در واقع از معنای ظاهری آن دست کشیده و آن را به معنای نسخ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درست معادل همان چیزی است که یک قرن پیش،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به حذاق شیعه نسبت داده بود و در آن زمان عدۀ اندکی قائل به آن بودند و در زمان شیخ مفید تبدیل به نظریۀ غالب متکلمان شد، به گونه ای که شیخ مفید نیز به عنوان متکلم برجستۀ بغداد با تمام تلاش خود بر حرکت در مسیری میانه بین تفکر بغداد و متکلمان کوفه، نتوانست از آموزۀ بداء به معنای کوفی آن دفاع کند و به ناچار آن را معادل نسخ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بداء بر اساس نسخ بدین گونه است که در نسخ، حکم از ابتدا دارای مدت معین و مشخصی است، اما به حسب ظاهر بدون مدت و به صورت مطلق به بندگان ابلاغ می شود و پس از پایان مدت حکم پیشین، حکم جدید ابلاغ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بداء نیز از ابتدا امری محدود به زمان خاص یا شرایط خاصی مقدر می شود و پس از فرا رسیدن زمان یا تحقق آن شرط، تقدیر عوض شده و در نظر بندگان حکم تغییر می کند، در حالی که خداوند از ابتدا عالم به هر دو تقدیر بوده و علم ذاتی او تغییری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تفاوت ظریفی میان نظریۀ مفید و معتزله وجود دارد و آن این که، معتزله اساساً منکر بداء بوده و به تعبیری دیگر، بداء در اخبار را منکر بوده اند، در حالی که بداء در اوامر و نواهی یا همان نسخ را قبول داشته اند، اما به هر روی از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امتناع می ورزیدند؛ اما شیخ مفید با توجه به روایات صحیح در باب بداء، اصل آن را پذیرفته و اطلاق آن را بر خداوند با توجیهاتی که ذکر کرده، روا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سخن ایشان در باب علت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که تنها راه آن را سمع و وجود روایات صحیح در این زمینه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اتفقوا علی إطلاق لفظ البداء فی وصف الله تعالی و أن ذلک من جهة السمع دون القیاس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دیگر،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را به علت روایات صحیحی می داند که از واسطه های میان خدا و بندگان رسیده است و اگر این روایات وجود نداشت اطلاق این لفظ بر خداوند جایز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bookmarkStart w:id="122" w:name="pg2628_20824"/>
    </w:p>
    <w:p>
      <w:pPr>
        <w:pStyle w:val="BookText"/>
        <w:rPr/>
      </w:pPr>
      <w:bookmarkEnd w:id="1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دربارۀ محدوده بداء نیز آن را مربوط به امور مشروط می داند و هرگز در تصمیمی قطعی اتفاق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بداء در اموری است که دور از انتظار و گمان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دیدگاه به علت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بداء لهم من الله ما لم یکونوا یحتسبون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مسائل عکبریه در پاسخ به سؤالی دربارۀ روایت بداء در امامت اسماعیل و این که آیا خداوند کاری را آغاز می کند و قبل از پایان آن از انجام آن صرف نظر کند یا نه، به این آیه استناد کرده و بداء را در اموری می داند که دور از انتظار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روایات بداء، روایات متعددی دربارۀ بداء در امامت اسماعیل، فرزند امام صادق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باره موضع گرفته و این روایات را به دلیل برخی شواهد در روایات این باب بر این معنا حمل کرده که ابتدا قتل اسماعیل مقرر شده بود و سپس با دعای امام صادق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برطرف شده و به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دلیل وجود روایتی از امام رضا علیه السلام که بداء را در تغییر پیامبر و امام و مؤمن به کافر، ممکن نمی داند، محدودۀ بداء را خارج از این امور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123" w:name="__RefHeading___Toc540940_1395250215"/>
      <w:bookmarkStart w:id="124" w:name="_Toc46"/>
      <w:bookmarkEnd w:id="123"/>
      <w:r>
        <w:rPr>
          <w:rtl w:val="true"/>
        </w:rPr>
        <w:t>سیدمرتضی</w:t>
      </w:r>
      <w:bookmarkEnd w:id="124"/>
    </w:p>
    <w:p>
      <w:pPr>
        <w:pStyle w:val="BookText"/>
        <w:rPr/>
      </w:pPr>
      <w:r>
        <w:rPr>
          <w:rFonts w:ascii="IRNazanin" w:hAnsi="IRNazanin" w:eastAsia="IRNazanin"/>
          <w:color w:val="111111"/>
          <w:sz w:val="28"/>
          <w:sz w:val="28"/>
          <w:szCs w:val="28"/>
          <w:rtl w:val="true"/>
          <w:lang w:bidi="fa-IR"/>
        </w:rPr>
        <w:t>سید مرتضی نیز مانند استاد خود شیخ مفید، تبیین متفاوتی با متکلمان کوفی داشته و بداء را به معنای نسخ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شیخ مفید توضیح بیشتری برای این مدعا وجود نداشت و به جوانب آن نیز</w:t>
      </w:r>
    </w:p>
    <w:p>
      <w:pPr>
        <w:pStyle w:val="BookText"/>
        <w:rPr/>
      </w:pPr>
      <w:r>
        <w:rPr>
          <w:rFonts w:ascii="IRNazanin" w:hAnsi="IRNazanin" w:eastAsia="IRNazanin"/>
          <w:color w:val="111111"/>
          <w:sz w:val="28"/>
          <w:sz w:val="28"/>
          <w:szCs w:val="28"/>
          <w:rtl w:val="true"/>
          <w:lang w:bidi="fa-IR"/>
        </w:rPr>
        <w:t>اشاره ای نشده بود، اما سید مرتضی منظور خود را با صراحت و بیان جزئیات بیشتری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بداء را بر خداوند محال دانسته و همان اشکالاتی را که معتزله بر بداء داشتند،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بداء و نسخ نیز به وضوح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وجوب لطف، اشکالی مطرح شده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جواز بداء و تغییر در ارادۀ خداوند، ممکن است در مواردی لطف منقطع شود؛ بنابراین، پیوسته لطف بر خداوند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پاسخ می دهد که بداء دربارۀ خداوند امکان نداشته و او پیوسته به بندگان ارادۀ بر لطف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ادعا کرده است که شریعت موسی منسوخ نشده و اساساً نسخ شریعت توسط خداوند جایز نیست، زیرا موجب بِداست که بر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می دهد که نسخ مستلزم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بداء نیست و این دو با هم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بداء چهار شرط لازم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فعل مأموربه و منهی عنه، اتحاد وجه و جهت حکم، وحدت وقت و وحدت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شروط وجود ندارد و آن وحدت فعل مأموربه و منهی عنه است؛ بنابراین، نسخ مستلزم بداء و امر محال نبوده و جایز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نسبتاً جامع و کاملی از بداء در رسائل سید مرتضی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وی نیز مانند شیخ مفید بداء را 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متکلمان بداء را در موردی می دانند که خداوند به شیئی در وقت مخصوص و بر وجه معین و در مورد مکلف واحد امر کند و سپس با همین شرایط از آن نهی کند، اما در نسخ این گونه نیست و ناسخ و منسوخ در وقت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معنایی که از بداء شد، اطلاق آن بر خداوند صحیح نیست، زیرا او عالم بنفسه بوده و علم جدیدی برای او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آحادی در این باب وجود دارد که در آن بداء به خداوند نسبت داده شده است، اما این روایات تماماً خبر واحد بوده و موجب علم و قطع نمی شوند و محققان از اصحاب امامیه آن را بر معنای نسخ شرایع حمل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قطعاً معنای ظاهری آن مراد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نسخ، به نحو حقیقت است نه این که مجازگویی و تعبیر استعاری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نظریۀ سید مرتضی در باب بداء باید گفت، معتزلیانِ معاصر اشعری و پیش از او، نسخ در اخبار یا همان بداء را به علت عدم تجدید علم برای خداوند محال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بداء در اخبار جایز باشد، لازمۀ آن کذب بودن یکی از دو خبر است که دربارۀ خداوند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نسخ در اوامر و نواهی خداوند جایز است و اشکالی متوجه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 در طبقات بعدیِ معتزله، افرادی مانند قاضی عبد الجبار که معاصر سید مرتضاست، تفصیلی در این مطلب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نسخ در اوامر و نواهی را به صورت مطلق جایز ندانسته و جواز آن را مشروط به عدم ورود اشکالات بداء در آن می داند؛ به بیان دیگر، او مانند مشایخ خود نسخ در اخبار را جایز نمی داند و در نسخ اوامر و نواهی نیز پا را فراتر نهاده و اگر اشکال تغییر در علم ذاتی خداوند و یا تجدیدپذیر بودن آن لازم بیاید، آن را نیز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سید مرتضی برای بداء به تبع قاضی عبدالجبار مطرح کرده است، این اشکالات وجود دارد و با این که نسخ در امر و نهی است، اما آن را نپذیرفته و آن را از مصادیق بداء می دانند؛ چنان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سید مرتضی خود به این نکته اشاره کرده و بعد از بیان مثال یادشده، آن را به علت علم ذاتی خداوند و عدم تجدیدپذیر بودن آن، از مصادیق بداء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تفاوت بداء با نسخ نیز سید در کتاب الذخیره چهار شرط را برای بداء ذکر کرده و یادآور شده که در نسخ، فعلِ نهی شده و فعلِ امرشده با هم تفاوت دارند؛ بنابراین، نسخ برخلاف بداء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رسائل خود بار دیگر شروط چهارگانۀ بداء را یاد آور شده و تفاوت نسخ با بداء را در تفاوت زمان امر و نهی در نسخ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عبارات یادشده، هر کدام از چهار شرط بداء که تحقق نیابد، محال نبوده و از محدودۀ بداء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قاضی عبدالجبار معتزلی بداء در اوامر و نواهی را در وقتی می داند که مأموربه و منهی عنه واحد بوده و بر وجه و جهت واحد و بر مکلف واحد در دو زمان باشند؛ به این صورت که ابتدا امرشده و سپس نهی شده باشد و یا برعکس، اما اگر هر دو مقارن باشند بداء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سید هرگاه زمان متحد باشد، بِداست و به نظر قاضی عبدالجبار بداء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عبارت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نهی عنه علی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 تأخر نهی از امر دلالت دارد، اما با توجه به فرقی که میان نسخ و بداء می گذارد و ناسخ و منسوخ را در دو وقت تصور می کند، در بداء قائل به تقارن زمانی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 که، شیخ مفید بداء را به معنای نسخ می داند، اما روایات این باب را صحیح دانسته و به علت همین اخبار،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را جایز می شمرد، اما سید مرتضی روایات بداء را خبرهای واحدی می داند که موجب علم و قطع نشده و اساساً اطلاق بداء دربارۀ خداوند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نکته باید گفت، سید فاصلۀ بیشتری با نظر متکلمان کوفی در باب بداء داشته و نظر وی همان نظر معتزلیان معاصر خودش است، اما شیخ مفید با متکلمان کوفه زاویۀ کمتری داشته و در اصل تبیین بداء با آنان اختلاف نظر دارد، اما به هر روی از روایات بداء دست برنداشته و آنان را توجیه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سید مرتضی نظر هشام بن حکم و اکثر شیعه را نیز مانند معتزله بر نسخ انگاریِ بداء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دیدگاه آنان با معتزله در این است که هشام و بسیاری از متکلمان کوفی با توجه به روایاتی که در این زمینه وجود دارد،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در حالی که مراد آنان همان نسخ معتزلی است، و تا زمانی که در الفاظ اختلاف وجود دارد، اعتباری به</w:t>
      </w:r>
      <w:bookmarkStart w:id="125" w:name="pg2628_20827"/>
    </w:p>
    <w:p>
      <w:pPr>
        <w:pStyle w:val="BookText"/>
        <w:rPr/>
      </w:pPr>
      <w:bookmarkEnd w:id="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آن ها نیست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سید مرتضی شاهد دیگری است بر عدم اعتبار احادیث بداء نزد وی و اساساً انکار این روایات، همان گونه که پیش تر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کلام سید باید گفت، این عبارت در دفاع از اتهاماتی است که قاضی عبدالجبار علیه هشام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ابن راوندی و برخی دیگر از متکلمان مطرح کرده و آنان را به جبر، تشبیه، قول به حدوث علم خداوند و بداء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اتهام جبر و تشبیه قابل پذیرش است، اما در باب بداء صحیح نیست، زیرا همان گونه که پیش تر اشاره شد، متکلمان کوفه و از جمله هشام بن حکم قائل به بداء به معنای حقیقی آن دربارۀ خداوند بودند و با توجه به مبنای آنان در باب علم فعلی، بداء را قابل دفاع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گزارش های فراوانی است که در منابع فرقه نگاری و مقالات آمده و در آن ها قول به بداء به معنای حقیقی آن و یا به تعبیری بداء در اخبار را به متکلمان شیعه نسبت داده اند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افزون بر این که طبق گزارش اشعری، متکلمان کوفی نسخ در شرایع را از باب بداء دانسته و کاملاً به عکس نظر متکلمان بغداد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بلخی نیز در تفسیر خود قول افرادی را نقل می کند که قائل به نسخ قرآن توسط ائمه هستند و آنان پا را فراتر نهاده و نسخ را نیز از باب بداء جایز می دانند و با این قول خود از دین خارج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نظر متکلمان کوفه را همان نظر معتزله در باب نسخ دانست و نزاع میان آنان را نزاع لفظی در نظر گرفت؟</w:t>
      </w:r>
    </w:p>
    <w:p>
      <w:pPr>
        <w:pStyle w:val="Heading3"/>
        <w:numPr>
          <w:ilvl w:val="2"/>
          <w:numId w:val="1"/>
        </w:numPr>
        <w:rPr/>
      </w:pPr>
      <w:bookmarkStart w:id="126" w:name="__RefHeading___Toc540942_1395250215"/>
      <w:bookmarkStart w:id="127" w:name="_Toc47"/>
      <w:bookmarkEnd w:id="126"/>
      <w:r>
        <w:rPr>
          <w:rtl w:val="true"/>
        </w:rPr>
        <w:t>شیخ طوسی</w:t>
      </w:r>
      <w:bookmarkEnd w:id="127"/>
    </w:p>
    <w:p>
      <w:pPr>
        <w:pStyle w:val="BookText"/>
        <w:rPr/>
      </w:pPr>
      <w:r>
        <w:rPr>
          <w:rFonts w:ascii="IRNazanin" w:hAnsi="IRNazanin" w:eastAsia="IRNazanin"/>
          <w:color w:val="111111"/>
          <w:sz w:val="28"/>
          <w:sz w:val="28"/>
          <w:szCs w:val="28"/>
          <w:rtl w:val="true"/>
          <w:lang w:bidi="fa-IR"/>
        </w:rPr>
        <w:t>در نگاهی کلی، شیخ طوسی نیز مانند استاد خود سید مرتضی، منکر بداء شده و تغییر در حکم شرعی یا همان نسخ را می پذیرد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توجه این که، سید مرتضی در کتاب های الذخیره و الملخص که به نوعی کتاب جامع کلامی است</w:t>
      </w:r>
      <w:r>
        <w:rPr>
          <w:rStyle w:val="FootnoteAnchor"/>
          <w:rtl w:val="true"/>
        </w:rPr>
        <w:footnoteReference w:id="42"/>
      </w:r>
      <w:r>
        <w:rPr>
          <w:rFonts w:ascii="IRNazanin" w:hAnsi="IRNazanin" w:eastAsia="IRNazanin"/>
          <w:color w:val="111111"/>
          <w:sz w:val="28"/>
          <w:sz w:val="28"/>
          <w:szCs w:val="28"/>
          <w:rtl w:val="true"/>
          <w:lang w:bidi="fa-IR"/>
        </w:rPr>
        <w:t xml:space="preserve">، باب مستقلی برای بداء قرار نداده و در ضمن باب لطف و نسخ، مطالبی در زمینۀ بداء مطرح کرده و منکر آن شده است؛ این در حالی است که شیخ مفید در اوائل المقالات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البداءء و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معنی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شیخ طوسی نیز در کتاب الاقتصاد به پیروی از استاد خود سید مرتضی، باب مستقلی را به بداء اختصاص نداده و در ضمن باب لطف و نسخ، اشاراتی به این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العده که کتابی در اصول فقه است، در باب عام و خاص و نسخ مطالبی در این زمینه عنوان شده و در تمامی موارد بداء امری محال و قبیح برای خداوند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مواردی که شیخ طوسی در آن ها اشاراتی به بحث بداء دارد، ما را در شناخت بهتر دیدگاه وی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باب وجوب لطف در انسان ها، استمرار داعی و اراده بر لطف را شرط دانسته است، زیرا در غیر این صورت ممکن است ارادۀ فرد تغییر کند، اما دربارۀ خداوند بداء یا همان تغییر اراده به هیچ وجه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عام و خاص، هرگاه کلامی به صورت عام بیاید و سپس شرط یا دلیل دیگری متضاد با حکم اولی ذکر شود، در حق خدای متعال قبیح است؛ مانند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لاتقتلوا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لازمۀ آن بداء و تناقض است که هردو دربارۀ خداوند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بداء و تناقض هم وزن یکدیگر عنوان شده که هردو نیز در حق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مانند سید مرتضی چهار شرط برای بداء ذکر کرده و تفاوت نسخ با بداء را در تخلف یکی از شروط یادشده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تفاوت نسخ و بداء بعد از ذکر شروط چهارگانۀ بداء، علت محال بودن آن، قبح آن عنوان شده است، اما اگر یکی از این شروط منتفی شود آن فعل متصف به عنوان حُسن شده و بداء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قبح بداء در این صورت، مصلحت و مفسده داشتن فعل واحد در زمان واحد است، زیرا طبق مبنای عدلیه امر از مصلحت و نهی از مفسده سرچشمه می گیرد و اگر در زمان واحد به یک فعل امر و نهی شود، لازمۀ آن اجتماع مصلحت و مفسده در فعل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علت یادشده، محل این بحث در اوامر و نواهی است که معتزله و متکلمان امامی بغداد بر بطلان آن اتفاق نظر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بداء در اخبار نیز دو نظر میان متکلمان وجود داشته که سید مرتضی و شیخ طوسی از متکلمان امامیه و قاضی عبدالجبار و ابوعبدالله بصری از معتزله قائل به جواز بداء در اخبار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آنان خبر از کائنات و حوادث نیست، بلکه اخبار و روایاتی است که متضمن حکم شرعی بوده، اما به لسان امر و نهی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شاهد بر این مطلب گفتۀ سید مرتضاست که در این 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چه در اوامر و نواهی و چه در اخبار، در واقع بر مقتضا و متعلَّق آن هاست، نه بر خود امر و نهی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جواز نسخ در امر و نهی تغییر مصلحتی است که در ناحیۀ فعل به وجود می آید، نه این که وصف آمر و ناهی تغییر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علت و ملاک در اخبار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فرقی میان امر و نهی و یا خبر در جواز نسخ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باب نسخ در اخبار در کتاب العدة همین مطلب را پذیرفته و با تفصیل بیشتری وارد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ابتدا قول به جواز نسخ در اخبار را به اکثر معتزله و از جمله ابوعلی و ابوهاشم جبایی نسبت می دهد، زیرا از دیدگاه آنان لازمۀ نسخ در اخبار کذب بودن یکی از دو خبر است که در حق خدای متعال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دقیقاً همان چیزی است که اشعری به معتزلیان نسبت داده و آنان را قائل به عدم جواز نسخ در اخبار به دلیل کذب احدالخبرین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تر نیز به این مطلب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ابتدا اخبار به دو دسته تقسیم شده است؛ اخباری که متضمن معنای امر و نهیند، اما به صورت خبر هستند و اخباری که خبر محض از وصف شیء فی نفسه بوده و هیچ گونه معنای امر یا نهی را در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نیز بر دو نوع است؛ در نوع اول تغییر آن صفت عما هو علیه ممکن نیست و در نوع دوم، این تغییر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صورت نسخ جایز بوده و هیچ گونه محذوری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کلام می توان جواز نسخ در اخبار در کائنات یا همان بداء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معنای کوفی آن، بلکه با تبیینی که منجر به حدوث و تغییر در علم خداوند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کلام سید مرتضی قابل استفاده نیست، زیرا ایشان به صراحت عنوان کرده که مراد متکلمان از نسخ در اخبار، نسخ در خبرهایی است که متضمن حکم شرعی باشد و تقسیم بندی شیخ طوسی را مطرح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متکلمان امامی بغداد و معتزلیان معاصر با آنان، ملاک در امکان و عدم امکان نسخ را تغییر در علم خداوند می دانند و چه در احکام و چه در اخبار از کائنات، هرگاه به گونه ای باشد که با علم ذاتی خداوند منافات نداشته باشد، محال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مستلزم تغییر و تبدل در علم خداوند باشد محال است و معتزلیان این صورت را بداء می دانستند و علت اصرار آنان بر محال بودن بداء نیز همین نکته است؛ در حالی که متکلمان معتزلی معاصر اشعری و پیش از آن چنین تفصیلی را قائل نبودند و طبق گزارش اشعری نسخ در اخبار را نمی پذیرفتند به دلیل لازمۀ آن که کذب احد الخبرین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bookmarkStart w:id="128" w:name="pg2628_20830"/>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این تغییر دیدگاه را می توان تطوری در اندیشۀ نسخ دانست که نشان از دقت بیشتر نسل های بعدی معتزله دربارۀ این مسئله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دیدگاه معتزلیان متأخر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مدعا، بیان وی در تبیین روایاتی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فردی غیر از امام دوازدهم و فردی از ائمه پیشین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بر افزونیِ عمر در صورت صدقه و صلۀ رحم و دعا دلالت می کنند، خداوند از ابتدا عالِم به هر دو امر است، اما ممکن است یکی از آن ها مشروط و دیگری بدون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متضمن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بر همین مطلب حمل شده و در مواردی که نسخ در آن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نسخ شده و در مواردی که خبر از کائنات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مواردی که معتزلیان پیشین به طور مطلق آن را نفی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تغییر شروط حمل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نیز بعد از بیان چند روایت دربارۀ تغییر زمان ظهور امام عصر علیه السلام، آن ها را بر تغییر شرایط و مصلحت حمل کرده و بار دیگر تأکید می کند که در این گونه موارد، تغییر به هیچ وجه به معنای پیدایش امر جدیدی برای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 یادشده، دیدگاه شیخ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موارد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بداء مورد پذیرش است، اما نه به گونه ای که موجب حصول علم جدیدی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امکان حمل بر معنای نسخ دارد، بر همین معنا حمل می شود و در مواردی مانند خبر از کائنات که نسخ امکان ندارد، بر تغییر شرط و مصلحت حمل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بداء و ارادۀ نسخ به معنای مجازی و توسعه در معنای بداء، امکان پذیر است و اطلاق حقیقی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بداء در اخبار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با متکلمان کوفه هم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تبیین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آن را از باب بداء می دانستند و شیخ طوسی آن را از باب تغییر شرایط و مصالح می داند</w:t>
      </w:r>
      <w:r>
        <w:rPr>
          <w:rFonts w:eastAsia="IRNazanin" w:cs="IRNazanin"/>
          <w:color w:val="111111"/>
          <w:sz w:val="28"/>
          <w:szCs w:val="28"/>
          <w:rtl w:val="true"/>
          <w:lang w:bidi="fa-IR"/>
        </w:rPr>
        <w:t>.</w:t>
      </w:r>
    </w:p>
    <w:p>
      <w:pPr>
        <w:pStyle w:val="Heading3"/>
        <w:numPr>
          <w:ilvl w:val="2"/>
          <w:numId w:val="1"/>
        </w:numPr>
        <w:rPr/>
      </w:pPr>
      <w:bookmarkStart w:id="129" w:name="__RefHeading___Toc540944_1395250215"/>
      <w:bookmarkStart w:id="130" w:name="_Toc48"/>
      <w:bookmarkEnd w:id="129"/>
      <w:r>
        <w:rPr>
          <w:rtl w:val="true"/>
        </w:rPr>
        <w:t>ابو</w:t>
      </w:r>
      <w:r>
        <w:rPr>
          <w:rtl w:val="true"/>
        </w:rPr>
        <w:t>¬</w:t>
      </w:r>
      <w:r>
        <w:rPr>
          <w:rtl w:val="true"/>
        </w:rPr>
        <w:t>الفتح کراجکی</w:t>
      </w:r>
      <w:bookmarkEnd w:id="13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کراجکی از متکلمان برجستۀ مدرسۀ بغداد و 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کلی وی دربارۀ مسئله بداء مانند دیدگاه متکلمان بغداد است و بر این باور است که بداء را باید به گونه ای تقریر کرد که موجب تغییر در علم خداوند نشود و اگر این مشکل حل شود، محذور</w:t>
      </w:r>
      <w:bookmarkStart w:id="131" w:name="pg2628_20831"/>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دیگری به غیر از 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و به علت وجود روایاتی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وجود دارد، اطلاق آن بر خداوند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دیدگاه کراجکی در پذیرش روایات بداء مانند دیدگاه شیخ مفید و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وی قول به بداء را به اصحاب امامیۀ غیرمتکلم نسبت داده و آنان در باب این قول دارای روایات و استدلال هایی 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کراجکی را معاصران وی بدانیم، در نیمۀ قرن پنجم تمامی متکلمان شیعه قول بغدادیان را پذیرفته و هیچ کدام از آنان بداء به معنای کوفیِ آن را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غیرمتکلمان ـ که همان محدثانندـ در این زمان، هم چنان با تکیه بر روایات بداء با نظر بغدادیان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تبیین بداء که از نیمه های قرن سوم آغاز شد و در آن زمان طرف داران اندکی در میان متکلمان عقل گرا و به تعبیر ابن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داشت، در نیمۀ قرن پنجم فراگیر شد، به گونه ای که طبق ادعای کراجکی، متکلمان امامیه همگی این نظریه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اصحاب امامیه اعم از معاصران و متکلمان پیشین بدانیم، منظور این است که از ابتدا متکلمان امامیه قائل به بداء نبوده و تنها محدثان طرف دار این نظریه بوده اند، اما با توجه به این که متکلمان برجستۀ امامیه مانند هشام بن حکم و هشام بن سالم و بسیاری از متکلمان شیعه قائل به بداء بوده اند، این مطلب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معنای اول، عبارت یادشده شاهد خوبی برای فراگیر شدن تبیین بغدادی بداء در قرن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کراجکی، فرق میان نسخ و بداء بیان نشده و هم چنین تفاوتی میان بداء در اخبار و بداء در اوامر و نواهی دیده نمی شود، گرچه مثال های مطرح شده دربارۀ امر و نهی است</w:t>
      </w:r>
      <w:r>
        <w:rPr>
          <w:rFonts w:eastAsia="IRNazanin" w:cs="IRNazanin"/>
          <w:color w:val="111111"/>
          <w:sz w:val="28"/>
          <w:szCs w:val="28"/>
          <w:rtl w:val="true"/>
          <w:lang w:bidi="fa-IR"/>
        </w:rPr>
        <w:t>.</w:t>
      </w:r>
    </w:p>
    <w:p>
      <w:pPr>
        <w:pStyle w:val="Heading3"/>
        <w:numPr>
          <w:ilvl w:val="2"/>
          <w:numId w:val="1"/>
        </w:numPr>
        <w:rPr/>
      </w:pPr>
      <w:bookmarkStart w:id="132" w:name="__RefHeading___Toc540946_1395250215"/>
      <w:bookmarkStart w:id="133" w:name="_Toc49"/>
      <w:bookmarkEnd w:id="132"/>
      <w:r>
        <w:rPr>
          <w:rtl w:val="true"/>
        </w:rPr>
        <w:t>نتیجه</w:t>
      </w:r>
      <w:bookmarkEnd w:id="133"/>
    </w:p>
    <w:p>
      <w:pPr>
        <w:pStyle w:val="BookText"/>
        <w:rPr/>
      </w:pPr>
      <w:r>
        <w:rPr>
          <w:rFonts w:ascii="IRNazanin" w:hAnsi="IRNazanin" w:eastAsia="IRNazanin"/>
          <w:color w:val="111111"/>
          <w:sz w:val="28"/>
          <w:sz w:val="28"/>
          <w:szCs w:val="28"/>
          <w:rtl w:val="true"/>
          <w:lang w:bidi="fa-IR"/>
        </w:rPr>
        <w:t>متکلمان نخستین امامیه در پرتو روایات ائمه علیهم السلام قائل به جواز بداء دربارۀ خداوند بوده و میان متکلمان شیعه در عصر حضور امام، اختلافی در تبیین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پایانی قرن سوم، متکلمان عقل گرا و برخی از معتزلیان شیعه شده تبیین جدیدی از بداء ارائه کردند که با نظر متکلمان دورۀ حضور تفاوت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پاره ای از قرائن به نظر می رسد در ابتدای تغییر یاد شده، بداء به طور کلی انکار شد و در نسل های بعدی مانند شیخ مفید و برخی از شاگردان ایشان با عنایت به روایات بداء،</w:t>
      </w:r>
      <w:bookmarkStart w:id="134" w:name="pg2628_20832"/>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اصل این آموزه انکار نشد و تبیینی از آن ارائه شد که با مبانی عقلی رایج در آن دوره منافاتی نداشته باشد که به نوعی تبیین حداقلی از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بغدادیان، سید مرتضی با انکار روایات بداء فاصلۀ بیشتری با متکلمان نخستین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مانند شیخ مفید روایات بداء را پذیرفته و آن ها را توجیه کرده است</w:t>
      </w:r>
      <w:r>
        <w:rPr>
          <w:rFonts w:eastAsia="IRNazanin" w:cs="IRNazanin"/>
          <w:color w:val="111111"/>
          <w:sz w:val="28"/>
          <w:szCs w:val="28"/>
          <w:rtl w:val="true"/>
          <w:lang w:bidi="fa-IR"/>
        </w:rPr>
        <w:t>.</w:t>
      </w:r>
    </w:p>
    <w:p>
      <w:pPr>
        <w:pStyle w:val="Heading3"/>
        <w:numPr>
          <w:ilvl w:val="2"/>
          <w:numId w:val="1"/>
        </w:numPr>
        <w:rPr/>
      </w:pPr>
      <w:bookmarkStart w:id="135" w:name="__RefHeading___Toc540948_1395250215"/>
      <w:bookmarkStart w:id="136" w:name="_Toc50"/>
      <w:bookmarkEnd w:id="135"/>
      <w:r>
        <w:rPr>
          <w:rtl w:val="true"/>
        </w:rPr>
        <w:t>منابع</w:t>
      </w:r>
      <w:bookmarkEnd w:id="13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آلمان، فرانس شتاینر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خیاط، عبد الرحیم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بیروت، اوراق مشرقیة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تهران، مؤسسة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العدة فی اصول الفقه، قم، علاقبندیان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قم، مؤسسه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قاهره، دارالمصریة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ابو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الفوائد،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قم، جامعه مدرسین</w:t>
      </w:r>
      <w:r>
        <w:rPr>
          <w:rFonts w:eastAsia="IRNazanin" w:cs="IRNazanin"/>
          <w:color w:val="111111"/>
          <w:sz w:val="28"/>
          <w:szCs w:val="28"/>
          <w:rtl w:val="true"/>
          <w:lang w:bidi="fa-IR"/>
        </w:rPr>
        <w:t>.</w:t>
      </w:r>
      <w:bookmarkStart w:id="137" w:name="pg2628_20833"/>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2"/>
        <w:numPr>
          <w:ilvl w:val="1"/>
          <w:numId w:val="1"/>
        </w:numPr>
        <w:rPr/>
      </w:pPr>
      <w:bookmarkStart w:id="138" w:name="__RefHeading___Toc540950_1395250215"/>
      <w:bookmarkStart w:id="139" w:name="_Toc51"/>
      <w:bookmarkEnd w:id="138"/>
      <w:r>
        <w:rPr>
          <w:rtl w:val="true"/>
        </w:rPr>
        <w:t>رویکرد متکلمان امامیه در بغداد به معتزلیان شیعه شده</w:t>
      </w:r>
      <w:r>
        <w:rPr>
          <w:rtl w:val="true"/>
        </w:rPr>
        <w:t>(</w:t>
      </w:r>
      <w:r>
        <w:rPr>
          <w:rtl w:val="true"/>
        </w:rPr>
        <w:t>با تاکید بر سید مرتضی،ابن راوندی و ابوعیسی وراق</w:t>
      </w:r>
      <w:r>
        <w:rPr>
          <w:rtl w:val="true"/>
        </w:rPr>
        <w:t>)</w:t>
      </w:r>
      <w:bookmarkEnd w:id="139"/>
    </w:p>
    <w:p>
      <w:pPr>
        <w:pStyle w:val="Heading3"/>
        <w:numPr>
          <w:ilvl w:val="2"/>
          <w:numId w:val="1"/>
        </w:numPr>
        <w:rPr/>
      </w:pPr>
      <w:bookmarkStart w:id="140" w:name="__RefHeading___Toc540952_1395250215"/>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عباس میرزایی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21/05/1392</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27/06/1392</w:t>
      </w:r>
    </w:p>
    <w:p>
      <w:pPr>
        <w:pStyle w:val="Heading3"/>
        <w:numPr>
          <w:ilvl w:val="2"/>
          <w:numId w:val="1"/>
        </w:numPr>
        <w:rPr/>
      </w:pPr>
      <w:bookmarkStart w:id="142" w:name="__RefHeading___Toc540954_1395250215"/>
      <w:bookmarkStart w:id="143" w:name="_Toc53"/>
      <w:bookmarkEnd w:id="142"/>
      <w:r>
        <w:rPr>
          <w:rtl w:val="true"/>
        </w:rPr>
        <w:t>چکیده</w:t>
      </w:r>
      <w:bookmarkEnd w:id="143"/>
    </w:p>
    <w:p>
      <w:pPr>
        <w:pStyle w:val="BookText"/>
        <w:rPr/>
      </w:pPr>
      <w:r>
        <w:rPr>
          <w:rFonts w:ascii="IRNazanin" w:hAnsi="IRNazanin" w:eastAsia="IRNazanin"/>
          <w:color w:val="111111"/>
          <w:sz w:val="28"/>
          <w:sz w:val="28"/>
          <w:szCs w:val="28"/>
          <w:rtl w:val="true"/>
          <w:lang w:bidi="fa-IR"/>
        </w:rPr>
        <w:t>معتزلیانِ شیعه شده از جریان های فرهنگ ساز در سیر تفکر امامیه در سده های سوم و چهارم هجری هستند که مقایسۀ آنان با میراث کلامی متکلمان امامیه در بغداد می تواند به بازشناسی جایگاه و نقش آنان در تاریخ فکر شیعه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می کوشد تا از طریق بازخوانی گزارش های موجود در آثار نوبختیان، شیخ مفید و سید مرتضی، نوع مواجهۀ اینان با ابوعیسی وراق و ابن راوندی از دو جنبۀ شخصیتی و علمی تحلیل کرده و با تبیین داوری متکلمان بغدادی دربارۀ معتزلیان شیعه شده، جایگاه آنان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نگاهی کلان تر سعی می کند با نشان دادن سیر تحول کلام امامیه از سدۀ سوم تا پنجم به بازسازی صحنه ای از تاریخ کلام شیعه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تحقیق نشان می دهد که نمی توان در میراث برجای مانده از متکلمان امامیه در بغداد دربارۀ ابوعیسی وراق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مواضع یکسانی را مشاهده کرد؛ اگرچه در بحث امامت نشانه هایی از هم سونگری وجود دارد</w:t>
      </w:r>
      <w:r>
        <w:rPr>
          <w:rFonts w:eastAsia="IRNazanin" w:cs="IRNazanin"/>
          <w:color w:val="111111"/>
          <w:sz w:val="28"/>
          <w:szCs w:val="28"/>
          <w:rtl w:val="true"/>
          <w:lang w:bidi="fa-IR"/>
        </w:rPr>
        <w:t>.</w:t>
      </w:r>
    </w:p>
    <w:p>
      <w:pPr>
        <w:pStyle w:val="Heading3"/>
        <w:numPr>
          <w:ilvl w:val="2"/>
          <w:numId w:val="1"/>
        </w:numPr>
        <w:rPr/>
      </w:pPr>
      <w:bookmarkStart w:id="144" w:name="__RefHeading___Toc540956_1395250215"/>
      <w:bookmarkStart w:id="145" w:name="_Toc54"/>
      <w:bookmarkEnd w:id="144"/>
      <w:r>
        <w:rPr>
          <w:rtl w:val="true"/>
        </w:rPr>
        <w:t>واژگان کلیدی</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کلام امامیه، معتزلیانِ شیعه شده، ابوعیسی وراق، ابن راوندی، نوبختیان، شیخ مفید، سید مرتضی</w:t>
      </w:r>
      <w:r>
        <w:rPr>
          <w:rFonts w:eastAsia="IRNazanin" w:cs="IRNazanin"/>
          <w:color w:val="111111"/>
          <w:sz w:val="28"/>
          <w:szCs w:val="28"/>
          <w:rtl w:val="true"/>
          <w:lang w:bidi="fa-IR"/>
        </w:rPr>
        <w:t>.</w:t>
      </w:r>
      <w:bookmarkStart w:id="146" w:name="pg2628_20834"/>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147" w:name="__RefHeading___Toc540958_1395250215"/>
      <w:bookmarkStart w:id="148" w:name="_Toc55"/>
      <w:bookmarkEnd w:id="147"/>
      <w:r>
        <w:rPr>
          <w:rtl w:val="true"/>
        </w:rPr>
        <w:t>مقدمه</w:t>
      </w:r>
      <w:bookmarkEnd w:id="148"/>
    </w:p>
    <w:p>
      <w:pPr>
        <w:pStyle w:val="BookText"/>
        <w:rPr/>
      </w:pPr>
      <w:r>
        <w:rPr>
          <w:rFonts w:ascii="IRNazanin" w:hAnsi="IRNazanin" w:eastAsia="IRNazanin"/>
          <w:color w:val="111111"/>
          <w:sz w:val="28"/>
          <w:sz w:val="28"/>
          <w:szCs w:val="28"/>
          <w:rtl w:val="true"/>
          <w:lang w:bidi="fa-IR"/>
        </w:rPr>
        <w:t>معتزلیانِ شیعه شده از جریان های فکری تأثیر گذار در میانۀ دو مدرسۀ کلام امامیه در کوفه و بغداد می باشند که ابوعیسی وراق، ابن راوندی، ابن قبه رازی و ابن مُملک از شخصیت های برجستۀ این جریان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ابتدا معتزلی بودند، ولی در ادامه مذهب شیعه را پذیرفته و از مدافعان جدی تفکر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تأثیرگذاری آنان در تاریخ تفکر شیعه و نوع مواجهۀ امامیه با میراث آنان در دوره های گوناگون، از جنبه های قابل پژوهش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دو شخصیت نخست این جریان، یعنی وراق و ابن راوندی به سبب جایگاه علمی، فعالیت های گسترده در حوزۀ نقد معتزله و دفاع از آموزه های امامیه باعث شده تا جایگاه مهمی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شده تا نوع مواجهۀ متکلمان امامیه در بغداد با میراث وراق و ابن راوندی، اثباتاً یا نفیاً، موضوع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مدرسۀ بغداد، که از نوبختیان تا شیخ طوسی می توان آن را بسط داد، نیز از این روست که در این مدرسه نخستین بار منظومۀ کلام امامیه به صورت نظری شکل گرفت که این خود ثمرۀ تحلیل جامع کلام امامیه بر اساس مبانی و اندیشه های سازماندهی شدۀ خاص کلامی بود و همین باعث چندین قرن تأثیرگذاری مدرسۀ بغداد در طول تاریخ کلام امامیه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بررسی نوع رویکرد مدرسۀ بغداد به شخصیت و میراث وراق و ابن راوندی از این جهت است که این مدرسه نقطۀ عطفی در تاریخ کلام امامیه محسوب می شود؛ به این معنا که کلام امامیه با قرائتی متفاوت نسبت به مدرسۀ کوفه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مقام پاسخ گویی به این سؤال است که با توجه به جایگاه مدرسۀ بغداد در تاریخ کلام امامیه، متکلمان این مدرسه چه رویکردی دربارۀ معتزلیان شیعه شده داشته اند؟ این مقاله در واقع تلاشی برای بازمعرفی جایگاه معتزلیانِ شعیه شده در سده های چهارم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جایی که نگارنده مطلع است، دربارۀ این پرسش بحثی صورت نگرفته و خاستگاه این بحث به مطالعات نویسنده در باب معتزلیان شیعه شده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سلسله مقالاتی این جریان را تبارشناسی و از نظر نوع مواجهه با آموزه های امامیه و معتزله به چند گروه تقسیم کرده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bookmarkStart w:id="149" w:name="pg2628_20835"/>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دو مقاله نیز به وارسی فکری ابوعیسی وراق</w:t>
      </w:r>
      <w:r>
        <w:rPr>
          <w:rStyle w:val="FootnoteAnchor"/>
          <w:rtl w:val="true"/>
        </w:rPr>
        <w:footnoteReference w:id="45"/>
      </w:r>
      <w:r>
        <w:rPr>
          <w:rFonts w:ascii="IRNazanin" w:hAnsi="IRNazanin" w:eastAsia="IRNazanin"/>
          <w:color w:val="111111"/>
          <w:sz w:val="28"/>
          <w:sz w:val="28"/>
          <w:szCs w:val="28"/>
          <w:rtl w:val="true"/>
          <w:lang w:bidi="fa-IR"/>
        </w:rPr>
        <w:t>و ابن راوندی</w:t>
      </w:r>
      <w:r>
        <w:rPr>
          <w:rStyle w:val="FootnoteAnchor"/>
          <w:rtl w:val="true"/>
        </w:rPr>
        <w:footnoteReference w:id="46"/>
      </w:r>
      <w:r>
        <w:rPr>
          <w:rFonts w:ascii="IRNazanin" w:hAnsi="IRNazanin" w:eastAsia="IRNazanin"/>
          <w:color w:val="111111"/>
          <w:sz w:val="28"/>
          <w:sz w:val="28"/>
          <w:szCs w:val="28"/>
          <w:rtl w:val="true"/>
          <w:lang w:bidi="fa-IR"/>
        </w:rPr>
        <w:t>با مدرسۀ کلام امامیه در کوفه پرداخته شد و در این مقاله تلاش می شود تا دربارۀ نوع مواجهۀ متکلمان امامیه در بغداد با میراث دو شخصیت شاخص معتزلیانِ شیعه شده، یعنی وراق و ابن راوندی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ابومحمد نوبختی، شیخ مفید و سید مرتضی متکلمانی هستند که از مدرسۀ بغداد مورد بحث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ظرفیت محدود مقاله در مقام مقایسۀ تفصیلی اندیشه ها عمدتاً نظریات سیدمرتضی با ابن راوندی مورد بحث قرار گرفته است؛ هرچند دربارۀ شخصیت های دیگر تا آن جا که گزارش ها یاری می کرده اند،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سید مرتضی هم از این روست که وی در اوج مدرسۀ بغداد قرار دارد و در واقع، میراث کلامیِ اوست که در دوره های بعد، یعنی در مدرسۀ ری و حله، امتداد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گرفتن ابن راوندی هم از این روست که وی افزون بر شهرت علمی بیشتر در میان معتزلیانِ شیعه شده، اندیشه های بیشتری از وی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مترصد این نکته هستیم که افزون بر تبیین نوع رویکرد متکلمان بغدادی امامی به معتزلیانِ شیعه شده، جایگاه معتزلیان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در تاریخ تفکر امامیه را نیز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گفت، به نظر نمی توان از گزارش های موجود در آثار بغدادیان، چهرۀ غیرمثبتی از ابوعیسی وراق و ابن راوندی ترسیم کرد، ولی در حوزۀ اندیشه ها زاویه های علمی جدی، به ویژه در مباحث توحید و عدل، به خلاف مبحث امامت، دیده می شود</w:t>
      </w:r>
      <w:r>
        <w:rPr>
          <w:rFonts w:eastAsia="IRNazanin" w:cs="IRNazanin"/>
          <w:color w:val="111111"/>
          <w:sz w:val="28"/>
          <w:szCs w:val="28"/>
          <w:rtl w:val="true"/>
          <w:lang w:bidi="fa-IR"/>
        </w:rPr>
        <w:t>.</w:t>
      </w:r>
    </w:p>
    <w:p>
      <w:pPr>
        <w:pStyle w:val="Heading3"/>
        <w:numPr>
          <w:ilvl w:val="2"/>
          <w:numId w:val="1"/>
        </w:numPr>
        <w:rPr/>
      </w:pPr>
      <w:bookmarkStart w:id="150" w:name="__RefHeading___Toc540960_1395250215"/>
      <w:bookmarkStart w:id="151" w:name="_Toc56"/>
      <w:bookmarkEnd w:id="150"/>
      <w:r>
        <w:rPr>
          <w:rtl w:val="true"/>
        </w:rPr>
        <w:t>رابطه نوبختیان با وراق و ابن راوندی</w:t>
      </w:r>
      <w:bookmarkEnd w:id="1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به جزء گزارش هایی که نشان دهندۀ تشابهات نظری و در بعضی موارد نقدهای نوبختیان دربارۀ میراث علمی وراق و ابن راوندی است، راه دیگری برای پی بردن به دیدگاه نوبختیان دربارۀ شخصیت و میراث علمی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مسئله باید گفت، با توجه به گستردگی مبحث امامت این سخن سید مرتضی که وراق را مرجع عقیدۀ نوبختیان در بارۀ امامت معرفی می کند، می تواند نشان گر این باشد که وراق در این بحث تأثیر بسزایی در نوبختیان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سید بر این باور است که نوبختیان در آثار خود همان مباحثی را که وراق در بحث ادلۀ عقلی امامت مطرح کرده است، یاری نموده و به اندیشه های وی در این بحث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 اساس مقایسۀ آثار نوبختیان و وراق می گوید نوبختیان در این بحث توجه فراوانی به نظریات وراق داشته اند و در واقع، نوبختیان در یاری اصول امامیه دقیقاً همان راهی را رفته اند که وراق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با توجه به زندگی ابوسهل و ابومحمد در طبقۀ بعدی وراق و محوریت علمی وراق، این احتمال تقویت می شود که این تأثیرپذیری در حوزه های بیشتری از مباحث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 برجای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آن قدر نیست که بتوان این تأثیر پذیری را مستند کرد و حتی عناوین کتاب هایی که نوبختیان در نقد پاره ای از اندیشه های وراق داشته اند، فضا را مبهم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کتابی از ابوسهل نوبختی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نقض علی مسألة ابی عیسی الوراق فی قدم الاجسام مع اثباته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کرده که ظاهراً ابوسهل در این کتاب به ردّ نظریۀ وراق در باب قدم عالم و اثبات حدوث آن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نوبختی نیز دو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اهل التعجیز و هو نقض کتاب أبی عیسی الوراق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نقض کتاب أبی عیسی فی الغریب المشرقی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وراق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ردیۀ نخست دربارۀ بحث صفات و قدرت الهی بوده که ابومحمد نوبختی به نقد اندیشه های وراق در این موضوع پرداخته و کتاب الغریب المشرقی نیز از کتاب هایی است که معتزله آن را الحادی معرفی کرده و به وراق منسوب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بی 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این کتاب در نقد عذاب الهی و خلود کافران در جهنم مباحثی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ارتباط نوبختیان با ابن راوندی هم باید گفت، گزارش هایی که دربارۀ آن ها وجود دارد، نمی تواند نوع نگاه به شخصیت ابن راوندی را ترسیم کند؛ تنها می تواند به طور ناقص رویکرد نوبختیان به میراث ابن راوندی را بیان کند که حاکی از تشابه در پاره ای از مواضع علمی و نقدهایی است که بر برخی از آثار منسوب به ابن راوندی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نخست باید گفت، سیدمرتضی گزارشی درباۀ شیوۀ علمی نوبختیان در بحث امامت مطرح می کند که به نظر می رسد، اینان با ابن راوندی در تعامل علمی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می گوید که نوبختیان در بحث امامت، ناظر به نظریات و روش عقلی و استدلالیِ ابن راوندی مباحث خود را مطرح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bookmarkStart w:id="152" w:name="pg2628_20837"/>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 این حال باید گفت، ابوسهل به ردّ نظریه های ابن راوندی در موضوعاتی مانند قِدَم عالم</w:t>
      </w:r>
      <w:r>
        <w:rPr>
          <w:rStyle w:val="FootnoteAnchor"/>
          <w:rtl w:val="true"/>
        </w:rPr>
        <w:footnoteReference w:id="47"/>
      </w:r>
      <w:r>
        <w:rPr>
          <w:rFonts w:ascii="IRNazanin" w:hAnsi="IRNazanin" w:eastAsia="IRNazanin"/>
          <w:color w:val="111111"/>
          <w:sz w:val="28"/>
          <w:sz w:val="28"/>
          <w:szCs w:val="28"/>
          <w:rtl w:val="true"/>
          <w:lang w:bidi="fa-IR"/>
        </w:rPr>
        <w:t>و تکلیف الهی</w:t>
      </w:r>
      <w:r>
        <w:rPr>
          <w:rStyle w:val="FootnoteAnchor"/>
          <w:rtl w:val="true"/>
        </w:rPr>
        <w:footnoteReference w:id="48"/>
      </w:r>
      <w:r>
        <w:rPr>
          <w:rFonts w:ascii="IRNazanin" w:hAnsi="IRNazanin" w:eastAsia="IRNazanin"/>
          <w:color w:val="111111"/>
          <w:sz w:val="28"/>
          <w:sz w:val="28"/>
          <w:szCs w:val="28"/>
          <w:rtl w:val="true"/>
          <w:lang w:bidi="fa-IR"/>
        </w:rPr>
        <w:t>می پردازد، در حالی که ابن راوندی از این نظریه ها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تغییر آرای ابن راوندی باید به این نکته توجه شود که به طور کلی، هرچند احتمال بازگشت از اندیشه های سابق را نمی توان انکار کرد، ولی به نظر می رسد بهتر این است که گفته شود، ابن راوندی برای نشان دادن برتری علمی خود و یا برای نشان دادن برخورد سطحی دیگران در عرصه های فکری، به نقد آرای رایج می پرداخت و این نقدها نشان از اعتقاد واقعی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تقریباً نزدیک به چنین نظری را مطرح کرد که مورد اشاره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کار در بین متفکران مسلمان و غیرمسلمان در ضمن مباحث الهیاتی و دین پژوهی وجود دارد که مؤلف با نقد یک رأی و یا یک استدلال، در نهایت خودش با تقریر دیگری و یا با دلیل دیگری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غربی آن شاید در دورۀ اخیر کتاب هایی باشد که کیرکگور با نام مستعار در نقد برخی اندیشه ها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ابوسهل کتابی نیز در ردّ نظریۀ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در موضوع اجتهاد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انسان </w:t>
      </w:r>
      <w:r>
        <w:rPr>
          <w:rStyle w:val="FootnoteAnchor"/>
          <w:rtl w:val="true"/>
        </w:rPr>
        <w:footnoteReference w:id="49"/>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باید اشاره کرده که ابومحمد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النکت علی ابن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53" w:name="__RefHeading___Toc540962_1395250215"/>
      <w:bookmarkStart w:id="154" w:name="_Toc57"/>
      <w:bookmarkEnd w:id="153"/>
      <w:r>
        <w:rPr>
          <w:rtl w:val="true"/>
        </w:rPr>
        <w:t>رابطه شیخ مفید با وراق و ابن راوندی</w:t>
      </w:r>
      <w:bookmarkEnd w:id="154"/>
    </w:p>
    <w:p>
      <w:pPr>
        <w:pStyle w:val="BookText"/>
        <w:rPr/>
      </w:pPr>
      <w:r>
        <w:rPr>
          <w:rFonts w:ascii="IRNazanin" w:hAnsi="IRNazanin" w:eastAsia="IRNazanin"/>
          <w:color w:val="111111"/>
          <w:sz w:val="28"/>
          <w:sz w:val="28"/>
          <w:szCs w:val="28"/>
          <w:rtl w:val="true"/>
          <w:lang w:bidi="fa-IR"/>
        </w:rPr>
        <w:t>رابطۀ شیخ مفید با وراق و ابن راوندی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 اندکی از شیخ مفید دربارۀ وراق و ابن راوندی در میراث برجای مانده از شیخ در اختیار است که نمی توان بر اساس آن ها درک درستی از موضع شیخ مفید دربارۀ نوع نگاه وی به شخصیت و میراث علمی آنان به دست آورد؛ مثلاً دربارۀ وراق تنها در یک گزارش، مفید وی را احتمالاً جزء اصحاب امامیه دانسته و گزارشی از کتاب السقیفۀ 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معتقد</w:t>
      </w:r>
      <w:bookmarkStart w:id="155" w:name="pg2628_20838"/>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است، با وجود این کتاب، تألیف اثر دیگری در این موضوع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ابن راوندی نیز تنها در فصول المختاره در قالب گزارشی از یک معتزلی، به کتاب الامامه ابن راوندی و بحث نص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 چنین در مسائل السرویه به نقد نظریۀ ابن راوندی در باب حقیقت انسان پرداخته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این گزارش ها اجمالاً نشان می دهند که مفید نگاه منفی به شخصیت علمی این دو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به عنوان تحلیلی می توان گفت، این که شیخ مفید به اندیشۀ آنان عنایتی نداشته و با وجود اهمیتشان کمتر به آن ها اشاره می کند، معلوم است دربارۀ شخصیت علمی آنان تردید داشته است</w:t>
      </w:r>
      <w:r>
        <w:rPr>
          <w:rFonts w:eastAsia="IRNazanin" w:cs="IRNazanin"/>
          <w:color w:val="111111"/>
          <w:sz w:val="28"/>
          <w:szCs w:val="28"/>
          <w:rtl w:val="true"/>
          <w:lang w:bidi="fa-IR"/>
        </w:rPr>
        <w:t>.</w:t>
      </w:r>
    </w:p>
    <w:p>
      <w:pPr>
        <w:pStyle w:val="Heading3"/>
        <w:numPr>
          <w:ilvl w:val="2"/>
          <w:numId w:val="1"/>
        </w:numPr>
        <w:rPr/>
      </w:pPr>
      <w:bookmarkStart w:id="156" w:name="__RefHeading___Toc540964_1395250215"/>
      <w:bookmarkStart w:id="157" w:name="_Toc58"/>
      <w:bookmarkEnd w:id="156"/>
      <w:r>
        <w:rPr>
          <w:rtl w:val="true"/>
        </w:rPr>
        <w:t>رابطه سیدمرتضی، وراق و ابن راوندی</w:t>
      </w:r>
      <w:bookmarkEnd w:id="157"/>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و جایگاهی متفاوت نسبت به نوبختیان و شیخ مفید، به ابوعیسی وراق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نگاه می کند؛ نگاهی که با توجه به منابع موجود یگانه و بی همتاست، به گونه ای که سید مُهر بطلانی بر همۀ آنچه معتزلیان علیه این دو بافته اند می زند، ولی با این حال به صراحت از انتساب آنان به امامیه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جایگاه وراق و ابن راوندی در آثار و نظریات سید پرداخته خواهد شد تا بحث به شکل آشکارتری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دربارۀ وراق باید گفت که سید مرتضی در مقابل ایرادات و اتهامات قاضی عبدالجبار از وراق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قول ابوعلی جبایی، وراق را متهم می کند که پذیرش اندیشه های امامیه از سوی وی تنها به خاطر اهداف الحادی است و هدف واقعی وی ضربه زدن به دین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بر این گمان است که اگر وراق بدون پذیرش اندیشۀ اسلامی می خواست به نقد اسلام وارد شود و اظهارات کفر آمیز و الحادی بزند، کسی از او نمی پذیرفت، ولی او تشیع را لوایی برای اهداف شوم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جبایی طرف داری وراق از اندیشه های ثنوی را آشکار می داند؛ به همین خاطر است که او در خلوت در بارۀ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و دفاع از کسی ناچار شده ام که دشمن ترینِ مردم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بیشتر از همه به کشتن مردم اقدام کرد، ولی ضرورت سبب شده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خود را در زیر حمایت از او بپوشانم تا از کشته شدن نجات 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در دفاع از وراق، ثنوی بودن وی را از اتهاماتی می داند که معتزلیان به وراق زده اند و پیش از این نیز همین اتهام را ابن راوندی از روی دشمنی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اتهام هم این است که وراق در کتاب معروف خود، یعنی المقالات اندیشه و شبهات ثنویان را با اطناب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مقدار بحث مفصل از ثنویان دلالت می کند که وراق خود معتقد به اندیشۀ آنان بوده، پس برای جاحظ و دیگر کسانی که در تمحض و تهذیب اندیشه های مبطلان تأکید کرده اند نیز همین سخن را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ادامه به ردّ کتاب های مشهور به الحادِ وراق پرداخته و می گوید که دو کتاب المشرقی و النوح علی البهائم را نمی توان برای وراق اثبات کرد و بعید نیست که برخی از ثنویان این کتاب را نوشته و به وراق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چراییِ این مسئله می گوید بسیار مرسوم است که آثاری در نصرت مذهبی به شخصی نسبت داده شود که دربارۀ آن مذهب شناخت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ادامه می گوید ما این مذاهب قبیحه را برای کسی که متظاهر به آن نبوده و دربارۀ اندیشه های آنان اظهاری نداشته است نسبت نمی دهیم، حتی اگر از آن اندیشه ها و پیروان آن ها برائت هم نجسته باشد، زیرا در دین چنین چیزی وجود ندارد و حتی مانع آن نیز شده و ما هم تنها بر ظاهر مأمور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گونه ادامه می دهد که بر فرض که یک یا دو نفری که منتسب به تشیع هستند و از آن دفاع می کنند حتی اگر در باطن هم شاک ملحد باشند، آیا لازمه اش این است که همۀ آن مذهب و پیروانش را به آن اندیشه های باطنی نسبت داد، در حالی که اهل آن مذهب چنین افرادی را به خاطر اعتقاداتشان خطاکار می دانند و کسی که آن عقیده را داشته باشد کافر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شیوۀ عیب جویی و نقد مذهب شامل همۀ مذاهب می شود، زیرا در هر مذهبی افرادی هستند که اندیشه های آن مذهب را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این گزارش تفصیلی، خرده گزارش هایی دیگری نیز می توان مربوط به وراق در آثار سید مرتضی یافت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گفتنی است، توجه به این گزارش ها از این روست که در مقام بیان نوع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مواجهۀ سید با میراث وراق به طور عام هستیم؛ به این معنا که سید چه برخوردی با میراث علمی وراق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به آن ها توجه داشته است و این که تا چه مقدار آن ها را گزارش یا نقد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ابن راوندی نیز باید گفت، سخنان سید در الشافی حاوی نکاتی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برجای مانده، سید اولین عالمِ امامی مذهب است که به روشنی به دفاع از ابن راوندی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عبارتی در الشافی می توان احتمال داد که سید مرتضی ابن راوندی را جزء اصحاب امامیه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چنین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را از متکلمانی می داند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با مخالفان احتجاج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الامامۀ ابن راوندی را در اختیار داشته و حتی می توان برخی از گزارش های این کتاب را در الشافی موارد پژوهی کرد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سیدمرتضی ابن راوندی را متکلمی می داند که از شیوه های استدلالی و عقلی در تبیین آموزه های امامی استفاده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ابن راوندی را شخصیتی معرفی می کند که متکلمان، برخی از نظریه های وی را مورد اعتنا و نقد قرار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ابن راوندی را از اتهامات معتزله مبرّا میدارد و در برابر آنان از او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برابر معتزلیان، اتهام الحاد ابن راوندی را به روشنی انکار می کند </w:t>
      </w:r>
      <w:r>
        <w:rPr>
          <w:rFonts w:eastAsia="IRNazanin" w:cs="IRNazanin"/>
          <w:color w:val="111111"/>
          <w:sz w:val="28"/>
          <w:szCs w:val="28"/>
          <w:rtl w:val="true"/>
          <w:lang w:bidi="fa-IR"/>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معتقد است که نسبتِ بی جا دادن، فحش و تهمت، شیوۀ عوام نادان است که در مذمت مذاهب دیگر و بی احترامی به اهل آن مذهب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همۀ این ها را خروج از بحث می داند و به ردّ نسبت های معتزلیان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به طور خاص در بارۀ ابن راوندی چنین به مدافعه می‌پردازد که برخی از کتاب هایی که ابن راوندی نگاشته و سبب بدنامی او شده، آثاری بوده که وی در معارضه با معتزله و در مقام تحدی با آنان نگاشته است، زیرا معتزله با وی بدرفتاری و وی را به قصور فهم و معرفت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معتزله،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را بر آن داشت تا کتاب هایی در نقد آن ها بنویسد و ناتوانیِ معتزله را در نقض آن ها آشکار کند؛ در واقع، ابن راوندی با این کار معتزلیان را دربارۀ اتهاماتی که به وی زده بودند، مانند کمیِ فهم و ناآگاهی،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ابن راوندی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حالی است که وی آشکارا از این کتاب ها تبری می جست و تألیف این کتاب ها را انکار کرده و به دیگری نسبت می داد، در حالی که در خطا بودن تألیف این کتاب ها شکی نیست؛ خواه به آن ها اعتقاد داشته و خواه معتقد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ابن راوندی نوشته، مانند یا نزدیک به کتاب هایی است که جاحظ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کتاب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العثمانیة، المروانیّة، الفتیا، العباسیة، الإمامیّة و کتاب الرافضة و الزیدیّة را نگاشته و کسی که این آثار را می بیند متوجه می شود که مؤلف بر اثر اظهار نظرهای متضاد و مختلف به چه حد از شک، الحاد و کمی تفکر در دین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مدعی شود که چون جاحظ در مقام نقل اندیشه ها و احتجاجات گروه های مختلف بوده، پس معتقد به محتوای این آثار نبوده است؛ از این رو، نمی توان بر او جرمی را مترتب دانست و او را متهم به پیروی یکی از این گروه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نتیجه می گیرد که اگر این سخن درست باشد و بتوان با آن مخالفان جاحظ را قانع کرد، نظیر همین دفاع را می توان از ابن راوندی ابراز داشت؛ با این تفاوت که ابن راوندی در کتاب هایی که سبب بدنامی او شده هیچ گاه نمی گوید که من به این مذاهبی که حکایت کردهام، معتقدم و به صحت آن ها ایمان دارم، بلکه میگوید دهریه یا موحدین یا براهمه یا مؤمنان به اصل رسالت چنین و چنان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اگر بتوان گفت که جاحظ در نقل گزارش هایی مانند سبّ صحابه و ائمه و شهادت دادن به گمراهی و خروج ایشان از دین، تنها ناقل و حکایت کننده بوده و هیچ گونه اعتقادی نداشته، به همین ترتیب ابن راوندی هم مجرم نیست، زیرا می توان گفت وی هم تنها ناقل بوده و اعتقادی به محتوای کتاب های خود نداشته و تنها در مقام نقل فضائح معتزلیان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تهمت هایی که به وی نسبت داده اند،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با همۀ دفاعیاتی که از ابن راوندی می کند، با این حال وی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مسالة فی علة خذلان اهل البیت و عدم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قسمتی از این رساله سید اشکالی دربارۀ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آن را به ابن راوندی و ملاحده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متفاوت سید علیه ابن راوندی برخلاف مبنای او در الشافی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صرفاً به عنوان تحلیل می توان گفت، به نظر می رسد دفاعیات مرتضی از ابن راوندی بر اثر مجادلات وی با معتزله بوده است و سید از بی انصافی آنان در بارۀ او سخن می گوید تا آنان را مفتضح کند، نه آن که او را در عداد علمای امامیه برشمارد و بخواهد اندیشه های وی را موجه نشان دهد؛ به این معنا که سید در کتاب الشافی در مقام دفاع از امامت است و ناچاراً ابن راوندی در جبهۀ اوست و باید از وی دفاع کند</w:t>
      </w:r>
      <w:r>
        <w:rPr>
          <w:rFonts w:eastAsia="IRNazanin" w:cs="IRNazanin"/>
          <w:color w:val="111111"/>
          <w:sz w:val="28"/>
          <w:szCs w:val="28"/>
          <w:rtl w:val="true"/>
          <w:lang w:bidi="fa-IR"/>
        </w:rPr>
        <w:t>.</w:t>
      </w:r>
      <w:bookmarkStart w:id="158" w:name="pg2628_20842"/>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3"/>
        <w:numPr>
          <w:ilvl w:val="2"/>
          <w:numId w:val="1"/>
        </w:numPr>
        <w:rPr/>
      </w:pPr>
      <w:bookmarkStart w:id="159" w:name="__RefHeading___Toc540966_1395250215"/>
      <w:bookmarkStart w:id="160" w:name="_Toc59"/>
      <w:bookmarkEnd w:id="159"/>
      <w:r>
        <w:rPr>
          <w:rtl w:val="true"/>
        </w:rPr>
        <w:t>مقایسه اندیشه</w:t>
      </w:r>
      <w:r>
        <w:rPr>
          <w:rtl w:val="true"/>
        </w:rPr>
        <w:t>¬</w:t>
      </w:r>
      <w:r>
        <w:rPr>
          <w:rtl w:val="true"/>
        </w:rPr>
        <w:t>های سیدمرتضی و ابن راوندی</w:t>
      </w:r>
      <w:bookmarkEnd w:id="160"/>
    </w:p>
    <w:p>
      <w:pPr>
        <w:pStyle w:val="Heading4"/>
        <w:numPr>
          <w:ilvl w:val="3"/>
          <w:numId w:val="1"/>
        </w:numPr>
        <w:rPr/>
      </w:pPr>
      <w:bookmarkStart w:id="161" w:name="__RefHeading___Toc540968_1395250215"/>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در این قسمت برخی از اندیشه های سید مرتضی و ابن راوندی در حوزۀ توحید و عدل و هم چنین امامت مورد مقایسه قرار می گیرد تا اقبال و ادبار سید مرتضی به ابن راوندی آشکارتر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اندیشه هایی مورد بحث قرار گرفته اند که از آن ها برای ابن رواندی گزارش هایی وجود داشته است</w:t>
      </w:r>
      <w:r>
        <w:rPr>
          <w:rFonts w:eastAsia="IRNazanin" w:cs="IRNazanin"/>
          <w:color w:val="111111"/>
          <w:sz w:val="28"/>
          <w:szCs w:val="28"/>
          <w:rtl w:val="true"/>
          <w:lang w:bidi="fa-IR"/>
        </w:rPr>
        <w:t>.</w:t>
      </w:r>
    </w:p>
    <w:p>
      <w:pPr>
        <w:pStyle w:val="Heading4"/>
        <w:numPr>
          <w:ilvl w:val="3"/>
          <w:numId w:val="1"/>
        </w:numPr>
        <w:rPr/>
      </w:pPr>
      <w:bookmarkStart w:id="163" w:name="__RefHeading___Toc540970_1395250215"/>
      <w:bookmarkStart w:id="164" w:name="_Toc61"/>
      <w:bookmarkEnd w:id="163"/>
      <w:r>
        <w:rPr>
          <w:rtl w:val="true"/>
        </w:rPr>
        <w:t>علم الهی</w:t>
      </w:r>
      <w:bookmarkEnd w:id="164"/>
    </w:p>
    <w:p>
      <w:pPr>
        <w:pStyle w:val="BookText"/>
        <w:rPr/>
      </w:pPr>
      <w:r>
        <w:rPr>
          <w:rFonts w:ascii="IRNazanin" w:hAnsi="IRNazanin" w:eastAsia="IRNazanin"/>
          <w:color w:val="111111"/>
          <w:sz w:val="28"/>
          <w:sz w:val="28"/>
          <w:szCs w:val="28"/>
          <w:rtl w:val="true"/>
          <w:lang w:bidi="fa-IR"/>
        </w:rPr>
        <w:t>در علم الهی یکی از موضوعات مطرح، ازلیت علم الهی و نحوۀ علم خداوند بر اشیای غیرمخلوق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معتقد بود، اشیا زمانی شئیت پیدا می کنند که تحقق خارجی یافت کنند؛ از این رو، نمی توان نامی برای شیئی که وجود خارجی ندارد،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ابن راوندی در بحث علم الهی از سوی مخالفان منجر به نفی علم پیشینی خداوند می شد؛ با این بیان که اگر شی‌ء فقط به موجود گفته شود، باید خداوند به آنچه هنوز موجود نشده است و شی‌ء نیست،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برای حل این مسئله این گونه بحث را مطرح می کند که علم خداوند به اشیا ازلی است؛ به این معنا که خداوند به اشیا علم دارد که در آینده شیء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اساساً برای تحقق دیگر صفات الهی نیز نیازی به مابازای خارجی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کنار لازمه ای که ایجاد کرده، برای مخالفانِ ابن راوندی این دست آویز را فراهم کرده که وی را متهم کنند که علم خداوند به اشیا متوقف بر حدوث آن هاست و قائل به حدوث علم الهی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نکته ای را رهنمون می کند که احتمالاً وی نیز مانند متکلمان امامیه در کوفه، قائل به علم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 در مرحلۀ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روست که اتهام حدوث علم الهی برای وی مطرح شده است، زیرا اشعری در باب اختلاف روافض در بحث اسما و صفات از گروهی نام می برد که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از ازل خداوند را به قادر، سمیع و بصیر بودن توصیف کرد تا این که خدا اشیایی را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گفتند که اساساً جایز نیست که قدرت و علم بر چیزی که وجود خارجی ندارد،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نظریه در مرحلۀ فعل، و نه در مرحلۀ ذات، صفات را این گونه باور داشتند؛ بر همین اساس است که اشعری در ادامه برای ادعای خود از باب بداء شاهدی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متکلمان امامیه برای خداوند دو نوع علم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و علم فعلی؛ و این برخلاف نظر سید مرتضی بود که تنها برای خداوند یک نوع علم، آن هم علمِ ازلی ای که جزء صفات ذات بود،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165" w:name="pg2628_20843"/>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معتقد بود علم، صفت ذات خداست و صفات، زاید بر ذات نیستند و عین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هم چنین به نقد نظریۀ ابن راوندی و امامیان نخستین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166" w:name="__RefHeading___Toc540972_1395250215"/>
      <w:bookmarkStart w:id="167" w:name="_Toc62"/>
      <w:bookmarkEnd w:id="166"/>
      <w:r>
        <w:rPr>
          <w:rtl w:val="true"/>
        </w:rPr>
        <w:t>بداء</w:t>
      </w:r>
      <w:bookmarkEnd w:id="167"/>
    </w:p>
    <w:p>
      <w:pPr>
        <w:pStyle w:val="BookText"/>
        <w:rPr/>
      </w:pPr>
      <w:r>
        <w:rPr>
          <w:rFonts w:ascii="IRNazanin" w:hAnsi="IRNazanin" w:eastAsia="IRNazanin"/>
          <w:color w:val="111111"/>
          <w:sz w:val="28"/>
          <w:sz w:val="28"/>
          <w:szCs w:val="28"/>
          <w:rtl w:val="true"/>
          <w:lang w:bidi="fa-IR"/>
        </w:rPr>
        <w:t>یکی از مباحثی که ذیل بحث علم الهی مطرح می شود بحث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و سیدمرتضی هر دو بداء را به معنای نسخ گزارش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ابن راوندی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سید مرتضی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متفاوت دیگری از بداء می‌توان برای ابن راوندی یافت که با این نظر سید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در مناظرۀ خود با جاحظ 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تغییرناپذیر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فاعلی که برای او اندیشه‌های تازه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له البدوات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برای او ناممکن نیست، تواناتر و قابل توجه‌تر از فاعلی است که نمی‌تواند چیزی بر فعل خود بیفزاید یا از آن بکاهد، و نمی‌تواند به پیش برود یا به پس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ابن راوندی با نظر پیشین، که بداء را همان نسخ ترجمه کرده، بسیار متفاوت است و کاملاً در نقطۀ مقابل سید مرتضی قرار می گیرد</w:t>
      </w:r>
      <w:r>
        <w:rPr>
          <w:rFonts w:eastAsia="IRNazanin" w:cs="IRNazanin"/>
          <w:color w:val="111111"/>
          <w:sz w:val="28"/>
          <w:szCs w:val="28"/>
          <w:rtl w:val="true"/>
          <w:lang w:bidi="fa-IR"/>
        </w:rPr>
        <w:t>.</w:t>
      </w:r>
    </w:p>
    <w:p>
      <w:pPr>
        <w:pStyle w:val="Heading4"/>
        <w:numPr>
          <w:ilvl w:val="3"/>
          <w:numId w:val="1"/>
        </w:numPr>
        <w:rPr/>
      </w:pPr>
      <w:bookmarkStart w:id="168" w:name="__RefHeading___Toc540974_1395250215"/>
      <w:bookmarkStart w:id="169" w:name="_Toc63"/>
      <w:bookmarkEnd w:id="168"/>
      <w:r>
        <w:rPr>
          <w:rtl w:val="true"/>
        </w:rPr>
        <w:t>کلام الهی</w:t>
      </w:r>
      <w:bookmarkEnd w:id="169"/>
    </w:p>
    <w:p>
      <w:pPr>
        <w:pStyle w:val="BookText"/>
        <w:rPr/>
      </w:pPr>
      <w:r>
        <w:rPr>
          <w:rFonts w:ascii="IRNazanin" w:hAnsi="IRNazanin" w:eastAsia="IRNazanin"/>
          <w:color w:val="111111"/>
          <w:sz w:val="28"/>
          <w:sz w:val="28"/>
          <w:szCs w:val="28"/>
          <w:rtl w:val="true"/>
          <w:lang w:bidi="fa-IR"/>
        </w:rPr>
        <w:t xml:space="preserve">ابن راوندی در مسئله ماهیت کلام خدا، الفاظ و عبارات قرآن کریم را حادث می‌داند، ولی اصل کلام اللّه را معنای قائم به ذات خدا و قدیم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سید مرتضی برخلاف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بر این باور است که فاعل کلام، همان متکلم است؛ یعنی همان کسی که حروف و اصوات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کلامش از همین حروف و اصوات است؛ با این تفاوت که حروف و اصوات قائم به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متکلم بودن خداوند به معنای ایجاد حروف و اصوات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70" w:name="__RefHeading___Toc540976_1395250215"/>
      <w:bookmarkStart w:id="171" w:name="_Toc64"/>
      <w:bookmarkEnd w:id="170"/>
      <w:r>
        <w:rPr>
          <w:rtl w:val="true"/>
        </w:rPr>
        <w:t>ایمان و کفر</w:t>
      </w:r>
      <w:bookmarkEnd w:id="1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ایمان و کفر ابن راوندی و سید مرتضی هردو در چارچوب لغت شناسی بحث را پیش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و ایمان را تصدیق قلبی می دانستند که مؤمن باید دربارۀ اندیشه هایی باور قلبی داشته باشد و انکار این باورها را کفر تلقی می کردند</w:t>
      </w:r>
      <w:r>
        <w:rPr>
          <w:rStyle w:val="FootnoteAnchor"/>
          <w:rtl w:val="true"/>
        </w:rPr>
        <w:footnoteReference w:id="55"/>
      </w:r>
      <w:r>
        <w:rPr>
          <w:rFonts w:ascii="IRNazanin" w:hAnsi="IRNazanin" w:eastAsia="IRNazanin"/>
          <w:color w:val="111111"/>
          <w:sz w:val="28"/>
          <w:sz w:val="28"/>
          <w:szCs w:val="28"/>
          <w:rtl w:val="true"/>
          <w:lang w:bidi="fa-IR"/>
        </w:rPr>
        <w:t>البته در نتیجۀ عملی بحث، تفاوتی وجود دارد و آن این که طبق نظر ابن راوندی و سید در جایی که انکار صریح نباشد، کفر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راوندی بر همین اساس می گفت سجده بر خورشید کفر نیست، ولی نشانۀ کفر</w:t>
      </w:r>
      <w:bookmarkStart w:id="172" w:name="pg2628_20844"/>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شهرستانی،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سید مرتضی در این فرض می گفت سجده کنندۀ خورشید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4"/>
        <w:numPr>
          <w:ilvl w:val="3"/>
          <w:numId w:val="1"/>
        </w:numPr>
        <w:rPr/>
      </w:pPr>
      <w:bookmarkStart w:id="173" w:name="__RefHeading___Toc540978_1395250215"/>
      <w:bookmarkStart w:id="174" w:name="_Toc65"/>
      <w:bookmarkEnd w:id="173"/>
      <w:r>
        <w:rPr>
          <w:rtl w:val="true"/>
        </w:rPr>
        <w:t>قدرت</w:t>
      </w:r>
      <w:bookmarkEnd w:id="174"/>
    </w:p>
    <w:p>
      <w:pPr>
        <w:pStyle w:val="BookText"/>
        <w:rPr/>
      </w:pPr>
      <w:r>
        <w:rPr>
          <w:rFonts w:ascii="IRNazanin" w:hAnsi="IRNazanin" w:eastAsia="IRNazanin"/>
          <w:color w:val="111111"/>
          <w:sz w:val="28"/>
          <w:sz w:val="28"/>
          <w:szCs w:val="28"/>
          <w:rtl w:val="true"/>
          <w:lang w:bidi="fa-IR"/>
        </w:rPr>
        <w:t>در بحث رابطۀ قدرت و مقدور،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معتزلیان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استطاعت قبل الفعل می باشد و آن، قدرت بر انجام دادن فعل و ضد آن است که برای فعل الزامی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پذیرفته اند که خداوند هیچ گاه بنده ای را بر فعلی که توانایی ندارد، مکلف نمی کند؛ در مقابل، ابن راوندی معتقد به استطاعت مع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معیت قدرت با انجام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بحثی دیگر مطرح می شود که آیا شخص توانایی بر انجام ضد مقدور را دارد یا خیر؟ سید مرتضی و معتزلیان چون قدرت را مقدم بر مقدور می دانستند، برای پاسخ مثبت دادن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گفتند قدرتی که حادث شده این توانایی را دارد که به مقدور متضاد و یا غیرمتضاد نیز تعلق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ابن راوندی در این بحث نظریۀ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کسانی که در نگاه معتزلیان جبری بودند، می گفت قدرت مقارن با مقدور صورت می پذیرد، ولی در برابر آنان و برای فرار از لوازم منفی نظریۀشان معتقد بود، قدرتی که حادث شده به متضاد بر سبیل بدل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دیگر دربارۀ قدرت و مقدور این بود که چه کسی مقدور را خلق می کند؟ ابن راوندی در بحث خلق افعال ارادی معتقد بود، خداوند افعال اختیاری انسان را خلق می کند، ولی این انسان است که آن ها را کسب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سید مرتضی مانند معتزله برای انسان قائل به اختیار و استناد افعال به خود بندگان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139</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75" w:name="__RefHeading___Toc540980_1395250215"/>
      <w:bookmarkStart w:id="176" w:name="_Toc66"/>
      <w:bookmarkEnd w:id="175"/>
      <w:r>
        <w:rPr>
          <w:rtl w:val="true"/>
        </w:rPr>
        <w:t>حقیقت انسان</w:t>
      </w:r>
      <w:bookmarkEnd w:id="1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تطبیقی نظر ابن راوندی و سید مرتضی در بحث حقیقت انسان نشان می دهد که اگرچه هر دوی آن ها به مادی گرایان حقیقت انسان گرایش دارند، ولی تفاوت هایی در لایه های مختلف نظریۀ آنان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اکثر معتزلیان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هیکل مشاهَد بود، ولی ابن راوندی حقیقت انسان را جزئی می داند که در قلب انسان است و آن روح نیست؛ روح در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بدن بی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واقع، ابن راوندی حقیقت انسانِ مختارِ مأموربه و منهی عنه را شیء واحدی می داند که در قلب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روست که سید مرتضی نیز خود در طرابلسیات اولی به نقد این نظریۀ ابن راوندی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 که، سید مرتضی بر نظریۀ خود این گونه استدلال می کند که ادراک انسان با اجزای همین مجموعه‌ای که ما از انسان مشاهده می‌کنیم، حاصل می‌شود و تألم و تلذذ تابع ادراکند؛ در نتیجه، چون ادراک با اجزای همین مجموعه امکان‌پذیر است می‌توان دریافت که حی فعال همین مجموعه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ابن راوندی معتقد بود در بدن ارواح زنده ای وجود دارد که احساسات و تألمات بدن به سبب آن ها صورت می گیرد و همۀ قسمت های بدن دارای روح است؛ ولی تفاوتش با سید در این بود که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روحِ قلب را متفاوت از اعضای دیگر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همۀ بدن در تسخیر روح قلب قرار دارد و بدن هیچ اقدام یا امساکی نمی کند مگر بعد از اقدام یا امساک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ابن راوندی، برخلاف نظر سید مرتضی، ارواح بدن را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نگاه سید همان امری که در جسم مدرک تألم و تلذذ است، همان چیزی است که ابن راوندی نام روح بر آن می گذارد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بحث ماهیت این روح مادی نیز میان سید و ابن راوندی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مانند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جسم می دانست و نه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مقابل، ابن راوندی روح را عَرَض می دانسته و انسان را مجموعه ای از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بی 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روح، جسم لطیفی است که سراسر بدن را پوشش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بی 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دربارۀ روح این که، آیا مرده پس از جدا شدن روح از بدن چیزی را احساس می‌کند یا نه؟ در این مسئله هم سیدمرتضی مانند معتزلیان معتقد بود، مردگان تا روز قیامت هیچ چیزی را احساس نمی کنند و اساساً احساس از آنِ موجود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ابن راوندی معتقد بود، وقتی انسان از دنیا می رود بدن است که احساس می کند و روح چون جزء اعراض است،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بی تا،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bookmarkStart w:id="177" w:name="pg2628_20846"/>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4"/>
        <w:numPr>
          <w:ilvl w:val="3"/>
          <w:numId w:val="1"/>
        </w:numPr>
        <w:rPr/>
      </w:pPr>
      <w:bookmarkStart w:id="178" w:name="__RefHeading___Toc540982_1395250215"/>
      <w:bookmarkStart w:id="179" w:name="_Toc67"/>
      <w:bookmarkEnd w:id="178"/>
      <w:r>
        <w:rPr>
          <w:rtl w:val="true"/>
        </w:rPr>
        <w:t>ثواب و عقاب</w:t>
      </w:r>
      <w:bookmarkEnd w:id="179"/>
    </w:p>
    <w:p>
      <w:pPr>
        <w:pStyle w:val="BookText"/>
        <w:rPr/>
      </w:pPr>
      <w:r>
        <w:rPr>
          <w:rFonts w:ascii="IRNazanin" w:hAnsi="IRNazanin" w:eastAsia="IRNazanin"/>
          <w:color w:val="111111"/>
          <w:sz w:val="28"/>
          <w:sz w:val="28"/>
          <w:szCs w:val="28"/>
          <w:rtl w:val="true"/>
          <w:lang w:bidi="fa-IR"/>
        </w:rPr>
        <w:t>در بحث استحقاق ثواب و عقاب در این که خاستگاه معرفتی این استحقاق عقل است یا شرع و یا ترکیبی از هردو،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این موضوع، نظری نزدیک به ابن راوندی و در مقابلِ معتزلیان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راوندی تنها راه کشف این استحقاق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شرفی،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همین نظر را دارد و معتقد است، عقل تنها تجویز استحقاق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وی، در اثبات استحقاق عقاب باید بر سمع و اجماع تکیه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معتزلیان می گفتند تنها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فهمیده می شود و شرع آن را تأکید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حمصی رازی،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80" w:name="__RefHeading___Toc540984_1395250215"/>
      <w:bookmarkStart w:id="181" w:name="_Toc68"/>
      <w:bookmarkEnd w:id="180"/>
      <w:r>
        <w:rPr>
          <w:rtl w:val="true"/>
        </w:rPr>
        <w:t>امامت</w:t>
      </w:r>
      <w:bookmarkEnd w:id="181"/>
    </w:p>
    <w:p>
      <w:pPr>
        <w:pStyle w:val="BookText"/>
        <w:rPr/>
      </w:pPr>
      <w:r>
        <w:rPr>
          <w:rFonts w:ascii="IRNazanin" w:hAnsi="IRNazanin" w:eastAsia="IRNazanin"/>
          <w:color w:val="111111"/>
          <w:sz w:val="28"/>
          <w:sz w:val="28"/>
          <w:szCs w:val="28"/>
          <w:rtl w:val="true"/>
          <w:lang w:bidi="fa-IR"/>
        </w:rPr>
        <w:t>بررسی گزارش های موجود در آثار سید نشان می دهد، در این بحث بیشترین توجه را به ابن راوندی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دفاع از ابن راوندی در برابر اتهامات مخالفان، به نقد حاشیه ای پاره‌ای از آرای ابن راوندی در موضوع امامت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بحث نص می گوید، مخالفان امامیه مدعی شده اند که اولین کسی که مدعی نص جلی شد، ابن راوندی بود، در حالی که این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نقد آن می پردازد و می گوید فرض هم ابن راوندی این را برای اولین بار مطرح کرده باشد، وی جلی بودن نصوص امامت را از خود این نصوص با دقت و نظر برداشت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در بحث نص و تلازم آن با بحث عصمت، از قول برخی از امامیه گزارش می دهد اینان برای اثبات نص و عصمت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کرده اند؛ به این گونه که خداوند اطاعت از رسول و اولی الامر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اطاعت منصوص و معصوم بودن است، به گونه ای که خطا برای آن ها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 گوید که کسی از اصحاب امامیه را نمی شناسد که برای اثبات نص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اعتماد کرده باشد و تنها ابن راوندی در کتاب الامامه این گونه استدلال کرده و به نقد نظر ابن راوندی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جایی دیگر در الشافی به نقد نظریۀ دیگری از ابن راوندی در بحث مقتدا بودن امام نیز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باید اشاره کرد که قاضی به روایات ضرب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معتقد است، کسانی مانند ابن راوندی و وراق که غرضشان الحاد است، این گزارش ها را با هدف</w:t>
      </w:r>
      <w:bookmarkStart w:id="182" w:name="pg2628_20847"/>
    </w:p>
    <w:p>
      <w:pPr>
        <w:pStyle w:val="BookText"/>
        <w:rPr/>
      </w:pPr>
      <w:bookmarkEnd w:id="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قدح در اسلام، بدون این که توجیه و تأویل کنند،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طی چند صفحه به ردّ این ادعای قاضی می پردازد و بحث ضرب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منابع تاریخی اهل سنت و ادله ای دیگر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183" w:name="__RefHeading___Toc540986_1395250215"/>
      <w:bookmarkStart w:id="184" w:name="_Toc69"/>
      <w:bookmarkEnd w:id="183"/>
      <w:r>
        <w:rPr>
          <w:rtl w:val="true"/>
        </w:rPr>
        <w:t>نتیجه</w:t>
      </w:r>
      <w:bookmarkEnd w:id="184"/>
    </w:p>
    <w:p>
      <w:pPr>
        <w:pStyle w:val="BookText"/>
        <w:rPr/>
      </w:pPr>
      <w:r>
        <w:rPr>
          <w:rFonts w:ascii="IRNazanin" w:hAnsi="IRNazanin" w:eastAsia="IRNazanin"/>
          <w:color w:val="111111"/>
          <w:sz w:val="28"/>
          <w:sz w:val="28"/>
          <w:szCs w:val="28"/>
          <w:rtl w:val="true"/>
          <w:lang w:bidi="fa-IR"/>
        </w:rPr>
        <w:t>رویکرد مدرسۀ کلام امامیه در بغداد به معتزلیانِ شیعه شده و دو شخصیت شاخص آن ها، یعنی وراق و ابن راوندی میان همۀ آن ها یک 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نوبختیان افزون بر تشابهات نظری در بحث امامت، نقد هایی هم بر برخی از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منسوب به وراق و ابن راوندی دارند، ولی دربارۀ نوع نگاه شخصیت آن ها به وراق و ابن راوندی نمی توان گزارش صریحی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مفید هم آن قدر گویا نیست تا بتوان چهره ای از وراق و ابن راوندی را به روشنی ترسیم کنند، ولی همین چند گزارش اندک نکتۀ سیاهی را، چه دربارۀ شخصیت و چه دربارۀ اندیشه ها، روایت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سید مرتضی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نظر شخصیتی با وراق و ابن راوندی با نرمی برخورد می کند و اتهاماتی را که در طول چند قرن از سوی معتزلیان مطرح می شده است، انکار می کند و آن را ساخته و پرداختۀ مخالفان معتزلیِ وراق و ابن راوندی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دربارۀ شخصیت این دو نیز موضعی محتاطانه دارد و از انتساب صریح آنان به امامیه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اندیشه های غیرامامتی سید مرتضی و ابن راوندی نشان داد، در نظریاتی که سید مرتضی به معتزله نزدیک شده است، از ابن راوندی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شاخصه را معیاری برای دیگر نظریات سید و ابن راوندی مورد ملاحظه قرار داد؛ البته سید بر اندیشه های امامتی نیز حاشیه هایی زده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گفت، در کنار تلاش های محتاطانه ای که از سوی سید مرتضی برای تطهیر چهرۀ وراق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از اتهامات معتزله انجام شده، اندیشه های اینان تنها در حوزۀ امامت مورد خوش آیند متکلمان مدرسۀ بغداد واقع شده و این هم سویی نمی تواند شاهدی بر هم آوایی در حوزۀ توحید و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نظر می رسد، مواضع دفاعی بغدادیان از شخصیت وراق و ابن راوندی اعتقادی نیست و بیشتر در مقام توجیه گری هستند؛ به این معنا که وراق و ابن راوندی از نظر اندیشه ای متأثر و وابسته به مدرسۀ کوفه هستند و از سوی دیگر، مدرسۀ بغداد در دو حوزۀ توحید و عدل رویکرد تقابلی به مدرسۀ کوفه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نمی توان میان اندیشه های معتزلیانِ شیعه شده و متکلمان امامیه در بغداد پیوندی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دورۀ سید مرتضی کلام شیعه دارای هویتی شده است که دیگر نمی توان</w:t>
      </w:r>
      <w:bookmarkStart w:id="185" w:name="pg2628_20848"/>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آن را با اتهامات گذشته محکوم کرد و به حاشیه برد؛ از این روست که سید مرتضی سعی در رفع اتهامات فکری می کند و تلاش دارد تا شخصیت های امامی را به نحوی از اتهامات بریء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توجیه گرانۀ سید مرتضی احتمالاً با هدف تعامل با جامعۀ مخالفان و از بین بردن تقابل ها پی 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واکنش های سید مرتضی به نقش معتزلیانِ شیعه شده در تاریخ کلام امامیه را باید در پرتو موقعیت علمی سید، جایگاه کلام امامیه در بغداد و نوع رابطه و نگاه کلام امامیه با معتزله جست وجو کرد</w:t>
      </w:r>
      <w:r>
        <w:rPr>
          <w:rFonts w:eastAsia="IRNazanin" w:cs="IRNazanin"/>
          <w:color w:val="111111"/>
          <w:sz w:val="28"/>
          <w:szCs w:val="28"/>
          <w:rtl w:val="true"/>
          <w:lang w:bidi="fa-IR"/>
        </w:rPr>
        <w:t>.</w:t>
      </w:r>
    </w:p>
    <w:p>
      <w:pPr>
        <w:pStyle w:val="Heading3"/>
        <w:numPr>
          <w:ilvl w:val="2"/>
          <w:numId w:val="1"/>
        </w:numPr>
        <w:rPr/>
      </w:pPr>
      <w:bookmarkStart w:id="186" w:name="__RefHeading___Toc540988_1395250215"/>
      <w:bookmarkStart w:id="187" w:name="_Toc70"/>
      <w:bookmarkEnd w:id="186"/>
      <w:r>
        <w:rPr>
          <w:rtl w:val="true"/>
        </w:rPr>
        <w:t>منابع</w:t>
      </w:r>
      <w:bookmarkEnd w:id="187"/>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تحقیق احمد محمد مهدی، قاهره،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الفهرست،رضا تجدد، تهران،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ابو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التبصیر فی الدین، تحقیق محمد زاهد کوثری، قاهره، المکتبة الأزهریة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تحقیق هلموت ریتر، بیروت، دارالنشر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 القاهر،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 الآفاق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أصول الإیمان، تحقیق ابراهیم محمد رمضان، بیروت،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توحیدی، ابوحیان،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الامتاع و المؤانسة، بیروت، مکتبه عنصریه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رازی، سیدمرتضی بن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العوام،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سدید الدین محمود،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خیاط،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الانتصار، قاهره، مکتبه الثقافة الدینیه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ابوالقاسم علی بن حسین،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مرتضی، سیداحمد حسینی،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تهران، مؤسسة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سیداحمد حسینی،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الملخص فی أصول الدین،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 العلم و العمل، نجف،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الطرابلسیات الاولی، مرکز احیاء التراث الاسلامی، شماره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1690/3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 عبدالکریم،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 احمد فهمی محمد، قاهره، مطبع حجازی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شرفی،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الأکیاس فی شرح معانی الأساس، صنعاء، دار الحکمة الیمانیة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الیقین فی أصول الدین، تهران، دار الأسوة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اللوامع الإلهیة، تحقیق قاضی طباطبائی،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احمدبن خلیل،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تحقیق جرج قنواتی و دیگران، قاهره، دار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دلائل النبوة، بیروت، دار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تحقیق محمد باقر بهبودی،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السرویة،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شیخ إبراهیم أنصاری، بیروت، دار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تحقیق گروهی،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الافصاح فی الامامة، مؤسسة البعثة، بیروت،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فی معنی المولی، بیروت،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البدء و التاریخ، بی جا، مکتبة الثقافة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 احمد آرام، تهران، انتشارات 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الرجال نجاشی، تحقیق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نسفی، ابومعین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تبصرة الادلة،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 سلامه، دمشق، المعهد العلمی الفرنسی</w:t>
      </w:r>
      <w:r>
        <w:rPr>
          <w:rFonts w:eastAsia="IRNazanin" w:cs="IRNazanin"/>
          <w:color w:val="111111"/>
          <w:sz w:val="28"/>
          <w:szCs w:val="28"/>
          <w:rtl w:val="true"/>
          <w:lang w:bidi="fa-IR"/>
        </w:rPr>
        <w:t>.</w:t>
      </w:r>
      <w:bookmarkStart w:id="188" w:name="pg2628_20850"/>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2"/>
        <w:numPr>
          <w:ilvl w:val="1"/>
          <w:numId w:val="1"/>
        </w:numPr>
        <w:rPr/>
      </w:pPr>
      <w:bookmarkStart w:id="189" w:name="__RefHeading___Toc540990_1395250215"/>
      <w:bookmarkStart w:id="190" w:name="_Toc71"/>
      <w:bookmarkEnd w:id="189"/>
      <w:r>
        <w:rPr>
          <w:rtl w:val="true"/>
        </w:rPr>
        <w:t>مقایسه اندیشه های کلامی نوبختیان و شیخ مفید در بستر میراث کلامی امامیه و معتزله</w:t>
      </w:r>
      <w:bookmarkEnd w:id="190"/>
    </w:p>
    <w:p>
      <w:pPr>
        <w:pStyle w:val="Heading3"/>
        <w:numPr>
          <w:ilvl w:val="2"/>
          <w:numId w:val="1"/>
        </w:numPr>
        <w:rPr/>
      </w:pPr>
      <w:bookmarkStart w:id="191" w:name="__RefHeading___Toc540992_1395250215"/>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سیدعلی حسینی زاده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1392/05/11</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1392/0623</w:t>
      </w:r>
    </w:p>
    <w:p>
      <w:pPr>
        <w:pStyle w:val="Heading3"/>
        <w:numPr>
          <w:ilvl w:val="2"/>
          <w:numId w:val="1"/>
        </w:numPr>
        <w:rPr/>
      </w:pPr>
      <w:bookmarkStart w:id="193" w:name="__RefHeading___Toc540994_1395250215"/>
      <w:bookmarkStart w:id="194" w:name="_Toc73"/>
      <w:bookmarkEnd w:id="193"/>
      <w:r>
        <w:rPr>
          <w:rtl w:val="true"/>
        </w:rPr>
        <w:t>چکیده</w:t>
      </w:r>
      <w:bookmarkEnd w:id="194"/>
    </w:p>
    <w:p>
      <w:pPr>
        <w:pStyle w:val="BookText"/>
        <w:rPr/>
      </w:pPr>
      <w:r>
        <w:rPr>
          <w:rFonts w:ascii="IRNazanin" w:hAnsi="IRNazanin" w:eastAsia="IRNazanin"/>
          <w:color w:val="111111"/>
          <w:sz w:val="28"/>
          <w:sz w:val="28"/>
          <w:szCs w:val="28"/>
          <w:rtl w:val="true"/>
          <w:lang w:bidi="fa-IR"/>
        </w:rPr>
        <w:t>مقایسۀ اندیشه‌های کلامی نوبختیان و شیخ مفید در بستر میراث کلامی امامیه و معتزله، علاوه بر تبیین نقاط اختلاف آرای نوبختیان و شیخ مفید، نقش هر‌یک از آنان در این تطور اندیشه‌ای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نشان می د‌هد، نمی‌توان میزان هم‌نوایی و نزدیکی نوبختیان با معتزله را بیش از قرابت اندیشه‌های شیخ مفید با معتزلیان دانست، بلکه هر یک از آنان در موضوعات مختلف کلامی به فراخور مبانی و پیش‌فرض‌های کلامی خود دیدگاهی را ارائه کرده‌اند که گاه با معتزله و گاه با متکلمان امامی کوفه هم 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که در آرایی مانند برخی فروعات وعده و وعید نوبختیان هم‌رأی معتزله اند، شیخ مفید در مباحثی مانند معرفت و استطاعت، آرایی نزدیک به اندیشۀ معتزله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بنا بر این تحقیق، اگر‌چه در برخی اندیشه‌ها نوعی هم‌رأیی بین نوبختیان و شیخ مفید با معتزلیان مشاهده می‌شود، اما ریشۀ این اندیشه‌ها در آرای منقول از متکلمان امامی در مدرسۀ کوفه یافت می‌شود؛ از این رو، این هم‌رأیی با معتزله الزاماً به معنای تأثیر‌پذیری و وام‌گیری از معتزله و جدایی از پیشینۀ کلام امامیه نیست</w:t>
      </w:r>
      <w:r>
        <w:rPr>
          <w:rFonts w:eastAsia="IRNazanin" w:cs="IRNazanin"/>
          <w:color w:val="111111"/>
          <w:sz w:val="28"/>
          <w:szCs w:val="28"/>
          <w:rtl w:val="true"/>
          <w:lang w:bidi="fa-IR"/>
        </w:rPr>
        <w:t>.</w:t>
      </w:r>
    </w:p>
    <w:p>
      <w:pPr>
        <w:pStyle w:val="Heading3"/>
        <w:numPr>
          <w:ilvl w:val="2"/>
          <w:numId w:val="1"/>
        </w:numPr>
        <w:rPr/>
      </w:pPr>
      <w:bookmarkStart w:id="195" w:name="__RefHeading___Toc540996_1395250215"/>
      <w:bookmarkStart w:id="196" w:name="_Toc74"/>
      <w:bookmarkEnd w:id="195"/>
      <w:r>
        <w:rPr>
          <w:rtl w:val="true"/>
        </w:rPr>
        <w:t>واژگان کلیدی</w:t>
      </w:r>
      <w:bookmarkEnd w:id="19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نوبختیان، ابو‌سهل، حسن بن‌موسی، شیخ مفید، معتزله، امامیه</w:t>
      </w:r>
      <w:r>
        <w:rPr>
          <w:rFonts w:eastAsia="IRNazanin" w:cs="IRNazanin"/>
          <w:color w:val="111111"/>
          <w:sz w:val="28"/>
          <w:szCs w:val="28"/>
          <w:rtl w:val="true"/>
          <w:lang w:bidi="fa-IR"/>
        </w:rPr>
        <w:t>.</w:t>
      </w:r>
      <w:bookmarkStart w:id="197" w:name="pg2628_20851"/>
    </w:p>
    <w:p>
      <w:pPr>
        <w:pStyle w:val="Heading3"/>
        <w:numPr>
          <w:ilvl w:val="2"/>
          <w:numId w:val="1"/>
        </w:numPr>
        <w:rPr/>
      </w:pPr>
      <w:bookmarkStart w:id="198" w:name="__RefHeading___Toc540998_1395250215"/>
      <w:bookmarkStart w:id="199" w:name="_Toc75"/>
      <w:bookmarkEnd w:id="197"/>
      <w:bookmarkEnd w:id="198"/>
      <w:r>
        <w:rPr>
          <w:rtl w:val="true"/>
        </w:rPr>
        <w:t>درآمد</w:t>
      </w:r>
      <w:bookmarkEnd w:id="199"/>
    </w:p>
    <w:p>
      <w:pPr>
        <w:pStyle w:val="BookText"/>
        <w:rPr/>
      </w:pPr>
      <w:r>
        <w:rPr>
          <w:rFonts w:ascii="IRNazanin" w:hAnsi="IRNazanin" w:eastAsia="IRNazanin"/>
          <w:color w:val="111111"/>
          <w:sz w:val="28"/>
          <w:sz w:val="28"/>
          <w:szCs w:val="28"/>
          <w:rtl w:val="true"/>
          <w:lang w:bidi="fa-IR"/>
        </w:rPr>
        <w:t xml:space="preserve">ابو‌سهل اسماعیل بن‌علی و خواهر‌زاده‌اش ابو‌محمد حسن بن‌موسی نوبختی از بنام‌ترین متکلمان امامیه، از میانۀ قرن سوم تا دهۀ اول قرن چهارم در بغداد به تدوین اندیشه‌ها و آثار کلامی در حوزۀ امامیه پرداخته و آثار فراوانی تألیف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طوسی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نیز با یک نسل فاصله در همان محیط بغداد آرای کلامی خود را بر اساس آموزه های کلام امامیه تبیین و عرضه کرد و با تربیت شاگردان فراوان و تألیفات پر‌شمار مدرسۀ کلامی خود را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نوبختیان و شیخ مفید با نحله‌های مختلف کلام امامیه، مخصوصاً مدرسۀ کلامی امامیه در کوفه و هردو مدرسۀ بصری و بغدادی معتزله و دیگر مکاتب کلامی آسلام آشنا بوده‌اند و به اندیشه‌های اهل‌حدیث و فلاسفه و ادیان مختلف و اندیشمندانشان شناخت داشته‌اند</w:t>
      </w:r>
      <w:r>
        <w:rPr>
          <w:rStyle w:val="FootnoteAnchor"/>
          <w:rtl w:val="true"/>
        </w:rPr>
        <w:footnoteReference w:id="59"/>
      </w:r>
      <w:r>
        <w:rPr>
          <w:rFonts w:ascii="IRNazanin" w:hAnsi="IRNazanin" w:eastAsia="IRNazanin"/>
          <w:color w:val="111111"/>
          <w:sz w:val="28"/>
          <w:sz w:val="28"/>
          <w:szCs w:val="28"/>
          <w:rtl w:val="true"/>
          <w:lang w:bidi="fa-IR"/>
        </w:rPr>
        <w:t>از این رو می‌توان گفت، این متکلمان امامی ناظر به همۀ اندیشه‌های کلامی مطرح در دوران خود منظومۀ فکری خود را تدوین کرده‌اند و هر‌گونه تفاوتی در روش و محتوای اندیشۀ شیخ مفید و نوبختیان در تاریخ کلام امامیه اهمیت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شیخ مفید آثار کلامی بنو‌نوبخت را مطالعه و تدریس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دانش‌آموختگان مدرسۀ کلامی نوبختیان علم کلام را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نگاه ابتدایی تفاوت‌هایی بنیادین در اندیشۀ شیخ مفید و نوبختیان در موضوعات مختلف جلیل‌الکلام و لطیف‌الکلام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اهداف وی از تألیف کتاب اوئل المقالات، بیان تفاوت دیدگاه‌های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با متکلمان نوبختی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کتاب در می‌یابیم، گاه اندیشۀ شیخ مفید هم سان با رأی معتزله و گاه اندیشۀ نوبختیان در راستای تفکر معتزلی است</w:t>
      </w:r>
      <w:r>
        <w:rPr>
          <w:rFonts w:eastAsia="IRNazanin" w:cs="IRNazanin"/>
          <w:color w:val="111111"/>
          <w:sz w:val="28"/>
          <w:szCs w:val="28"/>
          <w:rtl w:val="true"/>
          <w:lang w:bidi="fa-IR"/>
        </w:rPr>
        <w:t>.</w:t>
      </w:r>
      <w:bookmarkStart w:id="200" w:name="pg2628_20852"/>
    </w:p>
    <w:p>
      <w:pPr>
        <w:pStyle w:val="BookText"/>
        <w:rPr/>
      </w:pPr>
      <w:bookmarkEnd w:id="200"/>
      <w:r>
        <w:rPr>
          <w:rFonts w:ascii="IRNazanin" w:hAnsi="IRNazanin" w:eastAsia="IRNazanin"/>
          <w:color w:val="111111"/>
          <w:sz w:val="28"/>
          <w:sz w:val="28"/>
          <w:szCs w:val="28"/>
          <w:rtl w:val="true"/>
          <w:lang w:bidi="fa-IR"/>
        </w:rPr>
        <w:t>هرچند شیخ مفید معتقد است، اندیشه‌های کلامی خود را بر اساس نصوص وارده از جانب معصومان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تدوین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نمی‌توان ثابت کرد که در موارد اختلافی با نوبختیان، بنو‌نوبخت در مسیر اخبار و روایات ائمه نبوده‌اند، زیرا اختلاف روایات و برداشت از آن ها گاه می‌تواند محمل دو اندیشۀ کلامی متفاوت باشد که صاحبان آن هردو ادعای هم سویی با نصوص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آشکار این مدعا، اختلافات روشی و محتوایی شیخ مفید و شیخ صدوق است که هر دو تصریح به هم‌نوایی با روایات امامان شیعه دارند که منتهی به تألیف کتاب تصحیح الاعتقاد از سوی شیخ مفید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مبنای انتساب متکلمان نوبختی به معتزله از سوی معتزلیان و غیر آنان مورد تردید جدی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بجاست علاوه بر مقایسۀ دقیق آرای نوبختیان و شیخ مفید، اندیشه‌های اختلافی هر‌یک از آنان را در بستر کلام امامیه و معتزله ریشه‌یابی کنیم تا میزان اختلاف آرای نوبختیان و شیخ مفید با یکدیگر و مقدار هم‌نوایی هر یک از آنان با مدرسۀ کلامی امامیه در کوفه و مدرسۀ معتزلیان بصره و بغداد در این اختلافات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تنها اندیشه‌هایی که گزارش یا شاهدی بر رأی بنی‌نوبخت و شیخ مفید دربارۀ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دست باشد، مقایسه می‌شوند و موضوعاتی که رأی شیخ مفید یا نوبختیان در دست نیست، از محدودۀ تحقیق خارجند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01" w:name="__RefHeading___Toc541000_1395250215"/>
      <w:bookmarkStart w:id="202" w:name="_Toc76"/>
      <w:bookmarkEnd w:id="201"/>
      <w:r>
        <w:rPr>
          <w:rtl w:val="true"/>
        </w:rPr>
        <w:t>معرفت و ابزار شناخت</w:t>
      </w:r>
      <w:bookmarkEnd w:id="2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اساسی معرفت شناسیِ مدرسۀ کلامی بغداد با مدرسۀ کوفه، روی گردانی از معرفت اضطراری به معرفت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نظریۀ معرفت شناسی ابو‌محمد حسن بن‌موسی نوبختی اندیشه‌ای متفاوت از هر دو گروه بوده و با هر دو دیدگاه پیش گفته جهات اشتراک و اختلافی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بود که تمامی معارف الزاماً اضطراری نبوده و معرفت‌الله می‌تواند اکتسابی یا اضطراری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اصل علم‌آور بودن نظر و استدلال پذیرفته شده، و در عین حال بر اضطراری بودن برخی از معارف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غالب کسانی که به اکتسابی بودن معرفت معتقدند، محسوسات و بدیهیات را اضطراری می‌دانند، اما ابو‌محمد دامنۀ معارف اضطراری را گسترده‌تر می‌داند و معرفت‌الله را از طریق معرفت اضطراری ممکن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قائلان به اکتسابی بودن معارف، معرفت‌الله در این دنیا</w:t>
      </w:r>
    </w:p>
    <w:p>
      <w:pPr>
        <w:pStyle w:val="BookText"/>
        <w:rPr/>
      </w:pPr>
      <w:r>
        <w:rPr>
          <w:rFonts w:ascii="IRNazanin" w:hAnsi="IRNazanin" w:eastAsia="IRNazanin"/>
          <w:color w:val="111111"/>
          <w:sz w:val="28"/>
          <w:sz w:val="28"/>
          <w:szCs w:val="28"/>
          <w:rtl w:val="true"/>
          <w:lang w:bidi="fa-IR"/>
        </w:rPr>
        <w:t xml:space="preserve">را جز از طریق استدلال و نظر ممکن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اندیشۀ معرفتی حسن بن موسی، شیخ مفید معتقد است شناخت امور غایب از جمله معرفت به خدا و پیامبران، تنها از راه اکتساب ممکن است و در این امور معرفت اضطراری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دیدگاه او هم‌نوا با معتزلۀ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به نظریۀ اضطراری بودن معارف در میان متکلمان امامیه اشاره‌ای نمی‌کند و تنها بسیاری از امامیان را هم‌رأی خود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معتقد است، همان گونه که علم به محسوسات و بدیهیات ضروری بوده و از طریق استدلال و نظر حاصل نمی‌گردد، علم به غیر این ها تنها از طریق استدلال و قیاس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میان متکلمان امامیه در زمان نوبختیان و پیش از آن ها متکلمانی بوده‌اند که معارف را اکتسابی می‌دانسته‌اند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نمی‌توان ابو‌محمد را سر‌پل ورود معرفت اکتسابی به امامیه دانست، بلکه وی پیونددهندۀ نظریۀ این دو نظریه در باب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ابو‌سهل دربارۀ اکتسابی یا اضطراری بودن به روشنی گزارش نشده، اما با توجه به گفتار وی مبنی بر این که همۀ امور دین با استدلال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حدس زد وی نظر و استدلال را راه کسب معرفت می داند، اما این که معرفت خدا را الزاماً اکتسابی می‌دانسته یا مانند ابو‌محمد از هر دو راه ممکن می‌دانسته، قابل تشخیص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 شیخ مفید و نوبختیان در این است که شیخ مفید مانند معتزله معتقد به وجوب نظر بوده و اولین واجب را نظر در ادلۀ معرفت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معرفت خود را بر بندگان واجب کرده است و از آن جا که راهی جز نظر و استدلال در ادله برای شناخت او نیست، لذا اولین واجب، نظر در ادلۀ خدا 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حسن بن موسی امر به معرفت‌الله را، چه اکتسابی باشد و چه اضطراری، ممکن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ادلۀ حسن بن‌موسی در این مورد گزارش نشده، ولی بسیار محتمل است وی امر به معارف را از این باب مردود می‌دانسته؛ که اگر این معرفت اضطراری باشد، امر به آن تحصیل حاصل است و اگر اکتسابی باشد، خدا نمی تواند امر به معرفت کند، چون هنوز به او معرفت پیدا نکردیم تا اوامرش برای ما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در باب وجوب نظر در بیان دیدگاه‌های مختلف در باب معرفت، از دیدگاه شخصیتی که به نظر می‌رسد حسن بن‌موسی نوبختی است،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چه امکان اکتسابی بودن معارف را پذیرفته، ولی معتقد بود جایز نیست خداوند اکتساب معارف را بر ما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ممکن است انسان به صورت اتفاقی استدلال کرده و معرفت اکتسابی به خداوند به دست آورد که در این صورت مکلف است، اما اگر این اتفاق برای انسان پیش نیاید، وی مکلف نبوده و به واسطۀ عدم نظر و معرفت خداوند سرزنش نمی‌شود؛ لذا دربارۀ خدا وجوب نظر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معرفت خدا که ممکن است حتی اتفاقی یا از طریق بخت‌آزمایی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آید، اکتساب دیگرِ معارف وجوب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به خلاف شیخ مفید که نظریۀ معرفت معتزله را پذیرفته است، حسن بن‌موسی در عین حال که برخلاف معتقدان به اکتسابی بودن معارف، مانند متکلمان امامی مدرسۀ کوفه، امکان اضطراری بودن معرفت الله را پذیرفته</w:t>
      </w:r>
      <w:r>
        <w:rPr>
          <w:rStyle w:val="FootnoteAnchor"/>
          <w:rtl w:val="true"/>
        </w:rPr>
        <w:footnoteReference w:id="61"/>
      </w:r>
      <w:r>
        <w:rPr>
          <w:rFonts w:ascii="IRNazanin" w:hAnsi="IRNazanin" w:eastAsia="IRNazanin"/>
          <w:color w:val="111111"/>
          <w:sz w:val="28"/>
          <w:sz w:val="28"/>
          <w:szCs w:val="28"/>
          <w:rtl w:val="true"/>
          <w:lang w:bidi="fa-IR"/>
        </w:rPr>
        <w:t xml:space="preserve">، از آن جا که اکتسابی بودن همۀ معارف را ممکن می‌داند، با اصحاب معارف معتزلی که معارف را اضطراری می‌دانستند و معتقدان به فطری بودن معارف، اختلاف دیدگاه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تبیین رابطۀ عقل و وحی، دیدگاه خود و عموم متکلمان امامی تا عصر خود را بر پایۀ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ناپذیری عقل از سمع دانسته که بنا بر این اندیشه، عقل در دانش خود و نتایج آن به سمع نیازمند است، و از سمعی که غافل را بر چگونگی استدلال آگاه می‌کند،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این دیدگاه را در مقابل اندیشۀ معتزله، خوارج و زیدیّه دانسته که معتقدند، عقل ها مستقلّ از سمع و توقیف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نتیجۀ این تفکر، امامیه به ضرورت ارسال رسل در ابتدای تکلیف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شیخ مفید را بپذیریم باید گفت، شیخ مفید در تبیین رابطۀ عقل و وحی تفاوتی با نوبختیان نداشته و تا زمان وی تحولی در این دیدگاه میان متکلمان امامیه پدید نیامده و نیازمندی عقل به وحی از شاخص‌های کلام امامیه در مقابل کلام معتزلی بوده است</w:t>
      </w:r>
      <w:r>
        <w:rPr>
          <w:rFonts w:eastAsia="IRNazanin" w:cs="IRNazanin"/>
          <w:color w:val="111111"/>
          <w:sz w:val="28"/>
          <w:szCs w:val="28"/>
          <w:rtl w:val="true"/>
          <w:lang w:bidi="fa-IR"/>
        </w:rPr>
        <w:t>.</w:t>
      </w:r>
      <w:bookmarkStart w:id="203" w:name="pg2628_20855"/>
    </w:p>
    <w:p>
      <w:pPr>
        <w:pStyle w:val="Heading3"/>
        <w:numPr>
          <w:ilvl w:val="2"/>
          <w:numId w:val="1"/>
        </w:numPr>
        <w:rPr/>
      </w:pPr>
      <w:bookmarkStart w:id="204" w:name="__RefHeading___Toc541002_1395250215"/>
      <w:bookmarkStart w:id="205" w:name="_Toc77"/>
      <w:bookmarkEnd w:id="203"/>
      <w:bookmarkEnd w:id="204"/>
      <w:r>
        <w:rPr>
          <w:rtl w:val="true"/>
        </w:rPr>
        <w:t>خداشناسی</w:t>
      </w:r>
      <w:bookmarkEnd w:id="205"/>
    </w:p>
    <w:p>
      <w:pPr>
        <w:pStyle w:val="BookText"/>
        <w:rPr/>
      </w:pPr>
      <w:r>
        <w:rPr>
          <w:rFonts w:ascii="IRNazanin" w:hAnsi="IRNazanin" w:eastAsia="IRNazanin"/>
          <w:color w:val="111111"/>
          <w:sz w:val="28"/>
          <w:sz w:val="28"/>
          <w:szCs w:val="28"/>
          <w:rtl w:val="true"/>
          <w:lang w:bidi="fa-IR"/>
        </w:rPr>
        <w:t xml:space="preserve">معتزله و دیگران، اندیشۀ نوبختیان در توحید و صفات را هم‌سو با رأی معتزله در این باب دانسته و آن ها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التوحید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شمرده و توحید نوبختیان را هم سو با توحید معتزله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ابن‌تیمیه،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آثار بنو‌نوبخت در توحید، مؤید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می‌توان گفت، مراد اشعری از گروهی از متکلمان متأخر امامیه که قائل به نفی تشبیه و تجسیم بوده و خدا را فاقد مکان و صورت می‌دانستند و در باب توحید مانند معتزله و خوارج سخن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بنو‌نوبخت و برخی دیگر از متکلمان شیعیِ هم عصر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متکلمان امامی در بحث توحید از هرگونه تشبیه و تجسیمی در توحید و صفات دوری جسته و در باب توحید هم‌رأی با معتزله‌اند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اندیشۀ معتزله در توحید و صفات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آن ها به متکلمان امامیه در مدرسۀ کوفه در باب توحید و صفات، اتهاماتی چون تشبیه و تجسیم را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از متکلمانی است که در توحید و صفات معتقد به نفی صفات زاید بر ذات است و در این اندیشه خود را در شمار اهل توحید می‌داند و اساساً در توحید و صفات بین امامیه و عموم معتزله تفاوتی نمی‌داند و هر دو گروه را در شمار اهل توحید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ادعا کرد از دوران نوبختیان، معتزله و دیگران برداشت متفاوتی از اندیشه‌های کلامی امامیه در باب توحید و عدل داشته‌اند و رویکرد کلامی مدرسۀ بغداد را متفاوت از مدرسۀ کوفه و هم سوی با معتزله در نفی صفات و ردّ هر گونه تشبیه و تجسیم می‌دانستند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معتزله و غیر آنان که متکلمان امامی نخستین را به تشبیه و تجسیم متهم می‌کردند، متکلمان امامیه علاوه بر ردّ این اتهامات همواره تأکید داشته‌اند که مبانی اهل توحید همگی از امام علی علیه السلام مأخوذ گردیده و این معتزلیانند که میراث شیعی را به نام خود منتشر</w:t>
      </w:r>
      <w:bookmarkStart w:id="206" w:name="pg2628_20856"/>
    </w:p>
    <w:p>
      <w:pPr>
        <w:pStyle w:val="BookText"/>
        <w:rPr/>
      </w:pPr>
      <w:bookmarkEnd w:id="206"/>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1998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فارغ از صحت مدعای معتزله، به هر حال اندیشۀ توحیدی نوبختیان و مفید، متفاوت از دیدگاه عمومیِ گزارش شده از متکلمان امامی کوفه است و خود نوبختیان نیز این دیدگاه متفاوت را، به خصوص از هشام بن‌حکم گزارش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ابن‌ابی‌الحدید،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معنای اختراع نظریه ای جدید در میان امامیه یا وام گیری از معتزله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نوبختی در کتاب الآراء و الدیانات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الموحدین و المشبهین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بسیاری از امامیه مانند معتزله هر‌گونه اندیشۀ تشبیهی را از خدا نفی کرده و معتقدند، خداوند نه جسم دارد نه صورت و نه جزء و عرض و شباهتی به این 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207" w:name="__RefHeading___Toc541004_1395250215"/>
      <w:bookmarkStart w:id="208" w:name="_Toc78"/>
      <w:bookmarkEnd w:id="207"/>
      <w:r>
        <w:rPr>
          <w:rtl w:val="true"/>
        </w:rPr>
        <w:t>جهان‌شناسی</w:t>
      </w:r>
      <w:bookmarkEnd w:id="208"/>
    </w:p>
    <w:p>
      <w:pPr>
        <w:pStyle w:val="BookText"/>
        <w:rPr/>
      </w:pPr>
      <w:r>
        <w:rPr>
          <w:rFonts w:ascii="IRNazanin" w:hAnsi="IRNazanin" w:eastAsia="IRNazanin"/>
          <w:color w:val="111111"/>
          <w:sz w:val="28"/>
          <w:sz w:val="28"/>
          <w:szCs w:val="28"/>
          <w:rtl w:val="true"/>
          <w:lang w:bidi="fa-IR"/>
        </w:rPr>
        <w:t>با دقت در اندیشه‌های بنو‌نوبخت در باب جهان‌شناسی که بیشتر آن مباحث لطیف‌الکلام است می‌توان گفت، بنو‌نوبخت در این مباحث بیشتر به تفکر معتزلۀ بصره، از جمله متکلم معتزلی بصری ابو‌علی جبایی نزدیک هستند؛ به خلاف شیخ مفید که در این مباحث بیشتر دیدگاه معتزلۀ بغداد، مخصوصاً ابو‌القاسم بلخی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بر این ادعا، هم‌رأییِ بنو‌نوبخت در بقای جواهر و مکان با ابو‌علی جبایی است که در تقابل با دیدگاه شیخ مفید و معتزلۀ بغداد و در رأس آنان ابو‌القاسم بلخی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بحث ترکیب اجسام از طبایع اربعه ابو‌محمد همچون معتزلۀ بصره دیدگاهی در مقابل شیخ مفید و ابو‌القاسم بلخی دارد و این انحصار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مباحث لطیف‌الکلام نیز متأسفانه شیخ مفید گزارشی دربارۀ نوبختیان ندارد، تا بتوانیم این احتمال را تقویت کنیم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هم‌رأییِ بنو‌نوبخت با ابو‌علی جبایی در مباحث لطیف‌الکلام می‌تواند به دلیل هم نشینی‌های آنان با ابو‌علی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مجالسه مع ابی‌علی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شیخ‌طوسی،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تعدد جلسات این دو اندیشمند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 عصریِ بنو‌نوبخت با ابو‌علی جبایی نمی‌توان ادعا کرد، بنو‌نوبخت این آراء را از او اخذ کرده‌اند؛ مخصوصاً با توجه به این که ابو‌محمد نوبختی خود متخصص مباحث لطیف‌الکلام بوده و اندیشۀ او در این موضوعات مورد استفادۀ معتزلیان بصری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683</w:t>
      </w:r>
      <w:r>
        <w:rPr>
          <w:rFonts w:eastAsia="IRNazanin" w:cs="IRNazanin"/>
          <w:color w:val="111111"/>
          <w:sz w:val="28"/>
          <w:szCs w:val="28"/>
          <w:rtl w:val="true"/>
          <w:lang w:bidi="fa-IR"/>
        </w:rPr>
        <w:t>).</w:t>
      </w:r>
      <w:bookmarkStart w:id="209" w:name="pg2628_20857"/>
    </w:p>
    <w:p>
      <w:pPr>
        <w:pStyle w:val="Heading3"/>
        <w:numPr>
          <w:ilvl w:val="2"/>
          <w:numId w:val="1"/>
        </w:numPr>
        <w:rPr/>
      </w:pPr>
      <w:bookmarkStart w:id="210" w:name="__RefHeading___Toc541006_1395250215"/>
      <w:bookmarkStart w:id="211" w:name="_Toc79"/>
      <w:bookmarkEnd w:id="209"/>
      <w:bookmarkEnd w:id="210"/>
      <w:r>
        <w:rPr>
          <w:rtl w:val="true"/>
        </w:rPr>
        <w:t>حرکت و سکون عالم</w:t>
      </w:r>
      <w:bookmarkEnd w:id="211"/>
    </w:p>
    <w:p>
      <w:pPr>
        <w:pStyle w:val="BookText"/>
        <w:rPr/>
      </w:pPr>
      <w:r>
        <w:rPr>
          <w:rFonts w:ascii="IRNazanin" w:hAnsi="IRNazanin" w:eastAsia="IRNazanin"/>
          <w:color w:val="111111"/>
          <w:sz w:val="28"/>
          <w:sz w:val="28"/>
          <w:szCs w:val="28"/>
          <w:rtl w:val="true"/>
          <w:lang w:bidi="fa-IR"/>
        </w:rPr>
        <w:t>حسن بن‌موسی دربارۀ حرکت زمین، چون دیگر متکلمان مسلمان معتقد بود زمین ساکن است و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 ادله‌ای معتقد بود، ما به علم اضطراری در می یابیم زمین حرکتی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هرچند مانند نوبختیان معتقد به سکون زمین است، اما علت سکون آن را ـ به خلاف نوبختیان ـ قرار داشتن زمین در مرکز فلک می‌داند و در این دیدگاه خود را هم نوا با بلخی و منجمان و فلاسفه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دیدگاه، علت سکون زمین در اندیشۀ معتزلۀ بصره آن است که خدا آن را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بعد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حسن بن‌موسی نوبختی هم‌نوا با معتزلۀ بصره معتقد بود، خداوند زمین را پیوسته نگه داشته، و اقوال مخالف را مردود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677</w:t>
      </w:r>
      <w:r>
        <w:rPr>
          <w:rFonts w:eastAsia="IRNazanin" w:cs="IRNazanin"/>
          <w:color w:val="111111"/>
          <w:sz w:val="28"/>
          <w:szCs w:val="28"/>
          <w:rtl w:val="true"/>
          <w:lang w:bidi="fa-IR"/>
        </w:rPr>
        <w:t>).</w:t>
      </w:r>
    </w:p>
    <w:p>
      <w:pPr>
        <w:pStyle w:val="Heading3"/>
        <w:numPr>
          <w:ilvl w:val="2"/>
          <w:numId w:val="1"/>
        </w:numPr>
        <w:rPr/>
      </w:pPr>
      <w:bookmarkStart w:id="212" w:name="__RefHeading___Toc541008_1395250215"/>
      <w:bookmarkStart w:id="213" w:name="_Toc80"/>
      <w:bookmarkEnd w:id="212"/>
      <w:r>
        <w:rPr>
          <w:rtl w:val="true"/>
        </w:rPr>
        <w:t>طبایع اربعه</w:t>
      </w:r>
      <w:bookmarkEnd w:id="213"/>
    </w:p>
    <w:p>
      <w:pPr>
        <w:pStyle w:val="BookText"/>
        <w:rPr/>
      </w:pPr>
      <w:r>
        <w:rPr>
          <w:rFonts w:ascii="IRNazanin" w:hAnsi="IRNazanin" w:eastAsia="IRNazanin"/>
          <w:color w:val="111111"/>
          <w:sz w:val="28"/>
          <w:sz w:val="28"/>
          <w:szCs w:val="28"/>
          <w:rtl w:val="true"/>
          <w:lang w:bidi="fa-IR"/>
        </w:rPr>
        <w:t xml:space="preserve">حسن بن‌موسی مانند بسیاری از معتزلۀ بصره از اساس طبایع اربعه و دیدگاه‌های مختلفِ معتقدان به آن را باطل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نقل دیدگاه‌های مختلفِ معتقدان به طبایع، بر ردّ اعتقادات این گروه ها استدلال کرده و ادلۀ آنان را مردود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شیخ مفید و معتزلۀ بغداد مانند فلاسفۀ یونان ترکیب اجسام از طبایع اربعه را می پذیرفتند و آن را با توحید و عدل و آموزه‌های انبیا در تعارض نمی‌دانسته‌اند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214" w:name="__RefHeading___Toc541010_1395250215"/>
      <w:bookmarkStart w:id="215" w:name="_Toc81"/>
      <w:bookmarkEnd w:id="214"/>
      <w:r>
        <w:rPr>
          <w:rtl w:val="true"/>
        </w:rPr>
        <w:t>بقای جواهر</w:t>
      </w:r>
      <w:bookmarkEnd w:id="215"/>
    </w:p>
    <w:p>
      <w:pPr>
        <w:pStyle w:val="BookText"/>
        <w:rPr/>
      </w:pPr>
      <w:r>
        <w:rPr>
          <w:rFonts w:ascii="IRNazanin" w:hAnsi="IRNazanin" w:eastAsia="IRNazanin"/>
          <w:color w:val="111111"/>
          <w:sz w:val="28"/>
          <w:sz w:val="28"/>
          <w:szCs w:val="28"/>
          <w:rtl w:val="true"/>
          <w:lang w:bidi="fa-IR"/>
        </w:rPr>
        <w:t xml:space="preserve">نوبختیان مانند شیخ مفید و ابو‌القاسم بلخی بر آنند که جواهر از چیز‌هایی است که بقا و دوام بر آن ها صدق می‌کند و در زمان های طولانی موجود می‌مانند در این میان بنو‌نوبخت، جبایی و پسرش به خلاف بلخی و شیخ مفید، علت فانی شدن را عدم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معتقد بودند علت فانی شدن پدید آمدن ضدّ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216" w:name="__RefHeading___Toc541012_1395250215"/>
      <w:bookmarkStart w:id="217" w:name="_Toc82"/>
      <w:bookmarkEnd w:id="216"/>
      <w:r>
        <w:rPr>
          <w:rtl w:val="true"/>
        </w:rPr>
        <w:t>مکان</w:t>
      </w:r>
      <w:bookmarkEnd w:id="2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بنو‌نوبخت در بارۀ چیستیِ مکان با جبایی و پسرش هم‌رأی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مکان را چیزی می‌دانستند که جسم سنگین، وزن خود را روی آن می‌نهد و این مکان مانع فرو افتادن جسم</w:t>
      </w:r>
      <w:bookmarkStart w:id="218" w:name="pg2628_20858"/>
    </w:p>
    <w:p>
      <w:pPr>
        <w:pStyle w:val="BookText"/>
        <w:rPr/>
      </w:pPr>
      <w:bookmarkEnd w:id="218"/>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دیدگاه، شیخ مفید در پیروی از ابو‌القاسم بلخی دربارۀ مکان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چیزی است که شیء را از هر طرف فرا می‌گیرد و ذره‌ها نمی‌توانند جز در مکان‌ها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و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اختلاف در این است که معتزلیان بصره معتقد به وجود خلأ بودند، در صورتی که بلخی منکر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عنوان خلأ نباشد، آن گاه یک جسم همیشه مماس با سطح اجسام دیگر محیط 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خلأ وجود داشته باشد، آن گاه جسم به آن نیازمند نیست که از همۀ جوانب مماس با چیزهای دیگر باشد و بهترین چیزی که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اگر در حال سکون باشد، نشان دادن چیزی است که بر آن آرام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مقدمات می‌توان گفت، بنو‌نوبخت به خلأ نیز اعتقاد داشتند، هرچند شیخ مفید به مخالفت خود با بنو‌نوبخت در این مسئله اشاره‌ای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219" w:name="__RefHeading___Toc541014_1395250215"/>
      <w:bookmarkStart w:id="220" w:name="_Toc83"/>
      <w:bookmarkEnd w:id="219"/>
      <w:r>
        <w:rPr>
          <w:rtl w:val="true"/>
        </w:rPr>
        <w:t>عدل الهی</w:t>
      </w:r>
      <w:bookmarkEnd w:id="220"/>
    </w:p>
    <w:p>
      <w:pPr>
        <w:pStyle w:val="BookText"/>
        <w:rPr/>
      </w:pPr>
      <w:r>
        <w:rPr>
          <w:rFonts w:ascii="IRNazanin" w:hAnsi="IRNazanin" w:eastAsia="IRNazanin"/>
          <w:color w:val="111111"/>
          <w:sz w:val="28"/>
          <w:sz w:val="28"/>
          <w:szCs w:val="28"/>
          <w:rtl w:val="true"/>
          <w:lang w:bidi="fa-IR"/>
        </w:rPr>
        <w:t xml:space="preserve">هرچند معتزله و غیر آنان نوبختیان را از عدلیه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ابن‌تیمیه،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نیز خود و جمهور امامیه را چون معتزله از اهل عدل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دقت در گزارش ها می توان تفاوت‌هایی بین دیدگاه عدلی مدرسۀ نوبختی و شیخ مفید دید که در این میان گاه نوبختیان در مقابل مفید و هم سو با معتزله اند و گاه مفید هم‌نوا با معتزله دیدگاهی متفاوت از نوبختیان اختیار کرده است</w:t>
      </w:r>
      <w:r>
        <w:rPr>
          <w:rFonts w:eastAsia="IRNazanin" w:cs="IRNazanin"/>
          <w:color w:val="111111"/>
          <w:sz w:val="28"/>
          <w:szCs w:val="28"/>
          <w:rtl w:val="true"/>
          <w:lang w:bidi="fa-IR"/>
        </w:rPr>
        <w:t>.</w:t>
      </w:r>
    </w:p>
    <w:p>
      <w:pPr>
        <w:pStyle w:val="Heading3"/>
        <w:numPr>
          <w:ilvl w:val="2"/>
          <w:numId w:val="1"/>
        </w:numPr>
        <w:rPr/>
      </w:pPr>
      <w:bookmarkStart w:id="221" w:name="__RefHeading___Toc541016_1395250215"/>
      <w:bookmarkStart w:id="222" w:name="_Toc84"/>
      <w:bookmarkEnd w:id="221"/>
      <w:r>
        <w:rPr>
          <w:rtl w:val="true"/>
        </w:rPr>
        <w:t>حقیقتِ انسان</w:t>
      </w:r>
      <w:bookmarkEnd w:id="2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چیستیِ انسانی که مکلّف بوده و مورد امر، نهی، وعد و وعید است، میان متکلمان اختلاف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شیخ مفید، دیدگاه بنو‌نوبخت در این موضوع همان دیدگاه منقول از هشام بن‌حکم است که مورد تأیید روایات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انسان قائم به نفس است و حجم و بعد ندارد؛ نه ترکیب به آن راه دارد، نه حرکت و سکون و نه اتصال و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فلاسفۀ پیشین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هر فاعل زندۀ محدث یک جوهر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در این مسئله در مقابل اقوال بسیاری که دربارۀ چیستی انسان میان متکلمان مسلمان رایج بود، قول نوبختیان</w:t>
      </w:r>
      <w:bookmarkStart w:id="223" w:name="pg2628_20859"/>
    </w:p>
    <w:p>
      <w:pPr>
        <w:pStyle w:val="BookText"/>
        <w:rPr/>
      </w:pPr>
      <w:bookmarkEnd w:id="223"/>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مدعا که انسان همان حقیقتی است که گاهی از آن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ادلۀ سمعی از قرآن و روایات در تأیید این دیدگاه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بنو‌نوبخت و شیخ مفید در باب انسان از جمله مهم ترین اعتقاداتی است که در آن علاوه بر اشتراک نظر، در مقابل دیدگاه معتزله موضع گرفته‌اند و بر درستی اندیشۀ هشام بن‌حکم پای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شیعیِ معتزلی، در کتاب خلاصة النظر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انسان را همین پیکرۀ جسمانی که مشاهده می‌شود،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ضمن بیان قول بنو‌نوبخت دربارۀ انسان، این دیدگاه را به فلاسفه نسبت می‌دهد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شیعیان هم‌رأی با نوبختیان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انتساب این دیدگاه به شیخ مفید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وی بر نفی این دیدگاه از شیخ مفید این است که دیدگاه شیخ مفید در باب توحید و عدل با این تعریف از انسان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النظر،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تصریح شیخ مفید در مسائل السرویه مبنی بر هم‌نواییِ او با نوبختیان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این دیدگاه در دیگر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مردود است، اما در مجموع این گزارش گویای این است که از مهم ترین اختلافات بنو‌نوبخت و شیخ مفید با معتزله، موضوع چیستی انسان است که یکی از مبانی بحث عدل می‌باشد و آنان دیدگاه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بن‌حکم و فلاسفه را که روایات ائمه علیهم السلام نیز آن را تأیید می‌کند، پذیرفته‌اند</w:t>
      </w:r>
      <w:r>
        <w:rPr>
          <w:rFonts w:eastAsia="IRNazanin" w:cs="IRNazanin"/>
          <w:color w:val="111111"/>
          <w:sz w:val="28"/>
          <w:szCs w:val="28"/>
          <w:rtl w:val="true"/>
          <w:lang w:bidi="fa-IR"/>
        </w:rPr>
        <w:t>.</w:t>
      </w:r>
    </w:p>
    <w:p>
      <w:pPr>
        <w:pStyle w:val="Heading3"/>
        <w:numPr>
          <w:ilvl w:val="2"/>
          <w:numId w:val="1"/>
        </w:numPr>
        <w:rPr/>
      </w:pPr>
      <w:bookmarkStart w:id="224" w:name="__RefHeading___Toc541018_1395250215"/>
      <w:bookmarkStart w:id="225" w:name="_Toc85"/>
      <w:bookmarkEnd w:id="224"/>
      <w:r>
        <w:rPr>
          <w:rtl w:val="true"/>
        </w:rPr>
        <w:t>استطاعت</w:t>
      </w:r>
      <w:bookmarkEnd w:id="225"/>
    </w:p>
    <w:p>
      <w:pPr>
        <w:pStyle w:val="BookText"/>
        <w:rPr/>
      </w:pPr>
      <w:r>
        <w:rPr>
          <w:rFonts w:ascii="IRNazanin" w:hAnsi="IRNazanin" w:eastAsia="IRNazanin"/>
          <w:color w:val="111111"/>
          <w:sz w:val="28"/>
          <w:sz w:val="28"/>
          <w:szCs w:val="28"/>
          <w:rtl w:val="true"/>
          <w:lang w:bidi="fa-IR"/>
        </w:rPr>
        <w:t xml:space="preserve">نجاشی پس از ذکر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الاستطاعه علی مذهب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تألیف های حسن بن موسی تأکید می کند وی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رأی هشام بن‌حکم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متکلمان امامیه هشام بن‌حکم، برخلاف دو گروه جبرگرایان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سومی را مطرح کرد و قائل به تفصیل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استطاعت را به گونه‌ای دانست که هر دو بخش پیش از فعل و همراه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استطاعت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پنج امر در کنار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شرایط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مهلت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ابزاری که فعل با آن انجام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انگیزۀ رخ دادن فعل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هشام، برخی از این ها پیش از فعل وجود دارد و تنها سبب مهیّج در زمان فعل وجود می‌یابد و وقتی خدا سبب را پدید آورد، ضرورتاً فعل به وجود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دیدگاه هشام برداشتی از برخی روایات امامان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بن‌حکم تلاش کرده است برای استطاعت مفهومی ارائه کند که سامان دهندۀ پنج رکن پیشگفته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زمانی این مفهوم محقق است که هر پنج مورد گرداگرد یکدیگر جمع باشند؛ گویی این موارد، نقش اجزای علت، برای وقوع فعل را ایفا می‌کنند که چهار جزء از این علل پیش از فعل و یکی، که همان سبب وارد باشد، حین‌الفعل محقق می‌شود و هنگامی که خدا سبب را پدید آورد، فعل ضرورتاً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در این معنا همان چیزی است که فعل با آن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دیدگاه هشام، به خصوص مراد وی از سبب مهیّج پیچیدگی خاصی دارد؛ از همین رو، برخی به اشتباه یا از روی غرض وی را متهم به جبر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بغدادی،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بزرگانی چون سید مرتضی این ادعا را رد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بنو‌نوبخت در بحث استطاعت علاوه بر رد کردن دیدگاه مجبره، با معتزله نیز مخالفت کرده‌اند و دیدگاه هشام بن‌حکم الگوی فکری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دیدگاه دربارۀ ابو‌سهل تردیدآمیز است</w:t>
      </w:r>
      <w:r>
        <w:rPr>
          <w:rStyle w:val="FootnoteAnchor"/>
          <w:rtl w:val="true"/>
        </w:rPr>
        <w:footnoteReference w:id="63"/>
      </w:r>
      <w:r>
        <w:rPr>
          <w:rFonts w:ascii="IRNazanin" w:hAnsi="IRNazanin" w:eastAsia="IRNazanin"/>
          <w:color w:val="111111"/>
          <w:sz w:val="28"/>
          <w:sz w:val="28"/>
          <w:szCs w:val="28"/>
          <w:rtl w:val="true"/>
          <w:lang w:bidi="fa-IR"/>
        </w:rPr>
        <w:t xml:space="preserve">، اما از آن جا که معتزله و غیر آنان، ابو‌سهل و ابو‌محمد را بدون این که بین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تمایزی بنهند، اهل عدل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ابن‌تیمیه،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 رود اندیشۀ ابو‌سهل و ابو‌محمد هر دو در باب استطاعت مانند هشام بوده، اما دیدگاه هشام بن‌حکم را به گونه ای تقریر می کردند که به جبر منتهی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باب استطاعت، دیدگاهی متفاوت از نوبختیان ارائه داده و می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در حقیقت همان صحّت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تندرست، قدرتمند و مستطیع است، و چون تندرستی او از میان برود، استطاعت او نیز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توانای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دادن فعل باشد، ولی آلت آن را نیابد، یا در عین استطاعت کسی مانع آن شود که وی فعل مورد نظر خود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استطاعت را از میان نمی‌برد، بلکه فعل را از میان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bookmarkStart w:id="226" w:name="pg2628_20861"/>
    </w:p>
    <w:p>
      <w:pPr>
        <w:pStyle w:val="BookText"/>
        <w:rPr/>
      </w:pPr>
      <w:bookmarkEnd w:id="226"/>
      <w:r>
        <w:rPr>
          <w:rFonts w:ascii="IRNazanin" w:hAnsi="IRNazanin" w:eastAsia="IRNazanin"/>
          <w:color w:val="111111"/>
          <w:sz w:val="28"/>
          <w:sz w:val="28"/>
          <w:szCs w:val="28"/>
          <w:rtl w:val="true"/>
          <w:lang w:bidi="fa-IR"/>
        </w:rPr>
        <w:t xml:space="preserve">اعتقاد شیخ مفید در باب استطاعت هر چند یکی از اقوال معتزله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نظریه، اعتقاد بسیاری از متکلمان امامی مدرسۀ کوفه،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بن‌اعین، هشام بن‌سالم و مؤمن الطاق است که معتقد بودند استطاعت پیش از فعل پدید می‌آید و همان صحت و تندرستی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اختلاف مهم دیگری که بین شیخ مفید و نوبختیان می‌توان در این باب حدس زد، اختلاف دربارۀ اعمال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نوبختیان از آن جا که در باب استطاعت بر مذهب هشام بوده‌اند، مشیت و ارادۀ خدا را در فعل انسان دخیل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شیخ مفید در تقابل با اندیشۀ عموم متکلمان امامی مدرسۀ کوفه، مشیت الهی را در اعمال انسان دخیل نمی‌داند و فاعل افعال انسان را تنها خود انسان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ادعا کرد، اندیشۀ نوبختیان در باب استطاعت در مجموع به میراث کلامی امامیه که غالباً از اختیار معتزلی گریزان بوده‌اند، نزدیک تر است، هر چند دست کم بخشی از دیدگاه شیخ مفید نیز در میان متکلمان کوفی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227" w:name="__RefHeading___Toc541020_1395250215"/>
      <w:bookmarkStart w:id="228" w:name="_Toc86"/>
      <w:bookmarkEnd w:id="227"/>
      <w:r>
        <w:rPr>
          <w:rtl w:val="true"/>
        </w:rPr>
        <w:t>ایمان و اسما و احکام</w:t>
      </w:r>
      <w:bookmarkEnd w:id="22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بنو‌نوبخت معتقد بودند، کسانی که به خدا و پیامبر ایمان آورده و به آنچه پیامبر از سوی خدا آورده معتقد هستند، هرچند مرتکب گناهان کبیره شوند، باز به طور مطلق بر آنان نام مؤمن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بنو‌نوبخت عمل را رکن ایمان نمی‌دانستند و ایمان را تصدیق قلبی می‌دانند که عمل از تعریف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نوبختیان دربارۀ مسلمان مرتکب کبیره با دیدگاه معتزله که او را نه کافر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نه مؤمن، بلکه فاسق می نامیدند و به منزلة بین المنزلتین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تضاد است و با دیدگاه مرجئه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نیز در دیدگاهی متفاوت از معتزله معتقد است، هیچ یک از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مرتکب کبیره به صورت مطلق به کار برده نمی‌شود و هر گاه نام مؤمن یا فاسق برای وی به کار می رود، باید مقید شود و جهت ایمان یا فسق وی ذکر شود، ولی نام مسلمان به صورت مطلق دربارۀ او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این دیدگاه را اندیشۀ عمومی امامیه ذکر می‌کند که در تقابل با اندیشۀ نوبختیان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شیخ مفید در نتیجۀ دیدگاه وی</w:t>
      </w:r>
      <w:bookmarkStart w:id="229" w:name="pg2628_20862"/>
    </w:p>
    <w:p>
      <w:pPr>
        <w:pStyle w:val="BookText"/>
        <w:rPr/>
      </w:pPr>
      <w:bookmarkEnd w:id="229"/>
      <w:r>
        <w:rPr>
          <w:rFonts w:ascii="IRNazanin" w:hAnsi="IRNazanin" w:eastAsia="IRNazanin"/>
          <w:color w:val="111111"/>
          <w:sz w:val="28"/>
          <w:sz w:val="28"/>
          <w:szCs w:val="28"/>
          <w:rtl w:val="true"/>
          <w:lang w:bidi="fa-IR"/>
        </w:rPr>
        <w:t>دربارۀ چیستی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علامه حلی، از نظر شیخ مفید ایمان، تصدیق به دل و زبان و انجام دادن اعمال با جوارح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شیخ مفید اعمال را ـ به خلاف نوبختیان ـ در تعریف ایمان دخیل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نوبختیان در این موضوع هرچند با شیخ مفید تفاوت اندیشه دارند، اما این بدین معنا نیست که اندیشۀ معتزله را پذیرفته باشند، بلکه این تفکر نتیجۀ اندیشۀ جدایی عمل از ایمان ـ که قول جمهور امامیه است ـ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مفید مانند معتزله، عمل را در ایمان دخیل دانسته، و از این رو، اطلاق نام مؤمن بر مسلمان مرتکب کبیره را جایز نمی‌داند؛ هرچند برخلاف معتزله و هم نوا با نوبختیان اطلاق نام فاسق و در نتیجه منزلة بین المنزلتین را بر چنین مسلمانی جایز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دیدگاه معتزله دربارۀ ایمان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230" w:name="__RefHeading___Toc541022_1395250215"/>
      <w:bookmarkStart w:id="231" w:name="_Toc87"/>
      <w:bookmarkEnd w:id="230"/>
      <w:r>
        <w:rPr>
          <w:rtl w:val="true"/>
        </w:rPr>
        <w:t>وعید</w:t>
      </w:r>
      <w:bookmarkEnd w:id="231"/>
    </w:p>
    <w:p>
      <w:pPr>
        <w:pStyle w:val="BookText"/>
        <w:rPr/>
      </w:pPr>
      <w:r>
        <w:rPr>
          <w:rFonts w:ascii="IRNazanin" w:hAnsi="IRNazanin" w:eastAsia="IRNazanin"/>
          <w:color w:val="111111"/>
          <w:sz w:val="28"/>
          <w:sz w:val="28"/>
          <w:szCs w:val="28"/>
          <w:rtl w:val="true"/>
          <w:lang w:bidi="fa-IR"/>
        </w:rPr>
        <w:t xml:space="preserve">دربارۀ اعتقاد نوبختیان به وعید و خلودِ مرتکبان کبیره در جهنم مکدرموت معتقد است، از آن جایی که از دیدگاه نوبختیان اختلاف مطلقی بین گناهان صغیره و کبیره وجود دارد و چون اعمال نیک و بد یکدیگر را جبران می کنند، آنان باید منطقاً ـ همچون معتزله ـ مرتکب کبیره را در آتش مخلّد بدانند، هرچند مانند معتزلیان در این جهان قائل به منزلتی میان دو منزلت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مکدرموت،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مادلونگ با اشاره به اختلاف بنو‌نوبخت با معتزله در پذیرش قول به المنزلة بین المنزلتین معتقد است، بنو‌نوبخت نظر معتزله در اجرای بدون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دربارۀ مسلمان گناه کار را مردود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دیدگاه مادلونگ با توجه به گزارش شیخ مفید به درستی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تأکید می‌کند همۀ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معتزله معتقدند، وعید الهی به خلود در آتش، مختص کفار است، اما کسانی که خدا را شناخته و فرایض دین را پذیرفته‌اند، هرچند مرتکب گناهان شده‌اند در آتش خالد نمی شوند و در این اعتقاد، اهل حدیث و مرجئه ـ به جز محمد بن‌شبیب ـ با امامیه همراه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بنو‌نوبخت مانند شیخ مفید و دیگر امامیان، اندیشۀ وعید معتزلی را مردود دانسته و خلود در جهنم را مختص کفار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اجماع داشتند مسلمان مرتکب کبیره پس از آن که به خاطر گناهش عذاب شد، از جهنم به بهشت منتقل شده و از نعمت‌های الهی جاویدان برخوردار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دیگر بر این مدعا این است که حسن بن موسی کتابی با عنوان</w:t>
      </w:r>
      <w:bookmarkStart w:id="232" w:name="pg2628_20863"/>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اصحاب المنزله بین المنزلتین فی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 مخالفت وی با اندیشۀ معتزله در باب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وعید ارتباط مستقیمی با تعریف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امامیه‌ای را معتقد به وعید معرفی می‌کند که ایمان را جمیع طاعات و کفر را جمیع معاصی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به این قول را ابن‌جبرویه، که معاصر نوبختیان است،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پیش تر گفته شد، نوبختیان عمل را در ایمان دخیل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ظاهراً همۀ امامیه دربارۀ مخالفانشان معتقد به وعید بوده‌اند و اختلافشان دربارۀ وعید نسبت به شیعیان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33" w:name="__RefHeading___Toc541024_1395250215"/>
      <w:bookmarkStart w:id="234" w:name="_Toc88"/>
      <w:bookmarkEnd w:id="233"/>
      <w:r>
        <w:rPr>
          <w:rtl w:val="true"/>
        </w:rPr>
        <w:t>موافات</w:t>
      </w:r>
      <w:bookmarkEnd w:id="234"/>
    </w:p>
    <w:p>
      <w:pPr>
        <w:pStyle w:val="BookText"/>
        <w:rPr/>
      </w:pPr>
      <w:r>
        <w:rPr>
          <w:rFonts w:ascii="IRNazanin" w:hAnsi="IRNazanin" w:eastAsia="IRNazanin"/>
          <w:color w:val="111111"/>
          <w:sz w:val="28"/>
          <w:sz w:val="28"/>
          <w:szCs w:val="28"/>
          <w:rtl w:val="true"/>
          <w:lang w:bidi="fa-IR"/>
        </w:rPr>
        <w:t>نوبختیان معتقد بودند، ممکن است کسی حقیقتاً خدا را بشناسد و بدو ایمان آورده بار دیگر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نوبختیان با معتزله هم‌رأیند و شیخ مفید و مرجئه در مقابل آن ها هستند و معتقدند کسی که در عمر خود یک بار خدا را بشناسد، با ایمان از دنیا می رود و ممکن نیست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موافات از جهتی دیگر نیز برای قائلان به آن اهمیت داشته و آن این که کسی که ایمان آورده محال است کافر شود؛ لذا احباط برای وی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کسانی که به موافات معتقدند، احباط را نمی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معتزله و بنو‌نوبخت از آن جایی که موافات را نمی پذیرند، قائل به احباط اعمال نیک به وسیلۀ اعمال نا شایست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و علامه حلی بدون نام بردن از نوبختیان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امامیه که به احباط اعتقاد داشتند، کفر بعد از ایمان را ممکن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اشمیتکه،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در این بحث اهمیت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معرفت است یا تصدیق؟ بنو‌نوبخت ـ به خلاف شیخ مفیدـ معرفت را ملازم با ایمان نمی‌دانستند و معتقد بودند امکان دارد کسی در عین معرفت به خداوند، ایمان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امر به ایمان امکان دارد، به خلاف امر به معرفت که چه اضطراری باشد چه اکتسابی،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را معرفت می‌دانند، معتقدند کسی که معرفت به خدا کسب کرد، دیگر ممکن نیست کافر شود، اما کسانی چون نوبختیان که ایمان را تصدیق و کفر را انکار خدا</w:t>
      </w:r>
      <w:bookmarkStart w:id="235" w:name="pg2628_20864"/>
    </w:p>
    <w:p>
      <w:pPr>
        <w:pStyle w:val="BookText"/>
        <w:rPr/>
      </w:pPr>
      <w:bookmarkEnd w:id="235"/>
      <w:r>
        <w:rPr>
          <w:rFonts w:ascii="IRNazanin" w:hAnsi="IRNazanin" w:eastAsia="IRNazanin"/>
          <w:color w:val="111111"/>
          <w:sz w:val="28"/>
          <w:sz w:val="28"/>
          <w:szCs w:val="28"/>
          <w:rtl w:val="true"/>
          <w:lang w:bidi="fa-IR"/>
        </w:rPr>
        <w:t xml:space="preserve">می‌دانند، معتقدند ممکن است کسی که خدا را در گذشته تصدیق کرده است منکر خدا گردد؛ از این رو، کفر بعد از ایمان را ممکن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شیخ مفید برمی‌آید، جمهور امامیه مانند او و برخلاف نوبختیان، معرفت را همان ایمان می‌دانند و اجتماع کفر با معرفت را ممکن نمی‌دانند؛ اما گزارش اشعری از اقوال امامیه دربارۀ ایمان تصریح دارد، جمهور امامیه معتقد بوده‌اند ایمان همان اقرار است نه معرفت، و معرفت را مقدمۀ اقرار می‌دانستند نه مساوی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236" w:name="__RefHeading___Toc541026_1395250215"/>
      <w:bookmarkStart w:id="237" w:name="_Toc89"/>
      <w:bookmarkEnd w:id="236"/>
      <w:r>
        <w:rPr>
          <w:rtl w:val="true"/>
        </w:rPr>
        <w:t>احباط</w:t>
      </w:r>
      <w:bookmarkEnd w:id="237"/>
    </w:p>
    <w:p>
      <w:pPr>
        <w:pStyle w:val="BookText"/>
        <w:rPr/>
      </w:pPr>
      <w:r>
        <w:rPr>
          <w:rFonts w:ascii="IRNazanin" w:hAnsi="IRNazanin" w:eastAsia="IRNazanin"/>
          <w:color w:val="111111"/>
          <w:sz w:val="28"/>
          <w:sz w:val="28"/>
          <w:szCs w:val="28"/>
          <w:rtl w:val="true"/>
          <w:lang w:bidi="fa-IR"/>
        </w:rPr>
        <w:t xml:space="preserve">نوبختیان برخلاف شیخ مفید، هم‌نوا با معتزله به تحابط اعمال اعتقاد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اعمال خوب و بد انسان یکدیگر را از بین می برند و اگر بدی ها غلبه کرد آن فرد مستحق عقاب است، بدون این که در مقابل اعمال نیک او پاداشی داشته باشد، و اگر اعمال نیک او غلبه کرد، تنها مستحق ثواب است که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بنو‌نوبخت معتقد بودند، اگرچه بسیاری از کسانی که اطاعت خدا کرده و کارهای نیکی داشته‌اند، در آخرت پاداشی بدان ها نمی‌رسد، اما در این دنیا پاداش کارهای نیک خود را می بینند؛ در مقابل، شیخ مفید معتقد بود اگر کسی حتی یک طاعت انجام دهد در بهشت خالد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اختلاف دیدگاه از این جا ناشی می‌شود که شیخ مفید ـ به خلاف بنو‌نوبخت ـ اساساً انجام طاعت را از کافر غیرممکن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دقت کرد که این دیدگاه معتزلیان بر این پایه استوار بود که کسی که وارد آتش شود، از آن رهایی ندارد و در آن خالد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بنو‌نوبخت بر خلاف معتزله، منزلة بین المنزلتین و خلود مسلمان مرتکب کبیره در جهنم را مردود می‌دانستند، باید احباط نوبختیان به گونه ای تبیین شود که منجر به خلود مسلمان فاسق، که گناهان وی بر اعمال نیکش برتری دارد یا مسلمان مرتکب کبیره در جهنم نگردد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 مـوجب احباط ایمان نمی دانستند؛ از این رو، خلود در جهنم را برای مسلمان مرتکب کبیره جایز نمی دانستند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بحث احباط، نوبختیان ـ در مقابل شیخ مفید و هم نوا با معتزله ـ معتقد به احباط هستند، اما این اعتقاد در میان امامیه منحصر به نوبختیان نیست و شیخ مفید تصریح می‌کند</w:t>
      </w:r>
      <w:bookmarkStart w:id="238" w:name="pg2628_20865"/>
    </w:p>
    <w:p>
      <w:pPr>
        <w:pStyle w:val="BookText"/>
        <w:rPr/>
      </w:pPr>
      <w:bookmarkEnd w:id="238"/>
      <w:r>
        <w:rPr>
          <w:rFonts w:ascii="IRNazanin" w:hAnsi="IRNazanin" w:eastAsia="IRNazanin"/>
          <w:color w:val="111111"/>
          <w:sz w:val="28"/>
          <w:sz w:val="28"/>
          <w:szCs w:val="28"/>
          <w:rtl w:val="true"/>
          <w:lang w:bidi="fa-IR"/>
        </w:rPr>
        <w:t xml:space="preserve">تنها جماعتی از امامیه و مرجئه با وی در ردّ احباط هم‌رأیند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گروهی از متکلمان امامیه به احباط معتقد بوده‌اند و این تفکر منحصر به معتزله نبوده تا نوبختیان را در این اندیشه وام‌دار آنان بدانیم</w:t>
      </w:r>
      <w:r>
        <w:rPr>
          <w:rFonts w:eastAsia="IRNazanin" w:cs="IRNazanin"/>
          <w:color w:val="111111"/>
          <w:sz w:val="28"/>
          <w:szCs w:val="28"/>
          <w:rtl w:val="true"/>
          <w:lang w:bidi="fa-IR"/>
        </w:rPr>
        <w:t>.</w:t>
      </w:r>
    </w:p>
    <w:p>
      <w:pPr>
        <w:pStyle w:val="Heading3"/>
        <w:numPr>
          <w:ilvl w:val="2"/>
          <w:numId w:val="1"/>
        </w:numPr>
        <w:rPr/>
      </w:pPr>
      <w:bookmarkStart w:id="239" w:name="__RefHeading___Toc541028_1395250215"/>
      <w:bookmarkStart w:id="240" w:name="_Toc90"/>
      <w:bookmarkEnd w:id="239"/>
      <w:r>
        <w:rPr>
          <w:rtl w:val="true"/>
        </w:rPr>
        <w:t>گناهان صغیره و کبیره</w:t>
      </w:r>
      <w:bookmarkEnd w:id="240"/>
    </w:p>
    <w:p>
      <w:pPr>
        <w:pStyle w:val="BookText"/>
        <w:rPr/>
      </w:pPr>
      <w:r>
        <w:rPr>
          <w:rFonts w:ascii="IRNazanin" w:hAnsi="IRNazanin" w:eastAsia="IRNazanin"/>
          <w:color w:val="111111"/>
          <w:sz w:val="28"/>
          <w:sz w:val="28"/>
          <w:szCs w:val="28"/>
          <w:rtl w:val="true"/>
          <w:lang w:bidi="fa-IR"/>
        </w:rPr>
        <w:t>معتقدانِ به احباط، تنها گناهان کبیره را موجب احباط می دانستند و گناهان را به صغیره و کبیره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همین رو، بنو‌نوبخت مانند معتزله گناهان را به خودی خود، صغیره و کبیره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سید مرتضی فرقی بین گناهان صغیره و کبیره قائل نیست و معتقد است معاصی خداوند همه کبیره‌اند و تقسیم گناهان به کبیره و صغیره از نسبت و مقایسۀ میان آن ها حاصل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بنو‌نوبخت گناهان را به خودی خود، دو دستۀ صغیره و کبیره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معتزله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دیدگاه، شیخ مفید و برخی از امامیه و مرجئه معتقد بودند همۀ گناهان بنفسه کبیره هستند، و صغیره نامیده شدن برخی از گناهان به نسبت دیگر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دیدگاه در صغیر و کبیره بودن گناهان نتیجۀ احباط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احباط، تنها گناهان کبیره را موجب احباط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دانستند و از همین رو، گناهان را به صغیره و کبیره تقسیم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کارکرد متفاوت احباط در اندیشۀ نوبختیان، که اعتقادی به خلود مسلمان مرتکب کبیره در جهنم نداشتند، می‌توان گفت کارکرد گناهان کبیره و صغیره نیز احتمالاً در اندیشۀ نوبختیان متفاوت از معتزله بوده است</w:t>
      </w:r>
      <w:r>
        <w:rPr>
          <w:rFonts w:eastAsia="IRNazanin" w:cs="IRNazanin"/>
          <w:color w:val="111111"/>
          <w:sz w:val="28"/>
          <w:szCs w:val="28"/>
          <w:rtl w:val="true"/>
          <w:lang w:bidi="fa-IR"/>
        </w:rPr>
        <w:t>.</w:t>
      </w:r>
    </w:p>
    <w:p>
      <w:pPr>
        <w:pStyle w:val="Heading3"/>
        <w:numPr>
          <w:ilvl w:val="2"/>
          <w:numId w:val="1"/>
        </w:numPr>
        <w:rPr/>
      </w:pPr>
      <w:bookmarkStart w:id="241" w:name="__RefHeading___Toc541030_1395250215"/>
      <w:bookmarkStart w:id="242" w:name="_Toc91"/>
      <w:bookmarkEnd w:id="241"/>
      <w:r>
        <w:rPr>
          <w:rtl w:val="true"/>
        </w:rPr>
        <w:t>معرفت و طاعت کفار</w:t>
      </w:r>
      <w:bookmarkEnd w:id="2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 کفار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سؤال بین متکلمان مطرح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کافری معرفت به خدا داشته باشد؟ و در این صورت، آیا طاعتی از وی پذیرفته می‌شود یا نه؟ مخالفان معرفتِ کفار معتقد بودند که ممکن نیست کافری معرفت به خداوند داشته باشد، زیرا معرفت به خداوند بالاترین ثواب ها و مدح و تعظیم را در پی دارد و کافر در حال کفرش سزاوار</w:t>
      </w:r>
    </w:p>
    <w:p>
      <w:pPr>
        <w:pStyle w:val="BookText"/>
        <w:rPr/>
      </w:pPr>
      <w:r>
        <w:rPr>
          <w:rFonts w:ascii="IRNazanin" w:hAnsi="IRNazanin" w:eastAsia="IRNazanin"/>
          <w:color w:val="111111"/>
          <w:sz w:val="28"/>
          <w:sz w:val="28"/>
          <w:szCs w:val="28"/>
          <w:rtl w:val="true"/>
          <w:lang w:bidi="fa-IR"/>
        </w:rPr>
        <w:t>مدح و ثنا و ثوابی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متکلمان دربارۀ طاعت کفار نیز همین دیدگاه را داشته و معتقد بودند از کافر طاعتی سر نمی زند، زیرا در این صورت مستحق مدح و ثواب است و مدح و ثنا با کفر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دیدگاه، گروهی از متکلمان که به احباط معتقد بودند، امکان معرفت کفار را می پذیرفتند و معرفت اهل کتاب به خداوند را بر ادعای خود شاهد می‌آورده و معتقد بودند کسی که در ادلۀ اثبات خدا نظر کند معرفت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مدح و ثواب را متوجه مجموع اعمال دانسته و چون معتقد بودند کافر طاعاتش در آخرت احباط می‌شود، لازمۀ این طاعت را مدح و ثنا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بنو‌نوبخت معتقد بودند، بسیاری از کافران به خدا عارف هستند و در بسیاری از کارهای خود فرمان او می‌برند، و در مقابلِ آن طاعت، در دنیا به پاداش و ثواب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در پاره‌ای از این گفتار با بنو‌نوبخت موافقند و گروهی از مرجئه در پاره‌ای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است که نوبختیان معتقدند کفار به واسطۀ طاعات خود در دنیا ثواب می‌بینند</w:t>
      </w:r>
      <w:r>
        <w:rPr>
          <w:rStyle w:val="FootnoteAnchor"/>
          <w:rtl w:val="true"/>
        </w:rPr>
        <w:footnoteReference w:id="67"/>
      </w:r>
      <w:r>
        <w:rPr>
          <w:rFonts w:ascii="IRNazanin" w:hAnsi="IRNazanin" w:eastAsia="IRNazanin"/>
          <w:color w:val="111111"/>
          <w:sz w:val="28"/>
          <w:sz w:val="28"/>
          <w:szCs w:val="28"/>
          <w:rtl w:val="true"/>
          <w:lang w:bidi="fa-IR"/>
        </w:rPr>
        <w:t>و این ربطی به تحابط اعمال در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دیدگاهِ بنو‌نوبخت با دیدگاه گروهی از مرجئه که معتقد بودند کفار در دنیا ثواب طاعات خود را می بینند، هم خوانی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موضوع، بنو‌نوبخت هم‌نوا با معتزله معتقد بودند طاعت با کفر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فرع آن است که آیا کفار ممکن است معرفت به خداوند داشته باشند؛ لذا بنو‌نوبخت که معتقد بودند بسیاری از کفار به خدا معرفت دارند، به امکان جمع بین کفر و اطاعت خداوند رأی داده‌اند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دیدگاه بنو‌نوبخت در باب معرفت و طاعت کفار می‌توان حدس زد، آنان مانند برخی از مرجئه، ایمان را تصدیق و کافر را منکر خدا می‌دانند؛ لذا ممکن است کسی کافر باشد و در عین حال به خدا نیز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دانسته می‌شود آنان کفر را انکار خدا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w:t>
      </w:r>
      <w:bookmarkStart w:id="243" w:name="pg2628_20867"/>
    </w:p>
    <w:p>
      <w:pPr>
        <w:pStyle w:val="BookText"/>
        <w:rPr/>
      </w:pPr>
      <w:bookmarkEnd w:id="243"/>
      <w:r>
        <w:rPr>
          <w:rFonts w:ascii="IRNazanin" w:hAnsi="IRNazanin" w:eastAsia="IRNazanin"/>
          <w:color w:val="111111"/>
          <w:sz w:val="28"/>
          <w:sz w:val="28"/>
          <w:szCs w:val="28"/>
          <w:rtl w:val="true"/>
          <w:lang w:bidi="fa-IR"/>
        </w:rPr>
        <w:t>اختلاف نوبختیان و شیخ مفید در این مسئله نیز به اختلاف رأی آنان در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ایمان، احباط اعمال و غیر این ها باز می گردد</w:t>
      </w:r>
      <w:r>
        <w:rPr>
          <w:rFonts w:eastAsia="IRNazanin" w:cs="IRNazanin"/>
          <w:color w:val="111111"/>
          <w:sz w:val="28"/>
          <w:szCs w:val="28"/>
          <w:rtl w:val="true"/>
          <w:lang w:bidi="fa-IR"/>
        </w:rPr>
        <w:t>.</w:t>
      </w:r>
    </w:p>
    <w:p>
      <w:pPr>
        <w:pStyle w:val="Heading3"/>
        <w:numPr>
          <w:ilvl w:val="2"/>
          <w:numId w:val="1"/>
        </w:numPr>
        <w:rPr/>
      </w:pPr>
      <w:bookmarkStart w:id="244" w:name="__RefHeading___Toc541032_1395250215"/>
      <w:bookmarkStart w:id="245" w:name="_Toc92"/>
      <w:bookmarkEnd w:id="244"/>
      <w:r>
        <w:rPr>
          <w:rtl w:val="true"/>
        </w:rPr>
        <w:t>أعواض</w:t>
      </w:r>
      <w:bookmarkEnd w:id="245"/>
    </w:p>
    <w:p>
      <w:pPr>
        <w:pStyle w:val="BookText"/>
        <w:rPr/>
      </w:pPr>
      <w:r>
        <w:rPr>
          <w:rFonts w:ascii="IRNazanin" w:hAnsi="IRNazanin" w:eastAsia="IRNazanin"/>
          <w:color w:val="111111"/>
          <w:sz w:val="28"/>
          <w:sz w:val="28"/>
          <w:szCs w:val="28"/>
          <w:rtl w:val="true"/>
          <w:lang w:bidi="fa-IR"/>
        </w:rPr>
        <w:t>شیخ مفید دربارۀ لذت و اَلَم و عوض سخنانی دارد که با توجه به آن می‌توان دیدگاه بنو‌نوبخت و اختلاف آنان با شیخ مفید را گمانه زنی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تبیین دیدگاه خود مبنی بر این که، خدا رنج را تنها از آن جهت به شخص بالغ می‌دهد که خیر شخص دیگری در آن است، و رنجی که به کافر تحمیل شده، شایستۀ هیچ عوضی نیست، زیرا کیفر کفر اوست و ممکن است به او در شناختن گمراهی و خطایش کمک کند، تأکید کرده دیدگاه او مخالف دیدگاه کسانی است که اعتقاد به احباط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بنو‌نوبخت که معتقد به احباط هستند، مانند معتزله معتقد بودند رنج دنیوی که سودمند است، متفاوت از عقاب و کیفر می‌باشد؛ لذا رنجی که به انسان می‌رسد همواره شایستۀ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کافر نیز مستحق عوض آلامی است که در دنیا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شیخ مفید با نوبختیان نیز در اختلاف آن ها در دیگر مباحث وعید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نوبختیان در این موضوع نیز تقریباً با معتزله هم‌نوا هستند، اما از آن جا که گزارشی مبنی بر دیدگاه امامیان کوفی در این باب در دست نداریم و شیخ مفید نیز دیدگاه خود را به امامیه نسبت نمی‌دهد، بلکه آن را از مخترعات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اختلاف نوبختیان و مفید را در بستر کلام امامیه ردیابی کرد</w:t>
      </w:r>
      <w:r>
        <w:rPr>
          <w:rFonts w:eastAsia="IRNazanin" w:cs="IRNazanin"/>
          <w:color w:val="111111"/>
          <w:sz w:val="28"/>
          <w:szCs w:val="28"/>
          <w:rtl w:val="true"/>
          <w:lang w:bidi="fa-IR"/>
        </w:rPr>
        <w:t>.</w:t>
      </w:r>
    </w:p>
    <w:p>
      <w:pPr>
        <w:pStyle w:val="Heading3"/>
        <w:numPr>
          <w:ilvl w:val="2"/>
          <w:numId w:val="1"/>
        </w:numPr>
        <w:rPr/>
      </w:pPr>
      <w:bookmarkStart w:id="246" w:name="__RefHeading___Toc541034_1395250215"/>
      <w:bookmarkStart w:id="247" w:name="_Toc93"/>
      <w:bookmarkEnd w:id="246"/>
      <w:r>
        <w:rPr>
          <w:rtl w:val="true"/>
        </w:rPr>
        <w:t>پیامبرشناسی</w:t>
      </w:r>
      <w:bookmarkEnd w:id="247"/>
    </w:p>
    <w:p>
      <w:pPr>
        <w:pStyle w:val="BookText"/>
        <w:rPr/>
      </w:pP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 نوبختیان و شیخ مفید در دو مسئله قابل بررسی است و در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و مقامات انبیا، شیخ مفید به تفاوت دیدگاه خود با نوبختیان اشاره‌ای نمی کند</w:t>
      </w:r>
      <w:r>
        <w:rPr>
          <w:rFonts w:eastAsia="IRNazanin" w:cs="IRNazanin"/>
          <w:color w:val="111111"/>
          <w:sz w:val="28"/>
          <w:szCs w:val="28"/>
          <w:rtl w:val="true"/>
          <w:lang w:bidi="fa-IR"/>
        </w:rPr>
        <w:t>.</w:t>
      </w:r>
    </w:p>
    <w:p>
      <w:pPr>
        <w:pStyle w:val="Heading3"/>
        <w:numPr>
          <w:ilvl w:val="2"/>
          <w:numId w:val="1"/>
        </w:numPr>
        <w:rPr/>
      </w:pPr>
      <w:bookmarkStart w:id="248" w:name="__RefHeading___Toc541036_1395250215"/>
      <w:bookmarkStart w:id="249" w:name="_Toc94"/>
      <w:bookmarkEnd w:id="248"/>
      <w:r>
        <w:rPr>
          <w:rtl w:val="true"/>
        </w:rPr>
        <w:t>«</w:t>
      </w:r>
      <w:r>
        <w:rPr>
          <w:rtl w:val="true"/>
        </w:rPr>
        <w:t>نبوت</w:t>
      </w:r>
      <w:r>
        <w:rPr>
          <w:rtl w:val="true"/>
        </w:rPr>
        <w:t xml:space="preserve">» </w:t>
      </w:r>
      <w:r>
        <w:rPr>
          <w:rtl w:val="true"/>
        </w:rPr>
        <w:t>تفضل است یا استحقاق؟</w:t>
      </w:r>
      <w:bookmarkEnd w:id="2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نوبختیان معتقد بودند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دیدگاه، شیخ مفید با هم‌رأی دانستن نوبختیان با اهل تناسخ، نظر خود را مبنی بر تفضلی بودن مقام نبوت بیان</w:t>
      </w:r>
      <w:bookmarkStart w:id="250" w:name="pg2628_20868"/>
    </w:p>
    <w:p>
      <w:pPr>
        <w:pStyle w:val="BookText"/>
        <w:rPr/>
      </w:pPr>
      <w:bookmarkEnd w:id="250"/>
      <w:r>
        <w:rPr>
          <w:rFonts w:ascii="IRNazanin" w:hAnsi="IRNazanin" w:eastAsia="IRNazanin"/>
          <w:color w:val="111111"/>
          <w:sz w:val="28"/>
          <w:sz w:val="28"/>
          <w:szCs w:val="28"/>
          <w:rtl w:val="true"/>
          <w:lang w:bidi="fa-IR"/>
        </w:rPr>
        <w:t xml:space="preserve">داشته و بیشتر امامیه و جمهور معتزله و همۀ محدثان را با خود هم‌رأی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نوبختیان، امامت را نیز برخلاف شیخ مفید استحقاقی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بنو‌نوبخت معتقد بودند، از آن جا که مقام امامت و نبوت، نوعی ثواب است باید نتیجۀ اعمال باشد؛ لذا امام و پیامبر در پی اعمال نیک مستحق این مقام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ادله‌ای عقلی بر ثواب بودن مقام امامت بیان کرده‌اند و به آیاتی از قرآن در اثبات استحقاقی بودن مقام نبوت و امامت تمسک جسته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تناسخ نیز امامت و نبوت را استحقاقی، و تفضلی بودن آن را منجر به جبر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استحقاقی بودن نبوت، ثواب و پاداش بودن مقام نبوت را مردود می دانند، زیرا ثواب، نفع خالص همراه با تعظیم است، در حالی که تکلیف رسالت دارای مشقت‌های بسیار است؛ علاوه بر این، آنان نقد‌های دیگری نیز بر استحقاقی بودن نبوت و امامت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مفید ـ همان گونه که خود بیان کرده ـ با معتزله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وی همۀ محدثان امامیه را هم‌رأی خود گزارش کرده، اما دیگر منابع در کنار نوبختیان، استحقاقی بودن امامت و نبوت را به برخی از محدثان امامیه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مسئله نیز از اختلافات امامیه بوده که ریشه در فهم روایات و آیات قرآن دارد</w:t>
      </w:r>
      <w:r>
        <w:rPr>
          <w:rFonts w:eastAsia="IRNazanin" w:cs="IRNazanin"/>
          <w:color w:val="111111"/>
          <w:sz w:val="28"/>
          <w:szCs w:val="28"/>
          <w:rtl w:val="true"/>
          <w:lang w:bidi="fa-IR"/>
        </w:rPr>
        <w:t>.</w:t>
      </w:r>
    </w:p>
    <w:p>
      <w:pPr>
        <w:pStyle w:val="Heading3"/>
        <w:numPr>
          <w:ilvl w:val="2"/>
          <w:numId w:val="1"/>
        </w:numPr>
        <w:rPr/>
      </w:pPr>
      <w:bookmarkStart w:id="251" w:name="__RefHeading___Toc541038_1395250215"/>
      <w:bookmarkStart w:id="252" w:name="_Toc95"/>
      <w:bookmarkEnd w:id="251"/>
      <w:r>
        <w:rPr>
          <w:rtl w:val="true"/>
        </w:rPr>
        <w:t>تحریف قرآن</w:t>
      </w:r>
      <w:bookmarkEnd w:id="252"/>
    </w:p>
    <w:p>
      <w:pPr>
        <w:pStyle w:val="BookText"/>
        <w:rPr/>
      </w:pPr>
      <w:r>
        <w:rPr>
          <w:rFonts w:ascii="IRNazanin" w:hAnsi="IRNazanin" w:eastAsia="IRNazanin"/>
          <w:color w:val="111111"/>
          <w:sz w:val="28"/>
          <w:sz w:val="28"/>
          <w:szCs w:val="28"/>
          <w:rtl w:val="true"/>
          <w:lang w:bidi="fa-IR"/>
        </w:rPr>
        <w:t>از گزارش شیخ مفید در رابطه با تحریف قرآن دانسته می‌شود، نوبختیان اندیشه‌ای متفاوت با او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بر اساس شنیده‌هایش، قول به زیاده و نقصان را به نوبختیان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متکلمان و اندیشمندان مدقق و معتبرِ امامی مذهب نیز این قول را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گزارش شیخ مفید، سید مرتضی در الطرابلسیات الاولی بدون اشاره به قول به زیاده، تأکید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نظریات فقها، متکلمان و مناظره‌گرانِ مذهب ما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ابن‌قبه، ابوالاحوص، نوبختیان و اعقاب و اسلافشان، هیچ‌گاه به چنین عقیده‌ای دربارۀ تأیید نقصان قرآن برنمی‌خوریم و از آنان نفیاً و اثباتاً سخنی دربارۀ نقصان قرآن به ما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تصریحِ سید مرتضی با توجه به آشنایی وی با کتاب اوائل المقالات نشان گر آن است که وی شنیده استادش در این باره، دیدگاه نوبختیان را معتبر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 این مدعا که نوبختیان تحریف قرآن را مردود می‌دانسته‌اند ، گفتۀ قاضی عبد‌الجبار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نقل قول ابو‌علی جبایی در متهم کردن متکلمان شیعی به عقایدی باطل از جمله قول به تحریف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امامیانی چون ابو‌الاحوص، نوبختیان و دیگران که به توحید و عدل معتقدند، از این نسبت‌ها مبرّا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معتقد است، علاوه بر وقوع تحریف در چینش آیات و سوره ها، نقصان قرآن نیز امکان عقلی دارد و روایات مستفیضه نیز بر وقوع آن دلالت دارند؛ اما قول به زیاده را عقلاً ممکن نمی‌داند و حتی زیاد شدن یک یا دو حرف در قرآن را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گرچه نقصان قرآن امکان عقلی دارد و روایات نیز بر وقوع این حذف دلالت دارند، اما تمامیِ ما بین الدفتین، کلام خداست و روایات بر حجیت آن دلالت دارند و ما حق تعدی از آن را نداریم و امام بر آنچه از قرآن حذف شده آگاه است و هنگام ظهور قائم آل محمد، وی قرآن منزَل را بر ما قرائت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شیخ مفید همان دیدگاهی است که اشعری به عنوان اولین قول از سه دیدگاه متکلمان امامیه دربارۀ تحریف قرآن، مبنی بر ردّ اضافه و پذیرش نقصان در قرآن نقل کرده است که ظاهراً در میان متکلمان کوفی نیز شیوع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قول سوم را که اعتقاد به عدم نقصان و زیاده است، به متکلمان معتزلی ای که معتقد به امامت هستند</w:t>
      </w:r>
      <w:r>
        <w:rPr>
          <w:rStyle w:val="FootnoteAnchor"/>
          <w:rtl w:val="true"/>
        </w:rPr>
        <w:footnoteReference w:id="68"/>
      </w:r>
      <w:r>
        <w:rPr>
          <w:rFonts w:ascii="IRNazanin" w:hAnsi="IRNazanin" w:eastAsia="IRNazanin"/>
          <w:color w:val="111111"/>
          <w:sz w:val="28"/>
          <w:sz w:val="28"/>
          <w:szCs w:val="28"/>
          <w:rtl w:val="true"/>
          <w:lang w:bidi="fa-IR"/>
        </w:rPr>
        <w:t xml:space="preserve">نسبت می‌دهد و محتملاً قول دوم که در متن افتادگی دارد، از دید وی اعتقاد به نقصان و زیاده بوده که یکی از دیدگاه‌های امامیان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 معتزلی نیز در جدل با ابن‌راوندی همۀ امامیۀ پیشین را معتقد به نقصان و زیاده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اعتقاد نوبختیان را همین بدانیم، باید گفت این اندیشه در مدرسۀ کلامی کوفه ریشه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تحریف قرآن به نظر می‌رسد، چگونگی اعجاز قرآن نیز مورد اختلاف نوبختیان و شیخ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دیدگاه نوبختیان در این باره گزارش نشده، اما از آن جهت که شیخ مفید دیدگاه خود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و تأکید می‌کند تنها هم نوای وی در این اعتقاد</w:t>
      </w:r>
      <w:bookmarkStart w:id="253" w:name="pg2628_20870"/>
    </w:p>
    <w:p>
      <w:pPr>
        <w:pStyle w:val="BookText"/>
        <w:rPr/>
      </w:pPr>
      <w:bookmarkEnd w:id="253"/>
      <w:r>
        <w:rPr>
          <w:rFonts w:ascii="IRNazanin" w:hAnsi="IRNazanin" w:eastAsia="IRNazanin"/>
          <w:color w:val="111111"/>
          <w:sz w:val="28"/>
          <w:sz w:val="28"/>
          <w:szCs w:val="28"/>
          <w:rtl w:val="true"/>
          <w:lang w:bidi="fa-IR"/>
        </w:rPr>
        <w:t xml:space="preserve">نظام معتزلی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نوبختیان اعجاز قرآن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و این دیدگاه شیخ مفید در میان متکلمان امامی هم‌نوایی ندارد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54" w:name="__RefHeading___Toc541040_1395250215"/>
      <w:bookmarkStart w:id="255" w:name="_Toc96"/>
      <w:bookmarkEnd w:id="254"/>
      <w:r>
        <w:rPr>
          <w:rtl w:val="true"/>
        </w:rPr>
        <w:t>امام</w:t>
      </w:r>
      <w:r>
        <w:rPr>
          <w:rtl w:val="true"/>
        </w:rPr>
        <w:t>¬</w:t>
      </w:r>
      <w:r>
        <w:rPr>
          <w:rtl w:val="true"/>
        </w:rPr>
        <w:t>شناسی</w:t>
      </w:r>
      <w:bookmarkEnd w:id="255"/>
    </w:p>
    <w:p>
      <w:pPr>
        <w:pStyle w:val="BookText"/>
        <w:rPr/>
      </w:pPr>
      <w:r>
        <w:rPr>
          <w:rFonts w:ascii="IRNazanin" w:hAnsi="IRNazanin" w:eastAsia="IRNazanin"/>
          <w:color w:val="111111"/>
          <w:sz w:val="28"/>
          <w:sz w:val="28"/>
          <w:szCs w:val="28"/>
          <w:rtl w:val="true"/>
          <w:lang w:bidi="fa-IR"/>
        </w:rPr>
        <w:t xml:space="preserve">بنا بر نقل سید مرتضی، بنو‌نوبخت مانند متکلمان پیشین امامیه، امامت و صفات آن را علاوه بر ادلۀ سمعی با ادلۀ عقلی ثابت می کردند و به وجوب عقلیِ امامت معتقد بوده‌اند و قاعدۀ لطف را در اثبات وجوب عقلی امامت به کار می بستند و روشی متفاوت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آثار شیخ مفید کاملا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شیخ مفید از آثار نوبختیان در باب امامت استفاده کرده و حتی برخی کتاب های آنان را به شاگردانش تدریس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آثار بنو‌نوبخت درمی یابیم، آنان نیز مانند شیخ مفید علاوه بر دفاع از مباحث کلامی امامت، در تاریخ ائمه علیهم السلام نیز تألیفاتی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بیشتر مباحث تاریخیِ مربوط به زندگانی ائمه، در مباحث کلامی مورد استفاده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تاریخیِ نوبختیان در برخی موارد با آرای شیخ مفید در تاریخ ائمه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آرای ابو‌سهل در تاریخ امامان، اعتقاد به نابالغ بودن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شیخ مفید معتقد است آن حضرت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شده؛ از این رو، در کربلا امام بیست و سه ساله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ابو‌سهل نوبختی، تولد امام زمان را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دانسته و نام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شیخ مفید تولد امام زمان را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دانسته و نام مادر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در کتاب التنبیه فی الامامه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 امام موسی بن‌جعفر علیهماالسلام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سی سال از غیبت امام می گذرد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لذا می‌توان گفت، وی زمان شهادت امام موسی بن‌جعفر علیهماالسلام را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bookmarkStart w:id="256" w:name="pg2628_20871"/>
    </w:p>
    <w:p>
      <w:pPr>
        <w:pStyle w:val="BookText"/>
        <w:rPr/>
      </w:pPr>
      <w:bookmarkEnd w:id="256"/>
      <w:r>
        <w:rPr>
          <w:rFonts w:ascii="IRNazanin" w:hAnsi="IRNazanin" w:eastAsia="IRNazanin"/>
          <w:color w:val="111111"/>
          <w:sz w:val="28"/>
          <w:sz w:val="28"/>
          <w:szCs w:val="28"/>
          <w:rtl w:val="true"/>
          <w:lang w:bidi="fa-IR"/>
        </w:rPr>
        <w:t xml:space="preserve">می‌دانسته، اما شیخ مفید شهادت امام کاظم علیه السلام 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ابن‌شهر آشوب از کتاب الجامع فی الامامه ابو‌محمد نوبختی مطلبی نقل کرده مبنی بر این که، عمر در حالی که ام کلثوم صغیره بود، وی را به عقد خود درآورد و پیش از عروسی با وی، عُمَر از دنیا رفت و پس از عمر،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کلثوم به ترتیب با عون بن‌جعفر، محمد بن‌جعفر و عبد الله بن‌جعفر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 آشوب،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دیدگاه، شیخ مفید در مسائل السرویه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ازدواج ام کلثوم و عمر از اساس باطل و غیر ثابت است و اقوال گوناگون دربارۀ این ازدواج، از جمله قول منسوب به حسن بن‌موسی را دلیل بر ضعف این خبر می‌داند و در نهایت، به تأویل اخبار ازدواج و توجیه این شبهه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257" w:name="__RefHeading___Toc541042_1395250215"/>
      <w:bookmarkStart w:id="258" w:name="_Toc97"/>
      <w:bookmarkEnd w:id="257"/>
      <w:r>
        <w:rPr>
          <w:rtl w:val="true"/>
        </w:rPr>
        <w:t>راه شناخت امام</w:t>
      </w:r>
      <w:bookmarkEnd w:id="258"/>
    </w:p>
    <w:p>
      <w:pPr>
        <w:pStyle w:val="BookText"/>
        <w:rPr/>
      </w:pPr>
      <w:r>
        <w:rPr>
          <w:rFonts w:ascii="IRNazanin" w:hAnsi="IRNazanin" w:eastAsia="IRNazanin"/>
          <w:color w:val="111111"/>
          <w:sz w:val="28"/>
          <w:sz w:val="28"/>
          <w:szCs w:val="28"/>
          <w:rtl w:val="true"/>
          <w:lang w:bidi="fa-IR"/>
        </w:rPr>
        <w:t xml:space="preserve">بنا بر آنچه شیخ مفید نقل کرده، امامیه بر لزوم نص بر امامتِ فردی که معجزه ندارد، اجماع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نوبختیان ظهور معجزه را از غیرانبیا ممکن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راه شناخت امام از دید آنان نص می‌باشد؛ از این رو، ابو‌سهل با ادلۀ عقلی لزوم وجود امام منصوصی را ثابت می‌کند که عالم به کتاب و سنت است و در علم او به کتاب و سنت، خطا و نسیان راه ندارد</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مفید معتقد است، از آن جا که صدور معجزه از ائمه امکان دارد و روایات نیز بر وقوع آن دلالت دارند، می‌توان امام را از طریق معجزه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59" w:name="__RefHeading___Toc541044_1395250215"/>
      <w:bookmarkStart w:id="260" w:name="_Toc98"/>
      <w:bookmarkEnd w:id="259"/>
      <w:r>
        <w:rPr>
          <w:rtl w:val="true"/>
        </w:rPr>
        <w:t>علمِ امام</w:t>
      </w:r>
      <w:bookmarkEnd w:id="260"/>
    </w:p>
    <w:p>
      <w:pPr>
        <w:pStyle w:val="BookText"/>
        <w:rPr/>
      </w:pPr>
      <w:r>
        <w:rPr>
          <w:rFonts w:ascii="Amiri" w:hAnsi="Amiri" w:eastAsia="Amiri" w:cs="Amiri"/>
          <w:color w:val="111111"/>
          <w:sz w:val="28"/>
          <w:sz w:val="28"/>
          <w:szCs w:val="28"/>
          <w:rtl w:val="true"/>
          <w:lang w:bidi="ar-SA"/>
        </w:rPr>
        <w:t>علمِ امام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علم ائمه را از جانب خدا می‌دانست و معتقد بود، آنان علوم خود را نزد کسی نیاموخته‌اند، بلکه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علوم را از پیامبر و هر امامی از امام پیش از خود دریافت کرده است و در علوم آنان خطا راه ندارد و در شناخت قرآن و سنت بر دیگران برتری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مفید علاوه بر این طریق معتقد</w:t>
      </w:r>
      <w:bookmarkStart w:id="261" w:name="pg2628_20872"/>
    </w:p>
    <w:p>
      <w:pPr>
        <w:pStyle w:val="BookText"/>
        <w:rPr/>
      </w:pPr>
      <w:bookmarkEnd w:id="261"/>
      <w:r>
        <w:rPr>
          <w:rFonts w:ascii="IRNazanin" w:hAnsi="IRNazanin" w:eastAsia="IRNazanin"/>
          <w:color w:val="111111"/>
          <w:sz w:val="28"/>
          <w:sz w:val="28"/>
          <w:szCs w:val="28"/>
          <w:rtl w:val="true"/>
          <w:lang w:bidi="fa-IR"/>
        </w:rPr>
        <w:t xml:space="preserve">است علوم ائمه ممکن است از راه تحدیث و شنیدن صدای فرشتگان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علم امام نیز مورد اختلاف متکلمان امامی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نوبختیان به وجوب عقلی علم امام به لغات، صنایع و فنون گوناگون اعتقاد داشتند؛ در مقابل، شیخ مفید معتقد است که علم امام به لغات، صنایع و فنون گوناگون، نه ممتنع است و نه وجوب عقلی دارد؛ از این رو، در صورتی که روایات صحیحی در این باره وجود داشته باشد، گستردگی علم امام را از طریق نقل، خواهیم پذیرفت، ولی قابل توجه است که در صحت روایات موجود، تردید وجود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دیدگاه نوبختیان و شیخ مفید در موضوع علم امام، از اندیشه‌های مطرح در میان متکلمان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اشعری، متکلمان امامیه دربارۀ علم امام دو دیدگاه مختلف دارند؛ گروه اول کسانی هستند که معتقدند امام به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و چیزی از علوم دنیا و علوم دین از دایرۀ معارف وی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بودند پیامبر توانایی نوشتن داشته و به زبان‌های مختلف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دوم معتقد بودند امام اگرچه همۀ امور دین را می‌داند، اما به همۀ امور عالم آگاه نیست، زیرا وی حافظ شریعت است؛ از این رو آنچه مردم برای دانستن آن به امام نیاز ندارند، جایز است که امام آن را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62" w:name="__RefHeading___Toc541046_1395250215"/>
      <w:bookmarkStart w:id="263" w:name="_Toc99"/>
      <w:bookmarkEnd w:id="262"/>
      <w:r>
        <w:rPr>
          <w:rtl w:val="true"/>
        </w:rPr>
        <w:t>اعجازِ امام</w:t>
      </w:r>
      <w:bookmarkEnd w:id="263"/>
    </w:p>
    <w:p>
      <w:pPr>
        <w:pStyle w:val="BookText"/>
        <w:rPr/>
      </w:pPr>
      <w:r>
        <w:rPr>
          <w:rFonts w:ascii="IRNazanin" w:hAnsi="IRNazanin" w:eastAsia="IRNazanin"/>
          <w:color w:val="111111"/>
          <w:sz w:val="28"/>
          <w:sz w:val="28"/>
          <w:szCs w:val="28"/>
          <w:rtl w:val="true"/>
          <w:lang w:bidi="fa-IR"/>
        </w:rPr>
        <w:t>شیخ مفید در باب معجزات ائمه علیهم السلام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ظهور معجزات و آیات از امامان باید گفت، امکان آن هست، ولی وجوب عقلی و نیز امتناع قیاسی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آشکار و فراوانی در این باره که معجزاتی از امامان علیهم السلام صادر شده، به ما رسیده است، و من به آن از جهت وحی و اخبار صحیح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امامیان در این خصوص نظر مرا دارند، و نوبختیان با این نظر مخالفند و آن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پیروان امامیه آن را عقلاً همان گونه واجب می‌دانند که بر پیامبران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معتزله مخالف ما نظر دارند، جز ابن‌اخشید و پیروان وی که معجزه را بر غیر انبیا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اصحاب حدیث معجزه را برای هر شخص صالح از اهل تقوا و ایمان روا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نوبختیان وقتی اعجاز را برای ائمه اطهار نپذیرند، برای کارگزاران، وکیلان و سفیرانِ آنان نیز نخواهند پذیرفت، اما شیخ مفید ظهور معجزات را برای آن ها عقلاً ممکن می‌داند و معتقد است نصوص نیز منافاتی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گروهی از مشایخ امامیه را با خود هم‌رأی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بنو‌نوبخت بر ممتنع بودن معجزۀ غیر انبیا، همانند دلیل معتزله این باشد که ظهور کرامت و معجزه از غیر پیامبر خدا صلی الله علیه وآله، موجب ابطال معجزات نبوی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شواهد فراوانی چون درخواست ابو‌سهل از حلاج مبنی بر روییدن مو بر سر ابو‌سهل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نشان می‌دهد بنو‌نوبخت انجام کار‌های خارق العاده از امام و نایبان ایشان را ممکن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ابو‌سهل ظهور علوم فراوان از امامان شیعه را از طریق تعلیم مردود دانسته و آن را از جانب خدا می‌داند و معتقد است این چیزی غیر از نشانۀ الهی و خرق عادت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از هشام بن‌حکم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از غیر پیامبر صادر نمی‌شود و از سویی، او راه رفتن غیر پیامبر را بر آب ممکن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روایاتی دربارۀ معجزات امام صادق و امام کاظم علیهماالسلام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داده می‌شود هشام و نوبختیان ظهور این خوارق عادات را از امام جایز می‌دانستند، اما نام معجزه بر آن نمی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این اختلاف را ناشی از اختلاف در تعریف معجزه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مادلونگ مدعی شده نوبختیان در ردّ معجزه برای غیر پیامبر در میان تشیع، استثنا بوده و در این اعتقاد تحت تأثیر معتزله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احتمال تأثیرپذیری آنان از هشام بن‌حکم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اشعری نیز امتناع ظهور معجزات از ائمه را یکی از چهار قول مطرح در میان متکلمان امامیه در این باب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دهندۀ پیشینۀ این دیدگاه در میان متکلمان امامیه است</w:t>
      </w:r>
      <w:r>
        <w:rPr>
          <w:rFonts w:eastAsia="IRNazanin" w:cs="IRNazanin"/>
          <w:color w:val="111111"/>
          <w:sz w:val="28"/>
          <w:szCs w:val="28"/>
          <w:rtl w:val="true"/>
          <w:lang w:bidi="fa-IR"/>
        </w:rPr>
        <w:t>.</w:t>
      </w:r>
      <w:bookmarkStart w:id="264" w:name="pg2628_20874"/>
    </w:p>
    <w:p>
      <w:pPr>
        <w:pStyle w:val="Heading3"/>
        <w:numPr>
          <w:ilvl w:val="2"/>
          <w:numId w:val="1"/>
        </w:numPr>
        <w:rPr/>
      </w:pPr>
      <w:bookmarkStart w:id="265" w:name="__RefHeading___Toc541048_1395250215"/>
      <w:bookmarkStart w:id="266" w:name="_Toc100"/>
      <w:bookmarkEnd w:id="264"/>
      <w:bookmarkEnd w:id="265"/>
      <w:r>
        <w:rPr>
          <w:rtl w:val="true"/>
        </w:rPr>
        <w:t>ارتباط امام با فرشتگان</w:t>
      </w:r>
      <w:bookmarkEnd w:id="266"/>
    </w:p>
    <w:p>
      <w:pPr>
        <w:pStyle w:val="BookText"/>
        <w:rPr/>
      </w:pPr>
      <w:r>
        <w:rPr>
          <w:rFonts w:ascii="IRNazanin" w:hAnsi="IRNazanin" w:eastAsia="IRNazanin"/>
          <w:color w:val="111111"/>
          <w:sz w:val="28"/>
          <w:sz w:val="28"/>
          <w:szCs w:val="28"/>
          <w:rtl w:val="true"/>
          <w:lang w:bidi="fa-IR"/>
        </w:rPr>
        <w:t xml:space="preserve">دیدگاه به دست آمده از نوبختیان در این باره، بیان گر آن است که ایشان بر این باور بوده‌اند که امام، نه سخن فرشتگان را می شنود و نه می‌تواند آنان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پس از این که نزول وحی بر ائمه را بنا بر اجماع مسلمین ـ که معتقدند بعد از پیامبر وحی قطع شده ـ ممتنع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ممکن است ائمه سخن فرشتگان را بشنوند، بدون آن که آنان را ببینند و برای شیعیان صدّیق نیز ممتنع نیست، و بر صحت این مطلب دربارۀ امامان و برخی از شیعیان نیکوکار و صالح، اخباری با حجت روشن و برهان آشکار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فقها و اصحاب حدیث امامیه را با خود هم‌رأی و نوبختیان را مخالف نظر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مفید برای توجیه این دو امر یقینی که به ظاهر با هم تعارض دارند، معتقد شده وحی به انبیا اختصاص دارد، ولی شنیدن صدای فرشته ها برای غیر انبیا نیز ممکن است؛ البته بر آن نام وحی نمی نهد، و این عدم نام گذاری به وحی به دلیل اجماع مسلمین است، وگرنه در معنا، وحی ای که با شنیدن صدای فرشتگان بر انبیا نازل می‌شود، با شنیدن صدای فرشتگان برای غیر انبیا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علاوه بر نام گذاری، تفاوت دیگری نیز بین سماع کلام ملائکه و وحی از دید شیخ مفید باشد و آن این است که وحیِ بر انبیا احکام تشریعی را در بر می‌گیرد، ولی فرشتگان برای غیر نبی احکام تشریعی نمی‌آورند و ائمه، تنها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فرشتگان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چه در کلام شیخ مفید و چه در گزارش اشعری، ذیل موضوع اعجاز ائمه بحث شده که مهم ترین تفاوت انبیا و ائمه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دیدگاه نوبختیان و شیخ مفید را اشعری به عنوان تفکر گروهی از متکلمان امامیه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نوبختیان، در میان متکلمان کوفی نیز عده ای الهام و تحدیث فرشتگان بر ائمه را منکر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 این گروه می‌توان به هشام بن‌حکم، سدیر صیرفی، یونس بن‌عبدالرحمن و فضل بن‌شاذان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اندیشۀ نوبختیان در باب سماع کلام ملائکه و اعجاز ائمه، بستری معتزلی ندارد، بلکه این مسئله از ابتدا در میان امامیه به عنوان مسئله ای درون مذهبی مورد اختلاف بوده است</w:t>
      </w:r>
      <w:r>
        <w:rPr>
          <w:rFonts w:eastAsia="IRNazanin" w:cs="IRNazanin"/>
          <w:color w:val="111111"/>
          <w:sz w:val="28"/>
          <w:szCs w:val="28"/>
          <w:rtl w:val="true"/>
          <w:lang w:bidi="fa-IR"/>
        </w:rPr>
        <w:t>.</w:t>
      </w:r>
    </w:p>
    <w:p>
      <w:pPr>
        <w:pStyle w:val="Heading3"/>
        <w:numPr>
          <w:ilvl w:val="2"/>
          <w:numId w:val="1"/>
        </w:numPr>
        <w:rPr/>
      </w:pPr>
      <w:bookmarkStart w:id="267" w:name="__RefHeading___Toc541050_1395250215"/>
      <w:bookmarkStart w:id="268" w:name="_Toc101"/>
      <w:bookmarkEnd w:id="267"/>
      <w:r>
        <w:rPr>
          <w:rtl w:val="true"/>
        </w:rPr>
        <w:t>انبیا و امامان پس از رحلت</w:t>
      </w:r>
      <w:bookmarkEnd w:id="2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بنو‌نوبخت دربارۀ احوال انبیا و امامان پس از رحلت،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استناد به قرآن و احادیث، نتیجه گرفته، آنان با روح و جسم در بهشت زندگی کرده، از</w:t>
      </w:r>
      <w:bookmarkStart w:id="269" w:name="pg2628_20875"/>
    </w:p>
    <w:p>
      <w:pPr>
        <w:pStyle w:val="BookText"/>
        <w:rPr/>
      </w:pPr>
      <w:bookmarkEnd w:id="269"/>
      <w:r>
        <w:rPr>
          <w:rFonts w:ascii="IRNazanin" w:hAnsi="IRNazanin" w:eastAsia="IRNazanin"/>
          <w:color w:val="111111"/>
          <w:sz w:val="28"/>
          <w:sz w:val="28"/>
          <w:szCs w:val="28"/>
          <w:rtl w:val="true"/>
          <w:lang w:bidi="fa-IR"/>
        </w:rPr>
        <w:t>نعمت های الهی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نیکوکار و شیعیان امّت خود را که از دنیا می روند، ملاقات کرده، بشارت می دهند و با آنان، برخوردی کریمانه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و ائمه اطهار، با برخورداری از عنایت الهی، و نه به طور مستقل، پیوسته از احوال پیروان خود در دنیا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کلام زائرانی را می شنوند که در حرم های مطهرشان یا از راه های دور با ایشان گفت وگو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مذهبِ فقها و محدثان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گذشتۀ ایشان در این باره گفتاری به من نرسیده و خبری که به من رسیده آن است که بنو‌نوبخت با من اختلاف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شیخ مفید برمی آید، دیدگاه نوبختیان در این مورد در کتاب‌های آن ها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شیخ مفید از اساتید خود، که شاگردان ابو‌سهل بوده‌اند، با این دیدگاه نوبختیان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نمی‌دانیم بنو‌نوبخت در کدام قسمت از دیدگاه بیان شدۀ شیخ مفید در این مسئله با وی مخالف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است که شیخ مفید تأکید می‌کند از متکلمان پیشین امامیه گفتاری به وی نرسیده؛ از این رو، نمی توان این اختلاف دیدگاه نوبختیان و شیخ مفید را در بستر اندیشۀ متکلمان نخستین امامیه ردیابی کرد</w:t>
      </w:r>
      <w:r>
        <w:rPr>
          <w:rFonts w:eastAsia="IRNazanin" w:cs="IRNazanin"/>
          <w:color w:val="111111"/>
          <w:sz w:val="28"/>
          <w:szCs w:val="28"/>
          <w:rtl w:val="true"/>
          <w:lang w:bidi="fa-IR"/>
        </w:rPr>
        <w:t>.</w:t>
      </w:r>
    </w:p>
    <w:p>
      <w:pPr>
        <w:pStyle w:val="Heading3"/>
        <w:numPr>
          <w:ilvl w:val="2"/>
          <w:numId w:val="1"/>
        </w:numPr>
        <w:rPr/>
      </w:pPr>
      <w:bookmarkStart w:id="270" w:name="__RefHeading___Toc541052_1395250215"/>
      <w:bookmarkStart w:id="271" w:name="_Toc102"/>
      <w:bookmarkEnd w:id="270"/>
      <w:r>
        <w:rPr>
          <w:rtl w:val="true"/>
        </w:rPr>
        <w:t>انتخاب کارگزاران امام</w:t>
      </w:r>
      <w:bookmarkEnd w:id="271"/>
    </w:p>
    <w:p>
      <w:pPr>
        <w:pStyle w:val="BookText"/>
        <w:rPr/>
      </w:pPr>
      <w:r>
        <w:rPr>
          <w:rFonts w:ascii="IRNazanin" w:hAnsi="IRNazanin" w:eastAsia="IRNazanin"/>
          <w:color w:val="111111"/>
          <w:sz w:val="28"/>
          <w:sz w:val="28"/>
          <w:szCs w:val="28"/>
          <w:rtl w:val="true"/>
          <w:lang w:bidi="fa-IR"/>
        </w:rPr>
        <w:t>بنو‌نوبخت نصّ بر وکلا را مانند نصّ بر امام از سوی خداوند می‌دانستند؛ بنابراین، بنو‌نوبخت معتقد بودند وکلا و نواب ائمه مانند خود امام از جانب خدا انتخاب شده و نصّ الهی بر اعیان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نصّ ائمه بر وکلا را لازم می‌دانسته،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خداوند اختیار انتخاب آنان را به امام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شیخ مفید که در غیبت کبری می زیسته، چون دیده نص بر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امام از جانب خدا، آن گونه که در غیبت صغری بوده وجود ندارد، معتقد شده نصّ بر شخص کارگزار لازم نیست و خداوند انتخاب آنان را به اختیار ائمه قرار داده است</w:t>
      </w:r>
      <w:r>
        <w:rPr>
          <w:rFonts w:eastAsia="IRNazanin" w:cs="IRNazanin"/>
          <w:color w:val="111111"/>
          <w:sz w:val="28"/>
          <w:szCs w:val="28"/>
          <w:rtl w:val="true"/>
          <w:lang w:bidi="fa-IR"/>
        </w:rPr>
        <w:t>.</w:t>
      </w:r>
    </w:p>
    <w:p>
      <w:pPr>
        <w:pStyle w:val="Heading3"/>
        <w:numPr>
          <w:ilvl w:val="2"/>
          <w:numId w:val="1"/>
        </w:numPr>
        <w:rPr/>
      </w:pPr>
      <w:bookmarkStart w:id="272" w:name="__RefHeading___Toc541054_1395250215"/>
      <w:bookmarkStart w:id="273" w:name="_Toc103"/>
      <w:bookmarkEnd w:id="272"/>
      <w:r>
        <w:rPr>
          <w:rtl w:val="true"/>
        </w:rPr>
        <w:t>نتیجه</w:t>
      </w:r>
      <w:r>
        <w:rPr>
          <w:rtl w:val="true"/>
        </w:rPr>
        <w:t>¬</w:t>
      </w:r>
      <w:r>
        <w:rPr>
          <w:rtl w:val="true"/>
        </w:rPr>
        <w:t>گیری</w:t>
      </w:r>
      <w:bookmarkEnd w:id="27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هم سانیِ اندیشه‌های نوبختیان و شیخ مفید در بسیاری از اندیشه‌های کلامی، تفاوت‌های اندیشه‌ای آنان در برخی آرای کلامی گویای آن است که مدرسۀ کلامی نوبختیان و شیخ مفید، دو مدرسۀ اجتهادی در علم کلام بوده که بسیاری از دیدگاه ها در آن تأسیسی است و آنان ناظر به اندیشه‌های کلامی رایج، اعم از مدارس کلامیِ امامیه و معتزله آرایی را</w:t>
      </w:r>
    </w:p>
    <w:p>
      <w:pPr>
        <w:pStyle w:val="BookText"/>
        <w:rPr/>
      </w:pPr>
      <w:r>
        <w:rPr>
          <w:rFonts w:ascii="IRNazanin" w:hAnsi="IRNazanin" w:eastAsia="IRNazanin"/>
          <w:color w:val="111111"/>
          <w:sz w:val="28"/>
          <w:sz w:val="28"/>
          <w:szCs w:val="28"/>
          <w:rtl w:val="true"/>
          <w:lang w:bidi="fa-IR"/>
        </w:rPr>
        <w:t>برگزیده‌اند؛ از این رو، علاوه بر مشابهت‌های فراوانی که هر یک از آنان با مدرسۀ کلامیِ امامیه در کوفه دارند، در برخی موارد اندیشۀ کلامی مفید یا نوبختیان، در نتیجه هم نوا با معتزله و حتی مرجئه بوده و از اندیشۀ عمومی مدرسۀ کوفه دور می‌گردد؛ هرچند در همین موارد نیز در میان متکلمان پیشین امامیه رگه‌های این تفکر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مهمی چون معرفت و استطاعت که از بنیان‌های تفکر امامیه است، نوبختیان هم‌گراییِ بیشتری با متکلمان پیشین امامیه داشته و در تقابل جدی با معتزله هستند و اندیشۀ شیخ مفید در این مباحث هم‌نواییِ بیشتری با معتزله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خداشناسی، نوبختیان و مفید در اندیشه‌ای مشترک با واگرایی از دیدگاه عمومیِ متکلمان کوفی، توحید معتزلی را که نشانه‌هایی از وجود آن در میان امامیۀ پیش از نوبختیان دیده می‌شود، برگزیده‌اند و در مباحث جهان‌شناسی که مجادله در آن نتیجۀ آشنایی متکلمان مسلمان با آثار فلاسفۀ یونان بود و ریشه در کلام اولیۀ مسلمین نداشت، نوبختیان، به خصوص ابو‌محمد در نتیجۀ توانایی ای که در علوم اوائل داشت، آرایی را ارائه کردند که مورد توجه شیخ مفید ـ که در این مباحث به شدت از ابو‌القاسم بلخی تأثیر گرفته است ـ قرار نگرفت و برعکس؛ معتزلۀ بصره به آرای نوبختی توجه نشان داده، در تبیین اندیشۀ خود از آن بسیار سود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وعید و اسما و احکام، نوبختیان با این که در فروعاتی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موافات و گناهان صغیره و کبیره نوعی هم‌نوایی با معتزله نشان می‌دهند، در عین حال در مسائل ریشه‌ای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وعید و تعریف ایمان و نام گذاری مسلمانِ مرتکب کبیره، در تقابل جدی با اندیشۀ معتزلی اند؛ و در جهت دیگر، شیخ مفید در مسائلی که نوبختیان با معتزله هم‌رأیند، برداشت آنان در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احباط، موافات، گناهان صغیره و کبیره را برنمی تابد، اما دیدگاه او در تعریف ایمان و نام گذاری مسلمانِ مرتکب کبیره با اندیشۀ معتزله شباهت‌هایی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تفاوت اندیشه‌ها می‌تواند ریشه در اختلاف آرای متکلمان پیشین امامیه داشته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در باب امامت و نبوت، نوبختیان حد فاصل مقام امامت با نبوت را نفی ارتباط امام با فرشتگان و صدور معجزه از وی دانسته و در این اندیشه، با گروهی از امامیه هم نوا هستند که حد فاصل مشخصی بین این دو مقام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تلاش دارد در پیروی از گروهی دیگر از امامیان، نوعی ارتباط بین امام و فرشتگان را اثبات کند، و صدور معجزه از امامان را ممکن می‌داند؛ هرچند این دو مقام را منحصر در ائمه نمی‌کند و آن را برای اولیا و خواص نیز ممکن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نتیجۀ همین تفکر، نوبختیان که ارتباط امام را با ماوراء از طریق</w:t>
      </w:r>
      <w:bookmarkStart w:id="274" w:name="pg2628_20877"/>
    </w:p>
    <w:p>
      <w:pPr>
        <w:pStyle w:val="BookText"/>
        <w:rPr/>
      </w:pPr>
      <w:bookmarkEnd w:id="274"/>
      <w:r>
        <w:rPr>
          <w:rFonts w:ascii="IRNazanin" w:hAnsi="IRNazanin" w:eastAsia="IRNazanin"/>
          <w:color w:val="111111"/>
          <w:sz w:val="28"/>
          <w:sz w:val="28"/>
          <w:szCs w:val="28"/>
          <w:rtl w:val="true"/>
          <w:lang w:bidi="fa-IR"/>
        </w:rPr>
        <w:t>فرشتگان نمی پذیرفتند، در تقابل با اندیشۀ شیخ مفید، عقلاً به لزوم گسترۀ علم امام در همۀ علوم و فنون معتقد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دیدگاه در میان متکلمان پیشین امامیه معتقدانی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هر یک از نوبختیان و شیخ مفید در برخی اندیشه‌های کلامی هم نوا با معتزله‌اند، اما در مجموع، آرای مشترک نوبختیان با معتزله بیشتر در موضوعاتی است که در میان متکلمان امامیۀ پیشین نیز همانندی دارد و نزدیکیِ مفید به معتزله در مباحث ریشه‌ای مانند معرفت و استطاعت نمود بیشتری دارد و خود وی نیز در مباحث لطیف‌الکلام ابایی از ابراز این هم‌نوایی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اگرچه نوبختیان یک قرن پیش از شیخ مفید با اندیشه‌های معتزلی آشنا شده‌اند و با برجستگان مدرسۀ معتزلیِ بصره و بغداد در ارتباط بوده‌اند، اما این ارتباط در آن عصر منحصر به نوبختیان نبوده و نوبختیان آغازگر این ارتباط نبوده‌اند و متکلمان پیشینِ امامی مذهب نیز همواره در ارتباط با اندیشۀ معتزلی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نفوذ و تأثیر معتزله بر شیخ مفید ظاهراً نه از سوی نوبختیان، بلکه از مطالعات مستقیم خود وی در آثار معتزلیان، به خصوص متکلم بزرگ معتزلیِ بغداد،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275" w:name="__RefHeading___Toc541056_1395250215"/>
      <w:bookmarkStart w:id="276" w:name="_Toc104"/>
      <w:bookmarkEnd w:id="275"/>
      <w:r>
        <w:rPr>
          <w:rtl w:val="true"/>
        </w:rPr>
        <w:t>منابع</w:t>
      </w:r>
      <w:bookmarkEnd w:id="27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 الدین،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أبکارالأفکار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مهدی، قاهره،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قم، مکتبة آیةالله المرعشی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 احمد بن عبد الحلیم،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تلبیس الجهمیة فی تأسیس بدعهم الکلامیة،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 الرحمن بن قاسم، مکة المکرمة، مطبعة الحکومة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السنة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مصر، مؤسسة القرطبة،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العقیدة الاصفهانیة، ریاض، مکتبة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ابوجعفر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اساتذة النجف الاشرف، نجف اشرف،المکتبة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علی‌رضا،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بن حکم، قم، پژوهشگاه علوم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سیدمرتضی، قم، پژوهشگاه علوم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ابو 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آلمان ـ ویسبادن، فرانس شتاینر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اشمیتکه، زابینه،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علامه حلی،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نمایی، مشهد،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نوبختی، تهران، طهروبی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بیروت، دارالجیل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النظر،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زابینه اشمیتکه و دیگران،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انصاری، تهران، مؤسسه پژوهشی حکمت و فلسفه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جاحظ،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الجاحظ، تقدیم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بو‌ملحم، دار و مکتبة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جلالی، سیدمحمدرضا،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 او مقالات الامامیه للنوبختی‌ام للاشعری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تراثنا، سالاول،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زاده، سید‌علی،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 متکلمان نوبختی و تأثیر آن بر اندیشه های امامیه، پایان نامه موجود در قم، کتابخانه دانشگاه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علم کلام در ایران و جهان، تهران، اساطیر،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علی بن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در مرکز التراث و البحوث الیمنی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قم،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محمدجعفر،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معنایی اصطلاح علمی ابرار با تأکید بر جریانات فکری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نوین دینی، سال هشتم، ش</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 دار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الزهراء حسینی، تهران، مؤسسة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الطرابلسیات الاولی، مرکز احیاء التراث الاسلامی، شماره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1690/3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 العلم و العمل، نجف اشرف،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مایتعلق بالاعتقاد، بیروت، 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للحجة، قم، دار المعارف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قم، کتابخانه محقق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کنگره جهانی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السرویة، قم، کنگره جهانی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قم،کنگره جهانی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قم، کنگره جهانی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العکبریة، قم، کنگره جهانی شیخ مفید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مناهج الیقین فی أصول الدین، تهران، دار الاسوه،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الخمسة،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ابی هاشم،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قنواتی، قاهره، دارالمصریه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دلائل النبوة، قاهره، دار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معتزله و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مکتب‌ها و فرقه‌های اسلامی در سده‌های میانی،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قاسمی، مشهد،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ملاحمی خوارزمی، محمودبن محمد،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المعتمد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تهران، میراث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سیدموسی شبیری زنجانی،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نشوان حمیری، ابو سعید،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الحور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مصطفی، قاهره، مکتبه الخانجی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ابو‌رشید،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الخلاف بین البصریین و البغدادیین، تحقیق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معن زیاده و دکتر رضوان السید، طرابلس، معهد الانماء العربی، الطبعة الاولی</w:t>
      </w:r>
      <w:r>
        <w:rPr>
          <w:rFonts w:eastAsia="IRNazanin" w:cs="IRNazanin"/>
          <w:color w:val="111111"/>
          <w:sz w:val="28"/>
          <w:szCs w:val="28"/>
          <w:rtl w:val="true"/>
          <w:lang w:bidi="fa-IR"/>
        </w:rPr>
        <w:t>.</w:t>
      </w:r>
      <w:bookmarkStart w:id="277" w:name="pg2628_20880"/>
    </w:p>
    <w:p>
      <w:pPr>
        <w:pStyle w:val="Heading2"/>
        <w:numPr>
          <w:ilvl w:val="1"/>
          <w:numId w:val="1"/>
        </w:numPr>
        <w:rPr/>
      </w:pPr>
      <w:bookmarkStart w:id="278" w:name="__RefHeading___Toc541058_1395250215"/>
      <w:bookmarkStart w:id="279" w:name="_Toc105"/>
      <w:bookmarkEnd w:id="277"/>
      <w:bookmarkEnd w:id="278"/>
      <w:r>
        <w:rPr>
          <w:rtl w:val="true"/>
        </w:rPr>
        <w:t>مراحل تبیین اصل امامت در عصر حضور</w:t>
      </w:r>
      <w:bookmarkEnd w:id="279"/>
    </w:p>
    <w:p>
      <w:pPr>
        <w:pStyle w:val="Heading3"/>
        <w:numPr>
          <w:ilvl w:val="2"/>
          <w:numId w:val="1"/>
        </w:numPr>
        <w:rPr/>
      </w:pPr>
      <w:bookmarkStart w:id="280" w:name="__RefHeading___Toc541060_1395250215"/>
      <w:bookmarkStart w:id="281" w:name="_Toc10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سیدمحمدکاظم طباطبائی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سیدمصطفی مطهری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1392/06/07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1392/07/01</w:t>
      </w:r>
    </w:p>
    <w:p>
      <w:pPr>
        <w:pStyle w:val="Heading3"/>
        <w:numPr>
          <w:ilvl w:val="2"/>
          <w:numId w:val="1"/>
        </w:numPr>
        <w:rPr/>
      </w:pPr>
      <w:bookmarkStart w:id="282" w:name="__RefHeading___Toc541062_1395250215"/>
      <w:bookmarkStart w:id="283" w:name="_Toc107"/>
      <w:bookmarkEnd w:id="282"/>
      <w:r>
        <w:rPr>
          <w:rtl w:val="true"/>
        </w:rPr>
        <w:t>چکیده</w:t>
      </w:r>
      <w:bookmarkEnd w:id="283"/>
    </w:p>
    <w:p>
      <w:pPr>
        <w:pStyle w:val="BookText"/>
        <w:rPr/>
      </w:pPr>
      <w:r>
        <w:rPr>
          <w:rFonts w:ascii="IRNazanin" w:hAnsi="IRNazanin" w:eastAsia="IRNazanin"/>
          <w:color w:val="111111"/>
          <w:sz w:val="28"/>
          <w:sz w:val="28"/>
          <w:szCs w:val="28"/>
          <w:rtl w:val="true"/>
          <w:lang w:bidi="fa-IR"/>
        </w:rPr>
        <w:t>نا آشنایی و یا عدم دقت در سیر تبیین معارف وحیانی، گاه سبب بروز شبهۀ تبدّل و تحول پذیری آموزه های شیعی شده است؛ از این رو، شناختی دقیق از سیر تبیین معارف اهل بیت علیهم السلام، نیازمند توجه به همۀ شرایط و عناصر تاریخیِ اثرگذار در دورۀ پیامبر و امامان است که در آن، تکامل تدریجی معارف با دو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فرایند اجمالی ـ تفصیلی و دوم، ترسیم چهار دورۀ نسبی در دوران حضور اهل بیت علیهم السلام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حاضر با محور قرار دادن آموزۀ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تا چگونگی روند تبیین این اصل را با ملاحظۀ عناصر تاریخی در دورۀ حضور، بیان کند و نیز نشان دهد که محتوای وحیانی در سیر خود دستخوش تبدّل و تحول نشده است</w:t>
      </w:r>
      <w:r>
        <w:rPr>
          <w:rFonts w:eastAsia="IRNazanin" w:cs="IRNazanin"/>
          <w:color w:val="111111"/>
          <w:sz w:val="28"/>
          <w:szCs w:val="28"/>
          <w:rtl w:val="true"/>
          <w:lang w:bidi="fa-IR"/>
        </w:rPr>
        <w:t>.</w:t>
      </w:r>
    </w:p>
    <w:p>
      <w:pPr>
        <w:pStyle w:val="Heading3"/>
        <w:numPr>
          <w:ilvl w:val="2"/>
          <w:numId w:val="1"/>
        </w:numPr>
        <w:rPr/>
      </w:pPr>
      <w:bookmarkStart w:id="284" w:name="__RefHeading___Toc541064_1395250215"/>
      <w:bookmarkStart w:id="285" w:name="_Toc108"/>
      <w:bookmarkEnd w:id="284"/>
      <w:r>
        <w:rPr>
          <w:rtl w:val="true"/>
        </w:rPr>
        <w:t>واژگان کلیدی</w:t>
      </w:r>
      <w:bookmarkEnd w:id="2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شبهۀ تحول پذیری، فرایند اجمال به تفصیل، عناصر تاریخی</w:t>
      </w:r>
      <w:r>
        <w:rPr>
          <w:rFonts w:eastAsia="IRNazanin" w:cs="IRNazanin"/>
          <w:color w:val="111111"/>
          <w:sz w:val="28"/>
          <w:szCs w:val="28"/>
          <w:rtl w:val="true"/>
          <w:lang w:bidi="fa-IR"/>
        </w:rPr>
        <w:t>.</w:t>
      </w:r>
      <w:bookmarkStart w:id="286" w:name="pg2628_20881"/>
    </w:p>
    <w:p>
      <w:pPr>
        <w:pStyle w:val="Heading3"/>
        <w:numPr>
          <w:ilvl w:val="2"/>
          <w:numId w:val="1"/>
        </w:numPr>
        <w:rPr/>
      </w:pPr>
      <w:bookmarkStart w:id="287" w:name="__RefHeading___Toc541066_1395250215"/>
      <w:bookmarkStart w:id="288" w:name="_Toc109"/>
      <w:bookmarkEnd w:id="286"/>
      <w:bookmarkEnd w:id="287"/>
      <w:r>
        <w:rPr>
          <w:rtl w:val="true"/>
        </w:rPr>
        <w:t>درآمد</w:t>
      </w:r>
      <w:bookmarkEnd w:id="288"/>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نقش اساسی مذهب تشیع به رهبری اهل بیت علیهم السلام در شکل گیری و سیر تکاملی فرهنگ و تمدن اسلامی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شیعه با هدایت خاندان رسالت و تلاش‌های کم نظیر عالمان ربانی و فرهیختۀ آن، نقش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بدیلی در جریان تمدن سازی اسلامی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اگرچه دقت در سیر تطور اندیشۀ شیعه در هر سده‌ای ضروری می‌نماید، اما بررسی‌های علمی در حوزۀ فکری شیعی در سه قرن نخست، اهمیت فراوانی دارد، زیرا بدون شک در این برهه از زمان، و در یک نگاه جامع تحلیلی ـ تبیینی، مجموعه ای از عوامل و حوادث سیاسی، اجتماعی، فرهنگی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معارف بنیادین امامیه نقش آفرین بوده اند</w:t>
      </w:r>
      <w:r>
        <w:rPr>
          <w:rStyle w:val="FootnoteAnchor"/>
          <w:rtl w:val="true"/>
        </w:rPr>
        <w:footnoteReference w:id="77"/>
      </w:r>
      <w:r>
        <w:rPr>
          <w:rFonts w:ascii="IRNazanin" w:hAnsi="IRNazanin" w:eastAsia="IRNazanin"/>
          <w:color w:val="111111"/>
          <w:sz w:val="28"/>
          <w:sz w:val="28"/>
          <w:szCs w:val="28"/>
          <w:rtl w:val="true"/>
          <w:lang w:bidi="fa-IR"/>
        </w:rPr>
        <w:t>که مطالعۀ آن می تواند زوایای مهمی از بنیان های فکری تشیع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نگاهی عمیق به بستر تاریخ و دقت در تأثیرگذاری این شرایط و اجزای تاریخی و درون مایه های آن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آزادی های سیاسی، جنبش های معارض، وجود یا عدم روحیۀ پرسش گریِ افراد فرهیخته، تلاش برای دانش اندوزی و مواجهه با افکار جدید، جایگاه مردمی، گستردگی بلاد اسلامی، سازمان وکالت، پراکندگی جمعیتی، بی توجهی به دین و رشد فساد اخلاقی ـ در روند تبیین معارف، به خوبی از سیر تدریجی و مرحله ای معارف و تبیین اجمالی ـ تفصیلی معارف نبوی، از جمله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 ما را به وجود چهار دوره در این مسیر هدایت می کند که فرایندی در قالب پایه ریزی اندیشۀ امامت، شکوفایی و تثبیت اندیشه، تصحیح و پاسخ به شبهات احتمالی و در نهایت، عینیت آن در جامعه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دوره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دورۀ پیامبر اسلام تا پایان دورۀ امامت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دورۀ امامت صادقین علیهما السلام تا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دورۀ امامت امام کاظم و امام رضا علیهما السلام؛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دورۀ امامت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عصر غیبت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نوشتار حاضر، در صدد نمایاندن سیر تبیین آموزۀ امامت در این چهار دوره است</w:t>
      </w:r>
      <w:r>
        <w:rPr>
          <w:rFonts w:eastAsia="IRNazanin" w:cs="IRNazanin"/>
          <w:color w:val="111111"/>
          <w:sz w:val="28"/>
          <w:szCs w:val="28"/>
          <w:rtl w:val="true"/>
          <w:lang w:bidi="fa-IR"/>
        </w:rPr>
        <w:t>.</w:t>
      </w:r>
      <w:r>
        <w:rPr>
          <w:rStyle w:val="FootnoteAnchor"/>
          <w:rtl w:val="true"/>
        </w:rPr>
        <w:footnoteReference w:id="78"/>
      </w:r>
      <w:bookmarkStart w:id="289" w:name="pg2628_20882"/>
    </w:p>
    <w:p>
      <w:pPr>
        <w:pStyle w:val="Heading3"/>
        <w:numPr>
          <w:ilvl w:val="2"/>
          <w:numId w:val="1"/>
        </w:numPr>
        <w:rPr/>
      </w:pPr>
      <w:bookmarkStart w:id="290" w:name="__RefHeading___Toc541068_1395250215"/>
      <w:bookmarkStart w:id="291" w:name="_Toc110"/>
      <w:bookmarkEnd w:id="289"/>
      <w:bookmarkEnd w:id="290"/>
      <w:r>
        <w:rPr>
          <w:rtl w:val="true"/>
        </w:rPr>
        <w:t xml:space="preserve">تبیین اصل </w:t>
      </w:r>
      <w:r>
        <w:rPr>
          <w:rtl w:val="true"/>
        </w:rPr>
        <w:t>«</w:t>
      </w:r>
      <w:r>
        <w:rPr>
          <w:rtl w:val="true"/>
        </w:rPr>
        <w:t>امامت</w:t>
      </w:r>
      <w:r>
        <w:rPr>
          <w:rtl w:val="true"/>
        </w:rPr>
        <w:t xml:space="preserve">» </w:t>
      </w:r>
      <w:r>
        <w:rPr>
          <w:rtl w:val="true"/>
        </w:rPr>
        <w:t>در چهار دوره</w:t>
      </w:r>
      <w:bookmarkEnd w:id="291"/>
    </w:p>
    <w:p>
      <w:pPr>
        <w:pStyle w:val="Heading4"/>
        <w:numPr>
          <w:ilvl w:val="3"/>
          <w:numId w:val="1"/>
        </w:numPr>
        <w:rPr/>
      </w:pPr>
      <w:bookmarkStart w:id="292" w:name="__RefHeading___Toc541070_1395250215"/>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آن چنان که پیش تر گفته شد، می توان در تبیین معارف شیعی با لحاظ عناصر تاریخی، چهار دوره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 همراه کیفیت نصوص مطرح آن چنیند</w:t>
      </w:r>
      <w:r>
        <w:rPr>
          <w:rFonts w:eastAsia="IRNazanin" w:cs="IRNazanin"/>
          <w:color w:val="111111"/>
          <w:sz w:val="28"/>
          <w:szCs w:val="28"/>
          <w:rtl w:val="true"/>
          <w:lang w:bidi="fa-IR"/>
        </w:rPr>
        <w:t>:</w:t>
      </w:r>
    </w:p>
    <w:p>
      <w:pPr>
        <w:pStyle w:val="Heading4"/>
        <w:numPr>
          <w:ilvl w:val="3"/>
          <w:numId w:val="1"/>
        </w:numPr>
        <w:rPr/>
      </w:pPr>
      <w:bookmarkStart w:id="294" w:name="__RefHeading___Toc541072_1395250215"/>
      <w:bookmarkStart w:id="295" w:name="_Toc112"/>
      <w:bookmarkEnd w:id="294"/>
      <w:r>
        <w:rPr/>
        <w:t>1</w:t>
      </w:r>
      <w:r>
        <w:rPr>
          <w:rtl w:val="true"/>
        </w:rPr>
        <w:t>ـ دورۀ پیامبر اسلام تا پایان دورۀ امامت امام سجاد</w:t>
      </w:r>
      <w:r>
        <w:rPr>
          <w:rtl w:val="true"/>
        </w:rPr>
        <w:t>(</w:t>
      </w:r>
      <w:r>
        <w:rPr>
          <w:rtl w:val="true"/>
        </w:rPr>
        <w:t>ع</w:t>
      </w:r>
      <w:r>
        <w:rPr>
          <w:rtl w:val="true"/>
        </w:rPr>
        <w:t>)</w:t>
      </w:r>
      <w:bookmarkEnd w:id="295"/>
    </w:p>
    <w:p>
      <w:pPr>
        <w:pStyle w:val="Heading5"/>
        <w:numPr>
          <w:ilvl w:val="4"/>
          <w:numId w:val="1"/>
        </w:numPr>
        <w:rPr/>
      </w:pPr>
      <w:bookmarkStart w:id="296" w:name="__RefHeading___Toc541074_1395250215"/>
      <w:bookmarkStart w:id="297" w:name="_Toc11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بی تردید، بیان اصل امامت در قالبی کلی و اجمالی، هم زمان با نخستین روزهای اعلان رسمی دعوت نبوی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امینی، </w:t>
      </w:r>
      <w:r>
        <w:rPr>
          <w:rFonts w:eastAsia="IRNazanin" w:cs="IRNazanin"/>
          <w:color w:val="111111"/>
          <w:sz w:val="28"/>
          <w:szCs w:val="28"/>
          <w:lang w:bidi="fa-IR"/>
        </w:rPr>
        <w:t>1349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عدم هم سوییِ عناصر تاریخی این دوره، به خصوص خفقان سیاسی حاکم بر جامعه، موضوع تازۀ مسلمانان، عدم جایگاه اجتماعی اهل بیت علیهم السلام و نبود گروه فرهیخته و پرسش گر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گشت تا در حدود یک قرن،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همان حد اجمالی خود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با توجه به مجموعۀ عناصر تاریخیِ پدید آمده در این مدت، بیان تفصیلی این اصل بنیادین با لحاظ ابعاد گوناگونش، نیازمند گذر زمان و پیدایش شرایط مناسب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گام نخست باید تأکید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آموزندۀ این اصل، و امامان نخستین در این دوره، با بیانی اجمالی، متوجه اصل موضوع امامت به همراه تعیین مصداق معینی از آن، برای تطبیق شاخصه ها در دوره های بعد باشد؛ از این رو، در بیشتر بیانات نبوی، تبیین اجمالی مسئله امامت در قالب جانشینی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شرح و توضیح آن و نهایتاً در حد مفهوم بسیط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است و تحلیل بیشتری، به خصوص برای عموم افراد جامعه، دیده نمی شود؛ هرچند می توان به مواردی تفصیلی ـ همانند نمونه های فراوانی از کتاب سلیم بن قیس ـ اشاره کرد که برای افراد 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جابر بن عبدالله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 حتی برخی دیگر مانند خلیفۀ دوم، چنان که از منازعۀ او و ابن عباس در جمع میان نبوت و خلافت بر می آید، آن را درک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اگرچه فراوانیِ متون این دوره بیشتر مربوط به زمان حیات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همه تعدد متون و نصوص تفکیک شدۀ قرآنی و روایی، به لحاظ کاربرد الفاظ و تک واژه های بنیان ساز، در این دورۀ حدوداً یک قرنی، بیش از دوره های دیگر است و آنچه در دوره های بعد انجام گرفته، تبیین همین واژگان، یا کلمات قصار است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می کند؛ مانند آیه شریفه تطهیر ـ که بر عصمت دلالت دارد ـ و حدیث پر محتوای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گونه های مختلفی از متونی است که به اشاره و سیاق خود از ویژگی ها و جایگاه رفیع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فضایل امیرالمؤمنین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حدیث طیر مشوی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نگاه صرفاً فضیلتی به این دسته روایات، نوعی نگرش سطحی است و نمی تواند به درستی گویای عمق مسئله باشد، زیرا با ملاحظه مجموعی این دسته روایات، برآیندی حاصل می شود که به نتیجه معناییِ دو دسته پیشین، بسیار نزدیک است؛ چنان که ملاحظه مجموعی هر سه دسته نیز، اثبات موضوع را روشن می کند</w:t>
      </w:r>
      <w:r>
        <w:rPr>
          <w:rFonts w:eastAsia="IRNazanin" w:cs="IRNazanin"/>
          <w:color w:val="111111"/>
          <w:sz w:val="28"/>
          <w:szCs w:val="28"/>
          <w:rtl w:val="true"/>
          <w:lang w:bidi="fa-IR"/>
        </w:rPr>
        <w:t>.</w:t>
      </w:r>
      <w:bookmarkStart w:id="298" w:name="pg2628_20883"/>
    </w:p>
    <w:p>
      <w:pPr>
        <w:pStyle w:val="BookText"/>
        <w:rPr/>
      </w:pPr>
      <w:bookmarkEnd w:id="298"/>
      <w:r>
        <w:rPr>
          <w:rFonts w:ascii="IRNazanin" w:hAnsi="IRNazanin" w:eastAsia="IRNazanin"/>
          <w:color w:val="111111"/>
          <w:sz w:val="28"/>
          <w:sz w:val="28"/>
          <w:szCs w:val="28"/>
          <w:rtl w:val="true"/>
          <w:lang w:bidi="fa-IR"/>
        </w:rPr>
        <w:t>از این رو در این دوره، سخنان کوتاه و با واژگانی محدود و در قالب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خطبه، مناشده و احتجاج بدون هرگونه توضیحی، بیشترین سهم را از آن خود کرده است؛ برای نمونه، در خطبۀ طولانی حضرت زهرا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علیها دربارۀ اصل امامت به اختصار چنین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نظام دین و امن از تفرقه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بعدها در کلمات امام رضا علیه السلام به تفصیل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مشتقاتی از واژگانی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امامت، ولایت، امارت، وصایت و وراثت، نمونه های پر تکرار این دوره اند که در کنار متون دو دستۀ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طیر و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حاکم نیشابوری،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حاکم نیشابوری،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اعطای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پایه ریزی معنایی عمیق، اما بسیط نقش آفرینی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برخی از این روایات،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اما عنصر مهم در همۀ آن ها بیان شایستگی ها و خصوصیاتی است که جز در شخص امام تحقق پیدا نمی کند</w:t>
      </w:r>
      <w:r>
        <w:rPr>
          <w:rFonts w:eastAsia="IRNazanin" w:cs="IRNazanin"/>
          <w:color w:val="111111"/>
          <w:sz w:val="28"/>
          <w:szCs w:val="28"/>
          <w:rtl w:val="true"/>
          <w:lang w:bidi="fa-IR"/>
        </w:rPr>
        <w:t>.</w:t>
      </w:r>
    </w:p>
    <w:p>
      <w:pPr>
        <w:pStyle w:val="Heading5"/>
        <w:numPr>
          <w:ilvl w:val="4"/>
          <w:numId w:val="1"/>
        </w:numPr>
        <w:rPr/>
      </w:pPr>
      <w:bookmarkStart w:id="299" w:name="__RefHeading___Toc541076_1395250215"/>
      <w:bookmarkStart w:id="300" w:name="_Toc114"/>
      <w:bookmarkEnd w:id="299"/>
      <w:r>
        <w:rPr>
          <w:rtl w:val="true"/>
        </w:rPr>
        <w:t>الف</w:t>
      </w:r>
      <w:r>
        <w:rPr>
          <w:rtl w:val="true"/>
        </w:rPr>
        <w:t xml:space="preserve">) </w:t>
      </w:r>
      <w:r>
        <w:rPr>
          <w:rtl w:val="true"/>
        </w:rPr>
        <w:t>نمونه های قرآنی</w:t>
      </w:r>
      <w:bookmarkEnd w:id="30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مشهوری از آیاتند که هرچند به تناسب وقایعی بیان شده اند، اما</w:t>
      </w:r>
      <w:bookmarkStart w:id="301" w:name="pg2628_20884"/>
    </w:p>
    <w:p>
      <w:pPr>
        <w:pStyle w:val="BookText"/>
        <w:rPr/>
      </w:pPr>
      <w:bookmarkEnd w:id="301"/>
      <w:r>
        <w:rPr>
          <w:rFonts w:ascii="IRNazanin" w:hAnsi="IRNazanin" w:eastAsia="IRNazanin"/>
          <w:color w:val="111111"/>
          <w:sz w:val="28"/>
          <w:sz w:val="28"/>
          <w:szCs w:val="28"/>
          <w:rtl w:val="true"/>
          <w:lang w:bidi="fa-IR"/>
        </w:rPr>
        <w:t>تفسیر روشنی از 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شأن نزول برخی از این آیات استناد کرده، تبیین عمیق و همه جانبه ای از محتوای آن ارائه نشده و تنها به نوعی فهم سیاسی از آن بسنده شده است؛ برای نمونه، دربارۀ آیۀ اولی الامر ـ با توجه به وضوح محتوای آن ـ اولین بیان از زوایای عمیق آن در زمان صادقین علیهما السلام و بر مبنای مفترض الطاعه بودن ایشان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امالی،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برید عجلی و استناد امام به آیه ای دیگر، به خوبی عبور از این اجمال گویی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امامت نیز نخستین پرسش ها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صادقین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امام در جواب حریز به اختصار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لایکون إماما ظالما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گزارش با استناد به این آیه از ابن مسعود ـ که فهمی برتر از عموم دارد ـ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 نکته که امام، بت نمی پرستد، در انتهای سخن خود تأکید می کند که به همین سبب، خداوند مرا نبی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5"/>
        <w:numPr>
          <w:ilvl w:val="4"/>
          <w:numId w:val="1"/>
        </w:numPr>
        <w:rPr/>
      </w:pPr>
      <w:bookmarkStart w:id="302" w:name="__RefHeading___Toc541078_1395250215"/>
      <w:bookmarkStart w:id="303" w:name="_Toc115"/>
      <w:bookmarkEnd w:id="302"/>
      <w:r>
        <w:rPr>
          <w:rtl w:val="true"/>
        </w:rPr>
        <w:t>ب</w:t>
      </w:r>
      <w:r>
        <w:rPr>
          <w:rtl w:val="true"/>
        </w:rPr>
        <w:t xml:space="preserve">) </w:t>
      </w:r>
      <w:r>
        <w:rPr>
          <w:rtl w:val="true"/>
        </w:rPr>
        <w:t>نمونه هایی از روایات</w:t>
      </w:r>
      <w:bookmarkEnd w:id="303"/>
    </w:p>
    <w:p>
      <w:pPr>
        <w:pStyle w:val="Heading6"/>
        <w:numPr>
          <w:ilvl w:val="5"/>
          <w:numId w:val="1"/>
        </w:numPr>
        <w:rPr/>
      </w:pPr>
      <w:bookmarkStart w:id="304" w:name="__RefHeading___Toc541080_1395250215"/>
      <w:bookmarkStart w:id="305" w:name="_Toc116"/>
      <w:bookmarkEnd w:id="304"/>
      <w:r>
        <w:rPr>
          <w:rtl w:val="true"/>
        </w:rPr>
        <w:t>خلافت</w:t>
      </w:r>
      <w:bookmarkEnd w:id="305"/>
    </w:p>
    <w:p>
      <w:pPr>
        <w:pStyle w:val="BookText"/>
        <w:rPr/>
      </w:pPr>
      <w:r>
        <w:rPr>
          <w:rFonts w:ascii="IRNazanin" w:hAnsi="IRNazanin" w:eastAsia="IRNazanin"/>
          <w:color w:val="111111"/>
          <w:sz w:val="28"/>
          <w:sz w:val="28"/>
          <w:szCs w:val="28"/>
          <w:rtl w:val="true"/>
          <w:lang w:bidi="fa-IR"/>
        </w:rPr>
        <w:t xml:space="preserve">هنگامی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سوم بعثت، دعوت خویش را علنی فرمود، در ماجرای یوم الانذار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سی نفر از نزدیکانش پیشنهاد وزارت آن حضرت را در قبال معرفی شدن به عنوان برادر، وصی و خلیفه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سیوطی،</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الصالحی الشامی،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نوع برگزاریِ این مجلس برمی آید، تنها بر همان معنای عرفی واژگان اکتفا شده و فهم عمومی فراتر از آن را نشانه نرفته و پرسشی از معنای عمیق آن، طرح نشده است؛ از این رو، حتی در گزارش هایی از ادامۀ این ماجرا، به طور صریح آمده که فهم حاضران در واکنش به انتخاب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مسخره کردن ابوطالب به خاطر برتری جایگاه عرفیِ فرزند بر پدر بوده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پیامبر در موارد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وفد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ق</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غزوۀ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احادیث منزلت، خلفای دوازده گانه</w:t>
      </w:r>
      <w:bookmarkStart w:id="306" w:name="pg2628_20885"/>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ثقلین، بنا بر یک متن، بی آن که تفصیلی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 در حالتی اجمالی از این واژه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آخر، پیامبر سه مرتبه این جمله را تکرار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أُذَکِّرُکُمُا للَّهَ فی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مقریزی،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شوشتری،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دربارۀ خلفای دوازده گانه، در غالب متون گزارش شده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اشاره ای مختصر به قریشی بودن آن ها، دربارۀ نامشان سخنی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پارۀ دیگری از روایات و مخصوصاً از طرق شیعی آن، از امامان بعدی، سخن از توصیف و یا نام این دوازده تن است، اما غالب این روایات مربوط به نقل هایی از امامان دوره های متأخر است که از پیامبر نقل شده، که نشان از غیر فراگیر و خصوصی بودن این آموزه ها در دورۀ نخست دارد؛ از این رو، تنها در برخی روایات علاوه بر اشاره کردن به جانشینان دوازده گانه، به اسامی برخی از آنان ـ سه یا چهار نفر ـ تصریح شده و بقیه با عبارت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علاوه بر این، گاه فهم بیشتر نیز بی پاسخ می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نعمانی،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تحلیل این اجمال گویی، با بیان این نکته که عالمان شیعی تمام تلاش خود را برای کتابت این گونه از احادیث به کار گرفته اند، تأکید می کند نمی توان ادعا کرد همۀ شیعیان و حتی برخی از خواص آنان از اسامی امامان اطلاعی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این گونه موارد، بالاترین برداشت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گفت وگویی است که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عامر و شرط آن ها برای یاری رساندن به پیامبر در برابر آن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ذهبی،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6"/>
        <w:numPr>
          <w:ilvl w:val="5"/>
          <w:numId w:val="1"/>
        </w:numPr>
        <w:rPr/>
      </w:pPr>
      <w:bookmarkStart w:id="307" w:name="__RefHeading___Toc541082_1395250215"/>
      <w:bookmarkStart w:id="308" w:name="_Toc117"/>
      <w:bookmarkEnd w:id="307"/>
      <w:r>
        <w:rPr>
          <w:rtl w:val="true"/>
        </w:rPr>
        <w:t>ولایت</w:t>
      </w:r>
      <w:bookmarkEnd w:id="3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مجموعه روایاتی که در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بی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هیثمی،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نقل واقعۀ متواتر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طیالسی،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ابن ابی شیبه،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کیفیت بیانش تا آن روز، سابقه نداشت و حتی نزول آیه، بلاغ 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عدم توضیح واژۀ مذکور توسط پیامبر، بدون در نظر گرفتن فضای صدور، سبب پیچیده شدن آن و بروز چند معنای احتمالی دیگر شده است؛ حتی ائمه علیهم السلام در</w:t>
      </w:r>
      <w:bookmarkStart w:id="309" w:name="pg2628_20886"/>
    </w:p>
    <w:p>
      <w:pPr>
        <w:pStyle w:val="BookText"/>
        <w:rPr/>
      </w:pPr>
      <w:bookmarkEnd w:id="309"/>
      <w:r>
        <w:rPr>
          <w:rFonts w:ascii="IRNazanin" w:hAnsi="IRNazanin" w:eastAsia="IRNazanin"/>
          <w:color w:val="111111"/>
          <w:sz w:val="28"/>
          <w:sz w:val="28"/>
          <w:szCs w:val="28"/>
          <w:rtl w:val="true"/>
          <w:lang w:bidi="fa-IR"/>
        </w:rPr>
        <w:t>این دوره حداکثر به برداشتی سیاسی از این روایت در مقام نصب حاکم اسلامی، مانند آنچه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تحلیلی از رفتار حکومتی معاویه به صراحت انجام دادند، اکتفا و تمسک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Heading6"/>
        <w:numPr>
          <w:ilvl w:val="5"/>
          <w:numId w:val="1"/>
        </w:numPr>
        <w:rPr/>
      </w:pPr>
      <w:bookmarkStart w:id="310" w:name="__RefHeading___Toc541084_1395250215"/>
      <w:bookmarkStart w:id="311" w:name="_Toc118"/>
      <w:bookmarkEnd w:id="310"/>
      <w:r>
        <w:rPr>
          <w:rtl w:val="true"/>
        </w:rPr>
        <w:t>امامت و علم</w:t>
      </w:r>
      <w:bookmarkEnd w:id="311"/>
    </w:p>
    <w:p>
      <w:pPr>
        <w:pStyle w:val="BookText"/>
        <w:rPr/>
      </w:pPr>
      <w:r>
        <w:rPr>
          <w:rFonts w:ascii="IRNazanin" w:hAnsi="IRNazanin" w:eastAsia="IRNazanin"/>
          <w:color w:val="111111"/>
          <w:sz w:val="28"/>
          <w:sz w:val="28"/>
          <w:szCs w:val="28"/>
          <w:rtl w:val="true"/>
          <w:lang w:bidi="fa-IR"/>
        </w:rPr>
        <w:t>مجموعۀ دیگری از روایات مشهوری وجود دارند که در آن ها این واژگان به کار رفته است، که می توان برای نمونه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گویی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دانش قرآنیِ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خطبۀ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خطبۀ فاطمی با عبارات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شیخ صدوق،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6"/>
        <w:numPr>
          <w:ilvl w:val="5"/>
          <w:numId w:val="1"/>
        </w:numPr>
        <w:rPr/>
      </w:pPr>
      <w:bookmarkStart w:id="312" w:name="__RefHeading___Toc541086_1395250215"/>
      <w:bookmarkStart w:id="313" w:name="_Toc119"/>
      <w:bookmarkEnd w:id="312"/>
      <w:r>
        <w:rPr>
          <w:rtl w:val="true"/>
        </w:rPr>
        <w:t>وراثت و وصیت</w:t>
      </w:r>
      <w:bookmarkEnd w:id="313"/>
    </w:p>
    <w:p>
      <w:pPr>
        <w:pStyle w:val="BookText"/>
        <w:rPr/>
      </w:pPr>
      <w:r>
        <w:rPr>
          <w:rFonts w:ascii="IRNazanin" w:hAnsi="IRNazanin" w:eastAsia="IRNazanin"/>
          <w:color w:val="111111"/>
          <w:sz w:val="28"/>
          <w:sz w:val="28"/>
          <w:szCs w:val="28"/>
          <w:rtl w:val="true"/>
          <w:lang w:bidi="fa-IR"/>
        </w:rPr>
        <w:t xml:space="preserve">متون حامل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دو جهت حایز اهمیتند؛ نخست آن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دفعات و در مناسبت های گوناگون ذکر شده اند؛ دوم، سؤال از این نکته که وصایت و وراثت شامل چه مواردی می شوند؟</w:t>
      </w:r>
    </w:p>
    <w:p>
      <w:pPr>
        <w:pStyle w:val="BookText"/>
        <w:rPr/>
      </w:pPr>
      <w:r>
        <w:rPr>
          <w:rFonts w:ascii="IRNazanin" w:hAnsi="IRNazanin" w:eastAsia="IRNazanin"/>
          <w:color w:val="111111"/>
          <w:sz w:val="28"/>
          <w:sz w:val="28"/>
          <w:szCs w:val="28"/>
          <w:rtl w:val="true"/>
          <w:lang w:bidi="fa-IR"/>
        </w:rPr>
        <w:t xml:space="preserve">در آیات قرآن هجده بار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تنها در دو مورد،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هردو بر دین داری و اقامۀ دین به عنوان موضوع وصیت تأکید شده و بقیه مربوط به مسائل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آیات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در اموال، وارثان زمین و نیز وارثان کتاب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معنا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احادیث نبوی مانند حدیث 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وصیّ الاوصیاء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الوصیة و الوراثة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ابن بنت نبیکم و ابن وصیه و 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مورد دیگر، نمونه هایی هستند که در آن ها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اطلاق و اجمال معنای وصایت و وارث در آن قابل مشاهده است</w:t>
      </w:r>
      <w:r>
        <w:rPr>
          <w:rFonts w:eastAsia="IRNazanin" w:cs="IRNazanin"/>
          <w:color w:val="111111"/>
          <w:sz w:val="28"/>
          <w:szCs w:val="28"/>
          <w:rtl w:val="true"/>
          <w:lang w:bidi="fa-IR"/>
        </w:rPr>
        <w:t>.</w:t>
      </w:r>
    </w:p>
    <w:p>
      <w:pPr>
        <w:pStyle w:val="Heading6"/>
        <w:numPr>
          <w:ilvl w:val="5"/>
          <w:numId w:val="1"/>
        </w:numPr>
        <w:rPr/>
      </w:pPr>
      <w:bookmarkStart w:id="314" w:name="__RefHeading___Toc541088_1395250215"/>
      <w:bookmarkStart w:id="315" w:name="_Toc120"/>
      <w:bookmarkEnd w:id="314"/>
      <w:r>
        <w:rPr>
          <w:rtl w:val="true"/>
        </w:rPr>
        <w:t>عصمت</w:t>
      </w:r>
      <w:bookmarkEnd w:id="3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گفته شد، آیۀ عصمت و نزول آن دربارۀ اهل بیت علیهم السلام، بیان گر محتوایی عظیم در معارف نبوی است، اما در این میان، تصریح به این معرفت امری فراتر از درک عمومی است؛ از این رو، پیامبر و ائمۀ نخستین علیهم السلام همواره با اجمال گویی و به کارگیری واژگانی که</w:t>
      </w:r>
      <w:bookmarkStart w:id="316" w:name="pg2628_20887"/>
    </w:p>
    <w:p>
      <w:pPr>
        <w:pStyle w:val="BookText"/>
        <w:rPr/>
      </w:pPr>
      <w:bookmarkEnd w:id="316"/>
      <w:r>
        <w:rPr>
          <w:rFonts w:ascii="IRNazanin" w:hAnsi="IRNazanin" w:eastAsia="IRNazanin"/>
          <w:color w:val="111111"/>
          <w:sz w:val="28"/>
          <w:sz w:val="28"/>
          <w:szCs w:val="28"/>
          <w:rtl w:val="true"/>
          <w:lang w:bidi="fa-IR"/>
        </w:rPr>
        <w:t>معانی دیگر را نیز محتمل می کرده و یا با بیان مصداقی آن، سعی در نزدیک کردن اذهان به معنای اصلی آن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فراوان نبوی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مع الحق و الحق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برخی استنادات و مضامین رسیده از امامان علیهم السلام، نشان از بیان تدریجی این محتوای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امام حسن و امام سجاد علیهماالسلام در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وی از انواع رجس و دنس و دارا بودن کمال فراوان ـ با به کار 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این ویژگی تأکید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الامام علی بن الحسین،</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317" w:name="__RefHeading___Toc541090_1395250215"/>
      <w:bookmarkStart w:id="318" w:name="_Toc121"/>
      <w:bookmarkEnd w:id="317"/>
      <w:r>
        <w:rPr/>
        <w:t>2</w:t>
      </w:r>
      <w:r>
        <w:rPr>
          <w:rtl w:val="true"/>
        </w:rPr>
        <w:t xml:space="preserve">. </w:t>
      </w:r>
      <w:r>
        <w:rPr>
          <w:rtl w:val="true"/>
        </w:rPr>
        <w:t>دورۀ صادقین علیهما السلام</w:t>
      </w:r>
      <w:bookmarkEnd w:id="318"/>
    </w:p>
    <w:p>
      <w:pPr>
        <w:pStyle w:val="Heading5"/>
        <w:numPr>
          <w:ilvl w:val="4"/>
          <w:numId w:val="1"/>
        </w:numPr>
        <w:rPr/>
      </w:pPr>
      <w:bookmarkStart w:id="319" w:name="__RefHeading___Toc541092_1395250215"/>
      <w:bookmarkStart w:id="320" w:name="_Toc122"/>
      <w:bookmarkEnd w:id="319"/>
      <w:r>
        <w:rPr>
          <w:rtl w:val="true"/>
        </w:rPr>
        <w:t>اشاره</w:t>
      </w:r>
      <w:bookmarkEnd w:id="3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توانایی در نشر معارف در این دوره بیشتر از هر دوره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دو پدیدۀ اساسی، پیش روی امامان قرار داشت؛ نخست آن که، در نتیجۀ شرایط حاکم بر جامعه در دورۀ پیش، آگاهی مسلمانان به احکام و عقاید، از جمله جایگاه معرفتی امام در نظام آفرینش در حدّ اجمالی باقی مانده بود و دوم آن که، با ضعیف شدن بنی امیه و فعالیت های سیاسی میان گروه های رقیب، تمایلات برای به دست گرفتن قدرت سیاسی فزونی می یافت و طبیعی بود که انتظار عمومی از امامان با توجه به شکست های پیشین، ورود در این منازعه بوده است، زیرا اساساً همۀ گروه های مبارز با بنی امیه، با شعار برتری ناحیۀ اهل بیت برای تصدی خلافت کار خود را به پیش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کنار عدم درک درست ایشان از جایگاه و وظیفۀ امام سبب شد تا انشعاباتی پدید آید؛ هرچند با به وقوع پیوستن پیش بینی های سیاسی صادقین علیهما السلام و موفقیت در تبیین مواضع و تربیت خیل عظیم، این انشعابات به حاشیه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صادقین علیهما السلام با استفاده از هم سوییِ همۀ عناصر اثرگذار تاریخی در مسیر تبیین درست اندیشه و منظومۀ معرفتی امامت قدم برداشتند و تلاش خود را برای ارائه تصویری درست از معنای امامت، که همان جانشینی پیامبر در اموری فراتر از حاکمیت سیاسی بود، به کار بستند و تلاش کردند تا با بهره گیری و عبور از نصوص دورۀ پیشین و بر اساس همان بنیان های پی ریزی شده، به طرز ماهرانه ای تفصیلی از احادیث پیشین را به وسیلۀ راویانِ پرسش گر، در مدینه، کوفه، حلب و شهرهای دیگر، در محافل عمومی و خصوصی، مناظرات و نیز در سفرهای حج، به خصوص در مکه 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w:t>
      </w:r>
      <w:bookmarkStart w:id="321" w:name="pg2628_20888"/>
    </w:p>
    <w:p>
      <w:pPr>
        <w:pStyle w:val="BookText"/>
        <w:rPr/>
      </w:pPr>
      <w:bookmarkEnd w:id="321"/>
      <w:r>
        <w:rPr>
          <w:rFonts w:ascii="IRNazanin" w:hAnsi="IRNazanin" w:eastAsia="IRNazanin"/>
          <w:color w:val="111111"/>
          <w:sz w:val="28"/>
          <w:sz w:val="28"/>
          <w:szCs w:val="28"/>
          <w:rtl w:val="true"/>
          <w:lang w:bidi="fa-IR"/>
        </w:rPr>
        <w:t>در این میان اما محتوای روایات امامت در این دوره، آن را موهبتی الهی در خاندان اهل بیت علیهم السلام می داند که پیش از رحلت امام قبلی و به دستور پیامبر اسلام به امام بعدی که جانشین اوست، با نص جلی انتقال می‌یابد؛ امام را دارای علمی فراتر از سایر انسان ها می داند که از منابع خاصی سرچشمه می گیرد و از طریق نوعی وراثت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دارای مقامی است که او را از گناه و خطا مصون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منصوص الهی، لازم نیست بلافاصله پس از نصب، قیام کند و حق سیاسی خود را در جامعه به دست آورد، زیرا او هنگامی به عرصه و قدرت سیاسی وارد می شود که جامعه به اندازۀ کافی از آگاهی و شعور دربارۀ حقوق آن ها برخوردار شده باشد و با مراجعه به ایشان، خواستار برقراری حکومتی بر اساس احکام اسلام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ریزی اندیشۀ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این موارد را بررسی می کنیم</w:t>
      </w:r>
      <w:r>
        <w:rPr>
          <w:rFonts w:eastAsia="IRNazanin" w:cs="IRNazanin"/>
          <w:color w:val="111111"/>
          <w:sz w:val="28"/>
          <w:szCs w:val="28"/>
          <w:rtl w:val="true"/>
          <w:lang w:bidi="fa-IR"/>
        </w:rPr>
        <w:t>.</w:t>
      </w:r>
    </w:p>
    <w:p>
      <w:pPr>
        <w:pStyle w:val="Heading5"/>
        <w:numPr>
          <w:ilvl w:val="4"/>
          <w:numId w:val="1"/>
        </w:numPr>
        <w:rPr/>
      </w:pPr>
      <w:bookmarkStart w:id="322" w:name="__RefHeading___Toc541094_1395250215"/>
      <w:bookmarkStart w:id="323" w:name="_Toc123"/>
      <w:bookmarkEnd w:id="322"/>
      <w:r>
        <w:rPr>
          <w:rtl w:val="true"/>
        </w:rPr>
        <w:t>نصّ و نصب</w:t>
      </w:r>
      <w:bookmarkEnd w:id="323"/>
    </w:p>
    <w:p>
      <w:pPr>
        <w:pStyle w:val="BookText"/>
        <w:rPr/>
      </w:pPr>
      <w:r>
        <w:rPr>
          <w:rFonts w:ascii="IRNazanin" w:hAnsi="IRNazanin" w:eastAsia="IRNazanin"/>
          <w:color w:val="111111"/>
          <w:sz w:val="28"/>
          <w:sz w:val="28"/>
          <w:szCs w:val="28"/>
          <w:rtl w:val="true"/>
          <w:lang w:bidi="fa-IR"/>
        </w:rPr>
        <w:t>پس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مدینه با اعتقاد به وصی بودن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عنوان خلیفه با ایشان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بی تا،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طبری،بیتا،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ماجرای منازعۀ مشهور محمدبن حنفیه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بر موضوع وصایت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علیهما السلام به عنوان جانشینان پیامبر اقرار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اندیشه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امام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رحلت امام با چه معیاری می توانند امام بعدی را بشناسند؟ از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آل محمّد له بالفضل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اما در گفتۀ دیگر به همان راوی، توضیح مفصلی دربارۀ خصوصیاتی از قبیل نص و نصب هر امام ارائه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گزارشی تاریخی از این دوره نیز حاکی از آن است که حکومت هشام از عمومی و فراگیر شدن این اعتقاد به هراس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 گیری منصور دربارۀ یافتن کسی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وصیت کرده اند، حاکی از فراگیری این باور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5"/>
        <w:numPr>
          <w:ilvl w:val="4"/>
          <w:numId w:val="1"/>
        </w:numPr>
        <w:rPr/>
      </w:pPr>
      <w:bookmarkStart w:id="324" w:name="__RefHeading___Toc541096_1395250215"/>
      <w:bookmarkStart w:id="325" w:name="_Toc124"/>
      <w:bookmarkEnd w:id="324"/>
      <w:r>
        <w:rPr>
          <w:rtl w:val="true"/>
        </w:rPr>
        <w:t>علم</w:t>
      </w:r>
      <w:bookmarkEnd w:id="3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مساعد شدن نسبی شرایط در اواخر زمان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برخی معارف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مطلب که علم تنها نزد اهل بیت یافت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 علیهما السلام در معرفی یکی از شروط اصلی امامت، علم و دانستن هر مطلبی را شرط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تأکید می کنند که گونه ای از این علم هیچ گاه از بین نمی رود و به وراثت انتقال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تبیینی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 و از حالت اجمال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شنیدۀ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حفصه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تشریح کیفیت ابواب هزارگانۀ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تا کنون تنها یک یا دو باب علم بر مردم گشوده شده، به خوبی این جریان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موضعی دیگر میزان علم برگرفته از پیامبر را در میان اهل بیت علیهم السلام، علم جمیع انبیای ماکان و ما هم کائن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نمونۀ واضح دیگر، ضریس کناسی در روایتی از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پندارید خداوند متعال اطاعت اولیا و دوستان خود را بر بندگانش واجب گردانیده، اما خبرهای آسمان ها و زمین را از آن ها پوشیده و از آن ها مایۀ علم را دربارۀ چیزهایی که پابرجاییِ دینشان در آن است،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گزارشات به خوبی از رشد جریان بحث علم امام در میان جامعه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تصریح امام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یعیبون ذلک علی من اعطاه اللّه برهان حق 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از این حقیقت پرده بر می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ها به اوج تفصیل رسید و منابع دانش عمیق امام و ابزارهای آن، دست کم در سه شاخه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بی واسطۀ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انتقالی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ایصالی به واسطۀ روح و ملک، ارائه و عناوین آن معرفی و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جامعه،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صحف و کتب انبیا، عمود نور، الف باب، تحدیث، قرآن، اسم اعظم، جفر احمر، جفر ابیض، جفر اصغر و جفر اکبر نمونه هایی از این عناوین هستند که گاه به صورت یک جا و گاه جزء جزء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نظر می رسد،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 موارد را برای خواص بیان کرده است، اما فراوانیِ نقل راویان و پرسش ها و عدم تذکر امام دربارۀ محرمانه بودن این سخنان، نشان از نشر عمومی و پذیرش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جلسات شصت نفر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نمونه های این تفاصیل در پرسش های اصحاب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26" w:name="pg2628_20890"/>
    </w:p>
    <w:p>
      <w:pPr>
        <w:pStyle w:val="BookText"/>
        <w:rPr/>
      </w:pPr>
      <w:bookmarkEnd w:id="326"/>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روایات توصیف منابع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آن ها را در میان عموم می توان دید</w:t>
      </w:r>
      <w:r>
        <w:rPr>
          <w:rFonts w:eastAsia="IRNazanin" w:cs="IRNazanin"/>
          <w:color w:val="111111"/>
          <w:sz w:val="28"/>
          <w:szCs w:val="28"/>
          <w:rtl w:val="true"/>
          <w:lang w:bidi="fa-IR"/>
        </w:rPr>
        <w:t>.</w:t>
      </w:r>
    </w:p>
    <w:p>
      <w:pPr>
        <w:pStyle w:val="Heading5"/>
        <w:numPr>
          <w:ilvl w:val="4"/>
          <w:numId w:val="1"/>
        </w:numPr>
        <w:rPr/>
      </w:pPr>
      <w:bookmarkStart w:id="327" w:name="__RefHeading___Toc541098_1395250215"/>
      <w:bookmarkStart w:id="328" w:name="_Toc125"/>
      <w:bookmarkEnd w:id="327"/>
      <w:r>
        <w:rPr>
          <w:rtl w:val="true"/>
        </w:rPr>
        <w:t>علم غیب</w:t>
      </w:r>
      <w:bookmarkEnd w:id="328"/>
    </w:p>
    <w:p>
      <w:pPr>
        <w:pStyle w:val="BookText"/>
        <w:rPr/>
      </w:pPr>
      <w:r>
        <w:rPr>
          <w:rFonts w:ascii="IRNazanin" w:hAnsi="IRNazanin" w:eastAsia="IRNazanin"/>
          <w:color w:val="111111"/>
          <w:sz w:val="28"/>
          <w:sz w:val="28"/>
          <w:szCs w:val="28"/>
          <w:rtl w:val="true"/>
          <w:lang w:bidi="fa-IR"/>
        </w:rPr>
        <w:t>علاوه بر منابع علم، گسترۀ علم امام نیز یکی از موضوعات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 های قرآن، علم دارای اقسامی است که قسمی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مخصوص خدا دانسته شده و یا دانستن آن از دیگران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 پایه دستۀ دیگری از آیات که از افاضۀ علم غیب به انبیا و حتی غیرانبیا خبر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از امکان دست یابی امامان به علم غیب الهی و تنافی آن با اختصاصی بودن علم غیب به خداوند، از موضوعات مهمی است که طرح عمومی آن در این دوره، برخلاف دورۀ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ردّ این مطلب که امام از علم غیب آگاه است، تمایزی در مصادیق آن بیان می کند تا بدین گونه میان علم غیب مخصوص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مقامات فوق بشری تفاوتی قائل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عین حال، علمی گسترده را از جانب خداوند برای ائمه علیهم السلام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سدیر و ابوبصیر از نمونه های مشهور تلاش امام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جلوگیری از پیدایش جنبه های افراطی و انحرافی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باور عمومی به اصل این گونه مقامات که ناشی از علم فراوان بود، در این دوره فراگیر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5"/>
        <w:numPr>
          <w:ilvl w:val="4"/>
          <w:numId w:val="1"/>
        </w:numPr>
        <w:rPr/>
      </w:pPr>
      <w:bookmarkStart w:id="329" w:name="__RefHeading___Toc541100_1395250215"/>
      <w:bookmarkStart w:id="330" w:name="_Toc126"/>
      <w:bookmarkEnd w:id="329"/>
      <w:r>
        <w:rPr>
          <w:rtl w:val="true"/>
        </w:rPr>
        <w:t>عصمت</w:t>
      </w:r>
      <w:bookmarkEnd w:id="33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دورۀ پیشین زمینۀ طرح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تنها در اندک مواردی از صحیفۀ سجادیه که بعدها نشر یافت، این واژه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الصحیفه السجادیه،</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یک روایت، با این واژه،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شرطیت عصمت و ارتباط میان قرآن، عصمت و امام، به احتمال فراوان برای خواص ایشان، نقل شده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عمومی در دورۀ بعد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نمی توان از نشر محتوایی آن در زمان صادقین علیهما السلام برای عده ای چشم پوشی کرد؛ برای 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به جنبه های گوناگون عصمت امامان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bookmarkStart w:id="331" w:name="pg2628_20891"/>
    </w:p>
    <w:p>
      <w:pPr>
        <w:pStyle w:val="BookText"/>
        <w:rPr/>
      </w:pPr>
      <w:bookmarkEnd w:id="331"/>
      <w:r>
        <w:rPr>
          <w:rFonts w:ascii="IRNazanin" w:hAnsi="IRNazanin" w:eastAsia="IRNazanin"/>
          <w:color w:val="111111"/>
          <w:sz w:val="28"/>
          <w:sz w:val="28"/>
          <w:szCs w:val="28"/>
          <w:rtl w:val="true"/>
          <w:lang w:bidi="fa-IR"/>
        </w:rPr>
        <w:t>هم چنین ابن اشقر از هشام بن حکم دربارۀ این اعتقاد شیعیان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به جز معصوم امام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 گفتۀ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پاسخ،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و توفیق خدا از انجام هر عملی که خداوند منع کرده است، خودداری می‌کند ـ الْمُمْتَنِعُ بِاللَّهِ مِنْ جَمِیعِ مَحَارِمِ اللَّهِ ـ، و خداوند تبارک و تعالی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یَعْتَصِمْ بِاللَّهِ فَقَدْ هُدِیَ إِلی‌صِراطٍ مُسْتَقِیم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خبر أعمش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سخن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وَ أَوْصِیاؤُهُمْ لَا ذُنُوبَ لَهُمْ لِأَنَّهُمْ مَعْصُومُونَ 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از راویان بزرگ شیعه نیز در نقلی، استدلال هشام بر عصمت را بهترین شنیده و آموخته اش از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این استدلال چهار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حسد، غضب و شهوت را از امام منفی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او این استدلال را از گزارش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 امام، از جمیع محارم و ناشایستگی های منافی امامت، نیز همان معنایی است که از آیۀ تطهیر و آیۀ امامت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برخی واژگان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بار معنایی برخوردارند که گاه در مرو توسط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ملاحظه می توان چنین دریافت که موضوع علم و عصمت در این دوره به انجام خود رسیده است</w:t>
      </w:r>
      <w:r>
        <w:rPr>
          <w:rFonts w:eastAsia="IRNazanin" w:cs="IRNazanin"/>
          <w:color w:val="111111"/>
          <w:sz w:val="28"/>
          <w:szCs w:val="28"/>
          <w:rtl w:val="true"/>
          <w:lang w:bidi="fa-IR"/>
        </w:rPr>
        <w:t>.</w:t>
      </w:r>
    </w:p>
    <w:p>
      <w:pPr>
        <w:pStyle w:val="Heading4"/>
        <w:numPr>
          <w:ilvl w:val="3"/>
          <w:numId w:val="1"/>
        </w:numPr>
        <w:rPr/>
      </w:pPr>
      <w:bookmarkStart w:id="332" w:name="__RefHeading___Toc541102_1395250215"/>
      <w:bookmarkStart w:id="333" w:name="_Toc127"/>
      <w:bookmarkEnd w:id="332"/>
      <w:r>
        <w:rPr/>
        <w:t>3</w:t>
      </w:r>
      <w:r>
        <w:rPr>
          <w:rtl w:val="true"/>
        </w:rPr>
        <w:t xml:space="preserve">. </w:t>
      </w:r>
      <w:r>
        <w:rPr>
          <w:rtl w:val="true"/>
        </w:rPr>
        <w:t xml:space="preserve">دورۀ امام کاظم و امام رضا علیهماالسلام </w:t>
      </w:r>
      <w:r>
        <w:rPr>
          <w:rtl w:val="true"/>
        </w:rPr>
        <w:t>(</w:t>
      </w:r>
      <w:r>
        <w:rPr>
          <w:rtl w:val="true"/>
        </w:rPr>
        <w:t>تثبیت و تصحیح اندیشه</w:t>
      </w:r>
      <w:r>
        <w:rPr>
          <w:rtl w:val="true"/>
        </w:rPr>
        <w:t>)</w:t>
      </w:r>
      <w:bookmarkEnd w:id="333"/>
    </w:p>
    <w:p>
      <w:pPr>
        <w:pStyle w:val="Heading5"/>
        <w:numPr>
          <w:ilvl w:val="4"/>
          <w:numId w:val="1"/>
        </w:numPr>
        <w:rPr/>
      </w:pPr>
      <w:bookmarkStart w:id="334" w:name="__RefHeading___Toc541104_1395250215"/>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در این دوره که تا حدود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ادامه دارد، تبیین کاملاً مفصل تر و عمیق تری نسبت به دورۀ پیشین، در قالب پاسخ به شبهات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منظومۀ معرفتی امامت تکمیل و برای به کارگیری عملی در دورۀ پیش از غیبت آماده می شود؛ هرچند دورۀ سی و پنج ساله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حصر و زندانی شدن آن حضرت سپری شد و شیعیان ـ چندان که از ماجرای بیت الحکمه بر می آید ـ تا مدتی از زنده بودن امام خبری نداشتند و حتی برخی دربارۀ قائم بودن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بیشترین امور از طریق خواص امام، نظیر علی بن یقطین و هشام بن حکم در کنار سازمان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نظارت امام انجام می شد، و پاسخ برخی پرسش ها به اصحاب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حماد از امر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حکیم</w:t>
      </w:r>
      <w:bookmarkStart w:id="336" w:name="pg2628_20892"/>
    </w:p>
    <w:p>
      <w:pPr>
        <w:pStyle w:val="BookText"/>
        <w:rPr/>
      </w:pPr>
      <w:bookmarkEnd w:id="336"/>
      <w:r>
        <w:rPr>
          <w:rFonts w:ascii="IRNazanin" w:hAnsi="IRNazanin" w:eastAsia="IRNazanin"/>
          <w:color w:val="111111"/>
          <w:sz w:val="28"/>
          <w:sz w:val="28"/>
          <w:szCs w:val="28"/>
          <w:rtl w:val="true"/>
          <w:lang w:bidi="fa-IR"/>
        </w:rPr>
        <w:t xml:space="preserve">در بارۀ پاسخ گویی به سؤالات در مسجد، نمونۀ روشن این ماجراست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سیاست امام، بسیار موفقیت آمیز بود؛ تا جایی که می توان انعکاس آن را در روایت ذیل مشاهده کرد؛ در این روایت، محمدبن حکیم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فقیه در دین شدیم و خداوند به وسیلۀ شما، ما را از مردم بی نیاز کرد؛ به گونه ای که اگر جماعتی از ما در مجلسی حاضر باشند، هیچ مردی از دوستش سؤال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جز این که او این مسئله و پاسخ آن را می داند، به برکت منتی که خداوند به وسیلۀ شما بر ما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در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 آمدن اختلاف میان امین و مأمون و پس از آن جریان ولایت عهدی، در قالب پرسش و پاسخ و حل شبهات، پی گیری شد؛ به خصوص آن که امام تلاش دارد تا فضای علمیِ پدید آمده را با ارجاع شیعیان به عالمانی برجسته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و محمدبن ابی عمیر به صورت جامعه ای خود پویا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ابی عمیر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را تألیف کرده که از جملۀ آن الاحتجاج فی الامامة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5"/>
        <w:numPr>
          <w:ilvl w:val="4"/>
          <w:numId w:val="1"/>
        </w:numPr>
        <w:rPr/>
      </w:pPr>
      <w:bookmarkStart w:id="337" w:name="__RefHeading___Toc541106_1395250215"/>
      <w:bookmarkStart w:id="338" w:name="_Toc129"/>
      <w:bookmarkEnd w:id="337"/>
      <w:r>
        <w:rPr>
          <w:rtl w:val="true"/>
        </w:rPr>
        <w:t>نص، علم و عصمت</w:t>
      </w:r>
      <w:bookmarkEnd w:id="3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امامان، نص و انتخاب الهی را امری ضروری می دانستند و برای فهم آن راه هایی را ذکر کرده و حتی علائمی مانند دانستن زبان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فضیلت امام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گزارشات فراوانی از تلاش برای یافتن نام امام منصوص ِبعد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با پیش آمدن جریان رحلت اسماعیل و وصیت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پس از رحلتش در اختیار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فتال</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بارها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تا دهۀ آخر عمرشان فرزندی نداشتند ـ، دربارۀ جانشین ایشان سؤال می شود تا آن که امام به استناد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مقایسۀ آن با سخن گفتن عیسی بن مریم در مهد، شیعیان را به امام خردسال، راهنمایی کردند و جز عده ای از شیعیان غیر اهل مدینه ـ که درک وقوع این ماجرا برایشان سخت بود ـ بقیه آن را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تا سال بعد با پرسش های متعدد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تفصیل دربارۀ جنبه های نص در امامت خردسال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عدم رابطه میان کم یا زیاد بودن سنّ امام و علم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بازتاب این استدلال در کلام ابن صلت در جمع عالمان شیعه دربارۀ علم امام خردسال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امامت وی از جانب خدا باشد، حتی اگر طفلِ یک روزه هم باشد به منزلۀ شیخ است و چنان که از طرف خدا نباشد، حتی اگر هزار سال هم عمر کرده باشد، مانند سایر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مأمون خود نیز بر این امر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کسانی که در مناظره با امام خردسال شکست خورده بودند، بدان ها متذکر می شود که پیامبر با حسنین علیهما السلام در کودکی بیعت فرمود و تفاوتی میان اول و آخر ایشان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عصمت نیز امام کاظم و امام رضا علیهما السلام و اصحابشان در فضای عمومی و غیر شیعی تبیین را ادامه می دهند؛ برای نمونه،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روایتی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مناظرۀ هشام و ضرار نیز، هشام با طرح فروعاتی به بازخوانیِ اندیشۀ عصمت و اثبات این نکته می پردازد که چاره ای جز وجود حجت با صفاتی خاص نیست؛ سپس با استناد به آیۀ تطهیر به چراییِ عصمت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وجه سوم باقی مانده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جانشین تعیین کند که راهنمای آن ها باشد، اشتباه نکند و غلط از او سر نزند و ستم روا ندارد و از گناه معصوم باشد و خطا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مسائل دینی به او احتیاج داشته باشند، اما او به کسی محتاج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نمونۀ دیگر، یزید بن سلیط که در راه سفر عمره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دربارۀ عادی بودن این آموزه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هل تثبت هذا الموضع الذی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أنا و أبی لقیناک هاهنا و أنت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إخوتک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أنتم کلکم أئمة 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نمونۀ دیگر،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تمسک به امامان به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کنند که در بخشی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خیرة اللّه و صفوته و هم المعصومون من کلّ ذنب و خطیئة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339" w:name="pg2628_20894"/>
    </w:p>
    <w:p>
      <w:pPr>
        <w:pStyle w:val="Heading5"/>
        <w:numPr>
          <w:ilvl w:val="4"/>
          <w:numId w:val="1"/>
        </w:numPr>
        <w:rPr/>
      </w:pPr>
      <w:bookmarkStart w:id="340" w:name="__RefHeading___Toc541108_1395250215"/>
      <w:bookmarkStart w:id="341" w:name="_Toc130"/>
      <w:bookmarkEnd w:id="339"/>
      <w:bookmarkEnd w:id="340"/>
      <w:r>
        <w:rPr>
          <w:rtl w:val="true"/>
        </w:rPr>
        <w:t>سخنی جامع در باب امامت و صفات آن</w:t>
      </w:r>
      <w:bookmarkEnd w:id="341"/>
    </w:p>
    <w:p>
      <w:pPr>
        <w:pStyle w:val="BookText"/>
        <w:rPr/>
      </w:pPr>
      <w:r>
        <w:rPr>
          <w:rFonts w:ascii="IRNazanin" w:hAnsi="IRNazanin" w:eastAsia="IRNazanin"/>
          <w:color w:val="111111"/>
          <w:sz w:val="28"/>
          <w:sz w:val="28"/>
          <w:szCs w:val="28"/>
          <w:rtl w:val="true"/>
          <w:lang w:bidi="fa-IR"/>
        </w:rPr>
        <w:t>سخنی جامع در باب امامت و صفات آن</w:t>
      </w:r>
    </w:p>
    <w:p>
      <w:pPr>
        <w:pStyle w:val="BookText"/>
        <w:rPr/>
      </w:pPr>
      <w:r>
        <w:rPr>
          <w:rFonts w:ascii="IRNazanin" w:hAnsi="IRNazanin" w:eastAsia="IRNazanin"/>
          <w:color w:val="111111"/>
          <w:sz w:val="28"/>
          <w:sz w:val="28"/>
          <w:szCs w:val="28"/>
          <w:rtl w:val="true"/>
          <w:lang w:bidi="fa-IR"/>
        </w:rPr>
        <w:t>هم سوییِ عناصر تاریخی در مقطعی کوتاه از دوران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با حضور امام در خراسان و پدید آمدن فضای پرسش و مراجعه به ایشان و مناظره در کنار درگیر شدن امام به ولایت عهدی، به توسعه و نشر استدلالی و عمیق موضوعات کلامی مانند امامت، کمک شایانی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حدیث سلسلة الذهب و اتفاقات پیرامونی آن و نیز سخن عبدالعزیز بن مسلم در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اختلاف فراوان مردم و بررسی های آنان در امر امامت، به خوبی نشان گر توسعۀ گفتمان امامت است که امام در پاسخ به او، به نکات پر اهمیتی، به خصوص در موضوع نصب علم و عصمت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نصوص دورۀ پیشین همچون آیۀ اکمال و واقعۀ غدیر، از منصوص و منصوب بودن امامان از سوی خدا و جایگاه ایشان نسبت به مردم سخن می گویند و کامل بودن قرآن و فرو نگذاشتن بیان امور توسط پیامبر را در گرو انتصاب الهیِ امام می دانند؛ امامتی که پس از نبوت و خلیل بودن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اعطا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 أَهْلِ الصَّفْوَةِ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استناد به قرآن، به انتقال وراثتیِ علم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فرزندان ایشان اشاره کردند؛ بر این اساس، هرگونه امکان اختیار غیرالهی امام منتفی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تبیین می کنند که امامت، خلافتی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الدِّینِ وَ نِظَامُ الْمُسْلِمِینَ وَ صَلَاحُ الدُّنْیا وَ 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هر حکمی مانند نماز، روزه،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پذیرش اصل امامت، کمال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ویژگی های گوناگون امامت، در قالبی زیبا به خورشید، ماه، ستارگان، آسمان، زمین، رفیقِ انیس، پدر،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شود و به عظمت علمی و برخی صفات برجستۀ امام، همچون هدایت گر به سوی خدا و مدافع احکام او، الهی و الهامی بودن علم امام و چشمه سار بودن حکمت و علم او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معصوم بودن امام از هر پلیدی و زشتی، خطا و لغزش و دارا بودن علمی مخصوص برای دور ماندن از رجس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همواره در تمام نتیجه گیری های این استدلالِ استوار امام مورد تأکید قرار گرفت و نوعی تحدی به شمار می آید،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الذی یبلغ معرفة الإمام أو یمکنه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42" w:name="pg2628_20895"/>
    </w:p>
    <w:p>
      <w:pPr>
        <w:pStyle w:val="BookText"/>
        <w:rPr/>
      </w:pPr>
      <w:bookmarkEnd w:id="342"/>
      <w:r>
        <w:rPr>
          <w:rFonts w:ascii="IRNazanin" w:hAnsi="IRNazanin" w:eastAsia="IRNazanin"/>
          <w:color w:val="111111"/>
          <w:sz w:val="28"/>
          <w:sz w:val="28"/>
          <w:szCs w:val="28"/>
          <w:rtl w:val="true"/>
          <w:lang w:bidi="fa-IR"/>
        </w:rPr>
        <w:t xml:space="preserve">مقایسۀ میان این دیدگاه با آنچه پیش از این از مأمون عباسی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وضوح دیدگاه امامیه در انتخاب امام و جایگاه رفیع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ـ آن چنان که پیداست ـ برگرفته از همان واژگان دورۀ نخست و توضیحات دورۀ پیشین است که منظومه ای معرفتی و کامل را شکل می دهد</w:t>
      </w:r>
      <w:r>
        <w:rPr>
          <w:rFonts w:eastAsia="IRNazanin" w:cs="IRNazanin"/>
          <w:color w:val="111111"/>
          <w:sz w:val="28"/>
          <w:szCs w:val="28"/>
          <w:rtl w:val="true"/>
          <w:lang w:bidi="fa-IR"/>
        </w:rPr>
        <w:t>.</w:t>
      </w:r>
    </w:p>
    <w:p>
      <w:pPr>
        <w:pStyle w:val="Heading4"/>
        <w:numPr>
          <w:ilvl w:val="3"/>
          <w:numId w:val="1"/>
        </w:numPr>
        <w:rPr/>
      </w:pPr>
      <w:bookmarkStart w:id="343" w:name="__RefHeading___Toc541110_1395250215"/>
      <w:bookmarkStart w:id="344" w:name="_Toc131"/>
      <w:bookmarkEnd w:id="343"/>
      <w:r>
        <w:rPr/>
        <w:t>4</w:t>
      </w:r>
      <w:r>
        <w:rPr>
          <w:rtl w:val="true"/>
        </w:rPr>
        <w:t xml:space="preserve">. </w:t>
      </w:r>
      <w:r>
        <w:rPr>
          <w:rtl w:val="true"/>
        </w:rPr>
        <w:t>از دورۀ امام جواد</w:t>
      </w:r>
      <w:r>
        <w:rPr>
          <w:rtl w:val="true"/>
        </w:rPr>
        <w:t>(</w:t>
      </w:r>
      <w:r>
        <w:rPr>
          <w:rtl w:val="true"/>
        </w:rPr>
        <w:t>ع</w:t>
      </w:r>
      <w:r>
        <w:rPr>
          <w:rtl w:val="true"/>
        </w:rPr>
        <w:t xml:space="preserve">) </w:t>
      </w:r>
      <w:r>
        <w:rPr>
          <w:rtl w:val="true"/>
        </w:rPr>
        <w:t xml:space="preserve">تا ابتدای عصر غیبت </w:t>
      </w:r>
      <w:r>
        <w:rPr>
          <w:rtl w:val="true"/>
        </w:rPr>
        <w:t>(</w:t>
      </w:r>
      <w:r>
        <w:rPr>
          <w:rtl w:val="true"/>
        </w:rPr>
        <w:t>عینیت اندیشه</w:t>
      </w:r>
      <w:r>
        <w:rPr>
          <w:rtl w:val="true"/>
        </w:rPr>
        <w:t>)</w:t>
      </w:r>
      <w:bookmarkEnd w:id="344"/>
    </w:p>
    <w:p>
      <w:pPr>
        <w:pStyle w:val="Heading5"/>
        <w:numPr>
          <w:ilvl w:val="4"/>
          <w:numId w:val="1"/>
        </w:numPr>
        <w:rPr/>
      </w:pPr>
      <w:bookmarkStart w:id="345" w:name="__RefHeading___Toc541112_1395250215"/>
      <w:bookmarkStart w:id="346" w:name="_Toc13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در این دوره، تثبیت معارف و کارکردهای آن با توجه به زمینه سازی برای دوران غیبت شکل می گیرد و جامعۀ شیعه با گسترۀ پهناور جغرافیایی، داشته های علمی دورۀ پیشین، مدارس علمی، فرهیختگان و عالمان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را در موضوع امامت پیش رو دارد؛ به خصوص با لحاظ نقش عناصر تاریخی مانند فشارهای سیاسی و در نتیجه، دور ماندن اهل بیت از تودۀ مردم و نیز میانگین سنّ به امامت رسیدن امامان در این دوره، که در حدود ده سال بوده، و پذیرش آن در جامعۀ شیعی به جهت پاسخ گویی امامان و به وسیلۀ نخبگان و شخصیت ممتازی مانند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تثبیت واقعی اندیشۀ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جریان یحیی بن اکثم و سخن مأمون نیز گواه آگاهی کامل عموم دربارۀ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معنای نادیده گرفتن جریان های انحرافی و برخی گرایشات مانند جریان غلو نیست، اما انصاف آن است که ربط میان هر نوع جریان و گرایش پدید آمده در میان شیعیان با ناگفته بودن ابعاد امامت، امری ناصحیح است، چراکه نوع مدعای این گروه ها، بیان گر انگیزه هایی خارج از موضوع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می توان دو شاخصه را در طرح تبیین مباحث امامت در این دوره و با تأکید بر آنچه تا به حال گفته شده بیان کرد؛ این دو مهم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جامع صفات امام و طرح موضوع غیبت امام دوازدهم</w:t>
      </w:r>
      <w:r>
        <w:rPr>
          <w:rFonts w:eastAsia="IRNazanin" w:cs="IRNazanin"/>
          <w:color w:val="111111"/>
          <w:sz w:val="28"/>
          <w:szCs w:val="28"/>
          <w:rtl w:val="true"/>
          <w:lang w:bidi="fa-IR"/>
        </w:rPr>
        <w:t>.</w:t>
      </w:r>
    </w:p>
    <w:p>
      <w:pPr>
        <w:pStyle w:val="Heading5"/>
        <w:numPr>
          <w:ilvl w:val="4"/>
          <w:numId w:val="1"/>
        </w:numPr>
        <w:rPr/>
      </w:pPr>
      <w:bookmarkStart w:id="347" w:name="__RefHeading___Toc541114_1395250215"/>
      <w:bookmarkStart w:id="348" w:name="_Toc133"/>
      <w:bookmarkEnd w:id="347"/>
      <w:r>
        <w:rPr>
          <w:rtl w:val="true"/>
        </w:rPr>
        <w:t>نگرشی جامع بر صفات امام</w:t>
      </w:r>
      <w:bookmarkEnd w:id="3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دانستیم که مقارن با این دوره، مدارس علمیِ اهل بیت علیهم السلام در شهرهای مختلفی از منطقۀ ایران تشکیل شده بود و از این رو، حلقه های علمی و طرح مباحث گوناگون در آن ها رونقی خاص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نیز همانند سایر مسائل عقیدتی، جایگاهی خاص در مباحث داشته و بحث های چالش بر انگیز آن، بارها بررسی و نقد شده و کتاب های گوناگونی دربارۀ آن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و مکاتبات گوناگون امام جواد و عسکریین علیهم السلام در موضوعات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های مربوط به موضوع</w:t>
      </w:r>
    </w:p>
    <w:p>
      <w:pPr>
        <w:pStyle w:val="BookText"/>
        <w:rPr/>
      </w:pPr>
      <w:r>
        <w:rPr>
          <w:rFonts w:ascii="IRNazanin" w:hAnsi="IRNazanin" w:eastAsia="IRNazanin"/>
          <w:color w:val="111111"/>
          <w:sz w:val="28"/>
          <w:sz w:val="28"/>
          <w:szCs w:val="28"/>
          <w:rtl w:val="true"/>
          <w:lang w:bidi="fa-IR"/>
        </w:rPr>
        <w:t xml:space="preserve">امامت و نقد روایات مناقب خلفای سه گانه از جملۀ این فعالیت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کنار نگارش کتاب هایی در ردّ و اثبات عقاید توسط اصحاب عسکریین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کتاب بصائر الدرجات و نشر احادیث کوفی به دست علی بن ابراهیم و پدرش، که بخش اعظم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شریف اصول الکافی را تشکیل می دهد، در این دوره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اما مهم ترین منشور گزارش شده دربارۀ اندیشه های بنیادین امامت شیعی،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نخعی از امام می خواهد تا زیارتی به وی بیاموزد که علاوه بر بلیغ بودن متن آن، عبارات و مضامین آن برای زیارت هر امامی قابلیت داشته باشد و جامع صفات امامت باشد؛ از این رو، در این زیارت به بیش از دویست فضیلت و منقبت از اهل بیت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محتوایی این زیارت می توان به سه محور مهم و اساسی این زیارت اشاره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الهی، حجت الهی و امامت و جایگاهی که از سوی خداوند برای امام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ابتدا با صد بار تکبیر گفتن، عظمت و بزرگی از آنِ خداوند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آغازینِ این زیارت، پس از شهادت بر یکتایی و وحدانیت خداوند، سه شهادت دیگر ـ شهادت خداوند، ملائکه و صاحبان علم ـ نیز به عنوان گواه آمده که در دورۀ نخستین، به خصوص در گزارشات نهج البلاغه و صحیفۀ سجادیه نیز مورد اشاره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عبارت های مختلفی، بر جایگاه حجت در نظام الهی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امامت نیز آداب سخن گفتن با امام تعلیم داده شده است که ابتدا با سلام و درود بر امام شروع می‌شود و پس از برشمردن برخی اوصاف، در تبیین مفهوم امامت و ارتباط آن با سیاست، که از جمله لوازم درک عمیق واقعۀ غدیر است، صریحاً زمام داری و سیاست‌مداری از صفات و شئون معصومان علیهم السلام برشمرده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تبیین مفهوم تولّی اهل بیت و تبرّی، امام به محتوای روایاتی مانند غدیر، سفینه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کنند و موضوع مهدویت را مورد توجه قرار می دهند که با توجه به امکان نشر یافتن زیارت، حاکی از پذیرش این موضوع در میان شیعیان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موضوعات این زیارت نامه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امامان با خداوند و جایگاه خدا در نظر امامانِ معصوم، وظیفۀ معصومان در برابر دین خدا، حقانیت امامان و جدا ناپذیر بودن ایشان از حق و این که دور شوندۀ از آنان به گمراهی در خواهد آمد، رحمت واسعه بودن امام، انتصاب</w:t>
      </w:r>
      <w:bookmarkStart w:id="349" w:name="pg2628_20897"/>
    </w:p>
    <w:p>
      <w:pPr>
        <w:pStyle w:val="BookText"/>
        <w:rPr/>
      </w:pPr>
      <w:bookmarkEnd w:id="349"/>
      <w:r>
        <w:rPr>
          <w:rFonts w:ascii="IRNazanin" w:hAnsi="IRNazanin" w:eastAsia="IRNazanin"/>
          <w:color w:val="111111"/>
          <w:sz w:val="28"/>
          <w:sz w:val="28"/>
          <w:szCs w:val="28"/>
          <w:rtl w:val="true"/>
          <w:lang w:bidi="fa-IR"/>
        </w:rPr>
        <w:t>امامان از سوی خدا و عهده داریِ هدایت مردم، واسطه بودن میان خلق و خالق، معصوم و مطهر بودن امامان از رجس، علم فراوان الهی و مقامات فوق بشری و تبیین صحیح جایگاه معصومان در منظومۀ آفرینش، توجه به کارنامۀ عبادی ـ سیاسی معصومان، تأکید بر تولّی و تبرّی به عنوان یکی از راه کارهای مهم شیعیان، یک پارچگی تمام امامان در توانایی ها و معرفت کلی به عدم تمایز ائمه و وسیلۀ ارتباط خلق با خدا بودن امامان علیهم السلام</w:t>
      </w:r>
      <w:r>
        <w:rPr>
          <w:rFonts w:eastAsia="IRNazanin" w:cs="IRNazanin"/>
          <w:color w:val="111111"/>
          <w:sz w:val="28"/>
          <w:szCs w:val="28"/>
          <w:rtl w:val="true"/>
          <w:lang w:bidi="fa-IR"/>
        </w:rPr>
        <w:t>.</w:t>
      </w:r>
    </w:p>
    <w:p>
      <w:pPr>
        <w:pStyle w:val="Heading5"/>
        <w:numPr>
          <w:ilvl w:val="4"/>
          <w:numId w:val="1"/>
        </w:numPr>
        <w:rPr/>
      </w:pPr>
      <w:bookmarkStart w:id="350" w:name="__RefHeading___Toc541116_1395250215"/>
      <w:bookmarkStart w:id="351" w:name="_Toc134"/>
      <w:bookmarkEnd w:id="350"/>
      <w:r>
        <w:rPr>
          <w:rtl w:val="true"/>
        </w:rPr>
        <w:t>موضوع غیبت امام دوازدهم و سازمان وکالت</w:t>
      </w:r>
      <w:bookmarkEnd w:id="351"/>
    </w:p>
    <w:p>
      <w:pPr>
        <w:pStyle w:val="BookText"/>
        <w:rPr/>
      </w:pPr>
      <w:r>
        <w:rPr>
          <w:rFonts w:ascii="IRNazanin" w:hAnsi="IRNazanin" w:eastAsia="IRNazanin"/>
          <w:color w:val="111111"/>
          <w:sz w:val="28"/>
          <w:sz w:val="28"/>
          <w:szCs w:val="28"/>
          <w:rtl w:val="true"/>
          <w:lang w:bidi="fa-IR"/>
        </w:rPr>
        <w:t xml:space="preserve">در بحث های پیشین گفته شد، آشنایی عمومی شیعیان با موضوع غیبت امام دوازدهم به سال های پیشین باز می گردد؛ با این همه، در این دوره زمینۀ فهم این موضوع با توجه به دور از دسترس بودن امامان و پی گیری امور شیعیان از طریق انسجام بخشی به سازمان 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الفهرست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امامان علیهم السلام در پاره ای از گزارش ها، دوازدهمین جانشین پیامبر را صاحبِ حکومتی فراگیر و بر پا کنندۀ عدل و برخی صفات دیگر معرفی می کردند، اما در کنار آن، هم چنان بر عدم توانایی عمومی برای رؤیت آن امام تأکید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عبدالعظیم بن عبد الله حسنی، در اوصاف امام غایب نمونۀ روشن این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تلاش امامان ـ و به طور خاص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ارتباط غیرمستقیم شیعیان و مخصوصاً از طریق تعیین نایبان و وکلا، که عموماً شخصیت های برجستۀ امامیه بودند و ارجاع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 و عادی سازی دوران غیبت را نشان می دهد؛ این در حالی است که در دوره های پیشین، به خصوص در دورۀ اول و دوم مراجعه به امامان موضوعیت داشت و از سوی دیگر، منعی از سوی امامان برای ملاقات با ایشان به جز در موارد خاصی نبود، اما در دورۀ متأخر، اقتضائات گوناگون پیش گفته و نیز اهمیت موضوع غیبت امام دوازدهم، فرایند ملاقات و مراجعه به امام را به عالمان و وکلا انتقال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گزارش شده در کتاب الغیبة شیخ طوسی به خوبی از روند این موضوع در زمان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احمد بن اسحاق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شما در همۀ اوقات میسّر نیست، در این صورت سخن چه کسی را بپذیرم و امر چه کسی را امتثال کنم، او را به اطاعت از وکیل ناحیه که سخنش همان سخن امام است،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bookmarkStart w:id="352" w:name="pg2628_20898"/>
    </w:p>
    <w:p>
      <w:pPr>
        <w:pStyle w:val="BookText"/>
        <w:rPr/>
      </w:pPr>
      <w:bookmarkEnd w:id="352"/>
      <w:r>
        <w:rPr>
          <w:rFonts w:ascii="IRNazanin" w:hAnsi="IRNazanin" w:eastAsia="IRNazanin"/>
          <w:color w:val="111111"/>
          <w:sz w:val="28"/>
          <w:sz w:val="28"/>
          <w:szCs w:val="28"/>
          <w:rtl w:val="true"/>
          <w:lang w:bidi="fa-IR"/>
        </w:rPr>
        <w:t>بر این اساس، تنها عدۀ معدودی از خواص شیعیان می توانستند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مواردی امام از پشت پرده با شیعیان خود سخن 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جانشینی مورد تأکید بیشتر امامان در این دوره بوده و تردیدی میان شیعیان در آن نبوده است و این که آن حضرت از دید همگان مخفی خواهد بود نیز مورد تأکید فراوان امامان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ادعاهای دروغین نیز به سرعت از سوی شیعیان و گاه با همان ملاک های طرح شده در دوره های پیشین ـ سؤال از حلال و حرام و غیره ـ، با تردید مواجه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یکی از فرزندان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رفتار خود و نوشتن نامه به برخی از اصحاب امامیه، با درایت احمد بن اسحاق اشعری و توقیع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عبارت هایی مشابه زیارت جامعه کبیره استناد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ماجرای دو فرستادۀ اهل قم و برخورد ایشان با جعفر، برادر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گویای همین واقعیت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مواردی به خوبی نشان از آن دارد که ناحیۀ امامت و شیعیان به زوایا و تفاصیل موضوع امامت به خوبی آشنا بودند تا با اندوختۀ علمی فراوان و با تمکن از پاسخ گویی به شبهات، در تمرینی شصت و اندی ساله، برای دوران طولانی غیبت آماده شود</w:t>
      </w:r>
      <w:r>
        <w:rPr>
          <w:rFonts w:eastAsia="IRNazanin" w:cs="IRNazanin"/>
          <w:color w:val="111111"/>
          <w:sz w:val="28"/>
          <w:szCs w:val="28"/>
          <w:rtl w:val="true"/>
          <w:lang w:bidi="fa-IR"/>
        </w:rPr>
        <w:t>.</w:t>
      </w:r>
    </w:p>
    <w:p>
      <w:pPr>
        <w:pStyle w:val="Heading3"/>
        <w:numPr>
          <w:ilvl w:val="2"/>
          <w:numId w:val="1"/>
        </w:numPr>
        <w:rPr/>
      </w:pPr>
      <w:bookmarkStart w:id="353" w:name="__RefHeading___Toc541118_1395250215"/>
      <w:bookmarkStart w:id="354" w:name="_Toc135"/>
      <w:bookmarkEnd w:id="353"/>
      <w:r>
        <w:rPr>
          <w:rtl w:val="true"/>
        </w:rPr>
        <w:t>نتایج</w:t>
      </w:r>
      <w:bookmarkEnd w:id="354"/>
    </w:p>
    <w:p>
      <w:pPr>
        <w:pStyle w:val="BookText"/>
        <w:rPr/>
      </w:pPr>
      <w:r>
        <w:rPr>
          <w:rFonts w:ascii="IRNazanin" w:hAnsi="IRNazanin" w:eastAsia="IRNazanin"/>
          <w:color w:val="111111"/>
          <w:sz w:val="28"/>
          <w:sz w:val="28"/>
          <w:szCs w:val="28"/>
          <w:rtl w:val="true"/>
          <w:lang w:bidi="fa-IR"/>
        </w:rPr>
        <w:t xml:space="preserve">بی تردید، نقش عناصر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اجتماعی، فرهنگی و در پاره ای موارد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تبیین عقاید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علیهم السلام که ریشه در قرآن و سنت دارد، موضوعی غیر قابل انکار است و توجه هم زمان به همۀ این عناصر در چهار دوره از حیات اهل بیت، نشان می دهد که در مسیر تبیین عقاید، فرایندی اجمالی ـ تفصیلی طی شده است که در سایۀ آن، معارف الهی ـ نبوی بدون اندک تغییری در محتوا نشر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نخست، تأکید پیامبر و امامان علیهم السلام بر پایه ریزی اندیشۀ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 سو نبودن عناصر تاریخی به عنوان مهم ترین عامل برای عدم نشر عمق معارف، یک شاخصه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در دورۀ صادقین علیهما السلام، هم سوییِ همۀ عناصر سیاسی، اجتماعی، فرهنگی و اقتصادی، موجب شکل گیری و شکوفایی معارف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سوم هرچند به مدتی طولانی شرایط سیاسی، سازی مخالف با عناصر دیگر داشت، اما با جریان کوتاه مدت ولایت 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این نقص جبران شد و تثبیت و تصحیح اندیشه به اوج رسید</w:t>
      </w:r>
      <w:r>
        <w:rPr>
          <w:rFonts w:eastAsia="IRNazanin" w:cs="IRNazanin"/>
          <w:color w:val="111111"/>
          <w:sz w:val="28"/>
          <w:szCs w:val="28"/>
          <w:rtl w:val="true"/>
          <w:lang w:bidi="fa-IR"/>
        </w:rPr>
        <w:t>.</w:t>
      </w:r>
      <w:bookmarkStart w:id="355" w:name="pg2628_20899"/>
    </w:p>
    <w:p>
      <w:pPr>
        <w:pStyle w:val="BookText"/>
        <w:rPr/>
      </w:pPr>
      <w:bookmarkEnd w:id="355"/>
      <w:r>
        <w:rPr>
          <w:rFonts w:ascii="IRNazanin" w:hAnsi="IRNazanin" w:eastAsia="IRNazanin"/>
          <w:color w:val="111111"/>
          <w:sz w:val="28"/>
          <w:sz w:val="28"/>
          <w:szCs w:val="28"/>
          <w:rtl w:val="true"/>
          <w:lang w:bidi="fa-IR"/>
        </w:rPr>
        <w:t>و سرانجام در دوران ائمه متأخر، اندیشه های تبیین شده در دوره های پیشین به صورت منظومه ای معرفتی به کار گرفته شد تا جامعۀ گستردۀ شیعیان، با اندوختۀ علمی فراوان و با تمکن از پاسخ گویی به شبهات، در تمرینی شصت و اندی ساله برای دوران طولانی غیبت آماده شود</w:t>
      </w:r>
      <w:r>
        <w:rPr>
          <w:rFonts w:eastAsia="IRNazanin" w:cs="IRNazanin"/>
          <w:color w:val="111111"/>
          <w:sz w:val="28"/>
          <w:szCs w:val="28"/>
          <w:rtl w:val="true"/>
          <w:lang w:bidi="fa-IR"/>
        </w:rPr>
        <w:t>.</w:t>
      </w:r>
    </w:p>
    <w:p>
      <w:pPr>
        <w:pStyle w:val="Heading3"/>
        <w:numPr>
          <w:ilvl w:val="2"/>
          <w:numId w:val="1"/>
        </w:numPr>
        <w:rPr/>
      </w:pPr>
      <w:bookmarkStart w:id="356" w:name="__RefHeading___Toc541120_1395250215"/>
      <w:bookmarkStart w:id="357" w:name="_Toc136"/>
      <w:bookmarkEnd w:id="356"/>
      <w:r>
        <w:rPr>
          <w:rtl w:val="true"/>
        </w:rPr>
        <w:t>منابع</w:t>
      </w:r>
      <w:bookmarkEnd w:id="357"/>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المعتزلی، عبد الحمید بن هبة 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قم، مکتبة آیة الله المرعشی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شیبة الکوفی، 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اللحام، بیروت، دارالفکر للطباعة و النشر و التوزیع،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الأثیر الشیبانی، علی بن أبی الکرم،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أحمد بن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بیروت، 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التهذیب،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مؤسسة العلامة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الیقین، قم، مؤسسة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علی بن الحسن الدمشقی،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أبی سعید عمربن غرامة العمری، بیروت، دارالفکر،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إسماعیل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 النهایة،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بن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الصحیفة السجادیة،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النّیشابوری، محمّدبن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دارالکتاب العلمیة، بیروت، الطّبعة الاولی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الصغیر، بیروت، دار الفکر للطباعة و النشر و 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النعمانی، ابن أبی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قم، أنوارالهدی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علامه عبد الحسین،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الغدیر فی الکتاب و السنة و الأدب،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جلد، مرکز الغدیر للدراسات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الهلالی، سلیم بن قیس ،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قم، دارالهادی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الترمذی،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محمد عثمان، الثانیة، دارالفکر للطباعة والنشر والتوزیع، 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شعبة،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تهران، مکتبه نینوا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خزازقمی، علی بن محمد،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کفایةالأثر، قم، داربیدار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و وفیات المشاهیر و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تدمری،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سیدرضی، ابوالحسن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هجرت، قم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إحقاق الحق و إزهاق الباطل، قم، مکتبة آیة الله المرعشی النجفی،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بابویه،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جهان،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قم،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المکتبة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محمدبن الحسن بن فروخ،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قم، مکتبة آیةالله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مشهد،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نجف اشرف،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قم، مؤسسة المعارف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دارالثقافة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طیالسی،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أبی داود الطیالسی،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محمدبن 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مشهد، مؤسسة النشر فی جامعة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الوصیة للإمام علی بن أبی طالب، قم، انصاریان،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خراسانی، تهران، اسلامیه،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مقریزی، تقی الدین،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إمتاع الأسماع بما للنبی من الأحوال والأموال و الحفدة و المتاع، بیروت، 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عبد الغفار سلیمان البنداری،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الکبری، بیروت،</w:t>
      </w:r>
    </w:p>
    <w:p>
      <w:pPr>
        <w:pStyle w:val="BookText"/>
        <w:rPr/>
      </w:pPr>
      <w:r>
        <w:rPr>
          <w:rFonts w:ascii="IRNazanin" w:hAnsi="IRNazanin" w:eastAsia="IRNazanin"/>
          <w:color w:val="111111"/>
          <w:sz w:val="28"/>
          <w:sz w:val="28"/>
          <w:szCs w:val="28"/>
          <w:rtl w:val="true"/>
          <w:lang w:bidi="fa-IR"/>
        </w:rPr>
        <w:t>دارالکتب العلمیة،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الزواید و منبع الفوائد،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درویش، بیروت، دارالفکر، چاپ اول</w:t>
      </w:r>
      <w:r>
        <w:rPr>
          <w:rFonts w:eastAsia="IRNazanin" w:cs="IRNazanin"/>
          <w:color w:val="111111"/>
          <w:sz w:val="28"/>
          <w:szCs w:val="28"/>
          <w:rtl w:val="true"/>
          <w:lang w:bidi="fa-IR"/>
        </w:rPr>
        <w:t>.</w:t>
      </w:r>
      <w:bookmarkStart w:id="358" w:name="pg2628_20902"/>
    </w:p>
    <w:p>
      <w:pPr>
        <w:pStyle w:val="Heading2"/>
        <w:numPr>
          <w:ilvl w:val="1"/>
          <w:numId w:val="1"/>
        </w:numPr>
        <w:rPr/>
      </w:pPr>
      <w:bookmarkStart w:id="359" w:name="__RefHeading___Toc541122_1395250215"/>
      <w:bookmarkStart w:id="360" w:name="_Toc137"/>
      <w:bookmarkEnd w:id="358"/>
      <w:bookmarkEnd w:id="359"/>
      <w:r>
        <w:rPr>
          <w:rtl w:val="true"/>
        </w:rPr>
        <w:t xml:space="preserve">اری روبین و نظریه امامت مورثی شیعه </w:t>
      </w:r>
      <w:r>
        <w:rPr>
          <w:rtl w:val="true"/>
        </w:rPr>
        <w:t xml:space="preserve">( </w:t>
      </w:r>
      <w:r>
        <w:rPr>
          <w:rtl w:val="true"/>
        </w:rPr>
        <w:t>در بوته سنجش</w:t>
      </w:r>
      <w:r>
        <w:rPr>
          <w:rtl w:val="true"/>
        </w:rPr>
        <w:t>)</w:t>
      </w:r>
      <w:bookmarkEnd w:id="360"/>
    </w:p>
    <w:p>
      <w:pPr>
        <w:pStyle w:val="Heading3"/>
        <w:numPr>
          <w:ilvl w:val="2"/>
          <w:numId w:val="1"/>
        </w:numPr>
        <w:rPr/>
      </w:pPr>
      <w:bookmarkStart w:id="361" w:name="__RefHeading___Toc541124_1395250215"/>
      <w:bookmarkStart w:id="362" w:name="_Toc138"/>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اری روبین و نظریه امامت موروثی شیعه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سیدرسول هاشمی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علی راد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1392/06/25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1392/07/10</w:t>
      </w:r>
    </w:p>
    <w:p>
      <w:pPr>
        <w:pStyle w:val="Heading3"/>
        <w:numPr>
          <w:ilvl w:val="2"/>
          <w:numId w:val="1"/>
        </w:numPr>
        <w:rPr/>
      </w:pPr>
      <w:bookmarkStart w:id="363" w:name="__RefHeading___Toc541126_1395250215"/>
      <w:bookmarkStart w:id="364" w:name="_Toc139"/>
      <w:bookmarkEnd w:id="363"/>
      <w:r>
        <w:rPr>
          <w:rtl w:val="true"/>
        </w:rPr>
        <w:t>چکیده</w:t>
      </w:r>
      <w:bookmarkEnd w:id="364"/>
    </w:p>
    <w:p>
      <w:pPr>
        <w:pStyle w:val="BookText"/>
        <w:rPr/>
      </w:pPr>
      <w:r>
        <w:rPr>
          <w:rFonts w:ascii="IRNazanin" w:hAnsi="IRNazanin" w:eastAsia="IRNazanin"/>
          <w:color w:val="111111"/>
          <w:sz w:val="28"/>
          <w:sz w:val="28"/>
          <w:szCs w:val="28"/>
          <w:rtl w:val="true"/>
          <w:lang w:bidi="fa-IR"/>
        </w:rPr>
        <w:t>اری روبین در پژوهش خود با روش تاریخی ـ توصیفی، اعتقاد به امامت موروثی را به شیعه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مستند سازی نظریۀ امامت موروثی، به احادیث اخوت، پسر نداشتن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ایراد بر ادعای روبین می توان مطرح کرد این است که، ایشان در بررسی یکی از اصلی ترین مؤلفۀ عقیدتی شیعه، بدون بررسی آیات مربوط به وراثت و تحلیل جامع از روایات مربوط به آن، صرفاً با استناد به رویدادی تاریخی و بعضی از روایات مربوط به خلقت نوری که مربوط به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اعتقاد به امامت وراثتی را به شیعه نسبت داده است؛ علاوه بر این، به نظر می رسد داشتن پیش فرض مذهبی و نگاه عرفی به مسئله امامت، موجب شده است تا چنین اعتقادی را به شیعه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 نقد این نظریه با استناد به بعضی از آیات مرتبط و روایات وارده در کتب روایی معتبر، ضمن ردّ انتساب مذکور، نظریۀ صواب در ادلۀ شیعه بر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365" w:name="__RefHeading___Toc541128_1395250215"/>
      <w:bookmarkStart w:id="366" w:name="_Toc140"/>
      <w:bookmarkEnd w:id="365"/>
      <w:r>
        <w:rPr>
          <w:rtl w:val="true"/>
        </w:rPr>
        <w:t>واژگان کلیدی</w:t>
      </w:r>
      <w:bookmarkEnd w:id="3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روبین، امامت، وراثت، نقد مستشرقان، احادیث وراثت</w:t>
      </w:r>
      <w:r>
        <w:rPr>
          <w:rFonts w:eastAsia="IRNazanin" w:cs="IRNazanin"/>
          <w:color w:val="111111"/>
          <w:sz w:val="28"/>
          <w:szCs w:val="28"/>
          <w:rtl w:val="true"/>
          <w:lang w:bidi="fa-IR"/>
        </w:rPr>
        <w:t>.</w:t>
      </w:r>
      <w:bookmarkStart w:id="367" w:name="pg2628_20903"/>
    </w:p>
    <w:p>
      <w:pPr>
        <w:pStyle w:val="Heading3"/>
        <w:numPr>
          <w:ilvl w:val="2"/>
          <w:numId w:val="1"/>
        </w:numPr>
        <w:rPr/>
      </w:pPr>
      <w:bookmarkStart w:id="368" w:name="__RefHeading___Toc541130_1395250215"/>
      <w:bookmarkStart w:id="369" w:name="_Toc141"/>
      <w:bookmarkEnd w:id="367"/>
      <w:bookmarkEnd w:id="368"/>
      <w:r>
        <w:rPr>
          <w:rtl w:val="true"/>
        </w:rPr>
        <w:t>درآمد</w:t>
      </w:r>
      <w:bookmarkEnd w:id="369"/>
    </w:p>
    <w:p>
      <w:pPr>
        <w:pStyle w:val="BookText"/>
        <w:rPr/>
      </w:pPr>
      <w:r>
        <w:rPr>
          <w:rFonts w:ascii="IRNazanin" w:hAnsi="IRNazanin" w:eastAsia="IRNazanin"/>
          <w:color w:val="111111"/>
          <w:sz w:val="28"/>
          <w:sz w:val="28"/>
          <w:szCs w:val="28"/>
          <w:rtl w:val="true"/>
          <w:lang w:bidi="fa-IR"/>
        </w:rPr>
        <w:t>امامت به خاطر نقش تعیین کننده و جایگاه ویژه اش، بنا بر نقل بعضی از بعضی از فِرق نویسان، اولین مسئلۀ اختلافی و جنجال بر انگیز بعد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اسلامی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مسئلۀ امامت از آن جا ناشی می شود که در قرآن، علاوه بر مشروط شدن مقام امامت به عدم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گذراندن ابتلائات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امام نیز در عرض اطاعت از خدا و رسولش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پرداختن به مسئله امامت، مانند سایر مسائل اسلامی، به خاطر شرایط خاص سیاسی ـ اجتماعی، در دورۀ نخست از تاریخ اسلام، امری فراگیر نبوده است، اما دوره های بعد، در بعضی از تفاسیر مهم فریقین، امامت مشروط به ترک ظلم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طبرسی،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سیوطی،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فخر رازی،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شرط مذکور، قرار گرفتن اطاعت از امام در کنار اطاعت از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بیان گر جایگاه برجستۀ آن در میان مسائل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دینی بودن مسئله امامت موجب بی توجهی پیروان سایر ادیان به آن شده و صرفاً با نگاهی کلی، دربارۀ اسلام و مذاهب اسلامی تحقیق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های صلیبی، نگرش کلی جوامع غربی به اسلام موجب شد شیعه از مذاهب مهم اسلامی تلقی نشود؛ بنابراین، اکثر پژوهش ها دربارۀ اسلامِ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نصر با اطلاع از نقایص چنین روشی، در مقدمه بر شیعه در اسلام علامه طباطبائی می 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اروپاییِ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فرقۀ فرعی معرفی شده و با تقلیل علّت وجودی آن به یک نزاع صرفاً سیاسی و اجتماعی، کمتر به علل دینی پیدایش شیعه، توجه شده است؛ حتی در تحقیقات مربوط به شیعه، با اختصاص بیشتر آن به اسماعیلیه، امامیه در حد این فرقه دانسته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هاینزهالم در کتاب تشیع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شیعه به عنوان مذهبی مستقل، تحقیقاتی خارج از چارچوب مطالعات کلی اسلامی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تطبیقی ادیان، به تازگی شناخت تشیع را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هیانزهالم،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دهه های اخیر فعالیت های شیعه پژوهی در بین مستشرقان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رویکرد جدید غربیان در شیعه پژوهی، ناشی از تأثیر فکری ـ عقیدتی شیعه، در سطح منطقه و بین الملل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اتان کلبرگ 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هفدهم، تحقیقات محققان اروپایی دربارۀ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عنوان شخصیت برجستۀ ادبی و چهرۀ سیاسی اسلام گسترش یافته است، نه به عنوان بنیان گذار تشیع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نیمۀ دوم قرن بیستم، به ویژه به دنبال انقلاب اسلامی در ایران، مطالعات دربارۀ تشیع امامیه افزایش چشم گیری داشته است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p.xxiv) (Kohlberg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رغم جدید و متأخر بودن مطالعات شیعه شناسی و فعالیت های شیعه پژوهی، پرداختن به مسئلۀ امامت نسبت به دیگر مسائل مطرح، فراگیرتر بوده است، به طوری که مستشرق برجسته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لیندا کلارک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رسالۀ دکتری اش را به مسئله امامت اختصاص داد، بخشی از پژوهش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 کلبرگ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امامت شیعی است و نیز مادلونگ در اثری جداگانه با عنوان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روبین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پژوهش گر یهودی نیز از جمله مستشرقانی است که بعضی از پژوهش های خود را در رابطه با امامت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 پژوهش ها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اجداد در احادیث شیعۀ نخستین؛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Prophets and Progenitors in the early Shi’ah tradition</w:t>
      </w:r>
    </w:p>
    <w:p>
      <w:pPr>
        <w:pStyle w:val="BookText"/>
        <w:rPr/>
      </w:pPr>
      <w:r>
        <w:rPr>
          <w:rFonts w:ascii="IRNazanin" w:hAnsi="IRNazanin" w:eastAsia="IRNazanin"/>
          <w:color w:val="111111"/>
          <w:sz w:val="28"/>
          <w:sz w:val="28"/>
          <w:szCs w:val="28"/>
          <w:rtl w:val="true"/>
          <w:lang w:bidi="fa-IR"/>
        </w:rPr>
        <w:t xml:space="preserve">از مجموعۀ </w:t>
      </w:r>
      <w:r>
        <w:rPr>
          <w:rFonts w:eastAsia="Times New Roman" w:cs="Times New Roman" w:ascii="Times New Roman" w:hAnsi="Times New Roman"/>
          <w:color w:val="111111"/>
          <w:sz w:val="28"/>
          <w:szCs w:val="28"/>
          <w:lang w:val="en-US" w:bidi="en-US"/>
        </w:rPr>
        <w:t>Shi'ism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وراثت و نقش آن در اندیشۀ امامت گرایی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وراثت و نقش آن در انتقال علوم و معارف الهی به نسل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bookmarkStart w:id="370" w:name="pg2628_20905"/>
    </w:p>
    <w:p>
      <w:pPr>
        <w:pStyle w:val="BookText"/>
        <w:rPr/>
      </w:pPr>
      <w:bookmarkEnd w:id="37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در جهت اثبات اعتقاد شیعه به وراثتی بودن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وصایت و چگونگی انتقال آن از نسلی به نسل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نوری و نقش آن در پیامبری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نظریۀ نور 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نظریۀ وصیت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نظریۀ وصیت نوری در انتقال پیامبری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اثبات یکی بودن نظریۀ امامتِ وصایتی شیعه با نظریۀ وصایت در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اجداد در احادیث شیعۀ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اثری است که اری روبین تلاش کرده است نقش اجداد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پیامبری به آن حضرت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تحقیق، با تقسیم انتقال دهندگان مقام نبوت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وراثتی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کرده است وراثت را با اجداد عرب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بداند که هیچ نقشی در پیامبریِ آن حضرت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 شیعه به خلقت نوری ائمه را متأثر از عقیدۀ عرب جاهلی در مسئله وراثت دانسته و با مطرح کردن وصیت نوری، اجداد وصایتی را عامل انتقال پیامبری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مقام بیان ادلۀ شیعه بر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استناد به خویشاوندی و مواخات آن حضرت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رابطۀ خویشاوندی و مواخات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فرد شایستۀ خلافت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ادعای نویسنده، تنها نقش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مواخات و خلقت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شیعه به آن در استدلال بر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و رابطۀ اجداد وصایتی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جداگانه بررسی شد</w:t>
      </w:r>
      <w:r>
        <w:rPr>
          <w:rFonts w:eastAsia="IRNazanin" w:cs="IRNazanin"/>
          <w:color w:val="111111"/>
          <w:sz w:val="28"/>
          <w:szCs w:val="28"/>
          <w:rtl w:val="true"/>
          <w:lang w:bidi="fa-IR"/>
        </w:rPr>
        <w:t>.</w:t>
      </w:r>
    </w:p>
    <w:p>
      <w:pPr>
        <w:pStyle w:val="Heading3"/>
        <w:numPr>
          <w:ilvl w:val="2"/>
          <w:numId w:val="1"/>
        </w:numPr>
        <w:rPr/>
      </w:pPr>
      <w:bookmarkStart w:id="371" w:name="__RefHeading___Toc541132_1395250215"/>
      <w:bookmarkStart w:id="372" w:name="_Toc142"/>
      <w:bookmarkEnd w:id="371"/>
      <w:r>
        <w:rPr>
          <w:rtl w:val="true"/>
        </w:rPr>
        <w:t>نقد کلی</w:t>
      </w:r>
      <w:bookmarkEnd w:id="372"/>
    </w:p>
    <w:p>
      <w:pPr>
        <w:pStyle w:val="Heading4"/>
        <w:numPr>
          <w:ilvl w:val="3"/>
          <w:numId w:val="1"/>
        </w:numPr>
        <w:rPr/>
      </w:pPr>
      <w:bookmarkStart w:id="373" w:name="__RefHeading___Toc541134_1395250215"/>
      <w:bookmarkStart w:id="374" w:name="_Toc14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در بررسی کلی ، با وجود درج مقاله در مجموعۀ </w:t>
      </w:r>
      <w:r>
        <w:rPr>
          <w:rFonts w:eastAsia="Times New Roman" w:cs="Times New Roman" w:ascii="Times New Roman" w:hAnsi="Times New Roman"/>
          <w:color w:val="111111"/>
          <w:sz w:val="28"/>
          <w:szCs w:val="28"/>
          <w:lang w:val="en-US" w:bidi="en-US"/>
        </w:rPr>
        <w:t>Shi'ism</w:t>
      </w:r>
      <w:r>
        <w:rPr>
          <w:rFonts w:ascii="IRNazanin" w:hAnsi="IRNazanin" w:eastAsia="IRNazanin"/>
          <w:color w:val="111111"/>
          <w:sz w:val="28"/>
          <w:sz w:val="28"/>
          <w:szCs w:val="28"/>
          <w:rtl w:val="true"/>
          <w:lang w:bidi="fa-IR"/>
        </w:rPr>
        <w:t>، نقدهایی جدی بر آن وارد می شود که به برخی از آن ها اشاره می شود</w:t>
      </w:r>
      <w:r>
        <w:rPr>
          <w:rFonts w:eastAsia="IRNazanin" w:cs="IRNazanin"/>
          <w:color w:val="111111"/>
          <w:sz w:val="28"/>
          <w:szCs w:val="28"/>
          <w:rtl w:val="true"/>
          <w:lang w:bidi="fa-IR"/>
        </w:rPr>
        <w:t>.</w:t>
      </w:r>
    </w:p>
    <w:p>
      <w:pPr>
        <w:pStyle w:val="Heading4"/>
        <w:numPr>
          <w:ilvl w:val="3"/>
          <w:numId w:val="1"/>
        </w:numPr>
        <w:rPr/>
      </w:pPr>
      <w:bookmarkStart w:id="375" w:name="__RefHeading___Toc541136_1395250215"/>
      <w:bookmarkStart w:id="376" w:name="_Toc144"/>
      <w:bookmarkEnd w:id="375"/>
      <w:r>
        <w:rPr/>
        <w:t>1</w:t>
      </w:r>
      <w:r>
        <w:rPr>
          <w:rtl w:val="true"/>
        </w:rPr>
        <w:t xml:space="preserve">. </w:t>
      </w:r>
      <w:r>
        <w:rPr>
          <w:rtl w:val="true"/>
        </w:rPr>
        <w:t>عدم تناسب عنوان با متن</w:t>
      </w:r>
      <w:bookmarkEnd w:id="3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از مشخصات اصلی مقاله است و باید با محتوای مقاله مرتبط بوده و معرّف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مقاله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اجداد در احادیث شیعۀ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موضوع تحقیق چگونگی ارتباط پیامبران و اجداد آن ها باشد، اما چینش مطالب به گونه ای است که</w:t>
      </w:r>
      <w:bookmarkStart w:id="377" w:name="pg2628_20906"/>
    </w:p>
    <w:p>
      <w:pPr>
        <w:pStyle w:val="BookText"/>
        <w:rPr/>
      </w:pPr>
      <w:bookmarkEnd w:id="377"/>
      <w:r>
        <w:rPr>
          <w:rFonts w:ascii="IRNazanin" w:hAnsi="IRNazanin" w:eastAsia="IRNazanin"/>
          <w:color w:val="111111"/>
          <w:sz w:val="28"/>
          <w:sz w:val="28"/>
          <w:szCs w:val="28"/>
          <w:rtl w:val="true"/>
          <w:lang w:bidi="fa-IR"/>
        </w:rPr>
        <w:t>مباحث مربوط به ارتباط مذکور، جنبه ای مقدمه گونه برای بررسی مسئلۀ امامت از دیدگاه شیعه دارد؛ به عبارت دیگر، با وجود این که عنوان، تداعی کنندۀ ارتباط بین پیامبران و اجداد است، در عین حال تمرکز متن تحقیق بر بررسی دیدگاه شیعه در مسئله امامت و شباهت آن با وصایت بنی اسرائیلی، نحوۀ ارتباط مواخات و خویشاوندیِ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جانشینی است؛ دو مسئله ای که ارتباطی با عنوان مقاله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378" w:name="__RefHeading___Toc541138_1395250215"/>
      <w:bookmarkStart w:id="379" w:name="_Toc145"/>
      <w:bookmarkEnd w:id="378"/>
      <w:r>
        <w:rPr/>
        <w:t>2</w:t>
      </w:r>
      <w:r>
        <w:rPr>
          <w:rtl w:val="true"/>
        </w:rPr>
        <w:t xml:space="preserve">. </w:t>
      </w:r>
      <w:r>
        <w:rPr>
          <w:rtl w:val="true"/>
        </w:rPr>
        <w:t>عدم جامعیت منابع تحقیق</w:t>
      </w:r>
      <w:bookmarkEnd w:id="379"/>
    </w:p>
    <w:p>
      <w:pPr>
        <w:pStyle w:val="BookText"/>
        <w:rPr/>
      </w:pPr>
      <w:r>
        <w:rPr>
          <w:rFonts w:ascii="IRNazanin" w:hAnsi="IRNazanin" w:eastAsia="IRNazanin"/>
          <w:color w:val="111111"/>
          <w:sz w:val="28"/>
          <w:sz w:val="28"/>
          <w:szCs w:val="28"/>
          <w:rtl w:val="true"/>
          <w:lang w:bidi="fa-IR"/>
        </w:rPr>
        <w:t>تناسب بین منابع تحقیق و موضوع تحقیق امری است که محقق جهت اعتبار و اتقان پژوهش به آن توجهی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اهمیت این مطلب، متأسفانه برخی از مستشرقان با نظر به رویکرد پژوهشی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ـ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به آن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اجداد در احادیث شیعۀ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مهم ترین موضوعات اعتقادی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از منابع متقن و دست اول شیعه استفاده نکرده، بلکه بیشتر از منابع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بهره گرفته است</w:t>
      </w:r>
      <w:r>
        <w:rPr>
          <w:rStyle w:val="FootnoteAnchor"/>
          <w:rtl w:val="true"/>
        </w:rPr>
        <w:footnoteReference w:id="86"/>
      </w:r>
      <w:r>
        <w:rPr>
          <w:rFonts w:ascii="IRNazanin" w:hAnsi="IRNazanin" w:eastAsia="IRNazanin"/>
          <w:color w:val="111111"/>
          <w:sz w:val="28"/>
          <w:sz w:val="28"/>
          <w:szCs w:val="28"/>
          <w:rtl w:val="true"/>
          <w:lang w:bidi="fa-IR"/>
        </w:rPr>
        <w:t>؛ از این رو، با توجه به حساسیت مذهبی اهل سنت به مسئله امامت و یک سونگری برخی علمای عامه در انتساب بعضی از عقاید به شیعه و عدم دقت لازم در جمع آوری احادیث، استفاده از منابع اهل سنت در این پژوهش، موجب ضعف تحقیق شده و میزان اعتماد به آن را کاهش می دهد</w:t>
      </w:r>
      <w:r>
        <w:rPr>
          <w:rFonts w:eastAsia="IRNazanin" w:cs="IRNazanin"/>
          <w:color w:val="111111"/>
          <w:sz w:val="28"/>
          <w:szCs w:val="28"/>
          <w:rtl w:val="true"/>
          <w:lang w:bidi="fa-IR"/>
        </w:rPr>
        <w:t>.</w:t>
      </w:r>
    </w:p>
    <w:p>
      <w:pPr>
        <w:pStyle w:val="Heading3"/>
        <w:numPr>
          <w:ilvl w:val="2"/>
          <w:numId w:val="1"/>
        </w:numPr>
        <w:rPr/>
      </w:pPr>
      <w:bookmarkStart w:id="380" w:name="__RefHeading___Toc541140_1395250215"/>
      <w:bookmarkStart w:id="381" w:name="_Toc146"/>
      <w:bookmarkEnd w:id="380"/>
      <w:r>
        <w:rPr>
          <w:rtl w:val="true"/>
        </w:rPr>
        <w:t>نقد روشی</w:t>
      </w:r>
      <w:bookmarkEnd w:id="381"/>
    </w:p>
    <w:p>
      <w:pPr>
        <w:pStyle w:val="BookText"/>
        <w:rPr/>
      </w:pPr>
      <w:r>
        <w:rPr>
          <w:rFonts w:ascii="IRNazanin" w:hAnsi="IRNazanin" w:eastAsia="IRNazanin"/>
          <w:color w:val="111111"/>
          <w:sz w:val="28"/>
          <w:sz w:val="28"/>
          <w:szCs w:val="28"/>
          <w:rtl w:val="true"/>
          <w:lang w:bidi="fa-IR"/>
        </w:rPr>
        <w:t>یکی از مسائل مهم و اساسی تحقیق دربارۀ موضوعات یک علم، استفاده از روش یا روش های متناسب با آن علم است؛ در غیر این صورت، در تحلیل و نتیجه دچار مشکل می شویم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 اسلامی است که مورد توجه علمای برجستۀ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متکلمان در بررسی مسائل کلامی، از اصول استنباطِ مختص به علم کلام بهره نگرفته اند، اما روش ایشان در بررسی مسائل کلامی با روش فقها در فقه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87"/>
      </w:r>
      <w:bookmarkStart w:id="382" w:name="pg2628_20907"/>
    </w:p>
    <w:p>
      <w:pPr>
        <w:pStyle w:val="BookText"/>
        <w:rPr/>
      </w:pPr>
      <w:bookmarkEnd w:id="382"/>
      <w:r>
        <w:rPr>
          <w:rFonts w:ascii="IRNazanin" w:hAnsi="IRNazanin" w:eastAsia="IRNazanin"/>
          <w:color w:val="111111"/>
          <w:sz w:val="28"/>
          <w:sz w:val="28"/>
          <w:szCs w:val="28"/>
          <w:rtl w:val="true"/>
          <w:lang w:bidi="fa-IR"/>
        </w:rPr>
        <w:t>به طور کلی، در بررسی و استنباط مسائل کلامی از روش های عقلی، جدلی، نقلی و میان روشی استفاده می کنند، چه این که روشِ بحث را، اقتضای ذات موضوع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مسائل کلامی که جنبۀ اثباتیـ جدلی دارند، نمی توان برخوردی تاریخی داشت؛ یعنی با وجود استناد روبین به احادیث، اما نحوۀ استنادش، گزارش گری است، نه ملاحظۀ علمی متناسب با روش نقلیِ رایج در استفاده از منابع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استنباط نقلیِ مسائل اسلامی، صرف نقل روایات یا ترجمۀ آن کفایت نمی کند، بلکه فهم دلالت متن نیز مهم و ضروری است؛ از این رو در مقام تحقیق، علاوه بر ضرورت بررسی دلالت متن مورد نظر، دلالت آن در سنجش با سایر متونِ متناظر و هم خانواده نیز باید بررسی شود؛ یعنی در استنباط از آیات و روایات، باید همۀ متون مرتبط با موضوع ملاحظه شده و از برآیند دلالتِ متون، نتیجه گیری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لازم است در نقل احادیث شیعه، علاوه بر روایات ناظر به مقایسۀ بین ادیانیِ مسئلۀ جانشینی، به روایات تحلیلی نیز استدلال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روایاتی که به شیوۀ استدلال جدلی و عقلی، مسئله امامت را مورد بررسی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نویسنده در باب امامت، مجموع روایات موجود در کتاب های حدیثی شیعه را می نگریست، در بیان استدلال شیعه، به روش تاریخی ـ توصیفی روی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مسئلۀ جانشینی، فقط به روایات ناظر به تشابه بین ادیانی</w:t>
      </w:r>
      <w:r>
        <w:rPr>
          <w:rStyle w:val="FootnoteAnchor"/>
          <w:rtl w:val="true"/>
        </w:rPr>
        <w:footnoteReference w:id="88"/>
      </w:r>
      <w:r>
        <w:rPr>
          <w:rFonts w:ascii="IRNazanin" w:hAnsi="IRNazanin" w:eastAsia="IRNazanin"/>
          <w:color w:val="111111"/>
          <w:sz w:val="28"/>
          <w:sz w:val="28"/>
          <w:szCs w:val="28"/>
          <w:rtl w:val="true"/>
          <w:lang w:bidi="fa-IR"/>
        </w:rPr>
        <w:t xml:space="preserve">تمسک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روش نقلیِ نگارنده را علمی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از آن جا که مدعیات نویسنده مبتنی بر منابع نقلی است، لذا در نقد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خواهد شد؛ البته بر خلاف روبین، به منابع رواییِ معتبر و اصیل شیعه و به آیات وراثت، استناد و استدلال خواهد شد</w:t>
      </w:r>
      <w:r>
        <w:rPr>
          <w:rFonts w:eastAsia="IRNazanin" w:cs="IRNazanin"/>
          <w:color w:val="111111"/>
          <w:sz w:val="28"/>
          <w:szCs w:val="28"/>
          <w:rtl w:val="true"/>
          <w:lang w:bidi="fa-IR"/>
        </w:rPr>
        <w:t>.</w:t>
      </w:r>
    </w:p>
    <w:p>
      <w:pPr>
        <w:pStyle w:val="Heading3"/>
        <w:numPr>
          <w:ilvl w:val="2"/>
          <w:numId w:val="1"/>
        </w:numPr>
        <w:rPr/>
      </w:pPr>
      <w:bookmarkStart w:id="383" w:name="__RefHeading___Toc541142_1395250215"/>
      <w:bookmarkStart w:id="384" w:name="_Toc147"/>
      <w:bookmarkEnd w:id="383"/>
      <w:r>
        <w:rPr>
          <w:rtl w:val="true"/>
        </w:rPr>
        <w:t>نقد محتوایی</w:t>
      </w:r>
      <w:bookmarkEnd w:id="384"/>
    </w:p>
    <w:p>
      <w:pPr>
        <w:pStyle w:val="Heading4"/>
        <w:numPr>
          <w:ilvl w:val="3"/>
          <w:numId w:val="1"/>
        </w:numPr>
        <w:rPr/>
      </w:pPr>
      <w:bookmarkStart w:id="385" w:name="__RefHeading___Toc541144_1395250215"/>
      <w:bookmarkStart w:id="386" w:name="_Toc148"/>
      <w:bookmarkEnd w:id="385"/>
      <w:r>
        <w:rPr>
          <w:rtl w:val="true"/>
        </w:rPr>
        <w:t>مفهوم شناسی</w:t>
      </w:r>
      <w:bookmarkEnd w:id="38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ارائۀ تعریف از واژگان اصلی در هر تحقیقِ موضوع محور،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هایی محوری اند؛ روبین، می بایست آن ها را از حیث لغت و اصطلاح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ضرروت مذکور، هیچ تعریفی از آن ها ارائه نشده</w:t>
      </w:r>
      <w:bookmarkStart w:id="387" w:name="pg2628_20908"/>
    </w:p>
    <w:p>
      <w:pPr>
        <w:pStyle w:val="BookText"/>
        <w:rPr/>
      </w:pPr>
      <w:bookmarkEnd w:id="3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تعریف لغوی و اصطلاحی موجب ضعف مفهوم شناسی و ابهام در مقصود نویسنده می شود، به طوری که روبین در استدلال بر مسئله ای کلامی، به وراثت مطرح در فقه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خلط، ناشی از عدم تعریف واژگان محوری در تحقیق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بحث امامتِ وراثتی،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مشخص شدن جایگاه و کاربرد آن در مباحث کلامی، بررسی می شود</w:t>
      </w:r>
      <w:r>
        <w:rPr>
          <w:rFonts w:eastAsia="IRNazanin" w:cs="IRNazanin"/>
          <w:color w:val="111111"/>
          <w:sz w:val="28"/>
          <w:szCs w:val="28"/>
          <w:rtl w:val="true"/>
          <w:lang w:bidi="fa-IR"/>
        </w:rPr>
        <w:t>.</w:t>
      </w:r>
    </w:p>
    <w:p>
      <w:pPr>
        <w:pStyle w:val="Heading4"/>
        <w:numPr>
          <w:ilvl w:val="3"/>
          <w:numId w:val="1"/>
        </w:numPr>
        <w:rPr/>
      </w:pPr>
      <w:bookmarkStart w:id="388" w:name="__RefHeading___Toc541146_1395250215"/>
      <w:bookmarkStart w:id="389" w:name="_Toc149"/>
      <w:bookmarkEnd w:id="388"/>
      <w:r>
        <w:rPr>
          <w:rtl w:val="true"/>
        </w:rPr>
        <w:t>وراثت در لغت و اصطلاح</w:t>
      </w:r>
      <w:bookmarkEnd w:id="389"/>
    </w:p>
    <w:p>
      <w:pPr>
        <w:pStyle w:val="Heading5"/>
        <w:numPr>
          <w:ilvl w:val="4"/>
          <w:numId w:val="1"/>
        </w:numPr>
        <w:rPr/>
      </w:pPr>
      <w:bookmarkStart w:id="390" w:name="__RefHeading___Toc541148_1395250215"/>
      <w:bookmarkStart w:id="391" w:name="_Toc150"/>
      <w:bookmarkEnd w:id="390"/>
      <w:r>
        <w:rPr>
          <w:rtl w:val="true"/>
        </w:rPr>
        <w:t>اشاره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انتقال شیء از شخصی به شخص دیگر است؛ البته انتقالی که بر اساس سبب یا نسب است؛ هم چنان که در کتاب های لغت نیز به همین معنا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مصطفوی،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لغت حتی از نظر خلیل که نتیجه یا فایدۀ ارث را بیان کرده،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حقیقت بودن آن در غیرمال اختلاف شده است، اما به خاطر کثرت استعمال در این معنا در قرآن، بر حقیقت نیز حمل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فقط در فقه مطرح شده است، چه این که ارث، وارث و میراث موضوعاتی فقهی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استحقاق شخصی بر دارایی دیگری، به نَسَب یا سَبَب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عاملی،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ارکان وراثت، نسبت بین طرفین ارث است، و موجب انتقال ارث به وارث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فقهای شیعه هریک از طبقات ارث به اندازۀ سهمشان، ارث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یعنی مورث نمی تواند با انتقال ارث به بعضی از وراث، بقیه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بعداً خواهد آمد، آنچه در احادیث کلامی از وراثت بحث شده است، همان معنای لغوی، یعنی صرف انتقال مال یا مقام بدون ملاحظۀ رابطۀ طرفین بوده و دلیل انتقال نیز شایستگیِ فرد دریافت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مفهوم شناسی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تعریف لغوی و اصطلاحی آن، ادعای نویسنده در انتساب به شیعه در اعتقاد به امامت وراثتی با ملاحظۀ خویشاوندی، مواخات و خلقت نوری مطرح شده در مقاله، بررسی و نقد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امامت وراثتی بنا بر دیدگاه شیعه تحت عناوین ذیل، تحلیل و برررسی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 در برداشت فقهی</w:t>
      </w:r>
      <w:r>
        <w:rPr>
          <w:rFonts w:eastAsia="IRNazanin" w:cs="IRNazanin"/>
          <w:color w:val="111111"/>
          <w:sz w:val="28"/>
          <w:szCs w:val="28"/>
          <w:rtl w:val="true"/>
          <w:lang w:bidi="fa-IR"/>
        </w:rPr>
        <w:t>.</w:t>
      </w:r>
      <w:bookmarkStart w:id="392" w:name="pg2628_20909"/>
    </w:p>
    <w:p>
      <w:pPr>
        <w:pStyle w:val="BookText"/>
        <w:rPr/>
      </w:pPr>
      <w:bookmarkEnd w:id="3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ژنتیکی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مواخاتی</w:t>
      </w:r>
      <w:r>
        <w:rPr>
          <w:rFonts w:eastAsia="IRNazanin" w:cs="IRNazanin"/>
          <w:color w:val="111111"/>
          <w:sz w:val="28"/>
          <w:szCs w:val="28"/>
          <w:rtl w:val="true"/>
          <w:lang w:bidi="fa-IR"/>
        </w:rPr>
        <w:t>.</w:t>
      </w:r>
    </w:p>
    <w:p>
      <w:pPr>
        <w:pStyle w:val="Heading5"/>
        <w:numPr>
          <w:ilvl w:val="4"/>
          <w:numId w:val="1"/>
        </w:numPr>
        <w:rPr/>
      </w:pPr>
      <w:bookmarkStart w:id="393" w:name="__RefHeading___Toc541150_1395250215"/>
      <w:bookmarkStart w:id="394" w:name="_Toc151"/>
      <w:bookmarkEnd w:id="393"/>
      <w:r>
        <w:rPr/>
        <w:t>1</w:t>
      </w:r>
      <w:r>
        <w:rPr>
          <w:rtl w:val="true"/>
        </w:rPr>
        <w:t xml:space="preserve">. </w:t>
      </w:r>
      <w:r>
        <w:rPr>
          <w:rtl w:val="true"/>
        </w:rPr>
        <w:t>وراثت در برداشت فقهی</w:t>
      </w:r>
      <w:bookmarkEnd w:id="394"/>
    </w:p>
    <w:p>
      <w:pPr>
        <w:pStyle w:val="Heading6"/>
        <w:numPr>
          <w:ilvl w:val="5"/>
          <w:numId w:val="1"/>
        </w:numPr>
        <w:rPr/>
      </w:pPr>
      <w:bookmarkStart w:id="395" w:name="__RefHeading___Toc541152_1395250215"/>
      <w:bookmarkStart w:id="396" w:name="_Toc152"/>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 این بخش، برداشت فقهیِ روبین از وراثت، از سه منظر فقه، قرآن و روایت مورد مداقه قرار می گیرد، تا دیدگاه کلامی شیعه در مسئلۀ نقش وراثت در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t>.</w:t>
      </w:r>
    </w:p>
    <w:p>
      <w:pPr>
        <w:pStyle w:val="Heading6"/>
        <w:numPr>
          <w:ilvl w:val="5"/>
          <w:numId w:val="1"/>
        </w:numPr>
        <w:rPr/>
      </w:pPr>
      <w:bookmarkStart w:id="397" w:name="__RefHeading___Toc541154_1395250215"/>
      <w:bookmarkStart w:id="398" w:name="_Toc153"/>
      <w:bookmarkEnd w:id="397"/>
      <w:r>
        <w:rPr>
          <w:rtl w:val="true"/>
        </w:rPr>
        <w:t>الف</w:t>
      </w:r>
      <w:r>
        <w:rPr>
          <w:rtl w:val="true"/>
        </w:rPr>
        <w:t xml:space="preserve">) </w:t>
      </w:r>
      <w:r>
        <w:rPr>
          <w:rtl w:val="true"/>
        </w:rPr>
        <w:t>وراثت در فقه</w:t>
      </w:r>
      <w:bookmarkEnd w:id="398"/>
    </w:p>
    <w:p>
      <w:pPr>
        <w:pStyle w:val="BookText"/>
        <w:rPr/>
      </w:pPr>
      <w:r>
        <w:rPr>
          <w:rFonts w:ascii="IRNazanin" w:hAnsi="IRNazanin" w:eastAsia="IRNazanin"/>
          <w:color w:val="111111"/>
          <w:sz w:val="28"/>
          <w:sz w:val="28"/>
          <w:szCs w:val="28"/>
          <w:rtl w:val="true"/>
          <w:lang w:bidi="fa-IR"/>
        </w:rPr>
        <w:t xml:space="preserve">با ملاحظۀ بحث مفهوم شناسیِ ارث، آنچه در روایات مربوط به ارث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انتقال علوم و سایر امور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بنا بر ارث فقهی،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در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زیرا دارای نسبتی که منجر به ارث فقهی می شد، نبود؛ برخلاف ادعای مؤلف که اعتقاد به جانشینی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ارث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مواخات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شیعه منتسب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شهید مطهری با استناد به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الْامامَةَ هِیَ مَنْزِلَةُ الْانْبِیاءِ وَ ارْثُ الْاوْصِیاء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امر ی وراثتی است؛ البته به این معنا که استعداد آن از نسلی به نسل بعد منتقل شده است، نه وراثت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مطرح نشدن جانشینیِ موروثی در کتب کلامی شیعه ـ که بیان گر عقاید شیعه هستندـ و انتساب آن به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بر عدم استدلال شیعه به وراثت در اثبات و انحصار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گستردگی استناد مؤلف به منابع اهل سنت و هم چنین ارتباط مستشرقان با مراکز علمی آن ها، ممکن است، انتساب امامت موروثی به شیعه، متأثر از نظریات تاریخی و کلامی بعضی از علمای اهل سنت باشد که در آثار خود به شیعه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ندوی،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علیرغم ذکر شدن روایات مواخات در احادیث کلامی شیعه، متکلمان شیعه، از آن به عنوان دلیل بر امامت استناد نکرده اند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فاضل مقداد،</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بعضی از آن ها، مواخات را به عنوان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w:t>
      </w:r>
      <w:bookmarkStart w:id="399" w:name="pg2628_20910"/>
    </w:p>
    <w:p>
      <w:pPr>
        <w:pStyle w:val="BookText"/>
        <w:rPr/>
      </w:pPr>
      <w:bookmarkEnd w:id="39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فضایل ساختگی دیگران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بررسی ادلۀ فرق اسلامی با نسبت دادن اندیشۀ امامت موروثی به عباسیان، اعتقاد به وجوب نص بر امام را از اعتقادات شیعه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مطالب گفته شده، مطرح شدن وراثت در روایات شیعی، تنها می تواند شاهدی بر انتقال فضایل از نسلی به نسل دیگر و نشانه ای برای امام باشد، تا حقانیت خود را ثابت کند، نه دلیلی بر اعتقاد شیعه به امامت موروثی بر مبنای کلام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دلیل شیعه بر امامت استناد نص است و روایات مورد اشاره نیز تعابیر گوناگون از دلیل بر امامتِ شخص برگزیده از سوی خداست</w:t>
      </w:r>
      <w:r>
        <w:rPr>
          <w:rFonts w:eastAsia="IRNazanin" w:cs="IRNazanin"/>
          <w:color w:val="111111"/>
          <w:sz w:val="28"/>
          <w:szCs w:val="28"/>
          <w:rtl w:val="true"/>
          <w:lang w:bidi="fa-IR"/>
        </w:rPr>
        <w:t>.</w:t>
      </w:r>
    </w:p>
    <w:p>
      <w:pPr>
        <w:pStyle w:val="Heading6"/>
        <w:numPr>
          <w:ilvl w:val="5"/>
          <w:numId w:val="1"/>
        </w:numPr>
        <w:rPr/>
      </w:pPr>
      <w:bookmarkStart w:id="400" w:name="__RefHeading___Toc541156_1395250215"/>
      <w:bookmarkStart w:id="401" w:name="_Toc154"/>
      <w:bookmarkEnd w:id="400"/>
      <w:r>
        <w:rPr>
          <w:rtl w:val="true"/>
        </w:rPr>
        <w:t>ب</w:t>
      </w:r>
      <w:r>
        <w:rPr>
          <w:rtl w:val="true"/>
        </w:rPr>
        <w:t xml:space="preserve">) </w:t>
      </w:r>
      <w:r>
        <w:rPr>
          <w:rtl w:val="true"/>
        </w:rPr>
        <w:t>وراثت در قرآن</w:t>
      </w:r>
      <w:bookmarkEnd w:id="401"/>
    </w:p>
    <w:p>
      <w:pPr>
        <w:pStyle w:val="BookText"/>
        <w:rPr/>
      </w:pPr>
      <w:r>
        <w:rPr>
          <w:rFonts w:ascii="IRNazanin" w:hAnsi="IRNazanin" w:eastAsia="IRNazanin"/>
          <w:color w:val="111111"/>
          <w:sz w:val="28"/>
          <w:sz w:val="28"/>
          <w:szCs w:val="28"/>
          <w:rtl w:val="true"/>
          <w:lang w:bidi="fa-IR"/>
        </w:rPr>
        <w:t>بررسی وراثت از منظر قرآن و دیدگاه مفسران می تواند شاهدی بر دلالت روایات دالّ بر میراث پیامبری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در تفسیر برخی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سلسلۀ پیامبران بحث ارث و میراث مطرح است، اما میراث پیامبران، نبوت و پیامبری نیست، بلکه مانند سایر انسان ها، مال و منال و ملک را به ارث می گذارند، زیرا علم در گرو تعلیم و تعلم، و یا موهبت الهی است که به بعضی از انسان ها عنایت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نیز تابع مصلحت است نه نسبت، تا از طریق ارث به نسل بعدی انتقال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طبرسی،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ارثی نبودن نبوت و علم، شاهدی بر موروثی نبودن امامت است، زیرا امامت نیز تابع شرایط و مصلحت است نه نسبت، تا از طریق قرابت به ارث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شیخ مفید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ایراث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رایج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اعیان فرد بعد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باب تشبیه و استعاره، وارثان را در مقام حاکمانی می داند که کتاب نزد آنان امانت است و حفاظتش را بر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بهره مندی از تفسیر مفسران مزبور، روایات دالّ بر ارث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بر صِرف انتقال علم پیامبری به اوصیای آن ها، حمل کرد، نه ارث معمول در فقه که تابع شرایط خاصی است</w:t>
      </w:r>
      <w:r>
        <w:rPr>
          <w:rFonts w:eastAsia="IRNazanin" w:cs="IRNazanin"/>
          <w:color w:val="111111"/>
          <w:sz w:val="28"/>
          <w:szCs w:val="28"/>
          <w:rtl w:val="true"/>
          <w:lang w:bidi="fa-IR"/>
        </w:rPr>
        <w:t>.</w:t>
      </w:r>
    </w:p>
    <w:p>
      <w:pPr>
        <w:pStyle w:val="Heading6"/>
        <w:numPr>
          <w:ilvl w:val="5"/>
          <w:numId w:val="1"/>
        </w:numPr>
        <w:rPr/>
      </w:pPr>
      <w:bookmarkStart w:id="402" w:name="__RefHeading___Toc541158_1395250215"/>
      <w:bookmarkStart w:id="403" w:name="_Toc155"/>
      <w:bookmarkEnd w:id="402"/>
      <w:r>
        <w:rPr>
          <w:rtl w:val="true"/>
        </w:rPr>
        <w:t>ج</w:t>
      </w:r>
      <w:r>
        <w:rPr>
          <w:rtl w:val="true"/>
        </w:rPr>
        <w:t xml:space="preserve">) </w:t>
      </w:r>
      <w:r>
        <w:rPr>
          <w:rtl w:val="true"/>
        </w:rPr>
        <w:t>وراثت در روایات</w:t>
      </w:r>
      <w:bookmarkEnd w:id="403"/>
    </w:p>
    <w:p>
      <w:pPr>
        <w:pStyle w:val="Heading6"/>
        <w:numPr>
          <w:ilvl w:val="5"/>
          <w:numId w:val="1"/>
        </w:numPr>
        <w:rPr/>
      </w:pPr>
      <w:bookmarkStart w:id="404" w:name="__RefHeading___Toc541160_1395250215"/>
      <w:bookmarkStart w:id="405" w:name="_Toc156"/>
      <w:bookmarkEnd w:id="404"/>
      <w:r>
        <w:rPr>
          <w:rtl w:val="true"/>
        </w:rPr>
        <w:t>اشاره</w:t>
      </w:r>
      <w:bookmarkEnd w:id="4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تحلیل روایات مربوط به ارث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بعضی از ابواب کتاب های حدیثی مطرح شده، لازم است مجموع روایات بررسی شود</w:t>
      </w:r>
      <w:r>
        <w:rPr>
          <w:rFonts w:eastAsia="IRNazanin" w:cs="IRNazanin"/>
          <w:color w:val="111111"/>
          <w:sz w:val="28"/>
          <w:szCs w:val="28"/>
          <w:rtl w:val="true"/>
          <w:lang w:bidi="fa-IR"/>
        </w:rPr>
        <w:t>.</w:t>
      </w:r>
      <w:bookmarkStart w:id="406" w:name="pg2628_20911"/>
    </w:p>
    <w:p>
      <w:pPr>
        <w:pStyle w:val="BookText"/>
        <w:rPr/>
      </w:pPr>
      <w:bookmarkEnd w:id="406"/>
      <w:r>
        <w:rPr>
          <w:rFonts w:ascii="IRNazanin" w:hAnsi="IRNazanin" w:eastAsia="IRNazanin"/>
          <w:color w:val="111111"/>
          <w:sz w:val="28"/>
          <w:sz w:val="28"/>
          <w:szCs w:val="28"/>
          <w:rtl w:val="true"/>
          <w:lang w:bidi="fa-IR"/>
        </w:rPr>
        <w:t>روایات وارده از چهار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ارث، وارث، رابطۀ فی مابین و مورث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ارث پیامبری،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التوراة و الانجیل و تبیان ما فی الالواح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صحف ابراهیم و الواح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زبور و کتب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صفار،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متعلقِ ارث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ائمه و اوصیای پیامبران الهی به عنوان وارثان پیامبران و اوصیای قبلی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نکتۀ مهم دیگر این که، علاوه بر رابطۀ موروثی بین پیامبران، اوصیا و ائمه، خداوند نیز به عنوان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Heading6"/>
        <w:numPr>
          <w:ilvl w:val="5"/>
          <w:numId w:val="1"/>
        </w:numPr>
        <w:rPr/>
      </w:pPr>
      <w:bookmarkStart w:id="407" w:name="__RefHeading___Toc541162_1395250215"/>
      <w:bookmarkStart w:id="408" w:name="_Toc157"/>
      <w:bookmarkEnd w:id="407"/>
      <w:r>
        <w:rPr>
          <w:rtl w:val="true"/>
        </w:rPr>
        <w:t>تحلیل روایات</w:t>
      </w:r>
      <w:bookmarkEnd w:id="408"/>
    </w:p>
    <w:p>
      <w:pPr>
        <w:pStyle w:val="BookText"/>
        <w:rPr/>
      </w:pPr>
      <w:r>
        <w:rPr>
          <w:rFonts w:ascii="IRNazanin" w:hAnsi="IRNazanin" w:eastAsia="IRNazanin"/>
          <w:color w:val="111111"/>
          <w:sz w:val="28"/>
          <w:sz w:val="28"/>
          <w:szCs w:val="28"/>
          <w:rtl w:val="true"/>
          <w:lang w:bidi="fa-IR"/>
        </w:rPr>
        <w:t xml:space="preserve">با توجه به انتساب ارث به ائمه و اوصیا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ذکر شده از کافی و بصائر 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رابطۀ طرفین، رابطه ای حقوقی است نه حقیقی؛ در حالی که در ارث، رابطۀ حقیقی شرط است؛ یعنی بر اساس یکی از روابط چندگانه در ارث، عنوان وارث بر شخص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ملاحظۀ متعلق ارث، که به طور کلی جنبۀ ربّانی دارد و خداوند آن ها را در اختیار افرادی خاص قرار داده است، میراث پیامبران مربوط به شخصیت حقوقی شان است و پیامبران فقط پذیرنده و انتقال دهندۀ آن هستند؛ لذا بدون اذن الهی حقّ تصرف در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تعیین افراد خاصی از خانوادۀ پیامبران برای دریافت ارث، و اعلام آن پیش از رحلت پیامبران، قرینه ای است بر این که ارث پیامبری، غیر از ارث مطرح در فقه و عرف است، وگرنه، نه متعلق ارث خاص بود و نه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شدن خداوند به عنوان مورّث در کنار پیامبران، شاهد دیگری بر تفاوت ارث پیامبری با ارث عرفی و فقهی است، هم چنان که دریافت ارث، نشانه و علامتِ جانشینی اوصیا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ارث، موجب رسیدن به مقام امامت نمی شود، تا دلیل بر آن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برخلاف ارث پیامبری، انتقال ارث بر اساس وراثت رایج در فقه و عرف، بعد از مرگ مورّث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خود قرینه ای است بر مأموریت پیامبران در انتقال میراث پیامبری به شخص تعیین شده از سوی خداوند</w:t>
      </w:r>
      <w:r>
        <w:rPr>
          <w:rFonts w:eastAsia="IRNazanin" w:cs="IRNazanin"/>
          <w:color w:val="111111"/>
          <w:sz w:val="28"/>
          <w:szCs w:val="28"/>
          <w:rtl w:val="true"/>
          <w:lang w:bidi="fa-IR"/>
        </w:rPr>
        <w:t>.</w:t>
      </w:r>
      <w:bookmarkStart w:id="409" w:name="pg2628_20912"/>
    </w:p>
    <w:p>
      <w:pPr>
        <w:pStyle w:val="Heading5"/>
        <w:numPr>
          <w:ilvl w:val="4"/>
          <w:numId w:val="1"/>
        </w:numPr>
        <w:rPr/>
      </w:pPr>
      <w:bookmarkStart w:id="410" w:name="__RefHeading___Toc541164_1395250215"/>
      <w:bookmarkStart w:id="411" w:name="_Toc158"/>
      <w:bookmarkEnd w:id="409"/>
      <w:bookmarkEnd w:id="410"/>
      <w:r>
        <w:rPr/>
        <w:t>2</w:t>
      </w:r>
      <w:r>
        <w:rPr>
          <w:rtl w:val="true"/>
        </w:rPr>
        <w:t xml:space="preserve">. </w:t>
      </w:r>
      <w:r>
        <w:rPr>
          <w:rtl w:val="true"/>
        </w:rPr>
        <w:t>وراثت ژنتیکی</w:t>
      </w:r>
      <w:bookmarkEnd w:id="411"/>
    </w:p>
    <w:p>
      <w:pPr>
        <w:pStyle w:val="BookText"/>
        <w:rPr/>
      </w:pPr>
      <w:r>
        <w:rPr>
          <w:rFonts w:ascii="IRNazanin" w:hAnsi="IRNazanin" w:eastAsia="IRNazanin"/>
          <w:color w:val="111111"/>
          <w:sz w:val="28"/>
          <w:sz w:val="28"/>
          <w:szCs w:val="28"/>
          <w:rtl w:val="true"/>
          <w:lang w:bidi="fa-IR"/>
        </w:rPr>
        <w:t xml:space="preserve">یکی از مباحث مطرح شده در مقاله، تشبیه قول به وراثت ائمه از دیدگاه شیعه، به وراثت از نظر جاهلیت عربِ پیش از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 ویژگی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روبین با این تشبیه در صدد القای تأثیرپذیری شیعیان، از عقاید عرب قبل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نظریۀ افترا آمیز با نظریات عرب قبل از اسلام مطابقت دارد، و گلدزیهر آن را به الحاد و شرک عربِ جاهلی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همان طوری که اعراب، ارث بردن مشخصات جسمانی را مسلّم دانستند، شیعیان نیز قائلند، صفات اخلاقی، فضایل و عیوب نیز از اجداد به ارث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ارتباط وراثت با تأثیر ژنتیکی نسل قبل بر نسل بعد، ضروری است منشأ و منبع باورهای شیعی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این باورها مبتنی بر آیات و روایات است؛ البته معیار قبول یا ردّ روایات، مطابقت یا عدم مطابقت آن با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فرض مطرح شده دربارۀ منشأ باورهای شیعه، ابتدا لازم است تأثیرپذیری قرآن و پیامبر از فرهنگ زمانه،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مطرح شدن تأثیر پذیری قرآن از فرهنگ زمانه توسط بعضی از مفسران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زمخشری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بیضاوی،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شیعه، آن را رد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صرف نظر از دیدگاه مفسران فریقین، برخورد قرآن با فرهنگ زمانه، انتقادی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تأییدی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فرضیۀ تعامل چهارگانۀ قرآن کریم با فرهنگ زمانه، مؤید این نکته است که تعامل مذکور را سیرۀ عقلا نیز تأیید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زیرا عقلا در مواجهه با پدیده های اعتقادی، اجتماعی، فرهنگی و اقتصادیِ جامعه ای، آن ها را بر اساس مبانی خود ارزیابی کرده و معمولاً به یکی از روش های مزبور با آن برخورد می کنند؛ هرچند ممکن است یکی از شیوه ها جنبۀ غالبی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مدعی نشده است مواجهۀ عقلا با مسائل اجتماعی به منزلۀ تأثیرپذیری است، بلکه ارزیابی سره از ناسره است که لازمۀ حضور مؤثر پیامبران و سایر مصلحان در جوامع بشری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تأثیر گذاری بنیادین قرآن کریم، بر هنجارهای عرفی، اجتماعی، سیاسی و اعتقادی از مسلمات تاریخ اسلام است که منجر به ایجاد تمدنی با اصول معرفتی و الگوهای رفتاری نو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نفی تأثیرپذیری قرآن از فرهنگ زمانه، وراثت از منظر قرآن به عنوان منشأ باور شیعی،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انتقال وراثتی فضایل و رذایل اخلاقی از نسلی به نسل بعد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نوح رب لا تذر علی الارض من الکافرین دیاراً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تذرهم یضلوا عبادک و لا یلدوا إلا فاجراً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روی زمین باقی نگذار، چراکه اگر آن ها را باقی گذاری، بندگانت را گمراه کنند و جز نسلی فاجر و کافر به وجود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مدعا،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بر دعایش، به تولد کافر از کافر اشاره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ویژگی های شخصیتی فرد است؛ بنابراین، آیه بیان گر تاثیر وراثتی کفر، از نسلی به نسل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وراثت تنها علت گرایش به کفر نیست، بلکه یکی از عوامل گرایش به کفر قلمداد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وراثتیِ خصوصیات معنوی، به کفر اختصاص ندارد، بلکه ایمان نیز از نسلی به نسل دیگر ارث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گفته شد، وراثت تنها علت انتقال فضایل و رذایل نیست، زیرا در این صورت، هر کسی محکوم به شخصیت معنوی نسل پیش از خود می شود؛ امری که با عنصر انتخاب و اختیار تنافی دارد؛ یعنی خداوند جهت مسئولیت پذیری و تلاش، به انسان اختیار و انتخاب داده است تا سرنوشتش را علی رغم برخورداری از وراثت مطلوب یا نامطلوب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بعضی از نسل پیامبران شقی گشته اند و بعضی از نسل کافران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اعتقاد به خلقت نوری ائمۀ شیعه، منشأ روایی داشته و متأثر از باورهای جامعۀ عرب نبوده است، 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طبرسی،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از دو صورت خارج نیست؛ پیامبر یا از شخص دیگری دریافت کرده و یا آن که خداوند به او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یعنی یاد گرفتن از شخص دیگر، خلاف مسلمات اعتقادی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مسلمات تاریخ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فرض دوم، اعتقاد شیعه متأثر از باور جامعۀ عرب آن روز نیست، بلکه ناشی از اخبار خلقت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پیامبر 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رسیده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اعتقاد شیعه به انتقال وراثت ائمه، منشأ قرآنی و روایی داشته و متأثر از فرهنگ عرب جاهلی نیست؛ 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الهام از قرآن و ارتباط با عالم غیب، به</w:t>
      </w:r>
      <w:bookmarkStart w:id="412" w:name="pg2628_20914"/>
    </w:p>
    <w:p>
      <w:pPr>
        <w:pStyle w:val="BookText"/>
        <w:rPr/>
      </w:pPr>
      <w:bookmarkEnd w:id="412"/>
      <w:r>
        <w:rPr>
          <w:rFonts w:ascii="IRNazanin" w:hAnsi="IRNazanin" w:eastAsia="IRNazanin"/>
          <w:color w:val="111111"/>
          <w:sz w:val="28"/>
          <w:sz w:val="28"/>
          <w:szCs w:val="28"/>
          <w:rtl w:val="true"/>
          <w:lang w:bidi="fa-IR"/>
        </w:rPr>
        <w:t>شناختی از قوانین تکوینی دست یافته اند که بیان گر چگونگی ارتباط نسل ها با یکدیگر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شناختی علاوه بر دلالت بر جامعیت علم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شاهدی بر مرتبط نبودن باور خرافی جاهلیت عرب با عقاید مبتنی بر قرآن و روایتِ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کلی مسئلۀ وراثت از دیدگاه شیعه، به ارتباط ژنتیکی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روایاتی که اشتراک وجودی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اند، ارتباط ژنتیکی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نظریۀ خلقت نوری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نوری که پیش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بود، از طریق نسل های گذشته به حضرت عبدالمطلب رسیده و در این انتقال به دو جزء نوری مساوی تقسیم شده است؛ از این رو،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من شجرۀ واحده و سایر الناس من شجرة 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تعبیر ارتباط ژنتیکی نوعی تسامح در تعبیر است، وگرنه عینیت خلقت نوری با ارتباط ژنتیکی میان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بیشتری نیاز دارد که در این تحقیق نمی گنجد</w:t>
      </w:r>
      <w:r>
        <w:rPr>
          <w:rFonts w:eastAsia="IRNazanin" w:cs="IRNazanin"/>
          <w:color w:val="111111"/>
          <w:sz w:val="28"/>
          <w:szCs w:val="28"/>
          <w:rtl w:val="true"/>
          <w:lang w:bidi="fa-IR"/>
        </w:rPr>
        <w:t>.</w:t>
      </w:r>
    </w:p>
    <w:p>
      <w:pPr>
        <w:pStyle w:val="Heading5"/>
        <w:numPr>
          <w:ilvl w:val="4"/>
          <w:numId w:val="1"/>
        </w:numPr>
        <w:rPr/>
      </w:pPr>
      <w:bookmarkStart w:id="413" w:name="__RefHeading___Toc541166_1395250215"/>
      <w:bookmarkStart w:id="414" w:name="_Toc159"/>
      <w:bookmarkEnd w:id="413"/>
      <w:r>
        <w:rPr/>
        <w:t>3</w:t>
      </w:r>
      <w:r>
        <w:rPr>
          <w:rtl w:val="true"/>
        </w:rPr>
        <w:t xml:space="preserve">. </w:t>
      </w:r>
      <w:r>
        <w:rPr>
          <w:rtl w:val="true"/>
        </w:rPr>
        <w:t>وراثت مواخاتی</w:t>
      </w:r>
      <w:bookmarkEnd w:id="414"/>
    </w:p>
    <w:p>
      <w:pPr>
        <w:pStyle w:val="Heading6"/>
        <w:numPr>
          <w:ilvl w:val="5"/>
          <w:numId w:val="1"/>
        </w:numPr>
        <w:rPr/>
      </w:pPr>
      <w:bookmarkStart w:id="415" w:name="__RefHeading___Toc541168_1395250215"/>
      <w:bookmarkStart w:id="416" w:name="_Toc160"/>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یکی از موضوعات مطرح شده، مواخات و تأثیر سیاسی ـ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روبین بدون بررسی فلسفۀ مواخات و تأثیر آن در جامعۀ قبیله ای عرب،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شیعه،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خاطر فضیلت توافقی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خاطر خویشاوندیِ آینده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یعنی او هم مطابق اصل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بر اساس اصل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مواخات از دو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pStyle w:val="Heading6"/>
        <w:numPr>
          <w:ilvl w:val="5"/>
          <w:numId w:val="1"/>
        </w:numPr>
        <w:rPr/>
      </w:pPr>
      <w:bookmarkStart w:id="417" w:name="__RefHeading___Toc541170_1395250215"/>
      <w:bookmarkStart w:id="418" w:name="_Toc161"/>
      <w:bookmarkEnd w:id="417"/>
      <w:r>
        <w:rPr>
          <w:rtl w:val="true"/>
        </w:rPr>
        <w:t>جنبه اجتماعی</w:t>
      </w:r>
      <w:bookmarkEnd w:id="418"/>
    </w:p>
    <w:p>
      <w:pPr>
        <w:pStyle w:val="BookText"/>
        <w:rPr/>
      </w:pPr>
      <w:r>
        <w:rPr>
          <w:rFonts w:ascii="IRNazanin" w:hAnsi="IRNazanin" w:eastAsia="IRNazanin"/>
          <w:color w:val="111111"/>
          <w:sz w:val="28"/>
          <w:sz w:val="28"/>
          <w:szCs w:val="28"/>
          <w:rtl w:val="true"/>
          <w:lang w:bidi="fa-IR"/>
        </w:rPr>
        <w:t>در بررسی چراییِ ایجاد مواخات و برادری در روزهای آغازین ظهور اسلام از بعد اجتماعی، لازم است به فرهنگ و آداب قبیله ای و خانواده ای توجه شود، زیرا روابط اجتماعی آن روز بر اساس ساختار قبیله ای رقم خورده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اساسی حاکم بر روابط قبیله ای جزیرة العرب، حمایت اعضای قبیله از یکدیگر و یا حمایت قبایل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از یکدیگر بوده است، به طوری که در سایۀ همین رفتار، یکی از تلخ ترین رویدادهای تاریخ بشر، یعنی جنگ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اوس و خزرج رقم خورد</w:t>
      </w:r>
      <w:r>
        <w:rPr>
          <w:rFonts w:eastAsia="IRNazanin" w:cs="IRNazanin"/>
          <w:color w:val="111111"/>
          <w:sz w:val="28"/>
          <w:szCs w:val="28"/>
          <w:rtl w:val="true"/>
          <w:lang w:bidi="fa-IR"/>
        </w:rPr>
        <w:t>.</w:t>
      </w:r>
      <w:bookmarkStart w:id="419" w:name="pg2628_20915"/>
    </w:p>
    <w:p>
      <w:pPr>
        <w:pStyle w:val="BookText"/>
        <w:rPr/>
      </w:pPr>
      <w:bookmarkEnd w:id="419"/>
      <w:r>
        <w:rPr>
          <w:rFonts w:ascii="IRNazanin" w:hAnsi="IRNazanin" w:eastAsia="IRNazanin"/>
          <w:color w:val="111111"/>
          <w:sz w:val="28"/>
          <w:sz w:val="28"/>
          <w:szCs w:val="28"/>
          <w:rtl w:val="true"/>
          <w:lang w:bidi="fa-IR"/>
        </w:rPr>
        <w:t>در چنین شرایطی اسلام ظهور کرد و این دینِ نوظهور نیازمند حمایت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حمایت مردمی با اخلاق قبیله ای غیرممکن به نظر می رسید؛ از این رو،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روحیۀ حمایت قبیله ای و با ایجاد باوری نو بر اساس رابطۀ دینی، نظام اجتماعی جدیدی را رقم زد تا بر اساس آن، برادران دینی از یکدیگر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ذیل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Style w:val="FootnoteAnchor"/>
          <w:rtl w:val="true"/>
        </w:rPr>
        <w:footnoteReference w:id="93"/>
      </w:r>
      <w:r>
        <w:rPr>
          <w:rFonts w:ascii="IRNazanin" w:hAnsi="IRNazanin" w:eastAsia="IRNazanin"/>
          <w:color w:val="111111"/>
          <w:sz w:val="28"/>
          <w:sz w:val="28"/>
          <w:szCs w:val="28"/>
          <w:rtl w:val="true"/>
          <w:lang w:bidi="fa-IR"/>
        </w:rPr>
        <w:t>نتیجۀ رابطۀ دینیِ ایجاد شده به دست پیامبر را، حمایت همه جانبۀ نومسلمانان از یکدیگر می داند، نه فقط ارث بردن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اساس این آیه، میان این دو طایفه ولایت برقرار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معنایی است اعم از ولایت میراث، ولایت نصرت و ولایت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همۀ این ها اطلاق در آیه است، و هیچ قرینه‌ای دالّ بر انصراف اطلاق ولایت به ولایت ارث وجود ندارد تا ادعا شود شاهدی بر ولایت ارثی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عقد برداری میان مهاجرین و انصار اجرا کرد و بعدها نسخ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سال های نخست ظهور اسلام، در پرتو اخوت ایجاد شده، برادری دینی جای برادری قبیله ای را گرفت و پیامبر توانست با این تاکتیک اجتماعی، به طور غیرمستقیم تعصبات قومی ـ قبیله ای را مدیریت کند و جامعه ای واحد را حول محور دین رقم زند؛ در نتیجه، فلسفۀ مواخات، مدیریت حمایت قبیله ای در راستای تحقق وحدت و هم دلی در بین مسلمانان بوده است، نه مطرح کردن جانشینی ائمۀ شیعه؛ از این رو، بعد از مدت کوتاهی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هرچند برادری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مسائل در معارف شیعی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های گوناگون با تعابیر مختلف بیان فرمودند، اما دلیل بر امامت نبوده، بلکه فضیلتی است که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آن بود</w:t>
      </w:r>
      <w:r>
        <w:rPr>
          <w:rFonts w:eastAsia="IRNazanin" w:cs="IRNazanin"/>
          <w:color w:val="111111"/>
          <w:sz w:val="28"/>
          <w:szCs w:val="28"/>
          <w:rtl w:val="true"/>
          <w:lang w:bidi="fa-IR"/>
        </w:rPr>
        <w:t>.</w:t>
      </w:r>
    </w:p>
    <w:p>
      <w:pPr>
        <w:pStyle w:val="Heading6"/>
        <w:numPr>
          <w:ilvl w:val="5"/>
          <w:numId w:val="1"/>
        </w:numPr>
        <w:rPr/>
      </w:pPr>
      <w:bookmarkStart w:id="420" w:name="__RefHeading___Toc541172_1395250215"/>
      <w:bookmarkStart w:id="421" w:name="_Toc162"/>
      <w:bookmarkEnd w:id="420"/>
      <w:r>
        <w:rPr>
          <w:rtl w:val="true"/>
        </w:rPr>
        <w:t>جنبه حقوقی</w:t>
      </w:r>
      <w:bookmarkEnd w:id="421"/>
    </w:p>
    <w:p>
      <w:pPr>
        <w:pStyle w:val="Heading6"/>
        <w:numPr>
          <w:ilvl w:val="5"/>
          <w:numId w:val="1"/>
        </w:numPr>
        <w:rPr/>
      </w:pPr>
      <w:bookmarkStart w:id="422" w:name="__RefHeading___Toc541174_1395250215"/>
      <w:bookmarkStart w:id="423" w:name="_Toc163"/>
      <w:bookmarkEnd w:id="422"/>
      <w:r>
        <w:rPr>
          <w:rtl w:val="true"/>
        </w:rPr>
        <w:t>اشاره</w:t>
      </w:r>
      <w:bookmarkEnd w:id="42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مانند سایر ادیان الهی مجموعه ای از اعتقادات، اخلاقیات و حقوق است، و این حقوق دربارۀ عرف حاکم بر جامعه، رویکرد تأییدی و یا تأسیسی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نَسَبی،</w:t>
      </w:r>
      <w:bookmarkStart w:id="424" w:name="pg2628_20916"/>
    </w:p>
    <w:p>
      <w:pPr>
        <w:pStyle w:val="BookText"/>
        <w:rPr/>
      </w:pPr>
      <w:bookmarkEnd w:id="424"/>
      <w:r>
        <w:rPr>
          <w:rFonts w:ascii="IRNazanin" w:hAnsi="IRNazanin" w:eastAsia="IRNazanin"/>
          <w:color w:val="111111"/>
          <w:sz w:val="28"/>
          <w:sz w:val="28"/>
          <w:szCs w:val="28"/>
          <w:rtl w:val="true"/>
          <w:lang w:bidi="fa-IR"/>
        </w:rPr>
        <w:t>یکی از قوانین رایج در عرف عرب آن روز در حوزۀ حقوق خانوادگی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وجود پذیرش قانون کلی ارث، جزئیات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مواخات دو مسئله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روایات مواخات بر 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ارث مواخاتی بر امامت ائمۀ شیعه</w:t>
      </w:r>
      <w:r>
        <w:rPr>
          <w:rFonts w:eastAsia="IRNazanin" w:cs="IRNazanin"/>
          <w:color w:val="111111"/>
          <w:sz w:val="28"/>
          <w:szCs w:val="28"/>
          <w:rtl w:val="true"/>
          <w:lang w:bidi="fa-IR"/>
        </w:rPr>
        <w:t>.</w:t>
      </w:r>
    </w:p>
    <w:p>
      <w:pPr>
        <w:pStyle w:val="Heading6"/>
        <w:numPr>
          <w:ilvl w:val="5"/>
          <w:numId w:val="1"/>
        </w:numPr>
        <w:rPr/>
      </w:pPr>
      <w:bookmarkStart w:id="425" w:name="__RefHeading___Toc541176_1395250215"/>
      <w:bookmarkStart w:id="426" w:name="_Toc164"/>
      <w:bookmarkEnd w:id="425"/>
      <w:r>
        <w:rPr/>
        <w:t>1</w:t>
      </w:r>
      <w:r>
        <w:rPr>
          <w:rtl w:val="true"/>
        </w:rPr>
        <w:t xml:space="preserve">. </w:t>
      </w:r>
      <w:r>
        <w:rPr>
          <w:rtl w:val="true"/>
        </w:rPr>
        <w:t>دلالت روایات مواخات بر ارث</w:t>
      </w:r>
      <w:bookmarkEnd w:id="426"/>
    </w:p>
    <w:p>
      <w:p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1360</w:t>
      </w:r>
      <w:r>
        <w:rPr>
          <w:rFonts w:ascii="IRNazanin" w:hAnsi="IRNazanin" w:eastAsia="IRNazanin"/>
          <w:color w:val="111111"/>
          <w:sz w:val="28"/>
          <w:sz w:val="28"/>
          <w:szCs w:val="28"/>
          <w:lang w:bidi="fa-IR"/>
        </w:rPr>
        <w:t>،</w:t>
      </w:r>
      <w:r>
        <w:rPr>
          <w:rFonts w:eastAsia="IRNazanin" w:cs="IRNazanin"/>
          <w:color w:val="111111"/>
          <w:sz w:val="28"/>
          <w:szCs w:val="28"/>
          <w:lang w:bidi="fa-IR"/>
        </w:rPr>
        <w:t>270:10</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فیض،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مواخات، قائل شدند مواخات موجب ارث بردن برادران دینی از یکدیگر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قول بعضی از مفسران به دلالت آیۀ مذکور بر میراث مواخاتی، ظاهر آیه بر آن دلالت ندارد، هم چنان که علامه طباطبائی در تفسیرش به این نکته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 روایاتِ بیان کنندۀ این واقعۀ تاریخی</w:t>
      </w:r>
      <w:r>
        <w:rPr>
          <w:rStyle w:val="FootnoteAnchor"/>
          <w:rtl w:val="true"/>
        </w:rPr>
        <w:footnoteReference w:id="94"/>
      </w:r>
      <w:r>
        <w:rPr>
          <w:rFonts w:ascii="IRNazanin" w:hAnsi="IRNazanin" w:eastAsia="IRNazanin"/>
          <w:color w:val="111111"/>
          <w:sz w:val="28"/>
          <w:sz w:val="28"/>
          <w:szCs w:val="28"/>
          <w:rtl w:val="true"/>
          <w:lang w:bidi="fa-IR"/>
        </w:rPr>
        <w:t>نیز بر ارث بردن دلالت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فیض در تفسیر صافی ذیل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ارث بردن مواخاتی به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کتاب 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ارث بردن را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علی رغم عدم دلالت ظاهر آیۀ مذکور بر ارث بردن مواخاتی، اما لازمۀ جمع بین دو دسته از روایات، ارث بردن موقت بر اثر عقد اخوت است، هم چنان که شهید مطهری به ارث بردن موقتی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که مسلمانان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Heading6"/>
        <w:numPr>
          <w:ilvl w:val="5"/>
          <w:numId w:val="1"/>
        </w:numPr>
        <w:rPr/>
      </w:pPr>
      <w:bookmarkStart w:id="427" w:name="__RefHeading___Toc541178_1395250215"/>
      <w:bookmarkStart w:id="428" w:name="_Toc165"/>
      <w:bookmarkEnd w:id="427"/>
      <w:r>
        <w:rPr/>
        <w:t>2</w:t>
      </w:r>
      <w:r>
        <w:rPr>
          <w:rtl w:val="true"/>
        </w:rPr>
        <w:t xml:space="preserve">. </w:t>
      </w:r>
      <w:r>
        <w:rPr>
          <w:rtl w:val="true"/>
        </w:rPr>
        <w:t>دلالت ارث مواخاتی بر امامت ائمۀ شیعه</w:t>
      </w:r>
      <w:bookmarkEnd w:id="428"/>
    </w:p>
    <w:p>
      <w:pPr>
        <w:pStyle w:val="BookText"/>
        <w:rPr/>
      </w:pPr>
      <w:r>
        <w:rPr>
          <w:rFonts w:ascii="IRNazanin" w:hAnsi="IRNazanin" w:eastAsia="IRNazanin"/>
          <w:color w:val="111111"/>
          <w:sz w:val="28"/>
          <w:sz w:val="28"/>
          <w:szCs w:val="28"/>
          <w:rtl w:val="true"/>
          <w:lang w:bidi="fa-IR"/>
        </w:rPr>
        <w:t>بعد از بررسی تحقق ارث مواخاتی بین مهاجران و انصار، چگونگی ارتباط این رویداد تاریخی با مسئله امامت از دیدگاه شیعه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مسئله لازم است به چند نکته توجه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فقهی و موقت بودن ارث مواخاتی بین مهاجران و انصار، دو ویژگی است که مانع دلالتش بر امامت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زیرا امامت مسئله 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ضرورت و مصلحت آن، پیش و پس از مطرح شدن ضرورت و مصلحت مواخات وجود داشته است و ادلۀ عقلی و نقلیِ مطرح در کتب کلامی و حدیثی به آن پرداخته اند؛ از این رو، متکلمان شیعی برای اثبات امامت به ادلۀ مواخات استدلال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29" w:name="pg2628_20917"/>
    </w:p>
    <w:p>
      <w:pPr>
        <w:pStyle w:val="BookText"/>
        <w:rPr/>
      </w:pPr>
      <w:bookmarkEnd w:id="429"/>
      <w:r>
        <w:rPr>
          <w:rFonts w:ascii="IRNazanin" w:hAnsi="IRNazanin" w:eastAsia="IRNazanin"/>
          <w:color w:val="111111"/>
          <w:sz w:val="28"/>
          <w:sz w:val="28"/>
          <w:szCs w:val="28"/>
          <w:rtl w:val="true"/>
          <w:lang w:bidi="fa-IR"/>
        </w:rPr>
        <w:t>بلکه از آن به عنوان یکی از فضایل برجستۀ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سید مرتضی،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 تابع شرایط خاص از جمله تساوی وارثان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تساوی در ارث شرکت تمام وارثان در آن است که اقتضای ذاتی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مسئله امامت نفی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نگاه تاریخی به مسئله امامت به نظر می رسد،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احتجاج با مخالفان برای اثبات 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برای امامت، به مسئله مواخات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در مقام جدل بر مبنای خصم، جنبۀ اسکاتی دارد نه جنبۀ استدلالی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اثبات امامت باید عام باشد، نه مختص به یک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مواخات تنها مختص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تواند دلیل بر امامت باشد، بلکه تنها شاهدی است بر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مدعیان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ملاحظات مطرح شده که شاهدی بر عدم دلالت مواخات موروثی بر امامت ائمه شیعه است ، شایان ذکر است، با وجود پذیرش اصل مواخات موروثی در حوزۀ فقه، اما بسیاری از روایاتی مواخات، جنبۀ کلامی دارد؛ یعنی هیچ ارتباطی با وراثت فقهی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رویکردِ روایات، ناظر به اتمام حجت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جانشینی است، که جنبۀ کلامی دارد؛ از این رو، اخوت مطرح در این دسته از روایات بر مواخات موروثی دلالت ندارد تا آن که برای جانشینی ائمه به چنین وراثتی استدلال شود</w:t>
      </w:r>
      <w:r>
        <w:rPr>
          <w:rFonts w:eastAsia="IRNazanin" w:cs="IRNazanin"/>
          <w:color w:val="111111"/>
          <w:sz w:val="28"/>
          <w:szCs w:val="28"/>
          <w:rtl w:val="true"/>
          <w:lang w:bidi="fa-IR"/>
        </w:rPr>
        <w:t>.</w:t>
      </w:r>
    </w:p>
    <w:p>
      <w:pPr>
        <w:pStyle w:val="Heading3"/>
        <w:numPr>
          <w:ilvl w:val="2"/>
          <w:numId w:val="1"/>
        </w:numPr>
        <w:rPr/>
      </w:pPr>
      <w:bookmarkStart w:id="430" w:name="__RefHeading___Toc541180_1395250215"/>
      <w:bookmarkStart w:id="431" w:name="_Toc166"/>
      <w:bookmarkEnd w:id="430"/>
      <w:r>
        <w:rPr>
          <w:rtl w:val="true"/>
        </w:rPr>
        <w:t>نتایج</w:t>
      </w:r>
      <w:bookmarkEnd w:id="431"/>
    </w:p>
    <w:p>
      <w:pPr>
        <w:pStyle w:val="BookText"/>
        <w:rPr/>
      </w:pPr>
      <w:r>
        <w:rPr>
          <w:rFonts w:ascii="IRNazanin" w:hAnsi="IRNazanin" w:eastAsia="IRNazanin"/>
          <w:color w:val="111111"/>
          <w:sz w:val="28"/>
          <w:sz w:val="28"/>
          <w:szCs w:val="28"/>
          <w:rtl w:val="true"/>
          <w:lang w:bidi="fa-IR"/>
        </w:rPr>
        <w:t>بحث از امامت در هر دوره ای از مباحث مهم، پویا و چالش برانگیز است و معمولاً از منظر های متفاوت ملاحظه و بررسی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و نقد انجام شده، با وجود نو و بی سابقه بودن بحث از امامت موروثی، تلاش شده است، تحلیلی جامع از اعتقاد شیعه به مسئله امامت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مسئله مذکور از منظر فقه، تفسیر، کلام و روایت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بحث وراثت نیز بیان گر احتجاج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خصم بنا بر مبنای عرفِ غالب است؛ یعنی اگر قرابت که مواخات یکی از نشانه های آن است، شرط است، قرابت 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بر فقهی نبودن وراثت در روایات، نوع رابطۀ بعضی از پیامبران با اوصیایشان است، زیرا از سنخ رابطۀ نَسبی و یا سببیِ مطرح در باب ارث نبوده است تا موجب ارث بردن شود؛ مثل رابطۀ شعیب و موسی، موسی و یوشع بن نون،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bookmarkStart w:id="432" w:name="pg2628_20918"/>
    </w:p>
    <w:p>
      <w:pPr>
        <w:pStyle w:val="BookText"/>
        <w:rPr/>
      </w:pPr>
      <w:bookmarkEnd w:id="4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ادلۀ شیعه در اثبات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نتیجۀ بررسی آیات و روایات مربوط به امامت این است که وراثت مطرح شده در منظومۀ اعتقادی شیعه، صرف انتقال مقام امامت و لوازم 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است که خداوند از باب حکمت و مصلحت، آن ها را حجت قرار داده است؛ به عبارت دیگر، با توجه به این که خداوند از حال بندگانش کاملاً آگاه است و ظرفیت آن ها را در پذیرش و اجرای امور بهتر می شناسد، عده ای از بندگانش را به پیامبری و جانشین پیامبری انتخاب می کند؛ هم چنان که در قرآن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می داند رسالتش را کجا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تعابیر وراثت، وصایت،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جایگاه امامت و مصداق تعیین شده از سوی خداوند و نحوۀ ارتباط او با پیامبر یا وصیّ پیشین است، و بار معنایی خاصی را افاده نمی کند؛ مثلاً وقتی پیامبر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اصحاب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به 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ذهن آن ها نیز وراثت فقهی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پیامبرانِ پیشین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 بیان گر واسطه بودن او در انتقال میراث پیامبران گذشته به نسل بعد است، زیرا کتاب و سنت همان حقایق معارف و احکام است و قابل تملک نیست تا وراثت مصطلح فقهی باشد، بلکه جنبۀ تعلیمی دارد که گاهی در رابطۀ پیامبران و اوصیایشان جنبۀ اشراقی دارد</w:t>
      </w:r>
      <w:r>
        <w:rPr>
          <w:rFonts w:eastAsia="IRNazanin" w:cs="IRNazanin"/>
          <w:color w:val="111111"/>
          <w:sz w:val="28"/>
          <w:szCs w:val="28"/>
          <w:rtl w:val="true"/>
          <w:lang w:bidi="fa-IR"/>
        </w:rPr>
        <w:t>.</w:t>
      </w:r>
    </w:p>
    <w:p>
      <w:pPr>
        <w:pStyle w:val="Heading3"/>
        <w:numPr>
          <w:ilvl w:val="2"/>
          <w:numId w:val="1"/>
        </w:numPr>
        <w:rPr/>
      </w:pPr>
      <w:bookmarkStart w:id="433" w:name="__RefHeading___Toc541182_1395250215"/>
      <w:bookmarkStart w:id="434" w:name="_Toc167"/>
      <w:bookmarkEnd w:id="433"/>
      <w:r>
        <w:rPr>
          <w:rtl w:val="true"/>
        </w:rPr>
        <w:t>منابع</w:t>
      </w:r>
      <w:bookmarkEnd w:id="434"/>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 ابراهیم،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دارالفکر،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عزالدین ابی الحسن علی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اسدالغابة فی معرفة الصحابة، بیروت، دارالشعب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بن زکریا، ابی الحسین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 مقاییس اللغه، قم، 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بی جا، مکتبه الاسدی و مکتبه الجعفری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علی بن اسماعیل،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بی جا، النشرات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الندوی، ابی الحسن علی الحسنی،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صورتان متضادتان عند اهل السنه و الشیعه الامامیه، جده، دار البشیر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ابو عبدالله محمد بن اسماعیل بن ابراهیم،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بیروت، دار البشائر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شناسی علم کلام، قم، مؤسسه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ابی منصور عبدالقاهر بن طاهر،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الدین،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التنزیل و اسرار التاویل، بیروت، دار احیا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حسن زاده آملی،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کلامی امامیه در تفسیر قرآن، تهران،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ابو عبدالله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داراحیاء 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غوامض التنزیل، بیروت،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تهران، مؤسسه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 کتابخانه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ملل و نحل،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 لدین بن علی بن احمد عاملی،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الروضة البهیة فی شرح اللمعة الدمشقیة، قم، کتاب 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محمدبن بابویه،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تهران،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آیة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قم،دفتر انتشارات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در اسلام، قم، دفتر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 بی جا، فراهانی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العشر،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 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عبداللهی خوروش، حسین،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اسلام شناسان خارجی، بی جا، گل افشان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احمدبن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الاصابة فی تمییز الصحابه، بیروت، داراحیاء التراث العربی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سیوری، مقداد بن 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الاعتماد فی شرح واجب الاعتقاد، بی جا، مجمع البحوث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اصفهان، کتابخانه امیر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العقائد و الأخلاق و الأحکام ، بی جا، دار اللوح المحفوظ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قم، دار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الجامعه لدرر اخبار الائمه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بیروت،داراحیاء 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تهران، دار 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تهران،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 علی،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نجاشی،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هاینزهالم،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اکبری، قم، ادیان،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Rbin, Uri, (2008), Shi'ism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Kohlberg, Etan, (2003), Shi'ism</w:t>
      </w:r>
      <w:r>
        <w:rPr>
          <w:rFonts w:eastAsia="Times New Roman" w:cs="Times New Roman" w:ascii="Times New Roman" w:hAnsi="Times New Roman"/>
          <w:color w:val="111111"/>
          <w:sz w:val="28"/>
          <w:szCs w:val="28"/>
          <w:rtl w:val="true"/>
          <w:lang w:val="en-US" w:bidi="en-US"/>
        </w:rPr>
        <w:t>.</w:t>
      </w:r>
      <w:bookmarkStart w:id="435" w:name="pg2628_20920"/>
    </w:p>
    <w:p>
      <w:pPr>
        <w:pStyle w:val="Heading2"/>
        <w:numPr>
          <w:ilvl w:val="1"/>
          <w:numId w:val="1"/>
        </w:numPr>
        <w:rPr/>
      </w:pPr>
      <w:bookmarkStart w:id="436" w:name="__RefHeading___Toc541184_1395250215"/>
      <w:bookmarkStart w:id="437" w:name="_Toc168"/>
      <w:bookmarkEnd w:id="435"/>
      <w:bookmarkEnd w:id="436"/>
      <w:r>
        <w:rPr>
          <w:rtl w:val="true"/>
        </w:rPr>
        <w:t>چکیده عربی مقالات</w:t>
      </w:r>
      <w:bookmarkEnd w:id="437"/>
    </w:p>
    <w:p>
      <w:pPr>
        <w:pStyle w:val="BookText"/>
        <w:rPr/>
      </w:pPr>
      <w:r>
        <w:rPr>
          <w:rFonts w:ascii="IRNazanin" w:hAnsi="IRNazanin" w:eastAsia="IRNazanin"/>
          <w:color w:val="111111"/>
          <w:sz w:val="28"/>
          <w:sz w:val="28"/>
          <w:szCs w:val="28"/>
          <w:rtl w:val="true"/>
          <w:lang w:bidi="fa-IR"/>
        </w:rPr>
        <w:t>الحجیة المتلاحمة لمصادر المعرفة فی فهم و بیان التعالیم العقیدیة</w:t>
      </w:r>
    </w:p>
    <w:p>
      <w:pPr>
        <w:pStyle w:val="BookText"/>
        <w:rPr/>
      </w:pPr>
      <w:r>
        <w:rPr>
          <w:rFonts w:ascii="IRNazanin" w:hAnsi="IRNazanin" w:eastAsia="IRNazanin"/>
          <w:color w:val="111111"/>
          <w:sz w:val="28"/>
          <w:sz w:val="28"/>
          <w:szCs w:val="28"/>
          <w:rtl w:val="true"/>
          <w:lang w:bidi="fa-IR"/>
        </w:rPr>
        <w:t>محمدتقی السبحانی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السیدمحمد مهدی افضلی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الکلام حول الارتباط و النسبة بین مصادر المعرفة فی منظومة المعرفة الدینیة یحتل مکانة مرموقة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فی هذا الاطار نظریات عدیدة استمدت من مصادر مختلفة؛ فرأی البعض أن العقل مستقل فی مقامی الاثبات و الثبوت، بینما رآی آخرون أن المحور هو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المقال یوضح أن کلا النظریتین ناقصة، و أن المعتبر فی المقام هو الحجیة المتشابکة بین العقل و النقل؛ فالعقل یتحرک الی جانب النقل فی مختلف المجالات؛ سواء فی مقام فهم النصوص، أو فی مقام بیان دلالتها و الاستدلال علیها، أو فی مقام 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النقل یمد العقل فی مجالات التقریر، التذکر، بیان الحقائق للآخرین، و کمال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ذلک فإن العقل سینتهی الی تعلیق و تأویل النصوص بشکل غیر منضبط، کما سیحرم النقل من قاعدة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العقل یصدق و یؤمن بمساعدة النقل، و یهضم هذه الإعانة فی هیکلیته، فإن الاسلوب النهائی سیکون مقبولاً لدی العقل أیضاً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الألفاظ المحوریة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النقل، الفطرة، مصادر المعرفة، الحجیة المتلاحمة، تنمیة طاقات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نفی الصفات فی روایات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عبدالهادی الاعتصامی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البحث و النقاش حول اتصاف الذات الالهیة بالاسماء و الصات أو عدم اتصافها بها من أوائل المسائل العقائدیة المطروحة، و هی دوماً مثار جدل و اختلاف آراء المفکرین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تحلیل الروایات التی ذکرت ذلک بشکل مباشر أو غیر مباشر، و بمقارنة و مقایسة هاتین المجموعتین من الروایات انتهینا الی أن نسبة أی صفة الی الذات الالهیة المقدسة یستلزم التحدید و التشبیه، و أن ذاته تبارک تعالی لا تتصف بشیء من الصفات، و أنه منزه عن کل صفة و مفهوم یشیر الی ذاته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فإن جمیع الأسماء و الصفات التی تطلق علیه سبحانه هی أوصاف افعاله، أو أنها أوصاف سلبیة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الألفاظ المحوریة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الذاتیة، الصفات الفعلیة، معرفة وجود الصفات، معرفة معنی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البداء فی عقائد الإمامیة منذ الغیبة و حتی أفول مدرسة بغداد</w:t>
      </w:r>
    </w:p>
    <w:p>
      <w:pPr>
        <w:pStyle w:val="BookText"/>
        <w:rPr/>
      </w:pPr>
      <w:r>
        <w:rPr>
          <w:rFonts w:ascii="IRNazanin" w:hAnsi="IRNazanin" w:eastAsia="IRNazanin"/>
          <w:color w:val="111111"/>
          <w:sz w:val="28"/>
          <w:sz w:val="28"/>
          <w:szCs w:val="28"/>
          <w:rtl w:val="true"/>
          <w:lang w:bidi="fa-IR"/>
        </w:rPr>
        <w:t xml:space="preserve">السیدجمال الدین الموسوی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التوحیدی علی الرغم من أنه کان موجوداً بین المسلمین الأوائل، إلا أنه ـ و لاسباب معینة ـ لم یستمر الا بین الشیعة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بین متکلمی الشیعة خلاف فی بیانه فی عصر حضور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بعد ذلک و عندما حصل رکود فی علم الکلام عند الشیعة، قام بعض المعتزلة المستبصرین و بعض المتکلمین الامامیة ذوو النزعة العقلیة بإبداء تفسیر جدید لهذا المفهوم، و جعلوه فی عرض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أتباع هذا المفهوم الجدید قلیلون بادئ الأمر، إلا أنه بالتدریج أخذ محله بین متکلمی الامامیة، حتی صار المفهوم الرائج فی أواسط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 بیان هذا المفهوم علی ید الشیخ المفید، ثم استمر تلامیذه علی هذا النهج</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الألفاظ المحوریة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متکلمو بغداد، النسخ، متکلمو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اتجاه متکلمی الامامیة فی بغداد الی المعتزلة المستبصرین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بالتأکید علی السید المرتضی، ابن الراوندی، و أبی عیسی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المیرزائی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المعتزلة المستبصرون هم من التیارات المؤثرة فکریاً علی الإمامیة فی القرنین الثالث و الرابع الهجریین، و بمقارنة تراثهم بتراث متکلمی الامامیة فی بغداد من شأنه أن یعیننا علی التعرف علی دورهم و منزلتهم فی تأریخ الفکر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یحاول من خلال مراجعة النصوص الواصلة الینا فی تراث النوبختیین و الشیخ المفید و السید المرتضی أن یبین نوع مواجهتهم لأبی عیسی الوراق و ابن الراوندی من الناحیتین الشخصیة و العلمیة و تحلیلها، مضافاً لبیان ما یراه متکلمو بغداد فی شأن المعتزلة المستبصرین، و من ثم بیان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یحاول و من خلال نظرة أوسع أن یبین التطور التاریخی لکلام الامامیة منذ القرن الثالث و حتی القرن الخامس و أن یرمم مقطعاً من تأریخ کلام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انتی الیه هذا البحث هو أنه لا یمکن ملاحظة مواقف مشترکة لابی عیسی الوراق و ابن الراوندی من خلال التراث الواصل الینا من متکلمی الامامیة فی بغداد، علی الرغم من وجود علائم لاتحاد اتجاههما الفکری فی بحث الامامة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الألفاظ المحوریة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کلام الامامیة، المعتزلة المستبصرون، ابو عیسی الوراق، ابن الراوندی، النوبختیة، الشیخ المفید،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مقارنة النتاج الفکری الکلامی للنوبختیین و الشیخ المفید</w:t>
      </w:r>
    </w:p>
    <w:p>
      <w:pPr>
        <w:pStyle w:val="BookText"/>
        <w:rPr/>
      </w:pPr>
      <w:r>
        <w:rPr>
          <w:rFonts w:ascii="IRNazanin" w:hAnsi="IRNazanin" w:eastAsia="IRNazanin"/>
          <w:color w:val="111111"/>
          <w:sz w:val="28"/>
          <w:sz w:val="28"/>
          <w:szCs w:val="28"/>
          <w:rtl w:val="true"/>
          <w:lang w:bidi="fa-IR"/>
        </w:rPr>
        <w:t>فی التراث الکلامی للامامیة و المعتزلة</w:t>
      </w:r>
    </w:p>
    <w:p>
      <w:pPr>
        <w:pStyle w:val="BookText"/>
        <w:rPr/>
      </w:pPr>
      <w:r>
        <w:rPr>
          <w:rFonts w:ascii="IRNazanin" w:hAnsi="IRNazanin" w:eastAsia="IRNazanin"/>
          <w:color w:val="111111"/>
          <w:sz w:val="28"/>
          <w:sz w:val="28"/>
          <w:szCs w:val="28"/>
          <w:rtl w:val="true"/>
          <w:lang w:bidi="fa-IR"/>
        </w:rPr>
        <w:t xml:space="preserve">السیدعلی حسینی زاده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إن مقارنة النتاج الفکری للنوبختیین و الشیخ المفید فی التراث الکلامی للامامیة و المعتزلة من شأنه أن یوضح دور کل منهما فی تطور هذه الأفکار، مضافاً لبیانه لنقاط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هذا البحث أنه لا یمکن عد تناغم أفکار النوبختیین مع أفکار المعتزلة أکثر من تناغم أفکار الشیخ المفید مع أفکار المعتزلة، بل إن کلاً منهما أوضح آراءه فی المواضیع المختلفة من علم الکلام، و هی تتناسق مع آراء متکلمی الکوفة تارة، و مع آراء المعتزلة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فکما وافق النوبختیون رأی المعتزلة فی بعض الفروع کالوعد و الوعید، کذلک اختار الشیخ المفید الرأی الموافق أو المقارب للمعتزلة فی أبحاث أخری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انتهی هذا البحث الی أنه علی الرغم من تناغم رأی الشیخ المفید و النوبختیین مع المعتزلة أحیاناً، الا أن جذور هذا التواؤم ترجع الی الآراء المنقولة عن متکلمی الامامیة فی مدرسة الکوفة، و علیه فهذا التؤم و التلاؤم لا یعنی بالضرورة أنه متأثر بالمعتزلة و منفصل عن خلفیته فی کلام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النوبختیون، أبو سهل، الحسن بن موسی، الشیخ المفید، المعتزلة،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بیان اصل الإمامة فی عصر الحضور</w:t>
      </w:r>
    </w:p>
    <w:p>
      <w:pPr>
        <w:pStyle w:val="BookText"/>
        <w:rPr/>
      </w:pPr>
      <w:r>
        <w:rPr>
          <w:rFonts w:ascii="IRNazanin" w:hAnsi="IRNazanin" w:eastAsia="IRNazanin"/>
          <w:color w:val="111111"/>
          <w:sz w:val="28"/>
          <w:sz w:val="28"/>
          <w:szCs w:val="28"/>
          <w:rtl w:val="true"/>
          <w:lang w:bidi="fa-IR"/>
        </w:rPr>
        <w:t>السید محمدکاظم الطباطبائی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السید مصطفی المطهری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عدم التعرف أو عدم الدقة فی لتطور بیان المعارف الوحیانیة المقدسة قد یؤدی الی بروز شبهة تبدل المعارف الشیعیة، و لهذا فإن المعرفة الدقیقة لتطور بیان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الالتفات جمیع العوامل و العناصر التاریخیة المؤثرة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تکاملت فیها المعارف بصورة تدریجیة، و ذلک بلحاظ الخصوصیتین التالیتین،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 الإجمالیة ـ التفصیلیة له،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أربع مراحل نسبیة لمقطع حضور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 الحاضر و من خلال محوریة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یحاول بیان کیفیة و مراحل بیان هذا الأصل، و ذلک بملاحظة و بیان العناصر التاریخیة لعصر الحضور، مضافاً لبیان أن هذه المضمون الوحیانی لم یطرأ علیه التبدل و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الإمامة، شبهة التغیر، مراحل التطور اجمالاً ثم تفصیلاً، العناصر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روبین و نظریة الإمامة الموروثة عند الشیعة فی بودقة التقییم</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Prophets and progenitors in the early Shi'ah) (Tradition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السیدرسول الهاشمی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علی راد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نسب اری روبین فی بحث له ـ أجراه بأسلوب تاریخی وصفی ـ الی الشیعة قولهم بالإمامة الموروثة، و استند لتوثیق ما ذکره من هذه النظریة الی أحادیث الاخوة، و فقدان النبی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للولد الذکر، و قرابته مع الإمام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یمکننا المؤاخذة به علی ما ذکره روبین هو أنه درس أهم أصل عقیدی للشیعة من دون دراسة الآیات المتعلقة بالوراثة، و من دون تحلیل شامل للروایات المتعلقة به، و إنما اکتفی بمجرد الجانب التاریخی و بعض الروایات المتعلقة بالخلقة النوریة ـ و هی من روایات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مضافاً الی أن الذی یبدو فی النظر هو أنه ورد البحث بخلفیات ذهنیة مذهبیة مسبقة و لاحظها بنظرة عرفیة، مما أدی الی نسبة ما ذکره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دراستنا و نقدنا لهذه النظریة و بالاستناد لبعض الآیات المتعلقة و الروایات الواردة فی مصادر الحدیث المعتبرة، و ضمن ردنا للنسبة المذکورة أوضحنا النظریة الصائبة فی أدلة الشیعة فیما یتعلق بالإمامة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الألفاظ المحوریة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روبین، الامامة، الوراثة، نقد المستشرقین، احادیث الوراثة</w:t>
      </w:r>
      <w:r>
        <w:rPr>
          <w:rFonts w:eastAsia="IRNazanin" w:cs="IRNazanin"/>
          <w:color w:val="111111"/>
          <w:sz w:val="28"/>
          <w:szCs w:val="28"/>
          <w:rtl w:val="true"/>
          <w:lang w:bidi="fa-IR"/>
        </w:rPr>
        <w:t>.</w:t>
      </w:r>
      <w:bookmarkStart w:id="438" w:name="pg2628_20928"/>
    </w:p>
    <w:p>
      <w:pPr>
        <w:pStyle w:val="BookText"/>
        <w:rPr/>
      </w:pPr>
      <w:bookmarkEnd w:id="438"/>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9" w:name="__RefHeading___Toc541186_1395250215"/>
      <w:bookmarkStart w:id="440" w:name="_Toc169"/>
      <w:bookmarkEnd w:id="439"/>
      <w:r>
        <w:rPr>
          <w:rtl w:val="true"/>
        </w:rPr>
        <w:t>چکیده انگلیسی مقالات</w:t>
      </w:r>
      <w:bookmarkEnd w:id="440"/>
    </w:p>
    <w:p>
      <w:pPr>
        <w:pStyle w:val="BookText"/>
        <w:rPr/>
      </w:pPr>
      <w:r>
        <w:rPr>
          <w:rFonts w:eastAsia="Times New Roman" w:cs="Times New Roman" w:ascii="Times New Roman" w:hAnsi="Times New Roman"/>
          <w:color w:val="111111"/>
          <w:sz w:val="28"/>
          <w:szCs w:val="28"/>
          <w:lang w:val="en-US" w:bidi="en-US"/>
        </w:rPr>
        <w:t>p:1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Vol.1, No.3, Winter 2014</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MohammadAli Razavi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p:2</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p:3</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Intertwined Authority of Knowledge Resources</w:t>
      </w:r>
    </w:p>
    <w:p>
      <w:pPr>
        <w:pStyle w:val="BookText"/>
        <w:rPr/>
      </w:pPr>
      <w:r>
        <w:rPr>
          <w:rFonts w:eastAsia="Times New Roman" w:cs="Times New Roman" w:ascii="Times New Roman" w:hAnsi="Times New Roman"/>
          <w:color w:val="111111"/>
          <w:sz w:val="28"/>
          <w:szCs w:val="28"/>
          <w:lang w:val="en-US" w:bidi="en-US"/>
        </w:rPr>
        <w:t>in the Understanding and Explanation of Belief Teachings</w:t>
      </w:r>
    </w:p>
    <w:p>
      <w:pPr>
        <w:pStyle w:val="BookText"/>
        <w:rPr/>
      </w:pPr>
      <w:r>
        <w:rPr>
          <w:rFonts w:eastAsia="Times New Roman" w:cs="Times New Roman" w:ascii="Times New Roman" w:hAnsi="Times New Roman"/>
          <w:color w:val="111111"/>
          <w:sz w:val="28"/>
          <w:szCs w:val="28"/>
          <w:lang w:val="en-US" w:bidi="en-US"/>
        </w:rPr>
        <w:t>Muhammad Taghi Subhani</w:t>
      </w:r>
    </w:p>
    <w:p>
      <w:pPr>
        <w:pStyle w:val="BookText"/>
        <w:rPr/>
      </w:pPr>
      <w:r>
        <w:rPr>
          <w:rFonts w:eastAsia="Times New Roman" w:cs="Times New Roman" w:ascii="Times New Roman" w:hAnsi="Times New Roman"/>
          <w:color w:val="111111"/>
          <w:sz w:val="28"/>
          <w:szCs w:val="28"/>
          <w:lang w:val="en-US" w:bidi="en-US"/>
        </w:rPr>
        <w:t>Seyed MuhammadMahdi Afzali</w:t>
      </w:r>
    </w:p>
    <w:p>
      <w:pPr>
        <w:pStyle w:val="BookText"/>
        <w:rPr/>
      </w:pPr>
      <w:r>
        <w:rPr>
          <w:rFonts w:eastAsia="Times New Roman" w:cs="Times New Roman" w:ascii="Times New Roman" w:hAnsi="Times New Roman"/>
          <w:color w:val="111111"/>
          <w:sz w:val="28"/>
          <w:szCs w:val="28"/>
          <w:lang w:val="en-US" w:bidi="en-US"/>
        </w:rPr>
        <w:t>To speak about the relationship of knowledge resources in the system of religious knowledge is of special importance. The available views in this respect, exploited various approaches; some have seen the reason independent in both states of establishment and discovering, and some others have regarded narration as self-sufficient. Both views, in this essay, have been seen as incomplete, and it defended the intertwined authority of reason and narration. In understanding the propositions, in explaining and reasoning them and defending them, reason accompanies the narration. Narration also assists the reason in the communicating, elaborating, noticing and teaching the facts to others, and also aids it in completion of method. Otherwise, in one hand, reason will result in the irregular interpretation, suspension and reduction of religious teachings, and narration, on the other, also will lose its inter-subjective place. Since the reason affirms the aids of narration and digests them in its structure, the final accepted methodology is rational</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Reason, Narration, Human-creation, Knowledge Resources, Intertwined Authority, Development of the Reason Capacity</w:t>
      </w:r>
    </w:p>
    <w:p>
      <w:pPr>
        <w:pStyle w:val="BookText"/>
        <w:rPr/>
      </w:pPr>
      <w:r>
        <w:rPr>
          <w:rFonts w:eastAsia="Times New Roman" w:cs="Times New Roman" w:ascii="Times New Roman" w:hAnsi="Times New Roman"/>
          <w:color w:val="111111"/>
          <w:sz w:val="28"/>
          <w:szCs w:val="28"/>
          <w:lang w:val="en-US" w:bidi="en-US"/>
        </w:rPr>
        <w:t>p:4</w:t>
      </w:r>
    </w:p>
    <w:p>
      <w:pPr>
        <w:pStyle w:val="BookText"/>
        <w:rPr/>
      </w:pPr>
      <w:r>
        <w:rPr>
          <w:rFonts w:eastAsia="Times New Roman" w:cs="Times New Roman" w:ascii="Times New Roman" w:hAnsi="Times New Roman"/>
          <w:color w:val="111111"/>
          <w:sz w:val="28"/>
          <w:szCs w:val="28"/>
          <w:lang w:val="en-US" w:bidi="en-US"/>
        </w:rPr>
        <w:t>The Issue of Negation of the Divine Attributes</w:t>
      </w:r>
    </w:p>
    <w:p>
      <w:pPr>
        <w:pStyle w:val="BookText"/>
        <w:rPr/>
      </w:pPr>
      <w:r>
        <w:rPr>
          <w:rFonts w:eastAsia="Times New Roman" w:cs="Times New Roman" w:ascii="Times New Roman" w:hAnsi="Times New Roman"/>
          <w:color w:val="111111"/>
          <w:sz w:val="28"/>
          <w:szCs w:val="28"/>
          <w:lang w:val="en-US" w:bidi="en-US"/>
        </w:rPr>
        <w:t>in the Ahl ul-Bayt Narrations</w:t>
      </w:r>
    </w:p>
    <w:p>
      <w:pPr>
        <w:pStyle w:val="BookText"/>
        <w:rPr/>
      </w:pPr>
      <w:r>
        <w:rPr>
          <w:rFonts w:eastAsia="Times New Roman" w:cs="Times New Roman" w:ascii="Times New Roman" w:hAnsi="Times New Roman"/>
          <w:color w:val="111111"/>
          <w:sz w:val="28"/>
          <w:szCs w:val="28"/>
          <w:lang w:val="en-US" w:bidi="en-US"/>
        </w:rPr>
        <w:t>Abdulhadi Eatesami</w:t>
      </w:r>
    </w:p>
    <w:p>
      <w:pPr>
        <w:pStyle w:val="BookText"/>
        <w:rPr/>
      </w:pPr>
      <w:r>
        <w:rPr>
          <w:rFonts w:eastAsia="Times New Roman" w:cs="Times New Roman" w:ascii="Times New Roman" w:hAnsi="Times New Roman"/>
          <w:color w:val="111111"/>
          <w:sz w:val="28"/>
          <w:szCs w:val="28"/>
          <w:lang w:val="en-US" w:bidi="en-US"/>
        </w:rPr>
        <w:t>Discussion about the describability or indescribability of the Divine Nature to the names and attributes is one of the first questions that there have been always various viewpoints about it from the different Islamic thinkers. The current writing explains and analyses the narrations that directly (obviously) and/or indirectly relates to the issue of the attributes negation. The comparison of the two groups of the narrations leads to the result that the attribution of any attribute to the Divine Nature entails limitation and anthropomorphism. So God has no attribute in the Nature level, and is unadorned and bare of any meaning or concept showing the Nature. Therefore, all the names and attributes that are positively used to God, are negative or act attributes</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Nature Attributes, Act Attributes, Attributes Ontology, Attributes Semantics</w:t>
      </w:r>
    </w:p>
    <w:p>
      <w:pPr>
        <w:pStyle w:val="BookText"/>
        <w:rPr/>
      </w:pPr>
      <w:r>
        <w:rPr>
          <w:rFonts w:eastAsia="Times New Roman" w:cs="Times New Roman" w:ascii="Times New Roman" w:hAnsi="Times New Roman"/>
          <w:color w:val="111111"/>
          <w:sz w:val="28"/>
          <w:szCs w:val="28"/>
          <w:lang w:val="en-US" w:bidi="en-US"/>
        </w:rPr>
        <w:t>p:5</w:t>
      </w:r>
    </w:p>
    <w:p>
      <w:pPr>
        <w:pStyle w:val="BookText"/>
        <w:rPr/>
      </w:pPr>
      <w:r>
        <w:rPr>
          <w:rFonts w:eastAsia="Times New Roman" w:cs="Times New Roman" w:ascii="Times New Roman" w:hAnsi="Times New Roman"/>
          <w:color w:val="111111"/>
          <w:sz w:val="28"/>
          <w:szCs w:val="28"/>
          <w:lang w:val="en-US" w:bidi="en-US"/>
        </w:rPr>
        <w:t>The Teaching of Bada’ in the Imami Thought</w:t>
      </w:r>
    </w:p>
    <w:p>
      <w:pPr>
        <w:pStyle w:val="BookText"/>
        <w:rPr/>
      </w:pPr>
      <w:r>
        <w:rPr>
          <w:rFonts w:eastAsia="Times New Roman" w:cs="Times New Roman" w:ascii="Times New Roman" w:hAnsi="Times New Roman"/>
          <w:color w:val="111111"/>
          <w:sz w:val="28"/>
          <w:szCs w:val="28"/>
          <w:lang w:val="en-US" w:bidi="en-US"/>
        </w:rPr>
        <w:t>From the Beginning of the Disappearance Age to</w:t>
      </w:r>
    </w:p>
    <w:p>
      <w:pPr>
        <w:pStyle w:val="BookText"/>
        <w:rPr/>
      </w:pPr>
      <w:r>
        <w:rPr>
          <w:rFonts w:eastAsia="Times New Roman" w:cs="Times New Roman" w:ascii="Times New Roman" w:hAnsi="Times New Roman"/>
          <w:color w:val="111111"/>
          <w:sz w:val="28"/>
          <w:szCs w:val="28"/>
          <w:lang w:val="en-US" w:bidi="en-US"/>
        </w:rPr>
        <w:t>the End of the Baghdad School</w:t>
      </w:r>
    </w:p>
    <w:p>
      <w:pPr>
        <w:pStyle w:val="BookText"/>
        <w:rPr/>
      </w:pPr>
      <w:r>
        <w:rPr>
          <w:rFonts w:eastAsia="Times New Roman" w:cs="Times New Roman" w:ascii="Times New Roman" w:hAnsi="Times New Roman"/>
          <w:color w:val="111111"/>
          <w:sz w:val="28"/>
          <w:szCs w:val="28"/>
          <w:lang w:val="en-US" w:bidi="en-US"/>
        </w:rPr>
        <w:t>Seyed Jamaloddin Mousavi</w:t>
      </w:r>
    </w:p>
    <w:p>
      <w:pPr>
        <w:pStyle w:val="BookText"/>
        <w:rPr/>
      </w:pPr>
      <w:r>
        <w:rPr>
          <w:rFonts w:eastAsia="Times New Roman" w:cs="Times New Roman" w:ascii="Times New Roman" w:hAnsi="Times New Roman"/>
          <w:color w:val="111111"/>
          <w:sz w:val="28"/>
          <w:szCs w:val="28"/>
          <w:lang w:val="en-US" w:bidi="en-US"/>
        </w:rPr>
        <w:t>Although the pure and monotheistic thinking of Bada’ existed in the early Muslim community, it continued, based on some reasons, in the Shi’i community. There was not any disagreement between the Shi’a theologians in the explanation of Bada’ to the end of the Imams’ (p.b.u.t.) era. After this period, and in the stagnation and inactivity period of Shi’i Kalam, a group of the Mu’tazilites converted to Shi’ism as well as some rationalist Shi’i theologians offered a new explanation of the Bada’, and regarded it as equal to Naskh (abrogation of legislations). This new thinking that, at first, a few thinkers advocated it, gradually found an important place between Shi’a scholars so that towards the middle of the fifth Islamic century /12th century CE it got all pervasive. The Explanation of this new thinking continued by Sheikh al-Mufid, and his disciples also continued this course of thinking</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Bada’, Baghdadi Theologians, Abrogation, Kufi Theologians</w:t>
      </w:r>
    </w:p>
    <w:p>
      <w:pPr>
        <w:pStyle w:val="BookText"/>
        <w:rPr/>
      </w:pPr>
      <w:r>
        <w:rPr>
          <w:rFonts w:eastAsia="Times New Roman" w:cs="Times New Roman" w:ascii="Times New Roman" w:hAnsi="Times New Roman"/>
          <w:color w:val="111111"/>
          <w:sz w:val="28"/>
          <w:szCs w:val="28"/>
          <w:lang w:val="en-US" w:bidi="en-US"/>
        </w:rPr>
        <w:t>p:6</w:t>
      </w:r>
    </w:p>
    <w:p>
      <w:pPr>
        <w:pStyle w:val="BookText"/>
        <w:rPr/>
      </w:pPr>
      <w:r>
        <w:rPr>
          <w:rFonts w:eastAsia="Times New Roman" w:cs="Times New Roman" w:ascii="Times New Roman" w:hAnsi="Times New Roman"/>
          <w:color w:val="111111"/>
          <w:sz w:val="28"/>
          <w:szCs w:val="28"/>
          <w:lang w:val="en-US" w:bidi="en-US"/>
        </w:rPr>
        <w:t>Examining the Imami Theologians’ Approach</w:t>
      </w:r>
    </w:p>
    <w:p>
      <w:pPr>
        <w:pStyle w:val="BookText"/>
        <w:rPr/>
      </w:pPr>
      <w:r>
        <w:rPr>
          <w:rFonts w:eastAsia="Times New Roman" w:cs="Times New Roman" w:ascii="Times New Roman" w:hAnsi="Times New Roman"/>
          <w:color w:val="111111"/>
          <w:sz w:val="28"/>
          <w:szCs w:val="28"/>
          <w:lang w:val="en-US" w:bidi="en-US"/>
        </w:rPr>
        <w:t>in Baghdad to the Mu’tazilites converted to Shi’ism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with an emphasis on Seyed Murtaza, Ibn Rawandi and Abu Eisa Warraq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 Mirzaei</w:t>
      </w:r>
    </w:p>
    <w:p>
      <w:pPr>
        <w:pStyle w:val="BookText"/>
        <w:rPr/>
      </w:pPr>
      <w:r>
        <w:rPr>
          <w:rFonts w:eastAsia="Times New Roman" w:cs="Times New Roman" w:ascii="Times New Roman" w:hAnsi="Times New Roman"/>
          <w:color w:val="111111"/>
          <w:sz w:val="28"/>
          <w:szCs w:val="28"/>
          <w:lang w:val="en-US" w:bidi="en-US"/>
        </w:rPr>
        <w:t>The Mu’tazilites converted to Shi’ism are a culture-making group in the course of Imami thought in the third/tenth and fourth/eleventh centuries that their comparison to the theologian heritage of Imami theologians in Baghdad can aids to recognition of their place and role in the history of Shi’a thought. The current writing, by examining the available reports in the works of the Nawbakhtis, Sheikh Mufid and Seyed Murtaza, tries to analyses the kind of their encounter to Abu Eisa Warraq and Ibn Rawandi from the two aspects of personality and scholarship. It also tries to map out their place through explaining the judgments of Baghdadi theologians about the Mu’tazilites converted to Shi’ism. Furthermore, in a more enormous view, it tries to show the trend of Imami Kalam from the third/tenth century to fifth/twelfth century and reconstruct a scene of the history of Shi’a Kalam. The result is that one cannot see a homogeneous position about Abu Eisa Warraq and Ibn Rawandi in the remained heritage of Imami theologians in Baghdad; although there can be seen some signs of kinship in the issue of Imamah</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history of Imami Kalam, the Mu’tazilites converted to Shi’ism, Abu Eisa Warraq, Ibn Rawandi, Nawbkhtis, Sheikh Mufid and Seyed Murtaza</w:t>
      </w:r>
    </w:p>
    <w:p>
      <w:pPr>
        <w:pStyle w:val="BookText"/>
        <w:rPr/>
      </w:pP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lang w:val="en-US" w:bidi="en-US"/>
        </w:rPr>
        <w:t>Comparison of the Theological Thoughts</w:t>
      </w:r>
    </w:p>
    <w:p>
      <w:pPr>
        <w:pStyle w:val="BookText"/>
        <w:rPr/>
      </w:pPr>
      <w:r>
        <w:rPr>
          <w:rFonts w:eastAsia="Times New Roman" w:cs="Times New Roman" w:ascii="Times New Roman" w:hAnsi="Times New Roman"/>
          <w:color w:val="111111"/>
          <w:sz w:val="28"/>
          <w:szCs w:val="28"/>
          <w:lang w:val="en-US" w:bidi="en-US"/>
        </w:rPr>
        <w:t>of Nawbakhtis and Sheikh Mufid in the Field</w:t>
      </w:r>
    </w:p>
    <w:p>
      <w:pPr>
        <w:pStyle w:val="BookText"/>
        <w:rPr/>
      </w:pPr>
      <w:r>
        <w:rPr>
          <w:rFonts w:eastAsia="Times New Roman" w:cs="Times New Roman" w:ascii="Times New Roman" w:hAnsi="Times New Roman"/>
          <w:color w:val="111111"/>
          <w:sz w:val="28"/>
          <w:szCs w:val="28"/>
          <w:lang w:val="en-US" w:bidi="en-US"/>
        </w:rPr>
        <w:t>of Theological Heritage of Imamiyyah and Mu’tazilah</w:t>
      </w:r>
    </w:p>
    <w:p>
      <w:pPr>
        <w:pStyle w:val="BookText"/>
        <w:rPr/>
      </w:pPr>
      <w:r>
        <w:rPr>
          <w:rFonts w:eastAsia="Times New Roman" w:cs="Times New Roman" w:ascii="Times New Roman" w:hAnsi="Times New Roman"/>
          <w:color w:val="111111"/>
          <w:sz w:val="28"/>
          <w:szCs w:val="28"/>
          <w:lang w:val="en-US" w:bidi="en-US"/>
        </w:rPr>
        <w:t>Seyed Ali Hosainizadeh</w:t>
      </w:r>
    </w:p>
    <w:p>
      <w:pPr>
        <w:pStyle w:val="BookText"/>
        <w:rPr/>
      </w:pPr>
      <w:r>
        <w:rPr>
          <w:rFonts w:eastAsia="Times New Roman" w:cs="Times New Roman" w:ascii="Times New Roman" w:hAnsi="Times New Roman"/>
          <w:color w:val="111111"/>
          <w:sz w:val="28"/>
          <w:szCs w:val="28"/>
          <w:lang w:val="en-US" w:bidi="en-US"/>
        </w:rPr>
        <w:t>Comparison of the theological thoughts of Nawbakhtis and Sheikh Mufid in the field of theological heritage of Imamiyyah and Mu’tazilah, in addition to explaining the disagreement points between the opinions of Nawbakhtis and Sheikh Mufid, will show the role of each of them in this theoretical development. This study shows that one cannot see the empathy and nearness of Nawbakhtis to Mu’tazilah more than the nearness of the thoughts of Sheikh Mufid to Mu’tazilah; but in proportion to their theological bases and presuppositions in different theological areas, each of them offered views that is identical sometimes to Mu’tazilah and sometimes to the Kufi Imami theologians. Thus, just as Nawbakhtis are in agreement with Mu’tazilah in theories like some secondary parts of Wa’d (promise) and Wa’id (threat), Sheikh Mufid also have chosen opinions near to the thoughts of Mu’tazilah in discussions such as Knowledge and power of man. According to this study, although one can see some agreements between Nawbakhtis and Sheikh Mufid with Mu’tazilis, the roots of these thoughts are founded in the views quoted from the Imami theologians in the Kufah School. So, this agreement to Mu’tazilah is not necessarily to mean the impressionability and borrowing the thoughts from the Mu’tazilah and moving away from the Imami theological background</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Nawbakhtis, Abu Sahl, Hasan ibn Musa, Sheikh Mufid, Mu’tazilah, Imamiyyah</w:t>
      </w:r>
    </w:p>
    <w:p>
      <w:pPr>
        <w:pStyle w:val="BookText"/>
        <w:rPr/>
      </w:pPr>
      <w:r>
        <w:rPr>
          <w:rFonts w:eastAsia="Times New Roman" w:cs="Times New Roman" w:ascii="Times New Roman" w:hAnsi="Times New Roman"/>
          <w:color w:val="111111"/>
          <w:sz w:val="28"/>
          <w:szCs w:val="28"/>
          <w:lang w:val="en-US" w:bidi="en-US"/>
        </w:rPr>
        <w:t>p:8</w:t>
      </w:r>
    </w:p>
    <w:p>
      <w:pPr>
        <w:pStyle w:val="BookText"/>
        <w:rPr/>
      </w:pPr>
      <w:r>
        <w:rPr>
          <w:rFonts w:eastAsia="Times New Roman" w:cs="Times New Roman" w:ascii="Times New Roman" w:hAnsi="Times New Roman"/>
          <w:color w:val="111111"/>
          <w:sz w:val="28"/>
          <w:szCs w:val="28"/>
          <w:lang w:val="en-US" w:bidi="en-US"/>
        </w:rPr>
        <w:t>The Stages of Explaining the Principle of Imam</w:t>
      </w:r>
    </w:p>
    <w:p>
      <w:pPr>
        <w:pStyle w:val="BookText"/>
        <w:rPr/>
      </w:pPr>
      <w:r>
        <w:rPr>
          <w:rFonts w:eastAsia="Times New Roman" w:cs="Times New Roman" w:ascii="Times New Roman" w:hAnsi="Times New Roman"/>
          <w:color w:val="111111"/>
          <w:sz w:val="28"/>
          <w:szCs w:val="28"/>
          <w:lang w:val="en-US" w:bidi="en-US"/>
        </w:rPr>
        <w:t>in the Period of the Imams’ Presence</w:t>
      </w:r>
    </w:p>
    <w:p>
      <w:pPr>
        <w:pStyle w:val="BookText"/>
        <w:rPr/>
      </w:pPr>
      <w:r>
        <w:rPr>
          <w:rFonts w:eastAsia="Times New Roman" w:cs="Times New Roman" w:ascii="Times New Roman" w:hAnsi="Times New Roman"/>
          <w:color w:val="111111"/>
          <w:sz w:val="28"/>
          <w:szCs w:val="28"/>
          <w:lang w:val="en-US" w:bidi="en-US"/>
        </w:rPr>
        <w:t>Seyed MuhammadKazem Tabatabaei</w:t>
      </w:r>
    </w:p>
    <w:p>
      <w:pPr>
        <w:pStyle w:val="BookText"/>
        <w:rPr/>
      </w:pPr>
      <w:r>
        <w:rPr>
          <w:rFonts w:eastAsia="Times New Roman" w:cs="Times New Roman" w:ascii="Times New Roman" w:hAnsi="Times New Roman"/>
          <w:color w:val="111111"/>
          <w:sz w:val="28"/>
          <w:szCs w:val="28"/>
          <w:lang w:val="en-US" w:bidi="en-US"/>
        </w:rPr>
        <w:t>Seyed Mustafa Mutahhari</w:t>
      </w:r>
    </w:p>
    <w:p>
      <w:pPr>
        <w:pStyle w:val="BookText"/>
        <w:rPr/>
      </w:pPr>
      <w:r>
        <w:rPr>
          <w:rFonts w:eastAsia="Times New Roman" w:cs="Times New Roman" w:ascii="Times New Roman" w:hAnsi="Times New Roman"/>
          <w:color w:val="111111"/>
          <w:sz w:val="28"/>
          <w:szCs w:val="28"/>
          <w:lang w:val="en-US" w:bidi="en-US"/>
        </w:rPr>
        <w:t>Sometimes the ignorance and/or non-awareness in the trend of explaining the revealed teachings brought about the emergence of the misgiving that the Shi’i teachings have changed or transformed. Thus an exact cognition of the course of the Ahl ul-Bayt (p.b.u.t.) teachings explanation needs paying attention to all effective historical elements and conditions in the age of the Prophet and Imams in that the gradual development of the teachings with two quality of (first) concise-detailed process and (second) drawing four relative periods in the age of Ahl ul-Bayt’s (p.b.u.t.) presence, will get clear. The present writing, by focusing on the teaching of Imamah, tries to explain the state of the process of explaining this principle with regard to the historical circumstances in the Presence Age, and also shows the revealed content in its course has not changed nor transformed</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Imamah, the misgiving of transformation, the concise-to-detailed process, historical elements</w:t>
      </w:r>
    </w:p>
    <w:p>
      <w:pPr>
        <w:pStyle w:val="BookText"/>
        <w:rPr/>
      </w:pPr>
      <w:r>
        <w:rPr>
          <w:rFonts w:eastAsia="Times New Roman" w:cs="Times New Roman" w:ascii="Times New Roman" w:hAnsi="Times New Roman"/>
          <w:color w:val="111111"/>
          <w:sz w:val="28"/>
          <w:szCs w:val="28"/>
          <w:lang w:val="en-US" w:bidi="en-US"/>
        </w:rPr>
        <w:t>p:8</w:t>
      </w:r>
    </w:p>
    <w:p>
      <w:pPr>
        <w:pStyle w:val="BookText"/>
        <w:rPr/>
      </w:pPr>
      <w:r>
        <w:rPr>
          <w:rFonts w:eastAsia="Times New Roman" w:cs="Times New Roman" w:ascii="Times New Roman" w:hAnsi="Times New Roman"/>
          <w:color w:val="111111"/>
          <w:sz w:val="28"/>
          <w:szCs w:val="28"/>
          <w:lang w:val="en-US" w:bidi="en-US"/>
        </w:rPr>
        <w:t>Uri Rubin and the Theory of the Shi’a Hereditary Imamah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Critical View</w:t>
      </w:r>
    </w:p>
    <w:p>
      <w:pPr>
        <w:pStyle w:val="BookText"/>
        <w:rPr/>
      </w:pPr>
      <w:r>
        <w:rPr>
          <w:rFonts w:eastAsia="Times New Roman" w:cs="Times New Roman" w:ascii="Times New Roman" w:hAnsi="Times New Roman"/>
          <w:color w:val="111111"/>
          <w:sz w:val="28"/>
          <w:szCs w:val="28"/>
          <w:lang w:val="en-US" w:bidi="en-US"/>
        </w:rPr>
        <w:t>Seyed Rasul Hashemi</w:t>
      </w:r>
    </w:p>
    <w:p>
      <w:pPr>
        <w:pStyle w:val="BookText"/>
        <w:rPr/>
      </w:pPr>
      <w:r>
        <w:rPr>
          <w:rFonts w:eastAsia="Times New Roman" w:cs="Times New Roman" w:ascii="Times New Roman" w:hAnsi="Times New Roman"/>
          <w:color w:val="111111"/>
          <w:sz w:val="28"/>
          <w:szCs w:val="28"/>
          <w:lang w:val="en-US" w:bidi="en-US"/>
        </w:rPr>
        <w:t>Ali Rad</w:t>
      </w:r>
    </w:p>
    <w:p>
      <w:pPr>
        <w:pStyle w:val="BookText"/>
        <w:rPr/>
      </w:pPr>
      <w:r>
        <w:rPr>
          <w:rFonts w:eastAsia="Times New Roman" w:cs="Times New Roman" w:ascii="Times New Roman" w:hAnsi="Times New Roman"/>
          <w:color w:val="111111"/>
          <w:sz w:val="28"/>
          <w:szCs w:val="28"/>
          <w:lang w:val="en-US" w:bidi="en-US"/>
        </w:rPr>
        <w:t>With a historical-descriptive method in his study, Uri Rubin attributed a hereditary Imamah to Shi’ism. For documenting the theory of hereditary Imamah, he resorts to the hadiths (narrations) of brotherhood between the Prophet and Imam ‘Ali (p.b.u.t.), not having a son by the Prophet (p.b.u.h.), and the family tie between Imam ‘Ali and the Prophet (p.b.u.t.). What can be remarked as a criticism to Rubin’s claim is that, without examining the Qur’anic verses related to inheritance and a comprehensive analysis of the narrations about it, he attributed the belief in hereditary Imamah to the Shi’a just on the basis of a historical event and some narrations related to the light creation that is related to the superiorities of the Ahl ul-Bayt (p.b.u.t.). Furthermore, it seems that religious presupposition and the secular sight to the issue of Imamah caused him to attribute such a belief to Shi’ism. In the criticism of this theory, by resorting to some related Qur’nic verses and narrations written in authentic books, in addition to rejecting the above mentioned attribution, the correct view in the Shi’i arguments for the Imamah of the Imams is stated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Uri Rubin, Imamah, inheritance, criticism of the Orientlists, the hadiths (narrations) of inheritance</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ارشد پژوهشگاه قرآن و حدیث و استادیار پژوهشگاه علوم و فرهنگ اسلامی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هیأت علمی مؤسسه تحصیلات عالی اشراق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افغانستان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منابع معرفت در نوشتار حاضر همان اصطلاح متداول در معرفت‌شناسی است که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 عقل، شهود، حافظه، مرجعیت، تاریخ، وحی و الهام و مانند آن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نوشتار تنها رابطه عقل و وحی بررسی می‌شود، زیرا در اندیشه دینی، این دو اهمیت بیشتری دارند و بقیه منابع، در اندیشه دینی، به نحوی به این دو باز می‌گردند یا اهمیتشان به این اندازه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نوشتار از ارتباط سنت و کتاب نیز سخن خواهیم گفت، زیرا با پذیرش رابطه متقابل و متشابک کتاب و سنت، دایره وسیع‌تر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نفی حجیت انفرادی عقل و وحی، از دیدگاه کسانی احتراز می‌کنیم که در پی اثبات این دو نگره هستند، و با اثبات تشابک کتاب و سنت، با دیدگاه کسانی که بی‌توجه به سنت، در پی فهم کتاب بر می‌آیند، با این‌که ظواهر قرآن را حجت نمی‌دانند، مرزبندی می‌کنیم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نویسندگان مخالف دین، از این نگاه جانب 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دوستدار، </w:t>
      </w:r>
      <w:r>
        <w:rPr>
          <w:rFonts w:eastAsia="IRNazanin" w:cs="IRNazanin"/>
          <w:b w:val="false"/>
          <w:bCs w:val="false"/>
          <w:i w:val="false"/>
          <w:iCs w:val="false"/>
          <w:color w:val="333333"/>
          <w:sz w:val="20"/>
          <w:szCs w:val="20"/>
        </w:rPr>
        <w:t>1383:244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نویسنده امتناع تفکر در فرهنگ دینی، تمام ادیان سامی، مانع پرسش و تفکر هستند، و کار فیلسوفان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زره‌پوشی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 عارفان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 جهان اسلام، دو متفکر بیشتر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رازی و ابن مقفع؛ بقیه گرفتار دین‌خویی هستند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مقدماتی که صدق نبی بر آن مبتنی است، اثبات وجود خدا، علم، قدرت و حکمت باری‌تعالی را نام برده‌اند؛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 بی‌تا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بیشترین آیات قرآنی مشتمل بر عقل و تعقل و مفاهیم مترادف ذکر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خود محاسبی نیز گفته شده که او به ترابط عقل و ایمان باورمند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الجوزو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فالمعتزلة یدعون الی استقلالیة العقل و سبقه بالمعرفه و المحاسبی یدعو الی ربط العقل بالایمان، مع اعتباره ان العقل هو جوهر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الجوزو،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خود محاسبی نیز گفته شده که او به ترابط عقل و ایمان باورمند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الجوزو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فالمعتزلة یدعون الی استقلالیة العقل و سبقه بالمعرفه و المحاسبی یدعو الی ربط العقل بالایمان، مع اعتباره ان العقل هو جوهر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الجوزو،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در جدال قلمی در مقابل مخالفان حجیت شهود حکمای عظما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در استفاده‌هایی که از علم نجوم و هیئت می کنند، مطالبة دلیل نمی‌کنند، بلکه به شهود هیئت‌دانان اعتماد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 همین موضع را در برابر شهود حکیمان بزرگ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اخبار، رصد، امکان یا عدم امکان، نادر‌الوجود بودن و مانند آن، در هردو به یک وزان است؛ بدین رو، تمایز نهادن میان این دو فاقد مبنای معقول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اهمیتی که عبارات در روش‌شناسی سهروردی دارد، متن عبارت را از نظر می‌گذرانیم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لایذکرون الحجة علی اثباتها بل یدعون فیها المشاهدة و اذا فعلوا هذا لیس لنا ان نناظرهم و اذاکان المشائون فی علم الهیئة لایناظرون بطلمیوس و غیره حتی ان ارسطو یعول علی ارصاد بابل، ففضلاء بابل و یونان و غیرهم کلهم ادعوا المشاهدة فی هذه الاشیا فالرصد کالرصد و الاخبار کالاخبار و تأتی التوسل بالرصد الجسمانی کتأتی التوسل بالرصد الروحانی و الندرة کالندرة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سهروردی،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سیدیدالله یزدان‌پناه نیز با اندک تفاوتی، همین کارکردها و تأثیرها را برای شریعت نسبت به حکمت اسلامی و حکیم مسلمان بر می‌شمارد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بستر‌سازی؛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مسئله‌سازی؛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ارائة روش‌های خاص؛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جلوگیری از الحاد؛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بودن دین و تصحیح دیدگاه فلسفی در صورتی که به صورت فنی و روش مند گزاره‌ای از دین استخراج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یزدان‌پناه،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عقل در مفام فهم، تبیین، توجیه و دفاع از گزاره‌های کلامی با محوریت اندیشه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رساله دکتری کلام اسلامی، مجتمع آموزش عالی امام خمینی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الإِنْسَانَ مَا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دیگر از خطابات قرآنی نیز این مطلب مورد تأکید قرار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یادآوری است که صدرا در تعداد دیگر از آثار خویش نیز بر این نکته تأکید می‌ورزد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ترین و معروف‌ترین عبارت صدرا در این زمینه همان است که در جلد هشتم اسفار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نوع خطابات یادشده، خطاباتی است که فهم آن در حیطة درک بشر، پیامبر یا انسان‌های دیگر، نهاده شده است، ولی برخی از معانی قرآنی، تنها در قلمرو صلاحیت حق تعالی است و به نص قرآن کریم، هیچ کسی جز خداوند از آن اطلاعی ندارد؛ همانند وقت قیامت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درباره این‌که سنت در طول کتاب حجیت دارد یا در عرض آن، تفاوت‌هایی در تحلیل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آن را حجتی در طول کتاب و برخی از محققان آن را در عرض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علامه را می‌توان در قرآن در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نگاه مخالفان دیدگاه ایشان در رابطة متقابل کتاب و سنت، تألیف علی نصیری قابل پی گیری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در نقد قاضی عبدالجبار معتزلی به مناسبتی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ویحه اتراه یعتقد ان القرآن مستغن عن صاحب النبوة فی تفسیره،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زیر نیز در این زمینه مؤید‌های قابل تأملی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فَاسْأَلُوا أَهْلَ الذِّکْرِ إِنْ کُنْتُمْ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یَهْدِی إِلَی الْحَقِّ أَحَقُّ أَنْ یُتَّبَعَ أَمَّنْ لایَهِدِّی إِلاَّ أَنْ یُهْدَی فَمَا لَکُمْ کَیْفَ تَحْکُمُونَ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أَرْسَلْنَا فِیکُمْ رَسُولاً مِنْکُمْ یَتْلُو عَلَیْکُمْ آیَاتِنَا وَ یُزَکِّیکُمْ وَ یُعَلِّمُکُمُ الْکِتَابَ وَ الْحِکْمَةَ وَ یُعَلِّمُکُمْ مَا لَمْ تَکُونُوا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بِالْبَیِّنَاتِ وَ الزُّبُرِ وَ أَنْزَلْنَا إِلَیْکَ الذِّکْرَ لِتُبَیِّنَ لِلنَّاسِ مَا نُزِّلَ إِلَیْهِمْ وَ لَعَلَّهُمْ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فارغ التحصیل دکترای شیعه شناسی دانشگاه ادیان و مذاهب 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وجودشناسی صفات با این مطلب سروکار دارد که آیا صفات خداوند، حقیقتی متمایز از ذات الهی دارد یا عین ذات اوست؟ یعنی مسئله عینیت یا زیادت صفات با ذات، در مباحث وجودشناسی صفات مطرح می شود؛ اما در مباحث معناشناسی صفات، این پرسش مطرح می شود که صفات الهی را چگونه باید فهمید و صفات خداوند با صفات آفریدگان چه نسبتی دارد؟ آیا بشر می تواند به شناخت حقیقی خداوند دست یاید؟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 اوسترین ولفسن،</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اندیشمندانی مثل ثقه الاسلام کلینی در کتاب کافی، و شیخ صدوق در کتاب التوحید، دیدگاه نفی صفات را برگزیده 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ما فیه الغرض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کمالِ یک چیز یعنی حاصل شدن آنچه غرض و مقصود از آن چیز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ما فیه الغرض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کمالِ یک چیز یعنی حاصل شدن آنچه غرض و مقصود از آن چیز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لغوی و تحلیل معنایی این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در پاره ای از احادیث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برخی احادیث دیگر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و صفات خدا، از آن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که انسان را به سوی ذات اقدس الهی عبور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برنجکار،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نیز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الْقُدْرَة إذا وصف بها الإنسان فاسم لهیئة له بها یتمکّن من فعل شی‌ء ما، و إذا وصف اللّه تعالی بها فهی نفی العجز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نیز از نظر معناشناسی، صفات ثبوتی را به صورت سلبی معنا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الذات تنفی عنه بکل صفه منها 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ضده الجهل، و القدرﺓ ضدها العجز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نیز صفات ثبوتی را به معنای سلبی و نفی ضد تفسیر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وصفنا الله تبارک و تعالی بصفات الذات فانما تنفی عنه بکل صفه منها ضدها، فمتی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حی نفینا عنه ضد الحیاﺓ و هو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مکتب توصیف و مکتب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برنجکار،</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امیرالمؤمنین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شده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التَّمْیِیزِ بَیْنُونَةُ صِفَةٍ لابَیْنُونَةُ عُزْلَة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بینونت، عزلت، دوری و فاصله داشتن است که در میان اجسام مشاهده می شود، زیرا هیچ چیزی از خداوند دور نیست و فاصله ندارد، بلکه او با همه چیز در مراتب هستی معیت و حضور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 ی فهم معنای انواع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اوهام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خطورات ذهنی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مایقع فی الذهن من الخاطر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مصطفی،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تفسیر این آیه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احاطه الوهم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دیگر از امام 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لاتُدْرِکُهُ الأَبْصارُ وَ هُوَ یُدْرِکُ الأَبْصارَ وَ هُوَ اللَّطِیفُ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الأبصار لیست هی الأعین، إنما هی الأبصار التی فی القلب لایقع علیه</w:t>
      </w:r>
      <w:r>
        <w:rPr>
          <w:rFonts w:ascii="IRNazanin" w:hAnsi="IRNazanin" w:eastAsia="IRNazanin"/>
          <w:b w:val="false"/>
          <w:b w:val="false"/>
          <w:bCs w:val="false"/>
          <w:i w:val="false"/>
          <w:i w:val="false"/>
          <w:iCs w:val="false"/>
          <w:color w:val="333333"/>
          <w:sz w:val="20"/>
          <w:sz w:val="20"/>
          <w:szCs w:val="20"/>
        </w:rPr>
        <w:t> </w:t>
      </w:r>
      <w:r>
        <w:rPr>
          <w:rFonts w:ascii="IRNazanin" w:hAnsi="IRNazanin" w:eastAsia="IRNazanin"/>
          <w:b w:val="false"/>
          <w:b w:val="false"/>
          <w:bCs w:val="false"/>
          <w:i w:val="false"/>
          <w:i w:val="false"/>
          <w:iCs w:val="false"/>
          <w:color w:val="333333"/>
          <w:sz w:val="20"/>
          <w:sz w:val="20"/>
          <w:szCs w:val="20"/>
          <w:rtl w:val="true"/>
        </w:rPr>
        <w:t>الأوهام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لایدرک کیف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نیز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های سر نیست، بلکه منظور چشم های قلب هست؛ منظور همان افکار و اوهام است که مرتبه بالاتری از ادراک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مرتبه ظریف تر ادراک را نیز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کرده اند که به طریق اولی مرتبه نازل تر نیز نفی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شواهد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یأمر ثم یبدو له و قد یرید ان یفعل الشی‌ء فی وقت من الاوقات ثم لا یفعله لما یحدث له من البداء و لیس علی معنی النسخ و لکن علی معنی انه لم یکن فی الوقت الاول عالما بما یحدث له من البداء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نام کتاب های شلمغانی به احتمال فراوان، تمام کتاب های وی روایی نبود؛ علاوه بر این، وی فردی متکلم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طور قطع نمی توان کتاب او در باب بداء را مطابق تفکر کوفی دانست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الرافضة لا تعرفت ما حکیت، و انما خرجه لهم منذ قریب نفر صحبوا المعتزله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الرافضة باسرها فانها تقول بالبداء فی الاخبار و لیس القول بالنسخ فی الامر و النهی من القول بالبداء فی الاخبار فی شیء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البداء، فقول هشام و أکثر الشیعة فیه هو قول المعتزلة بعینه فی النسخ فی المعنی، و مرادهم به مراد المعتزلة بالنسخ، و إنّما خالفوهم فی تلقبه بالبداء لأخبار رووها و لا معتبر فی الألفاظ و الخلاف فیها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الملخص به اتمام نرسیده و فقط در آن قسمتی از مباحث توحید مطرح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 معتزلیانِ شیعه شده در گرایش کلام امامیه به 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شماره های آتی نقد و نظر منتشر خواهد</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ابوعیسی وراق؛ روی گردانی از اعتزال و گرایش به مدرسه کلام امامیه در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شماره اولی سال هفدهم مجله نقدونظر منتشر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راوندی و دفاع از اندیشه کلامی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در شماره های آتی تحقیقات کلامی منتشر خواهد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راوندی در کتاب التاج دیدگاه های خود درباره جهان شناسی و قِدم عالم مطرح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خیاط،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مسلماً بر اساس گزارش های موجود نظریه قِدم را رد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ابوسهل بر این کتاب ردیه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ندیم، </w:t>
      </w:r>
      <w:r>
        <w:rPr>
          <w:rFonts w:eastAsia="IRNazanin" w:cs="IRNazanin"/>
          <w:b w:val="false"/>
          <w:bCs w:val="false"/>
          <w:i w:val="false"/>
          <w:iCs w:val="false"/>
          <w:color w:val="333333"/>
          <w:sz w:val="20"/>
          <w:szCs w:val="20"/>
        </w:rPr>
        <w:t>225:1350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الحکمه از کتاب های ابن راوندی در موضوع تکلیف الهی بر بندگان است که در نقد آن مباحثی را مطرح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ظاهراً بعدها از این نظریات باز می گردد، ولی ابوسهل ردّیه ای بر این کتاب ابن راوندی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ندیم،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حقیقت انسان، نوبختیان نظر معمربن عباد را داشته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راوندی نیز مدتی همین نظریه 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راوندی بعدها از این نظریه برمی گردد و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لایتجزی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 پذیرد و به نقد نظریه معمر می 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خیاط، بی 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این روست که ابوسهل کتاب الانسان و الرد علی ابن الراوندی را نگاشته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این نکته را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معنی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تکرار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مسائل السرویة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کما قال الأعوازی أنه جزء لا یتجزأ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راوندی باشد، زیرا چنین شخصیتی میان اندیشمندان گروه های مختلف ناشناخته است؛ از سوی دیگر، این نظر در باب حقیقت انسان برای ابن راوندی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عبارت شیخ را فاضل مقداد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مقداد،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 اوائل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این نکته اشاره کرده 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در یکی از آثار خود چندین صفحه از اندیشه های عرب جاهلی از کتاب المقالات وراق را گزارش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سیدمرتضی،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 بحث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سیدمرتضی،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حقیقت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سیدمرتضی،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نظر قاضی مبنی بر ابداع نظریه نص جلی از سوی هشام و 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سیدمرتضی،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مباحثی را مطرح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آثار دیگری از ابن راوندی را در دست داشت، ولی نامی از آن ها نمی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اتهامات ابوعلی جبایی و قاضی عبدالجبار به ابن راوندی و دیگر بزرگان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نظر ابن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عبدالقاهر بغدادی،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عبدالقاهر بغدادی،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حسنی رازی،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اسفراینی،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عبدالقاهر بغدادی،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درباره نظر سیدمرتضی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نظریه ابن 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 این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بی 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نوبختیان با متکلمان معتزلی مراوده و نشست‌های علمی داشته و به نقد برخی آثار و اندیشه‌های آنان اهتمام داشته‌اند؛ برای مثال، ابوسهل جلسات و نقد‌هایی بر ابو‌علی جبایی، متکلم بزرگ معتزله بصره داشته و حسن بن‌موسی مجالس متعددی با ابو‌القاسم بلخی، متکلم پرآوازه معتزله بغداد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اندیشه‌های معتزله با اندیشه‌های دیگر متکلمان سنی مذهب نیز آشنا بوده و با اندیشه‌های جریان‌های کلامی مختلف امامیه، مخصوصاً کوفه آشنا بوده‌اند و فراتر از آن، از کارشناسان آرا و دیانات و تفکرات گروه ها و ادیان خارج از حوزه اسلامند و ردیه‌های فراوان آنان بر متکلمان مختلف در همین راستا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مراجعه به کتاب اوائل المقالات درمی‌یابیم شیخ مفید نیز با اندیشه‌های ملل و نحل مختلف، از جمله جریان‌های مختلف معتزله آشنا بوده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تحقیق از کتاب فرق الشیعه استفاده نمی‌شود، زیرا آن را منسوب به نوبختی می‌دانیم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 جلالی،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نمی‌توان گفت، اضطراری بودن معارف در کلام نوبختی الزاماً به معنای فطری بودن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گزارش قاضی عبد‌الجبار را همان دیدگاه ابو‌محمد بدانیم، می‌توان گفت وی اتفاق و تبخیت را از موارد اضطراری بودن معارف می‌داند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است که قائل به نفی صفات بوده و خدا را از هر گونه تشبیه و تجسیمی منزه می‌دانستند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تیمیه،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همین دلیل مکدرموت بدون این که بر ادعای خود دلیلی اقامه کند، اعتقاد ابو‌سهل در استطاعت را همچون معتزله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امامیه افعال اختیاری انسان را در حوزه مشیت الهی می‌دانستند، درحالی که معتزلیان افعال اختیاری انسان را از قلمرو مشیت خارج می‌دانستند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نوبختیان بر خلاف معتزله اعمال را در ایمان مؤثر نمی دانستند، شاید بتوان گفت آنان هیچ گناه کبیره ای</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اعم از اهل کتاب و غیر آنان است، زیرا متکلمان در این که کافر منکر خدا و پیامبران است یا تنها به منکران خدا کافر می گویند، اختلاف 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بحث وعید شیخ مفید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بنو‌نوبخت معتقدند بسیاری از کسانی که از خدا اطاعت کرده‌اند، در دنیا ثواب طاعت خود را می بینند و در آخرت پاداشی نخواهند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کلام مفید می‌توان حدس زد، مراد نوبختیان از این گروه کفاری است که طاعت الهی انجام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اشعری معتزلیانِ شیعه شده مانند ابن‌مملک و ابن‌قبه است، نه نوبختیان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شیخ مفید از نظریه صرفه روی گردان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گفته شده، اما با توجه به این که ابوسهل پیش تر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سی سال از غیبت گذشته، باید گفت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درست نیست، بلکه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که تصحیف صورت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شاید این قول ابو‌سهل دقیق نباشد، و یک قول کلی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شیخ صدوق قسمت اول کتاب التنبیه را نقل نکرده، استدلال ابو‌سهل در این باره گزارش نشده و تنها نتیجه استدلال گزارش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مفوضه و غلات در نتیجه این بحث با بنو‌نوبخت هم‌رأیند، ولی آنان بنا بر روایات این علوم را به امام نسبت می‌داده‌اند؛ به خلاف بنو‌نوبخت که علم امام بدین امور را با ادله عقلی اثبات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این مطلب را 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أوضح الأدلة علی الامامة آن الله عز و جل جعل آیة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أتی بقصص الأنبیاء الماضین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بکل علم من توراة و إنجیل و زبور من غیر آن یکون یعلم الکتابة ظاهراً أو لقی نصرانیا أو یهودیا فکان ذلک أعظم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کرده که بیان گر آن است که علوم انبیا معجزه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ابو‌سهل همین علوم را به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می‌دهد و در نهایت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رأینا فی العادات من ظهر عنه مثل ما ظهر عن محمدبن‌علی و جعفربن‌محمد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آن یتعلموا ذلک من أحد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تصریح بر این مطلب است که علوم ائمه خرق عادات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ارشد پژوهشگاه قرآن و حدیث و استادیار دانشگاه قرآن و حدیث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چگونگی نقش آفرینی این عناصر تاریخی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مطهری،سید 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 تبیین اندیشه های 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با تأکید بر آموزه های روایی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سفینه،</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موارد ذکرشده در بهره گیری از آیات و روایات، تنها برای نمونه است که می توان نمونه های بیشتری از آن را با مراجعه به کتب کلامی و روایی مشاهده کرد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با بررسی و تأمل در نصوص مربوط به آموزه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ای تطبیقی میان آن ها، علاوه بر یافتن سه محور ضروری بحث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عصمت و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بیشتر این متون، می توان آن ها را در سه دسته و قالب بیانی، تنظیم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زوایا و ابعاد معرفتی این متون ـ آن چنان که خواهد آمدـ در دوره نخست کوتاه و اجمالی است، اما در دوره های بعد با تفصیل بیشتری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دسته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اول، نصوصی که به صورت مستقیم و صریح، اما در قالب تک واژه ها، به بیان موضوع امامت می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مشتمل بر این الفاظ، در دوره نخست، خالی از هرگونه تفصیل و یا همراه با تأکید بر یک ویژگی هستند؛ مانند حدیث شریف ولایت، اما در دوره های متأخر، متعدد و با تفصیل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دوم، متونی که اگرچه صراحت لفظی آن مانند دسته نخست نیست و الفاظ به کار رفته در آن متفاوتند، اما برآیند محتوایی آن ها همان نتیجه دسته اول را با نوعی دلالت التزامی و اشاره ای حاصل</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دسته گزارش ها ـ در منابع مذکور ـ به احتمال فراوان علاوه بر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ابوطالب نیز از تقدیر الهی باخبر بود، چراکه در پاسخِ استهزاکنندگان تأکید می کند که فرزندش علی در یاری پیامبر کوتاهی نمی کند، و از سوی دیگر، حاضر به قبول این مسئولیت نمی شود؛ به عبارت دیگر، انتخاب جانشین نیز باید از سوی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نظر می رسد، این جلسه بیشتر جهت اعلام حجت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سکت القوم،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طالب ألا تری ابنک؟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 فلن یألوا من ابن عمّه خیراً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در مجموعه چهارجلدی </w:t>
      </w:r>
      <w:r>
        <w:rPr>
          <w:rFonts w:eastAsia="IRNazanin" w:cs="IRNazanin"/>
          <w:b w:val="false"/>
          <w:bCs w:val="false"/>
          <w:i w:val="false"/>
          <w:iCs w:val="false"/>
          <w:color w:val="333333"/>
          <w:sz w:val="20"/>
          <w:szCs w:val="20"/>
        </w:rPr>
        <w:t>Shi'ism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 که حاوی مقالات شاخص مستشرقان در سال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درباره موضوعات فقهی، کلامی، حدیثی و تفسیری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مذکور سی و نهمین مقاله از این مجموعه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پیامبران و اجداد در احادیث شیعه نخستین،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Prophets and progenitors in the early Shi'ah Tradition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اری روبین مطرح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دانشجوی دکترای دانشگاه قرآن و حدیث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تهران پردیس قم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بعضی از مفسران اهل سنت ذیل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اولی الفقه و اهل الحل و العقد دانسته اند، اما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بیان گر ولایت خدا و پیامبر است، مصداق آیه را حضرت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علامه طباطبائی با ردّ احتمالات مربوط 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ولایت در این آیه را با ولایت در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 روبین، پژوهش گری یهودی در عرصه اسلام شناسی با رویکرد قرآنی، حدیثی و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بررسی عناوین مجموعه کتاب ها و مقالات نویسنده، به نظر می رسد محور تحقیقات ایشان درباره زندگی و شخصیت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بعضی از رخدادهای مرتبط با آن حضرت و بعضی از اماکن مهم اسلامی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prof.Uri Rubin's web site</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منابع اهل سنت که روبین در مقاله اش از آن استفاده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ابوداود،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ادبی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وضع، استعمال، دلالت، حقیقت و مجاز و بحث از مفاهیم، عام و خاص، مطلق و مقید، مجمل و مبین و بسیاری از مباحث حجیت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روبین در مقایسه بین ادیانی مسئله امامت و جانشینی، عنوان بنی اسرائیل و اهل بیت را جداگانه به صورت ِتطبیقی بررسی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واحدة هی الورث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المیراث أصله الواو، و هو أن یکون الشی‌ء لقوم ثمّ یصیر الی آخرین بنسب أو 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فارس،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از منازل انبیا و ارث اوصیاست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ادله امامت به مواخات به عنوان دلیل در این آثار کلامی استناد نشده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ءَامَنُواْ وَ هَاجَرُواْ وَ جَاهَدُواْ بِأَمْوَالِهِمْ وَ أَنفُسِهِمْ فیِ سَبِیلِ اللَّهِ وَ الَّذِینَ ءَاوَواْ وَّ نَصَرُواْ أُوْلَئکَ بَعْضُهُمْ أَوْلِیَاءُ بَعْضٍ وَ الَّذِینَ ءَامَنُواْ وَ لَمْ یهَُاجِرُواْ مَا لَکمُ مِّن وَلَیَتهِِم مِّن شیَ‌ْءٍ حَتیَ یهَُاجِرُواْ وَ إِنِ اسْتَنصَرُوکُمْ فیِ الدِّینِ فَعَلَیْکُمُ النَّصْرُ إِلا عَلیَ قَوْمِ بَیْنَکُمْ وَ بَیْنهَُم مِّیثَاقٌ وَ اللَّهُ بِمَا تَعْمَلُونَ بَصِیرٌ؛ کسانی که ایمان آوردند و هجرت کردند و با اموال و جان های خود در راه خدا جهاد کردند، و آن ها که پناه دادند و یاری کردند، آن ها یاران یکدیگرند و آن ها که ایمان آوردند و مهاجرت نکردند، هیچ گونه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و تعهدی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 ها ندارید تا هجرت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یاری طلبند، بر شماست که آن ها را یاری کنید، جز بر ضدّ گروهی که میان شما و آن ها، پیمان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خداوند به آنچه عمل می‌کنید، بیناست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تاخُوا فی الله اخوین اخوین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اسحاق، سیرة النبی،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اقدم فی مرکز ابحاث القرآن والحدیث و دکتوراه فی مرکز ابحاث العلوم والثقافة الاسلامیة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لجنة التدریس فی مؤسسة الدراسات العلیا للاشراق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 – افغانستان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الکلامیة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 دکتوراه فرع التعرف علی الشیعة فی جامعة الادیان و المذاهب فی قم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الکلامیة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الکلامیة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الکلامیة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اقدم فی مرکز ابحاث القرآن والحدیث و دکتوراه فی جامعة القرآن و الحدیث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الکلامیة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النظریة ضمن مجموعة ذات أربع مجلدات تحت عنوان </w:t>
      </w:r>
      <w:r>
        <w:rPr>
          <w:rFonts w:eastAsia="IRNazanin" w:cs="IRNazanin"/>
          <w:b w:val="false"/>
          <w:bCs w:val="false"/>
          <w:i w:val="false"/>
          <w:iCs w:val="false"/>
          <w:color w:val="333333"/>
          <w:sz w:val="20"/>
          <w:szCs w:val="20"/>
        </w:rPr>
        <w:t>Shi'ism</w:t>
      </w:r>
      <w:r>
        <w:rPr>
          <w:rFonts w:ascii="IRNazanin" w:hAnsi="IRNazanin" w:eastAsia="IRNazanin"/>
          <w:b w:val="false"/>
          <w:b w:val="false"/>
          <w:bCs w:val="false"/>
          <w:i w:val="false"/>
          <w:i w:val="false"/>
          <w:iCs w:val="false"/>
          <w:color w:val="333333"/>
          <w:sz w:val="20"/>
          <w:sz w:val="20"/>
          <w:szCs w:val="20"/>
          <w:rtl w:val="true"/>
        </w:rPr>
        <w:t xml:space="preserve">، و التی تشتمل علی المقالات المعروفة للمستشرقین خلال عام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فی المواضیع الفقهیة و الکلامیة و الحدیثیة و التفسیریة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النظریة المذکورة هی التاسعة بعد الثلاثین من هذه المجموعة، و هی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 و أجدادهم فی أحادیث الشیعة الأوائل،</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ابحاث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الابحاث الکلامیة لاهل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 دکتوراه فی جامعة القرآن والحدیث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جامعة طهران ـ فرع 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58729</Words>
  <Characters>240494</Characters>
  <CharactersWithSpaces>297270</CharactersWithSpaces>
  <Paragraphs>1936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2026-08-17T11:50:39Z</dcterms:created>
  <dc:creator>ghaemiyeh.com</dc:creator>
  <dc:description/>
  <dc:language>en-US</dc:language>
  <cp:lastModifiedBy/>
  <dcterms:modified xsi:type="dcterms:W3CDTF">2026-08-17T15:20:44Z</dcterms:modified>
  <cp:revision>1</cp:revision>
  <dc:subject/>
  <dc:title>فصلنامه تحقیقات کلامی شماره 2</dc:title>
</cp:coreProperties>
</file>

<file path=docProps/custom.xml><?xml version="1.0" encoding="utf-8"?>
<Properties xmlns="http://schemas.openxmlformats.org/officeDocument/2006/custom-properties" xmlns:vt="http://schemas.openxmlformats.org/officeDocument/2006/docPropsVTypes"/>
</file>