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الوافی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1266_380464308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601268_380464308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601270_3804643083">
            <w:r>
              <w:rPr>
                <w:webHidden/>
                <w:rStyle w:val="IndexLink"/>
                <w:rtl w:val="true"/>
              </w:rPr>
              <w:t>[</w:t>
            </w:r>
            <w:r>
              <w:rPr>
                <w:rStyle w:val="IndexLink"/>
                <w:rtl w:val="true"/>
              </w:rPr>
              <w:t>مقدمات التحقيق</w:t>
            </w:r>
            <w:r>
              <w:rPr>
                <w:rStyle w:val="IndexLink"/>
                <w:rtl w:val="true"/>
              </w:rPr>
              <w:t>]</w:t>
              <w:tab/>
            </w:r>
            <w:r>
              <w:rPr>
                <w:rStyle w:val="IndexLink"/>
              </w:rPr>
              <w:t>11</w:t>
            </w:r>
          </w:hyperlink>
        </w:p>
        <w:p>
          <w:pPr>
            <w:pStyle w:val="Contents3"/>
            <w:tabs>
              <w:tab w:val="clear" w:pos="8459"/>
              <w:tab w:val="right" w:pos="9026" w:leader="dot"/>
            </w:tabs>
            <w:rPr/>
          </w:pPr>
          <w:hyperlink w:anchor="__RefHeading___Toc3601272_3804643083">
            <w:r>
              <w:rPr>
                <w:webHidden/>
                <w:rStyle w:val="IndexLink"/>
                <w:rtl w:val="true"/>
              </w:rPr>
              <w:t xml:space="preserve">المقدّمة </w:t>
            </w:r>
            <w:r>
              <w:rPr>
                <w:rStyle w:val="IndexLink"/>
                <w:rtl w:val="true"/>
              </w:rPr>
              <w:t>[</w:t>
            </w:r>
            <w:r>
              <w:rPr>
                <w:rStyle w:val="IndexLink"/>
                <w:rtl w:val="true"/>
              </w:rPr>
              <w:t>للسيد محمد اليثربي</w:t>
            </w:r>
            <w:r>
              <w:rPr>
                <w:rStyle w:val="IndexLink"/>
                <w:rtl w:val="true"/>
              </w:rPr>
              <w:t>]</w:t>
              <w:tab/>
            </w:r>
            <w:r>
              <w:rPr>
                <w:rStyle w:val="IndexLink"/>
              </w:rPr>
              <w:t>11</w:t>
            </w:r>
          </w:hyperlink>
        </w:p>
        <w:p>
          <w:pPr>
            <w:pStyle w:val="Contents4"/>
            <w:tabs>
              <w:tab w:val="clear" w:pos="8176"/>
              <w:tab w:val="right" w:pos="9026" w:leader="dot"/>
            </w:tabs>
            <w:rPr/>
          </w:pPr>
          <w:hyperlink w:anchor="__RefHeading___Toc3601274_380464308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601276_3804643083">
            <w:r>
              <w:rPr>
                <w:webHidden/>
                <w:rStyle w:val="IndexLink"/>
                <w:rtl w:val="true"/>
              </w:rPr>
              <w:t>المتحرّرون</w:t>
            </w:r>
            <w:r>
              <w:rPr>
                <w:rStyle w:val="IndexLink"/>
                <w:rtl w:val="true"/>
              </w:rPr>
              <w:t>:</w:t>
              <w:tab/>
            </w:r>
            <w:r>
              <w:rPr>
                <w:rStyle w:val="IndexLink"/>
              </w:rPr>
              <w:t>18</w:t>
            </w:r>
          </w:hyperlink>
        </w:p>
        <w:p>
          <w:pPr>
            <w:pStyle w:val="Contents5"/>
            <w:tabs>
              <w:tab w:val="clear" w:pos="7892"/>
              <w:tab w:val="right" w:pos="9026" w:leader="dot"/>
            </w:tabs>
            <w:rPr/>
          </w:pPr>
          <w:hyperlink w:anchor="__RefHeading___Toc3601278_3804643083">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3601280_3804643083">
            <w:r>
              <w:rPr>
                <w:webHidden/>
                <w:rStyle w:val="IndexLink"/>
                <w:rtl w:val="true"/>
              </w:rPr>
              <w:t>أ</w:t>
            </w:r>
            <w:r>
              <w:rPr>
                <w:rStyle w:val="IndexLink"/>
                <w:rtl w:val="true"/>
              </w:rPr>
              <w:t xml:space="preserve">: </w:t>
            </w:r>
            <w:r>
              <w:rPr>
                <w:rStyle w:val="IndexLink"/>
                <w:rtl w:val="true"/>
              </w:rPr>
              <w:t>العرف؛</w:t>
            </w:r>
            <w:r>
              <w:rPr>
                <w:rStyle w:val="IndexLink"/>
                <w:rtl w:val="true"/>
              </w:rPr>
              <w:tab/>
            </w:r>
            <w:r>
              <w:rPr>
                <w:rStyle w:val="IndexLink"/>
              </w:rPr>
              <w:t>22</w:t>
            </w:r>
          </w:hyperlink>
        </w:p>
        <w:p>
          <w:pPr>
            <w:pStyle w:val="Contents5"/>
            <w:tabs>
              <w:tab w:val="clear" w:pos="7892"/>
              <w:tab w:val="right" w:pos="9026" w:leader="dot"/>
            </w:tabs>
            <w:rPr/>
          </w:pPr>
          <w:hyperlink w:anchor="__RefHeading___Toc3601282_3804643083">
            <w:r>
              <w:rPr>
                <w:webHidden/>
                <w:rStyle w:val="IndexLink"/>
                <w:rtl w:val="true"/>
              </w:rPr>
              <w:t>ب</w:t>
            </w:r>
            <w:r>
              <w:rPr>
                <w:rStyle w:val="IndexLink"/>
                <w:rtl w:val="true"/>
              </w:rPr>
              <w:t xml:space="preserve">: </w:t>
            </w:r>
            <w:r>
              <w:rPr>
                <w:rStyle w:val="IndexLink"/>
                <w:rtl w:val="true"/>
              </w:rPr>
              <w:t>قاعدة التزاحم؛</w:t>
            </w:r>
            <w:r>
              <w:rPr>
                <w:rStyle w:val="IndexLink"/>
                <w:rtl w:val="true"/>
              </w:rPr>
              <w:tab/>
            </w:r>
            <w:r>
              <w:rPr>
                <w:rStyle w:val="IndexLink"/>
              </w:rPr>
              <w:t>23</w:t>
            </w:r>
          </w:hyperlink>
        </w:p>
        <w:p>
          <w:pPr>
            <w:pStyle w:val="Contents5"/>
            <w:tabs>
              <w:tab w:val="clear" w:pos="7892"/>
              <w:tab w:val="right" w:pos="9026" w:leader="dot"/>
            </w:tabs>
            <w:rPr/>
          </w:pPr>
          <w:hyperlink w:anchor="__RefHeading___Toc3601284_3804643083">
            <w:r>
              <w:rPr>
                <w:webHidden/>
                <w:rStyle w:val="IndexLink"/>
                <w:rtl w:val="true"/>
              </w:rPr>
              <w:t>ج</w:t>
            </w:r>
            <w:r>
              <w:rPr>
                <w:rStyle w:val="IndexLink"/>
                <w:rtl w:val="true"/>
              </w:rPr>
              <w:t xml:space="preserve">: </w:t>
            </w:r>
            <w:r>
              <w:rPr>
                <w:rStyle w:val="IndexLink"/>
                <w:rtl w:val="true"/>
              </w:rPr>
              <w:t>القواعد الثانويّة؛</w:t>
            </w:r>
            <w:r>
              <w:rPr>
                <w:rStyle w:val="IndexLink"/>
                <w:rtl w:val="true"/>
              </w:rPr>
              <w:tab/>
            </w:r>
            <w:r>
              <w:rPr>
                <w:rStyle w:val="IndexLink"/>
              </w:rPr>
              <w:t>24</w:t>
            </w:r>
          </w:hyperlink>
        </w:p>
        <w:p>
          <w:pPr>
            <w:pStyle w:val="Contents4"/>
            <w:tabs>
              <w:tab w:val="clear" w:pos="8176"/>
              <w:tab w:val="right" w:pos="9026" w:leader="dot"/>
            </w:tabs>
            <w:rPr/>
          </w:pPr>
          <w:hyperlink w:anchor="__RefHeading___Toc3601286_3804643083">
            <w:r>
              <w:rPr>
                <w:webHidden/>
                <w:rStyle w:val="IndexLink"/>
                <w:rtl w:val="true"/>
              </w:rPr>
              <w:t>الوحيد و مواجهته للانحراف في مسيرة الاستنباط الفقهي</w:t>
            </w:r>
            <w:r>
              <w:rPr>
                <w:rStyle w:val="IndexLink"/>
                <w:rtl w:val="true"/>
              </w:rPr>
              <w:tab/>
            </w:r>
            <w:r>
              <w:rPr>
                <w:rStyle w:val="IndexLink"/>
              </w:rPr>
              <w:t>34</w:t>
            </w:r>
          </w:hyperlink>
        </w:p>
        <w:p>
          <w:pPr>
            <w:pStyle w:val="Contents5"/>
            <w:tabs>
              <w:tab w:val="clear" w:pos="7892"/>
              <w:tab w:val="right" w:pos="9026" w:leader="dot"/>
            </w:tabs>
            <w:rPr/>
          </w:pPr>
          <w:hyperlink w:anchor="__RefHeading___Toc3601288_3804643083">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3601290_3804643083">
            <w:r>
              <w:rPr>
                <w:webHidden/>
                <w:rStyle w:val="IndexLink"/>
                <w:rtl w:val="true"/>
              </w:rPr>
              <w:t>الأوّل</w:t>
            </w:r>
            <w:r>
              <w:rPr>
                <w:rStyle w:val="IndexLink"/>
                <w:rtl w:val="true"/>
              </w:rPr>
              <w:t xml:space="preserve">: </w:t>
            </w:r>
            <w:r>
              <w:rPr>
                <w:rStyle w:val="IndexLink"/>
                <w:rtl w:val="true"/>
              </w:rPr>
              <w:t>طريقة الأخباريين</w:t>
            </w:r>
            <w:r>
              <w:rPr>
                <w:rStyle w:val="IndexLink"/>
                <w:rtl w:val="true"/>
              </w:rPr>
              <w:t>:</w:t>
              <w:tab/>
            </w:r>
            <w:r>
              <w:rPr>
                <w:rStyle w:val="IndexLink"/>
              </w:rPr>
              <w:t>36</w:t>
            </w:r>
          </w:hyperlink>
        </w:p>
        <w:p>
          <w:pPr>
            <w:pStyle w:val="Contents5"/>
            <w:tabs>
              <w:tab w:val="clear" w:pos="7892"/>
              <w:tab w:val="right" w:pos="9026" w:leader="dot"/>
            </w:tabs>
            <w:rPr/>
          </w:pPr>
          <w:hyperlink w:anchor="__RefHeading___Toc3601292_3804643083">
            <w:r>
              <w:rPr>
                <w:webHidden/>
                <w:rStyle w:val="IndexLink"/>
                <w:rtl w:val="true"/>
              </w:rPr>
              <w:t>الثانى</w:t>
            </w:r>
            <w:r>
              <w:rPr>
                <w:rStyle w:val="IndexLink"/>
                <w:rtl w:val="true"/>
              </w:rPr>
              <w:t xml:space="preserve">: </w:t>
            </w:r>
            <w:r>
              <w:rPr>
                <w:rStyle w:val="IndexLink"/>
                <w:rtl w:val="true"/>
              </w:rPr>
              <w:t>الخروج عن طريقة المجتهدين و ما تعارفوا عليه</w:t>
            </w:r>
            <w:r>
              <w:rPr>
                <w:rStyle w:val="IndexLink"/>
                <w:rtl w:val="true"/>
              </w:rPr>
              <w:t>:</w:t>
              <w:tab/>
            </w:r>
            <w:r>
              <w:rPr>
                <w:rStyle w:val="IndexLink"/>
              </w:rPr>
              <w:t>37</w:t>
            </w:r>
          </w:hyperlink>
        </w:p>
        <w:p>
          <w:pPr>
            <w:pStyle w:val="Contents4"/>
            <w:tabs>
              <w:tab w:val="clear" w:pos="8176"/>
              <w:tab w:val="right" w:pos="9026" w:leader="dot"/>
            </w:tabs>
            <w:rPr/>
          </w:pPr>
          <w:hyperlink w:anchor="__RefHeading___Toc3601294_3804643083">
            <w:r>
              <w:rPr>
                <w:webHidden/>
                <w:rStyle w:val="IndexLink"/>
                <w:rtl w:val="true"/>
              </w:rPr>
              <w:t>المؤلف و خصوصيات كتابه</w:t>
            </w:r>
            <w:r>
              <w:rPr>
                <w:rStyle w:val="IndexLink"/>
                <w:rtl w:val="true"/>
              </w:rPr>
              <w:tab/>
            </w:r>
            <w:r>
              <w:rPr>
                <w:rStyle w:val="IndexLink"/>
              </w:rPr>
              <w:t>46</w:t>
            </w:r>
          </w:hyperlink>
        </w:p>
        <w:p>
          <w:pPr>
            <w:pStyle w:val="Contents5"/>
            <w:tabs>
              <w:tab w:val="clear" w:pos="7892"/>
              <w:tab w:val="right" w:pos="9026" w:leader="dot"/>
            </w:tabs>
            <w:rPr/>
          </w:pPr>
          <w:hyperlink w:anchor="__RefHeading___Toc3601296_3804643083">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601298_3804643083">
            <w:r>
              <w:rPr>
                <w:webHidden/>
                <w:rStyle w:val="IndexLink"/>
                <w:rtl w:val="true"/>
              </w:rPr>
              <w:t>الاولى</w:t>
            </w:r>
            <w:r>
              <w:rPr>
                <w:rStyle w:val="IndexLink"/>
                <w:rtl w:val="true"/>
              </w:rPr>
              <w:t xml:space="preserve">: </w:t>
            </w:r>
            <w:r>
              <w:rPr>
                <w:rStyle w:val="IndexLink"/>
                <w:rtl w:val="true"/>
              </w:rPr>
              <w:t>تشقيق الفروع الفقهيّة و الاستدلال عليها؛</w:t>
            </w:r>
            <w:r>
              <w:rPr>
                <w:rStyle w:val="IndexLink"/>
                <w:rtl w:val="true"/>
              </w:rPr>
              <w:tab/>
            </w:r>
            <w:r>
              <w:rPr>
                <w:rStyle w:val="IndexLink"/>
              </w:rPr>
              <w:t>46</w:t>
            </w:r>
          </w:hyperlink>
        </w:p>
        <w:p>
          <w:pPr>
            <w:pStyle w:val="Contents5"/>
            <w:tabs>
              <w:tab w:val="clear" w:pos="7892"/>
              <w:tab w:val="right" w:pos="9026" w:leader="dot"/>
            </w:tabs>
            <w:rPr/>
          </w:pPr>
          <w:hyperlink w:anchor="__RefHeading___Toc3601300_3804643083">
            <w:r>
              <w:rPr>
                <w:webHidden/>
                <w:rStyle w:val="IndexLink"/>
                <w:rtl w:val="true"/>
              </w:rPr>
              <w:t>الثانية</w:t>
            </w:r>
            <w:r>
              <w:rPr>
                <w:rStyle w:val="IndexLink"/>
                <w:rtl w:val="true"/>
              </w:rPr>
              <w:t xml:space="preserve">: </w:t>
            </w:r>
            <w:r>
              <w:rPr>
                <w:rStyle w:val="IndexLink"/>
                <w:rtl w:val="true"/>
              </w:rPr>
              <w:t>تحكيم الأدلّة و تنوّعها؛</w:t>
            </w:r>
            <w:r>
              <w:rPr>
                <w:rStyle w:val="IndexLink"/>
                <w:rtl w:val="true"/>
              </w:rPr>
              <w:tab/>
            </w:r>
            <w:r>
              <w:rPr>
                <w:rStyle w:val="IndexLink"/>
              </w:rPr>
              <w:t>47</w:t>
            </w:r>
          </w:hyperlink>
        </w:p>
        <w:p>
          <w:pPr>
            <w:pStyle w:val="Contents5"/>
            <w:tabs>
              <w:tab w:val="clear" w:pos="7892"/>
              <w:tab w:val="right" w:pos="9026" w:leader="dot"/>
            </w:tabs>
            <w:rPr/>
          </w:pPr>
          <w:hyperlink w:anchor="__RefHeading___Toc3601302_3804643083">
            <w:r>
              <w:rPr>
                <w:webHidden/>
                <w:rStyle w:val="IndexLink"/>
                <w:rtl w:val="true"/>
              </w:rPr>
              <w:t>الثالثة</w:t>
            </w:r>
            <w:r>
              <w:rPr>
                <w:rStyle w:val="IndexLink"/>
                <w:rtl w:val="true"/>
              </w:rPr>
              <w:t xml:space="preserve">: </w:t>
            </w:r>
            <w:r>
              <w:rPr>
                <w:rStyle w:val="IndexLink"/>
                <w:rtl w:val="true"/>
              </w:rPr>
              <w:t>تبعيّة الدليل على أيّ حال؛</w:t>
            </w:r>
            <w:r>
              <w:rPr>
                <w:rStyle w:val="IndexLink"/>
                <w:rtl w:val="true"/>
              </w:rPr>
              <w:tab/>
            </w:r>
            <w:r>
              <w:rPr>
                <w:rStyle w:val="IndexLink"/>
              </w:rPr>
              <w:t>48</w:t>
            </w:r>
          </w:hyperlink>
        </w:p>
        <w:p>
          <w:pPr>
            <w:pStyle w:val="Contents4"/>
            <w:tabs>
              <w:tab w:val="clear" w:pos="8176"/>
              <w:tab w:val="right" w:pos="9026" w:leader="dot"/>
            </w:tabs>
            <w:rPr/>
          </w:pPr>
          <w:hyperlink w:anchor="__RefHeading___Toc3601304_3804643083">
            <w:r>
              <w:rPr>
                <w:webHidden/>
                <w:rStyle w:val="IndexLink"/>
                <w:rtl w:val="true"/>
              </w:rPr>
              <w:t>تحليل المؤلف لخروج بعض الأصحاب عن مدلول بعض الأدلّة</w:t>
            </w:r>
            <w:r>
              <w:rPr>
                <w:rStyle w:val="IndexLink"/>
                <w:rtl w:val="true"/>
              </w:rPr>
              <w:tab/>
            </w:r>
            <w:r>
              <w:rPr>
                <w:rStyle w:val="IndexLink"/>
              </w:rPr>
              <w:t>49</w:t>
            </w:r>
          </w:hyperlink>
        </w:p>
        <w:p>
          <w:pPr>
            <w:pStyle w:val="Contents5"/>
            <w:tabs>
              <w:tab w:val="clear" w:pos="7892"/>
              <w:tab w:val="right" w:pos="9026" w:leader="dot"/>
            </w:tabs>
            <w:rPr/>
          </w:pPr>
          <w:hyperlink w:anchor="__RefHeading___Toc3601306_3804643083">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3601308_3804643083">
            <w:r>
              <w:rPr>
                <w:webHidden/>
                <w:rStyle w:val="IndexLink"/>
                <w:rtl w:val="true"/>
              </w:rPr>
              <w:t>أ</w:t>
            </w:r>
            <w:r>
              <w:rPr>
                <w:rStyle w:val="IndexLink"/>
                <w:rtl w:val="true"/>
              </w:rPr>
              <w:t xml:space="preserve">: </w:t>
            </w:r>
            <w:r>
              <w:rPr>
                <w:rStyle w:val="IndexLink"/>
                <w:rtl w:val="true"/>
              </w:rPr>
              <w:t>عدم الدقّة في موارد حرمة التعدّي عن النصّ و وجوبه؛</w:t>
            </w:r>
            <w:r>
              <w:rPr>
                <w:rStyle w:val="IndexLink"/>
                <w:rtl w:val="true"/>
              </w:rPr>
              <w:tab/>
            </w:r>
            <w:r>
              <w:rPr>
                <w:rStyle w:val="IndexLink"/>
              </w:rPr>
              <w:t>49</w:t>
            </w:r>
          </w:hyperlink>
        </w:p>
        <w:p>
          <w:pPr>
            <w:pStyle w:val="Contents5"/>
            <w:tabs>
              <w:tab w:val="clear" w:pos="7892"/>
              <w:tab w:val="right" w:pos="9026" w:leader="dot"/>
            </w:tabs>
            <w:rPr/>
          </w:pPr>
          <w:hyperlink w:anchor="__RefHeading___Toc3601310_3804643083">
            <w:r>
              <w:rPr>
                <w:webHidden/>
                <w:rStyle w:val="IndexLink"/>
                <w:rtl w:val="true"/>
              </w:rPr>
              <w:t>ب</w:t>
            </w:r>
            <w:r>
              <w:rPr>
                <w:rStyle w:val="IndexLink"/>
                <w:rtl w:val="true"/>
              </w:rPr>
              <w:t xml:space="preserve">: </w:t>
            </w:r>
            <w:r>
              <w:rPr>
                <w:rStyle w:val="IndexLink"/>
                <w:rtl w:val="true"/>
              </w:rPr>
              <w:t>عدم المعرفة التامّة بعلم الرجال؛</w:t>
            </w:r>
            <w:r>
              <w:rPr>
                <w:rStyle w:val="IndexLink"/>
                <w:rtl w:val="true"/>
              </w:rPr>
              <w:tab/>
            </w:r>
            <w:r>
              <w:rPr>
                <w:rStyle w:val="IndexLink"/>
              </w:rPr>
              <w:t>50</w:t>
            </w:r>
          </w:hyperlink>
        </w:p>
        <w:p>
          <w:pPr>
            <w:pStyle w:val="Contents5"/>
            <w:tabs>
              <w:tab w:val="clear" w:pos="7892"/>
              <w:tab w:val="right" w:pos="9026" w:leader="dot"/>
            </w:tabs>
            <w:rPr/>
          </w:pPr>
          <w:hyperlink w:anchor="__RefHeading___Toc3601312_3804643083">
            <w:r>
              <w:rPr>
                <w:webHidden/>
                <w:rStyle w:val="IndexLink"/>
                <w:rtl w:val="true"/>
              </w:rPr>
              <w:t>ج</w:t>
            </w:r>
            <w:r>
              <w:rPr>
                <w:rStyle w:val="IndexLink"/>
                <w:rtl w:val="true"/>
              </w:rPr>
              <w:t xml:space="preserve">: </w:t>
            </w:r>
            <w:r>
              <w:rPr>
                <w:rStyle w:val="IndexLink"/>
                <w:rtl w:val="true"/>
              </w:rPr>
              <w:t>عدم التسلّط التام على اللغة؛</w:t>
            </w:r>
            <w:r>
              <w:rPr>
                <w:rStyle w:val="IndexLink"/>
                <w:rtl w:val="true"/>
              </w:rPr>
              <w:tab/>
            </w:r>
            <w:r>
              <w:rPr>
                <w:rStyle w:val="IndexLink"/>
              </w:rPr>
              <w:t>50</w:t>
            </w:r>
          </w:hyperlink>
        </w:p>
        <w:p>
          <w:pPr>
            <w:pStyle w:val="Contents5"/>
            <w:tabs>
              <w:tab w:val="clear" w:pos="7892"/>
              <w:tab w:val="right" w:pos="9026" w:leader="dot"/>
            </w:tabs>
            <w:rPr/>
          </w:pPr>
          <w:hyperlink w:anchor="__RefHeading___Toc3601314_3804643083">
            <w:r>
              <w:rPr>
                <w:webHidden/>
                <w:rStyle w:val="IndexLink"/>
                <w:rtl w:val="true"/>
              </w:rPr>
              <w:t>د</w:t>
            </w:r>
            <w:r>
              <w:rPr>
                <w:rStyle w:val="IndexLink"/>
                <w:rtl w:val="true"/>
              </w:rPr>
              <w:t xml:space="preserve">: </w:t>
            </w:r>
            <w:r>
              <w:rPr>
                <w:rStyle w:val="IndexLink"/>
                <w:rtl w:val="true"/>
              </w:rPr>
              <w:t>عدم الالتفات إلى مواطن الأمارات و مجاري الاصول؛</w:t>
            </w:r>
            <w:r>
              <w:rPr>
                <w:rStyle w:val="IndexLink"/>
                <w:rtl w:val="true"/>
              </w:rPr>
              <w:tab/>
            </w:r>
            <w:r>
              <w:rPr>
                <w:rStyle w:val="IndexLink"/>
              </w:rPr>
              <w:t>51</w:t>
            </w:r>
          </w:hyperlink>
        </w:p>
        <w:p>
          <w:pPr>
            <w:pStyle w:val="Contents5"/>
            <w:tabs>
              <w:tab w:val="clear" w:pos="7892"/>
              <w:tab w:val="right" w:pos="9026" w:leader="dot"/>
            </w:tabs>
            <w:rPr/>
          </w:pPr>
          <w:hyperlink w:anchor="__RefHeading___Toc3601316_3804643083">
            <w:r>
              <w:rPr>
                <w:webHidden/>
                <w:rStyle w:val="IndexLink"/>
                <w:rtl w:val="true"/>
              </w:rPr>
              <w:t>ه</w:t>
            </w:r>
            <w:r>
              <w:rPr>
                <w:rStyle w:val="IndexLink"/>
                <w:rtl w:val="true"/>
              </w:rPr>
              <w:t xml:space="preserve">: </w:t>
            </w:r>
            <w:r>
              <w:rPr>
                <w:rStyle w:val="IndexLink"/>
                <w:rtl w:val="true"/>
              </w:rPr>
              <w:t>الغافلة عن عدم إمكان إجراء الأصل في ماهيّة العبادات؛</w:t>
            </w:r>
            <w:r>
              <w:rPr>
                <w:rStyle w:val="IndexLink"/>
                <w:rtl w:val="true"/>
              </w:rPr>
              <w:tab/>
            </w:r>
            <w:r>
              <w:rPr>
                <w:rStyle w:val="IndexLink"/>
              </w:rPr>
              <w:t>51</w:t>
            </w:r>
          </w:hyperlink>
        </w:p>
        <w:p>
          <w:pPr>
            <w:pStyle w:val="Contents5"/>
            <w:tabs>
              <w:tab w:val="clear" w:pos="7892"/>
              <w:tab w:val="right" w:pos="9026" w:leader="dot"/>
            </w:tabs>
            <w:rPr/>
          </w:pPr>
          <w:hyperlink w:anchor="__RefHeading___Toc3601318_3804643083">
            <w:r>
              <w:rPr>
                <w:webHidden/>
                <w:rStyle w:val="IndexLink"/>
                <w:rtl w:val="true"/>
              </w:rPr>
              <w:t>و</w:t>
            </w:r>
            <w:r>
              <w:rPr>
                <w:rStyle w:val="IndexLink"/>
                <w:rtl w:val="true"/>
              </w:rPr>
              <w:t xml:space="preserve">: </w:t>
            </w:r>
            <w:r>
              <w:rPr>
                <w:rStyle w:val="IndexLink"/>
                <w:rtl w:val="true"/>
              </w:rPr>
              <w:t>عدم غور البعض في الأدب العربي و مباديه الأوّليّة؛</w:t>
            </w:r>
            <w:r>
              <w:rPr>
                <w:rStyle w:val="IndexLink"/>
                <w:rtl w:val="true"/>
              </w:rPr>
              <w:tab/>
            </w:r>
            <w:r>
              <w:rPr>
                <w:rStyle w:val="IndexLink"/>
              </w:rPr>
              <w:t>52</w:t>
            </w:r>
          </w:hyperlink>
        </w:p>
        <w:p>
          <w:pPr>
            <w:pStyle w:val="Contents5"/>
            <w:tabs>
              <w:tab w:val="clear" w:pos="7892"/>
              <w:tab w:val="right" w:pos="9026" w:leader="dot"/>
            </w:tabs>
            <w:rPr/>
          </w:pPr>
          <w:hyperlink w:anchor="__RefHeading___Toc3601320_3804643083">
            <w:r>
              <w:rPr>
                <w:webHidden/>
                <w:rStyle w:val="IndexLink"/>
                <w:rtl w:val="true"/>
              </w:rPr>
              <w:t>ز</w:t>
            </w:r>
            <w:r>
              <w:rPr>
                <w:rStyle w:val="IndexLink"/>
                <w:rtl w:val="true"/>
              </w:rPr>
              <w:t xml:space="preserve">: </w:t>
            </w:r>
            <w:r>
              <w:rPr>
                <w:rStyle w:val="IndexLink"/>
                <w:rtl w:val="true"/>
              </w:rPr>
              <w:t>عدم التوجه إلى العرف؛</w:t>
            </w:r>
            <w:r>
              <w:rPr>
                <w:rStyle w:val="IndexLink"/>
                <w:rtl w:val="true"/>
              </w:rPr>
              <w:tab/>
            </w:r>
            <w:r>
              <w:rPr>
                <w:rStyle w:val="IndexLink"/>
              </w:rPr>
              <w:t>52</w:t>
            </w:r>
          </w:hyperlink>
        </w:p>
        <w:p>
          <w:pPr>
            <w:pStyle w:val="Contents5"/>
            <w:tabs>
              <w:tab w:val="clear" w:pos="7892"/>
              <w:tab w:val="right" w:pos="9026" w:leader="dot"/>
            </w:tabs>
            <w:rPr/>
          </w:pPr>
          <w:hyperlink w:anchor="__RefHeading___Toc3601322_3804643083">
            <w:r>
              <w:rPr>
                <w:webHidden/>
                <w:rStyle w:val="IndexLink"/>
                <w:rtl w:val="true"/>
              </w:rPr>
              <w:t>ح</w:t>
            </w:r>
            <w:r>
              <w:rPr>
                <w:rStyle w:val="IndexLink"/>
                <w:rtl w:val="true"/>
              </w:rPr>
              <w:t xml:space="preserve">: </w:t>
            </w:r>
            <w:r>
              <w:rPr>
                <w:rStyle w:val="IndexLink"/>
                <w:rtl w:val="true"/>
              </w:rPr>
              <w:t>عدم الدقّة في نقل الأقوال؛</w:t>
            </w:r>
            <w:r>
              <w:rPr>
                <w:rStyle w:val="IndexLink"/>
                <w:rtl w:val="true"/>
              </w:rPr>
              <w:tab/>
            </w:r>
            <w:r>
              <w:rPr>
                <w:rStyle w:val="IndexLink"/>
              </w:rPr>
              <w:t>53</w:t>
            </w:r>
          </w:hyperlink>
        </w:p>
        <w:p>
          <w:pPr>
            <w:pStyle w:val="Contents5"/>
            <w:tabs>
              <w:tab w:val="clear" w:pos="7892"/>
              <w:tab w:val="right" w:pos="9026" w:leader="dot"/>
            </w:tabs>
            <w:rPr/>
          </w:pPr>
          <w:hyperlink w:anchor="__RefHeading___Toc3601324_3804643083">
            <w:r>
              <w:rPr>
                <w:webHidden/>
                <w:rStyle w:val="IndexLink"/>
                <w:rtl w:val="true"/>
              </w:rPr>
              <w:t>ط</w:t>
            </w:r>
            <w:r>
              <w:rPr>
                <w:rStyle w:val="IndexLink"/>
                <w:rtl w:val="true"/>
              </w:rPr>
              <w:t xml:space="preserve">: </w:t>
            </w:r>
            <w:r>
              <w:rPr>
                <w:rStyle w:val="IndexLink"/>
                <w:rtl w:val="true"/>
              </w:rPr>
              <w:t>عدم الالتفات إلى دور الزمن في واقع النصّ؛</w:t>
            </w:r>
            <w:r>
              <w:rPr>
                <w:rStyle w:val="IndexLink"/>
                <w:rtl w:val="true"/>
              </w:rPr>
              <w:tab/>
            </w:r>
            <w:r>
              <w:rPr>
                <w:rStyle w:val="IndexLink"/>
              </w:rPr>
              <w:t>53</w:t>
            </w:r>
          </w:hyperlink>
        </w:p>
        <w:p>
          <w:pPr>
            <w:pStyle w:val="Contents5"/>
            <w:tabs>
              <w:tab w:val="clear" w:pos="7892"/>
              <w:tab w:val="right" w:pos="9026" w:leader="dot"/>
            </w:tabs>
            <w:rPr/>
          </w:pPr>
          <w:hyperlink w:anchor="__RefHeading___Toc3601326_3804643083">
            <w:r>
              <w:rPr>
                <w:webHidden/>
                <w:rStyle w:val="IndexLink"/>
                <w:rtl w:val="true"/>
              </w:rPr>
              <w:t>ى</w:t>
            </w:r>
            <w:r>
              <w:rPr>
                <w:rStyle w:val="IndexLink"/>
                <w:rtl w:val="true"/>
              </w:rPr>
              <w:t xml:space="preserve">: </w:t>
            </w:r>
            <w:r>
              <w:rPr>
                <w:rStyle w:val="IndexLink"/>
                <w:rtl w:val="true"/>
              </w:rPr>
              <w:t>عدم الالتفات إلى دور المكان في بيان الحكم؛</w:t>
            </w:r>
            <w:r>
              <w:rPr>
                <w:rStyle w:val="IndexLink"/>
                <w:rtl w:val="true"/>
              </w:rPr>
              <w:tab/>
            </w:r>
            <w:r>
              <w:rPr>
                <w:rStyle w:val="IndexLink"/>
              </w:rPr>
              <w:t>54</w:t>
            </w:r>
          </w:hyperlink>
        </w:p>
        <w:p>
          <w:pPr>
            <w:pStyle w:val="Contents5"/>
            <w:tabs>
              <w:tab w:val="clear" w:pos="7892"/>
              <w:tab w:val="right" w:pos="9026" w:leader="dot"/>
            </w:tabs>
            <w:rPr/>
          </w:pPr>
          <w:hyperlink w:anchor="__RefHeading___Toc3601328_3804643083">
            <w:r>
              <w:rPr>
                <w:webHidden/>
                <w:rStyle w:val="IndexLink"/>
                <w:rtl w:val="true"/>
              </w:rPr>
              <w:t>ك</w:t>
            </w:r>
            <w:r>
              <w:rPr>
                <w:rStyle w:val="IndexLink"/>
                <w:rtl w:val="true"/>
              </w:rPr>
              <w:t xml:space="preserve">: </w:t>
            </w:r>
            <w:r>
              <w:rPr>
                <w:rStyle w:val="IndexLink"/>
                <w:rtl w:val="true"/>
              </w:rPr>
              <w:t>الاتكال إلى الأدلّة و الغافلة عن الشخصيّات؛</w:t>
            </w:r>
            <w:r>
              <w:rPr>
                <w:rStyle w:val="IndexLink"/>
                <w:rtl w:val="true"/>
              </w:rPr>
              <w:tab/>
            </w:r>
            <w:r>
              <w:rPr>
                <w:rStyle w:val="IndexLink"/>
              </w:rPr>
              <w:t>54</w:t>
            </w:r>
          </w:hyperlink>
        </w:p>
        <w:p>
          <w:pPr>
            <w:pStyle w:val="Contents5"/>
            <w:tabs>
              <w:tab w:val="clear" w:pos="7892"/>
              <w:tab w:val="right" w:pos="9026" w:leader="dot"/>
            </w:tabs>
            <w:rPr/>
          </w:pPr>
          <w:hyperlink w:anchor="__RefHeading___Toc3601330_3804643083">
            <w:r>
              <w:rPr>
                <w:webHidden/>
                <w:rStyle w:val="IndexLink"/>
                <w:rtl w:val="true"/>
              </w:rPr>
              <w:t>ل</w:t>
            </w:r>
            <w:r>
              <w:rPr>
                <w:rStyle w:val="IndexLink"/>
                <w:rtl w:val="true"/>
              </w:rPr>
              <w:t xml:space="preserve">: </w:t>
            </w:r>
            <w:r>
              <w:rPr>
                <w:rStyle w:val="IndexLink"/>
                <w:rtl w:val="true"/>
              </w:rPr>
              <w:t>عدم الدقّة في استعمال الاصطلاحات؛</w:t>
            </w:r>
            <w:r>
              <w:rPr>
                <w:rStyle w:val="IndexLink"/>
                <w:rtl w:val="true"/>
              </w:rPr>
              <w:tab/>
            </w:r>
            <w:r>
              <w:rPr>
                <w:rStyle w:val="IndexLink"/>
              </w:rPr>
              <w:t>54</w:t>
            </w:r>
          </w:hyperlink>
        </w:p>
        <w:p>
          <w:pPr>
            <w:pStyle w:val="Contents5"/>
            <w:tabs>
              <w:tab w:val="clear" w:pos="7892"/>
              <w:tab w:val="right" w:pos="9026" w:leader="dot"/>
            </w:tabs>
            <w:rPr/>
          </w:pPr>
          <w:hyperlink w:anchor="__RefHeading___Toc3601332_3804643083">
            <w:r>
              <w:rPr>
                <w:webHidden/>
                <w:rStyle w:val="IndexLink"/>
                <w:rtl w:val="true"/>
              </w:rPr>
              <w:t>م</w:t>
            </w:r>
            <w:r>
              <w:rPr>
                <w:rStyle w:val="IndexLink"/>
                <w:rtl w:val="true"/>
              </w:rPr>
              <w:t xml:space="preserve">: </w:t>
            </w:r>
            <w:r>
              <w:rPr>
                <w:rStyle w:val="IndexLink"/>
                <w:rtl w:val="true"/>
              </w:rPr>
              <w:t>إثبات الحكم بالأدلّة الضعيفة؛</w:t>
            </w:r>
            <w:r>
              <w:rPr>
                <w:rStyle w:val="IndexLink"/>
                <w:rtl w:val="true"/>
              </w:rPr>
              <w:tab/>
            </w:r>
            <w:r>
              <w:rPr>
                <w:rStyle w:val="IndexLink"/>
              </w:rPr>
              <w:t>55</w:t>
            </w:r>
          </w:hyperlink>
        </w:p>
        <w:p>
          <w:pPr>
            <w:pStyle w:val="Contents5"/>
            <w:tabs>
              <w:tab w:val="clear" w:pos="7892"/>
              <w:tab w:val="right" w:pos="9026" w:leader="dot"/>
            </w:tabs>
            <w:rPr/>
          </w:pPr>
          <w:hyperlink w:anchor="__RefHeading___Toc3601334_3804643083">
            <w:r>
              <w:rPr>
                <w:webHidden/>
                <w:rStyle w:val="IndexLink"/>
                <w:rtl w:val="true"/>
              </w:rPr>
              <w:t>ن</w:t>
            </w:r>
            <w:r>
              <w:rPr>
                <w:rStyle w:val="IndexLink"/>
                <w:rtl w:val="true"/>
              </w:rPr>
              <w:t xml:space="preserve">: </w:t>
            </w:r>
            <w:r>
              <w:rPr>
                <w:rStyle w:val="IndexLink"/>
                <w:rtl w:val="true"/>
              </w:rPr>
              <w:t>عدم الاعتناء بالإجماعات و خلق إجماعات جديدة مدّعاة؛</w:t>
            </w:r>
            <w:r>
              <w:rPr>
                <w:rStyle w:val="IndexLink"/>
                <w:rtl w:val="true"/>
              </w:rPr>
              <w:tab/>
            </w:r>
            <w:r>
              <w:rPr>
                <w:rStyle w:val="IndexLink"/>
              </w:rPr>
              <w:t>56</w:t>
            </w:r>
          </w:hyperlink>
        </w:p>
        <w:p>
          <w:pPr>
            <w:pStyle w:val="Contents5"/>
            <w:tabs>
              <w:tab w:val="clear" w:pos="7892"/>
              <w:tab w:val="right" w:pos="9026" w:leader="dot"/>
            </w:tabs>
            <w:rPr/>
          </w:pPr>
          <w:hyperlink w:anchor="__RefHeading___Toc3601336_3804643083">
            <w:r>
              <w:rPr>
                <w:webHidden/>
                <w:rStyle w:val="IndexLink"/>
                <w:rtl w:val="true"/>
              </w:rPr>
              <w:t>س</w:t>
            </w:r>
            <w:r>
              <w:rPr>
                <w:rStyle w:val="IndexLink"/>
                <w:rtl w:val="true"/>
              </w:rPr>
              <w:t xml:space="preserve">: </w:t>
            </w:r>
            <w:r>
              <w:rPr>
                <w:rStyle w:val="IndexLink"/>
                <w:rtl w:val="true"/>
              </w:rPr>
              <w:t>عدم التوجه للقواعد المسلّمة؛</w:t>
            </w:r>
            <w:r>
              <w:rPr>
                <w:rStyle w:val="IndexLink"/>
                <w:rtl w:val="true"/>
              </w:rPr>
              <w:tab/>
            </w:r>
            <w:r>
              <w:rPr>
                <w:rStyle w:val="IndexLink"/>
              </w:rPr>
              <w:t>56</w:t>
            </w:r>
          </w:hyperlink>
        </w:p>
        <w:p>
          <w:pPr>
            <w:pStyle w:val="Contents5"/>
            <w:tabs>
              <w:tab w:val="clear" w:pos="7892"/>
              <w:tab w:val="right" w:pos="9026" w:leader="dot"/>
            </w:tabs>
            <w:rPr/>
          </w:pPr>
          <w:hyperlink w:anchor="__RefHeading___Toc3601338_3804643083">
            <w:r>
              <w:rPr>
                <w:webHidden/>
                <w:rStyle w:val="IndexLink"/>
                <w:rtl w:val="true"/>
              </w:rPr>
              <w:t>ع</w:t>
            </w:r>
            <w:r>
              <w:rPr>
                <w:rStyle w:val="IndexLink"/>
                <w:rtl w:val="true"/>
              </w:rPr>
              <w:t xml:space="preserve">- </w:t>
            </w:r>
            <w:r>
              <w:rPr>
                <w:rStyle w:val="IndexLink"/>
                <w:rtl w:val="true"/>
              </w:rPr>
              <w:t>عدم الاعتناء بالشهرة؛</w:t>
            </w:r>
            <w:r>
              <w:rPr>
                <w:rStyle w:val="IndexLink"/>
                <w:rtl w:val="true"/>
              </w:rPr>
              <w:tab/>
            </w:r>
            <w:r>
              <w:rPr>
                <w:rStyle w:val="IndexLink"/>
              </w:rPr>
              <w:t>58</w:t>
            </w:r>
          </w:hyperlink>
        </w:p>
        <w:p>
          <w:pPr>
            <w:pStyle w:val="Contents3"/>
            <w:tabs>
              <w:tab w:val="clear" w:pos="8459"/>
              <w:tab w:val="right" w:pos="9026" w:leader="dot"/>
            </w:tabs>
            <w:rPr/>
          </w:pPr>
          <w:hyperlink w:anchor="__RefHeading___Toc3601340_3804643083">
            <w:r>
              <w:rPr>
                <w:webHidden/>
                <w:rStyle w:val="IndexLink"/>
                <w:rtl w:val="true"/>
              </w:rPr>
              <w:t>[</w:t>
            </w:r>
            <w:r>
              <w:rPr>
                <w:rStyle w:val="IndexLink"/>
                <w:rtl w:val="true"/>
              </w:rPr>
              <w:t>مقدمة مؤسسة البهبهاني</w:t>
            </w:r>
            <w:r>
              <w:rPr>
                <w:rStyle w:val="IndexLink"/>
                <w:rtl w:val="true"/>
              </w:rPr>
              <w:t>]</w:t>
              <w:tab/>
            </w:r>
            <w:r>
              <w:rPr>
                <w:rStyle w:val="IndexLink"/>
              </w:rPr>
              <w:t>61</w:t>
            </w:r>
          </w:hyperlink>
        </w:p>
        <w:p>
          <w:pPr>
            <w:pStyle w:val="Contents4"/>
            <w:tabs>
              <w:tab w:val="clear" w:pos="8176"/>
              <w:tab w:val="right" w:pos="9026" w:leader="dot"/>
            </w:tabs>
            <w:rPr/>
          </w:pPr>
          <w:hyperlink w:anchor="__RefHeading___Toc3601342_3804643083">
            <w:r>
              <w:rPr>
                <w:webHidden/>
                <w:rStyle w:val="IndexLink"/>
                <w:rtl w:val="true"/>
              </w:rPr>
              <w:t>لمحة من حياة العلّامة الوحيد البهبهاني رحمه اللّه</w:t>
            </w:r>
            <w:r>
              <w:rPr>
                <w:rStyle w:val="IndexLink"/>
                <w:rtl w:val="true"/>
              </w:rPr>
              <w:tab/>
            </w:r>
            <w:r>
              <w:rPr>
                <w:rStyle w:val="IndexLink"/>
              </w:rPr>
              <w:t>61</w:t>
            </w:r>
          </w:hyperlink>
        </w:p>
        <w:p>
          <w:pPr>
            <w:pStyle w:val="Contents5"/>
            <w:tabs>
              <w:tab w:val="clear" w:pos="7892"/>
              <w:tab w:val="right" w:pos="9026" w:leader="dot"/>
            </w:tabs>
            <w:rPr/>
          </w:pPr>
          <w:hyperlink w:anchor="__RefHeading___Toc3601344_3804643083">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601346_3804643083">
            <w:r>
              <w:rPr>
                <w:webHidden/>
                <w:rStyle w:val="IndexLink"/>
                <w:rtl w:val="true"/>
              </w:rPr>
              <w:t>نسبه</w:t>
            </w:r>
            <w:r>
              <w:rPr>
                <w:rStyle w:val="IndexLink"/>
                <w:rtl w:val="true"/>
              </w:rPr>
              <w:t>:</w:t>
              <w:tab/>
            </w:r>
            <w:r>
              <w:rPr>
                <w:rStyle w:val="IndexLink"/>
              </w:rPr>
              <w:t>61</w:t>
            </w:r>
          </w:hyperlink>
        </w:p>
        <w:p>
          <w:pPr>
            <w:pStyle w:val="Contents5"/>
            <w:tabs>
              <w:tab w:val="clear" w:pos="7892"/>
              <w:tab w:val="right" w:pos="9026" w:leader="dot"/>
            </w:tabs>
            <w:rPr/>
          </w:pPr>
          <w:hyperlink w:anchor="__RefHeading___Toc3601348_3804643083">
            <w:r>
              <w:rPr>
                <w:webHidden/>
                <w:rStyle w:val="IndexLink"/>
                <w:rtl w:val="true"/>
              </w:rPr>
              <w:t>أبوه</w:t>
            </w:r>
            <w:r>
              <w:rPr>
                <w:rStyle w:val="IndexLink"/>
                <w:rtl w:val="true"/>
              </w:rPr>
              <w:t>:</w:t>
              <w:tab/>
            </w:r>
            <w:r>
              <w:rPr>
                <w:rStyle w:val="IndexLink"/>
              </w:rPr>
              <w:t>62</w:t>
            </w:r>
          </w:hyperlink>
        </w:p>
        <w:p>
          <w:pPr>
            <w:pStyle w:val="Contents5"/>
            <w:tabs>
              <w:tab w:val="clear" w:pos="7892"/>
              <w:tab w:val="right" w:pos="9026" w:leader="dot"/>
            </w:tabs>
            <w:rPr/>
          </w:pPr>
          <w:hyperlink w:anchor="__RefHeading___Toc3601350_3804643083">
            <w:r>
              <w:rPr>
                <w:webHidden/>
                <w:rStyle w:val="IndexLink"/>
                <w:rtl w:val="true"/>
              </w:rPr>
              <w:t>صباه</w:t>
            </w:r>
            <w:r>
              <w:rPr>
                <w:rStyle w:val="IndexLink"/>
                <w:rtl w:val="true"/>
              </w:rPr>
              <w:t>:</w:t>
              <w:tab/>
            </w:r>
            <w:r>
              <w:rPr>
                <w:rStyle w:val="IndexLink"/>
              </w:rPr>
              <w:t>62</w:t>
            </w:r>
          </w:hyperlink>
        </w:p>
        <w:p>
          <w:pPr>
            <w:pStyle w:val="Contents5"/>
            <w:tabs>
              <w:tab w:val="clear" w:pos="7892"/>
              <w:tab w:val="right" w:pos="9026" w:leader="dot"/>
            </w:tabs>
            <w:rPr/>
          </w:pPr>
          <w:hyperlink w:anchor="__RefHeading___Toc3601352_3804643083">
            <w:r>
              <w:rPr>
                <w:webHidden/>
                <w:rStyle w:val="IndexLink"/>
                <w:rtl w:val="true"/>
              </w:rPr>
              <w:t>أساتذته</w:t>
            </w:r>
            <w:r>
              <w:rPr>
                <w:rStyle w:val="IndexLink"/>
                <w:rtl w:val="true"/>
              </w:rPr>
              <w:t>:</w:t>
              <w:tab/>
            </w:r>
            <w:r>
              <w:rPr>
                <w:rStyle w:val="IndexLink"/>
              </w:rPr>
              <w:t>62</w:t>
            </w:r>
          </w:hyperlink>
        </w:p>
        <w:p>
          <w:pPr>
            <w:pStyle w:val="Contents5"/>
            <w:tabs>
              <w:tab w:val="clear" w:pos="7892"/>
              <w:tab w:val="right" w:pos="9026" w:leader="dot"/>
            </w:tabs>
            <w:rPr/>
          </w:pPr>
          <w:hyperlink w:anchor="__RefHeading___Toc3601354_3804643083">
            <w:r>
              <w:rPr>
                <w:webHidden/>
                <w:rStyle w:val="IndexLink"/>
                <w:rtl w:val="true"/>
              </w:rPr>
              <w:t>مشايخ إجازاته</w:t>
            </w:r>
            <w:r>
              <w:rPr>
                <w:rStyle w:val="IndexLink"/>
                <w:rtl w:val="true"/>
              </w:rPr>
              <w:t>:</w:t>
              <w:tab/>
            </w:r>
            <w:r>
              <w:rPr>
                <w:rStyle w:val="IndexLink"/>
              </w:rPr>
              <w:t>63</w:t>
            </w:r>
          </w:hyperlink>
        </w:p>
        <w:p>
          <w:pPr>
            <w:pStyle w:val="Contents5"/>
            <w:tabs>
              <w:tab w:val="clear" w:pos="7892"/>
              <w:tab w:val="right" w:pos="9026" w:leader="dot"/>
            </w:tabs>
            <w:rPr/>
          </w:pPr>
          <w:hyperlink w:anchor="__RefHeading___Toc3601356_3804643083">
            <w:r>
              <w:rPr>
                <w:webHidden/>
                <w:rStyle w:val="IndexLink"/>
                <w:rtl w:val="true"/>
              </w:rPr>
              <w:t>الذين أجازهم</w:t>
            </w:r>
            <w:r>
              <w:rPr>
                <w:rStyle w:val="IndexLink"/>
                <w:rtl w:val="true"/>
              </w:rPr>
              <w:t>:</w:t>
              <w:tab/>
            </w:r>
            <w:r>
              <w:rPr>
                <w:rStyle w:val="IndexLink"/>
              </w:rPr>
              <w:t>64</w:t>
            </w:r>
          </w:hyperlink>
        </w:p>
        <w:p>
          <w:pPr>
            <w:pStyle w:val="Contents5"/>
            <w:tabs>
              <w:tab w:val="clear" w:pos="7892"/>
              <w:tab w:val="right" w:pos="9026" w:leader="dot"/>
            </w:tabs>
            <w:rPr/>
          </w:pPr>
          <w:hyperlink w:anchor="__RefHeading___Toc3601358_3804643083">
            <w:r>
              <w:rPr>
                <w:webHidden/>
                <w:rStyle w:val="IndexLink"/>
                <w:rtl w:val="true"/>
              </w:rPr>
              <w:t>عصره</w:t>
            </w:r>
            <w:r>
              <w:rPr>
                <w:rStyle w:val="IndexLink"/>
                <w:rtl w:val="true"/>
              </w:rPr>
              <w:t>:</w:t>
              <w:tab/>
            </w:r>
            <w:r>
              <w:rPr>
                <w:rStyle w:val="IndexLink"/>
              </w:rPr>
              <w:t>64</w:t>
            </w:r>
          </w:hyperlink>
        </w:p>
        <w:p>
          <w:pPr>
            <w:pStyle w:val="Contents5"/>
            <w:tabs>
              <w:tab w:val="clear" w:pos="7892"/>
              <w:tab w:val="right" w:pos="9026" w:leader="dot"/>
            </w:tabs>
            <w:rPr/>
          </w:pPr>
          <w:hyperlink w:anchor="__RefHeading___Toc3601360_3804643083">
            <w:r>
              <w:rPr>
                <w:webHidden/>
                <w:rStyle w:val="IndexLink"/>
                <w:rtl w:val="true"/>
              </w:rPr>
              <w:t>نزوله بلدة بهبهان</w:t>
            </w:r>
            <w:r>
              <w:rPr>
                <w:rStyle w:val="IndexLink"/>
                <w:rtl w:val="true"/>
              </w:rPr>
              <w:t>:</w:t>
              <w:tab/>
            </w:r>
            <w:r>
              <w:rPr>
                <w:rStyle w:val="IndexLink"/>
              </w:rPr>
              <w:t>66</w:t>
            </w:r>
          </w:hyperlink>
        </w:p>
        <w:p>
          <w:pPr>
            <w:pStyle w:val="Contents5"/>
            <w:tabs>
              <w:tab w:val="clear" w:pos="7892"/>
              <w:tab w:val="right" w:pos="9026" w:leader="dot"/>
            </w:tabs>
            <w:rPr/>
          </w:pPr>
          <w:hyperlink w:anchor="__RefHeading___Toc3601362_3804643083">
            <w:r>
              <w:rPr>
                <w:webHidden/>
                <w:rStyle w:val="IndexLink"/>
                <w:rtl w:val="true"/>
              </w:rPr>
              <w:t>هجرته إلى كربلاء</w:t>
            </w:r>
            <w:r>
              <w:rPr>
                <w:rStyle w:val="IndexLink"/>
                <w:rtl w:val="true"/>
              </w:rPr>
              <w:t>:</w:t>
              <w:tab/>
            </w:r>
            <w:r>
              <w:rPr>
                <w:rStyle w:val="IndexLink"/>
              </w:rPr>
              <w:t>66</w:t>
            </w:r>
          </w:hyperlink>
        </w:p>
        <w:p>
          <w:pPr>
            <w:pStyle w:val="Contents6"/>
            <w:tabs>
              <w:tab w:val="clear" w:pos="7609"/>
              <w:tab w:val="right" w:pos="9026" w:leader="dot"/>
            </w:tabs>
            <w:rPr/>
          </w:pPr>
          <w:hyperlink w:anchor="__RefHeading___Toc3601364_3804643083">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3601366_3804643083">
            <w:r>
              <w:rPr>
                <w:webHidden/>
                <w:rStyle w:val="IndexLink"/>
                <w:rtl w:val="true"/>
              </w:rPr>
              <w:t>أياديه في كربلاء</w:t>
            </w:r>
            <w:r>
              <w:rPr>
                <w:rStyle w:val="IndexLink"/>
                <w:rtl w:val="true"/>
              </w:rPr>
              <w:t>:</w:t>
              <w:tab/>
            </w:r>
            <w:r>
              <w:rPr>
                <w:rStyle w:val="IndexLink"/>
              </w:rPr>
              <w:t>68</w:t>
            </w:r>
          </w:hyperlink>
        </w:p>
        <w:p>
          <w:pPr>
            <w:pStyle w:val="Contents5"/>
            <w:tabs>
              <w:tab w:val="clear" w:pos="7892"/>
              <w:tab w:val="right" w:pos="9026" w:leader="dot"/>
            </w:tabs>
            <w:rPr/>
          </w:pPr>
          <w:hyperlink w:anchor="__RefHeading___Toc3601368_3804643083">
            <w:r>
              <w:rPr>
                <w:webHidden/>
                <w:rStyle w:val="IndexLink"/>
                <w:rtl w:val="true"/>
              </w:rPr>
              <w:t>ما قيل فيه</w:t>
            </w:r>
            <w:r>
              <w:rPr>
                <w:rStyle w:val="IndexLink"/>
                <w:rtl w:val="true"/>
              </w:rPr>
              <w:t>:</w:t>
              <w:tab/>
            </w:r>
            <w:r>
              <w:rPr>
                <w:rStyle w:val="IndexLink"/>
              </w:rPr>
              <w:t>68</w:t>
            </w:r>
          </w:hyperlink>
        </w:p>
        <w:p>
          <w:pPr>
            <w:pStyle w:val="Contents5"/>
            <w:tabs>
              <w:tab w:val="clear" w:pos="7892"/>
              <w:tab w:val="right" w:pos="9026" w:leader="dot"/>
            </w:tabs>
            <w:rPr/>
          </w:pPr>
          <w:hyperlink w:anchor="__RefHeading___Toc3601370_3804643083">
            <w:r>
              <w:rPr>
                <w:webHidden/>
                <w:rStyle w:val="IndexLink"/>
                <w:rtl w:val="true"/>
              </w:rPr>
              <w:t>اهتمام معاصريه و تلامذته و من تأخّر عنه بنظريّاته رحمه اللّه</w:t>
            </w:r>
            <w:r>
              <w:rPr>
                <w:rStyle w:val="IndexLink"/>
                <w:rtl w:val="true"/>
              </w:rPr>
              <w:t>:</w:t>
              <w:tab/>
            </w:r>
            <w:r>
              <w:rPr>
                <w:rStyle w:val="IndexLink"/>
              </w:rPr>
              <w:t>75</w:t>
            </w:r>
          </w:hyperlink>
        </w:p>
        <w:p>
          <w:pPr>
            <w:pStyle w:val="Contents5"/>
            <w:tabs>
              <w:tab w:val="clear" w:pos="7892"/>
              <w:tab w:val="right" w:pos="9026" w:leader="dot"/>
            </w:tabs>
            <w:rPr/>
          </w:pPr>
          <w:hyperlink w:anchor="__RefHeading___Toc3601372_3804643083">
            <w:r>
              <w:rPr>
                <w:webHidden/>
                <w:rStyle w:val="IndexLink"/>
                <w:rtl w:val="true"/>
              </w:rPr>
              <w:t>فضائله الأخلاقيّة و ملكاته النفسيّة</w:t>
            </w:r>
            <w:r>
              <w:rPr>
                <w:rStyle w:val="IndexLink"/>
                <w:rtl w:val="true"/>
              </w:rPr>
              <w:t>:</w:t>
              <w:tab/>
            </w:r>
            <w:r>
              <w:rPr>
                <w:rStyle w:val="IndexLink"/>
              </w:rPr>
              <w:t>77</w:t>
            </w:r>
          </w:hyperlink>
        </w:p>
        <w:p>
          <w:pPr>
            <w:pStyle w:val="Contents5"/>
            <w:tabs>
              <w:tab w:val="clear" w:pos="7892"/>
              <w:tab w:val="right" w:pos="9026" w:leader="dot"/>
            </w:tabs>
            <w:rPr/>
          </w:pPr>
          <w:hyperlink w:anchor="__RefHeading___Toc3601374_3804643083">
            <w:r>
              <w:rPr>
                <w:webHidden/>
                <w:rStyle w:val="IndexLink"/>
                <w:rtl w:val="true"/>
              </w:rPr>
              <w:t>معاصروه</w:t>
            </w:r>
            <w:r>
              <w:rPr>
                <w:rStyle w:val="IndexLink"/>
                <w:rtl w:val="true"/>
              </w:rPr>
              <w:t>:</w:t>
              <w:tab/>
            </w:r>
            <w:r>
              <w:rPr>
                <w:rStyle w:val="IndexLink"/>
              </w:rPr>
              <w:t>81</w:t>
            </w:r>
          </w:hyperlink>
        </w:p>
        <w:p>
          <w:pPr>
            <w:pStyle w:val="Contents5"/>
            <w:tabs>
              <w:tab w:val="clear" w:pos="7892"/>
              <w:tab w:val="right" w:pos="9026" w:leader="dot"/>
            </w:tabs>
            <w:rPr/>
          </w:pPr>
          <w:hyperlink w:anchor="__RefHeading___Toc3601376_3804643083">
            <w:r>
              <w:rPr>
                <w:webHidden/>
                <w:rStyle w:val="IndexLink"/>
                <w:rtl w:val="true"/>
              </w:rPr>
              <w:t>تلامذته</w:t>
            </w:r>
            <w:r>
              <w:rPr>
                <w:rStyle w:val="IndexLink"/>
                <w:rtl w:val="true"/>
              </w:rPr>
              <w:t>:</w:t>
              <w:tab/>
            </w:r>
            <w:r>
              <w:rPr>
                <w:rStyle w:val="IndexLink"/>
              </w:rPr>
              <w:t>82</w:t>
            </w:r>
          </w:hyperlink>
        </w:p>
        <w:p>
          <w:pPr>
            <w:pStyle w:val="Contents5"/>
            <w:tabs>
              <w:tab w:val="clear" w:pos="7892"/>
              <w:tab w:val="right" w:pos="9026" w:leader="dot"/>
            </w:tabs>
            <w:rPr/>
          </w:pPr>
          <w:hyperlink w:anchor="__RefHeading___Toc3601378_3804643083">
            <w:r>
              <w:rPr>
                <w:webHidden/>
                <w:rStyle w:val="IndexLink"/>
                <w:rtl w:val="true"/>
              </w:rPr>
              <w:t>تآليفه القيّمة</w:t>
            </w:r>
            <w:r>
              <w:rPr>
                <w:rStyle w:val="IndexLink"/>
                <w:rtl w:val="true"/>
              </w:rPr>
              <w:t>:</w:t>
              <w:tab/>
            </w:r>
            <w:r>
              <w:rPr>
                <w:rStyle w:val="IndexLink"/>
              </w:rPr>
              <w:t>83</w:t>
            </w:r>
          </w:hyperlink>
        </w:p>
        <w:p>
          <w:pPr>
            <w:pStyle w:val="Contents5"/>
            <w:tabs>
              <w:tab w:val="clear" w:pos="7892"/>
              <w:tab w:val="right" w:pos="9026" w:leader="dot"/>
            </w:tabs>
            <w:rPr/>
          </w:pPr>
          <w:hyperlink w:anchor="__RefHeading___Toc3601380_3804643083">
            <w:r>
              <w:rPr>
                <w:webHidden/>
                <w:rStyle w:val="IndexLink"/>
                <w:rtl w:val="true"/>
              </w:rPr>
              <w:t>وفاته</w:t>
            </w:r>
            <w:r>
              <w:rPr>
                <w:rStyle w:val="IndexLink"/>
                <w:rtl w:val="true"/>
              </w:rPr>
              <w:t>:</w:t>
              <w:tab/>
            </w:r>
            <w:r>
              <w:rPr>
                <w:rStyle w:val="IndexLink"/>
              </w:rPr>
              <w:t>88</w:t>
            </w:r>
          </w:hyperlink>
        </w:p>
        <w:p>
          <w:pPr>
            <w:pStyle w:val="Contents4"/>
            <w:tabs>
              <w:tab w:val="clear" w:pos="8176"/>
              <w:tab w:val="right" w:pos="9026" w:leader="dot"/>
            </w:tabs>
            <w:rPr/>
          </w:pPr>
          <w:hyperlink w:anchor="__RefHeading___Toc3601382_3804643083">
            <w:r>
              <w:rPr>
                <w:webHidden/>
                <w:rStyle w:val="IndexLink"/>
                <w:rtl w:val="true"/>
              </w:rPr>
              <w:t>ترجمة الفيض الكاشاني قدّس سرّه</w:t>
            </w:r>
            <w:r>
              <w:rPr>
                <w:rStyle w:val="IndexLink"/>
                <w:rtl w:val="true"/>
              </w:rPr>
              <w:tab/>
            </w:r>
            <w:r>
              <w:rPr>
                <w:rStyle w:val="IndexLink"/>
              </w:rPr>
              <w:t>91</w:t>
            </w:r>
          </w:hyperlink>
        </w:p>
        <w:p>
          <w:pPr>
            <w:pStyle w:val="Contents5"/>
            <w:tabs>
              <w:tab w:val="clear" w:pos="7892"/>
              <w:tab w:val="right" w:pos="9026" w:leader="dot"/>
            </w:tabs>
            <w:rPr/>
          </w:pPr>
          <w:hyperlink w:anchor="__RefHeading___Toc3601384_3804643083">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601386_3804643083">
            <w:r>
              <w:rPr>
                <w:webHidden/>
                <w:rStyle w:val="IndexLink"/>
                <w:rtl w:val="true"/>
              </w:rPr>
              <w:t>ولادته و نشأته و وفاته</w:t>
            </w:r>
            <w:r>
              <w:rPr>
                <w:rStyle w:val="IndexLink"/>
                <w:rtl w:val="true"/>
              </w:rPr>
              <w:t>:</w:t>
              <w:tab/>
            </w:r>
            <w:r>
              <w:rPr>
                <w:rStyle w:val="IndexLink"/>
              </w:rPr>
              <w:t>91</w:t>
            </w:r>
          </w:hyperlink>
        </w:p>
        <w:p>
          <w:pPr>
            <w:pStyle w:val="Contents5"/>
            <w:tabs>
              <w:tab w:val="clear" w:pos="7892"/>
              <w:tab w:val="right" w:pos="9026" w:leader="dot"/>
            </w:tabs>
            <w:rPr/>
          </w:pPr>
          <w:hyperlink w:anchor="__RefHeading___Toc3601388_3804643083">
            <w:r>
              <w:rPr>
                <w:webHidden/>
                <w:rStyle w:val="IndexLink"/>
                <w:rtl w:val="true"/>
              </w:rPr>
              <w:t>مكانته العلميّة</w:t>
            </w:r>
            <w:r>
              <w:rPr>
                <w:rStyle w:val="IndexLink"/>
                <w:rtl w:val="true"/>
              </w:rPr>
              <w:t>:</w:t>
              <w:tab/>
            </w:r>
            <w:r>
              <w:rPr>
                <w:rStyle w:val="IndexLink"/>
              </w:rPr>
              <w:t>92</w:t>
            </w:r>
          </w:hyperlink>
        </w:p>
        <w:p>
          <w:pPr>
            <w:pStyle w:val="Contents5"/>
            <w:tabs>
              <w:tab w:val="clear" w:pos="7892"/>
              <w:tab w:val="right" w:pos="9026" w:leader="dot"/>
            </w:tabs>
            <w:rPr/>
          </w:pPr>
          <w:hyperlink w:anchor="__RefHeading___Toc3601390_3804643083">
            <w:r>
              <w:rPr>
                <w:webHidden/>
                <w:rStyle w:val="IndexLink"/>
                <w:rtl w:val="true"/>
              </w:rPr>
              <w:t>عقائده و آراؤه</w:t>
            </w:r>
            <w:r>
              <w:rPr>
                <w:rStyle w:val="IndexLink"/>
                <w:rtl w:val="true"/>
              </w:rPr>
              <w:t>:</w:t>
              <w:tab/>
            </w:r>
            <w:r>
              <w:rPr>
                <w:rStyle w:val="IndexLink"/>
              </w:rPr>
              <w:t>93</w:t>
            </w:r>
          </w:hyperlink>
        </w:p>
        <w:p>
          <w:pPr>
            <w:pStyle w:val="Contents5"/>
            <w:tabs>
              <w:tab w:val="clear" w:pos="7892"/>
              <w:tab w:val="right" w:pos="9026" w:leader="dot"/>
            </w:tabs>
            <w:rPr/>
          </w:pPr>
          <w:hyperlink w:anchor="__RefHeading___Toc3601392_3804643083">
            <w:r>
              <w:rPr>
                <w:webHidden/>
                <w:rStyle w:val="IndexLink"/>
                <w:rtl w:val="true"/>
              </w:rPr>
              <w:t>تقريظه</w:t>
            </w:r>
            <w:r>
              <w:rPr>
                <w:rStyle w:val="IndexLink"/>
                <w:rtl w:val="true"/>
              </w:rPr>
              <w:t>:</w:t>
              <w:tab/>
            </w:r>
            <w:r>
              <w:rPr>
                <w:rStyle w:val="IndexLink"/>
              </w:rPr>
              <w:t>95</w:t>
            </w:r>
          </w:hyperlink>
        </w:p>
        <w:p>
          <w:pPr>
            <w:pStyle w:val="Contents5"/>
            <w:tabs>
              <w:tab w:val="clear" w:pos="7892"/>
              <w:tab w:val="right" w:pos="9026" w:leader="dot"/>
            </w:tabs>
            <w:rPr/>
          </w:pPr>
          <w:hyperlink w:anchor="__RefHeading___Toc3601394_3804643083">
            <w:r>
              <w:rPr>
                <w:webHidden/>
                <w:rStyle w:val="IndexLink"/>
                <w:rtl w:val="true"/>
              </w:rPr>
              <w:t>مشايخه</w:t>
            </w:r>
            <w:r>
              <w:rPr>
                <w:rStyle w:val="IndexLink"/>
                <w:rtl w:val="true"/>
              </w:rPr>
              <w:t>:</w:t>
              <w:tab/>
            </w:r>
            <w:r>
              <w:rPr>
                <w:rStyle w:val="IndexLink"/>
              </w:rPr>
              <w:t>97</w:t>
            </w:r>
          </w:hyperlink>
        </w:p>
        <w:p>
          <w:pPr>
            <w:pStyle w:val="Contents5"/>
            <w:tabs>
              <w:tab w:val="clear" w:pos="7892"/>
              <w:tab w:val="right" w:pos="9026" w:leader="dot"/>
            </w:tabs>
            <w:rPr/>
          </w:pPr>
          <w:hyperlink w:anchor="__RefHeading___Toc3601396_3804643083">
            <w:r>
              <w:rPr>
                <w:webHidden/>
                <w:rStyle w:val="IndexLink"/>
                <w:rtl w:val="true"/>
              </w:rPr>
              <w:t>الراوون عنه</w:t>
            </w:r>
            <w:r>
              <w:rPr>
                <w:rStyle w:val="IndexLink"/>
                <w:rtl w:val="true"/>
              </w:rPr>
              <w:t>:</w:t>
              <w:tab/>
            </w:r>
            <w:r>
              <w:rPr>
                <w:rStyle w:val="IndexLink"/>
              </w:rPr>
              <w:t>97</w:t>
            </w:r>
          </w:hyperlink>
        </w:p>
        <w:p>
          <w:pPr>
            <w:pStyle w:val="Contents5"/>
            <w:tabs>
              <w:tab w:val="clear" w:pos="7892"/>
              <w:tab w:val="right" w:pos="9026" w:leader="dot"/>
            </w:tabs>
            <w:rPr/>
          </w:pPr>
          <w:hyperlink w:anchor="__RefHeading___Toc3601398_3804643083">
            <w:r>
              <w:rPr>
                <w:webHidden/>
                <w:rStyle w:val="IndexLink"/>
                <w:rtl w:val="true"/>
              </w:rPr>
              <w:t>آثاره</w:t>
            </w:r>
            <w:r>
              <w:rPr>
                <w:rStyle w:val="IndexLink"/>
                <w:rtl w:val="true"/>
              </w:rPr>
              <w:t>:</w:t>
              <w:tab/>
            </w:r>
            <w:r>
              <w:rPr>
                <w:rStyle w:val="IndexLink"/>
              </w:rPr>
              <w:t>98</w:t>
            </w:r>
          </w:hyperlink>
        </w:p>
        <w:p>
          <w:pPr>
            <w:pStyle w:val="Contents4"/>
            <w:tabs>
              <w:tab w:val="clear" w:pos="8176"/>
              <w:tab w:val="right" w:pos="9026" w:leader="dot"/>
            </w:tabs>
            <w:rPr/>
          </w:pPr>
          <w:hyperlink w:anchor="__RefHeading___Toc3601400_3804643083">
            <w:r>
              <w:rPr>
                <w:webHidden/>
                <w:rStyle w:val="IndexLink"/>
                <w:rtl w:val="true"/>
              </w:rPr>
              <w:t>بين يدي الكتاب</w:t>
            </w:r>
            <w:r>
              <w:rPr>
                <w:rStyle w:val="IndexLink"/>
                <w:rtl w:val="true"/>
              </w:rPr>
              <w:t>:</w:t>
              <w:tab/>
            </w:r>
            <w:r>
              <w:rPr>
                <w:rStyle w:val="IndexLink"/>
              </w:rPr>
              <w:t>99</w:t>
            </w:r>
          </w:hyperlink>
        </w:p>
        <w:p>
          <w:pPr>
            <w:pStyle w:val="Contents5"/>
            <w:tabs>
              <w:tab w:val="clear" w:pos="7892"/>
              <w:tab w:val="right" w:pos="9026" w:leader="dot"/>
            </w:tabs>
            <w:rPr/>
          </w:pPr>
          <w:hyperlink w:anchor="__RefHeading___Toc3601402_3804643083">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3601404_3804643083">
            <w:r>
              <w:rPr>
                <w:webHidden/>
                <w:rStyle w:val="IndexLink"/>
                <w:rtl w:val="true"/>
              </w:rPr>
              <w:t>منهجنا في التحقيق</w:t>
            </w:r>
            <w:r>
              <w:rPr>
                <w:rStyle w:val="IndexLink"/>
                <w:rtl w:val="true"/>
              </w:rPr>
              <w:t>:</w:t>
              <w:tab/>
            </w:r>
            <w:r>
              <w:rPr>
                <w:rStyle w:val="IndexLink"/>
              </w:rPr>
              <w:t>99</w:t>
            </w:r>
          </w:hyperlink>
        </w:p>
        <w:p>
          <w:pPr>
            <w:pStyle w:val="Contents5"/>
            <w:tabs>
              <w:tab w:val="clear" w:pos="7892"/>
              <w:tab w:val="right" w:pos="9026" w:leader="dot"/>
            </w:tabs>
            <w:rPr/>
          </w:pPr>
          <w:hyperlink w:anchor="__RefHeading___Toc3601406_3804643083">
            <w:r>
              <w:rPr>
                <w:webHidden/>
                <w:rStyle w:val="IndexLink"/>
                <w:rtl w:val="true"/>
              </w:rPr>
              <w:t>نموذج من صورة النسخة الخطّيّة لحاشية الوافي</w:t>
            </w:r>
            <w:r>
              <w:rPr>
                <w:rStyle w:val="IndexLink"/>
                <w:rtl w:val="true"/>
              </w:rPr>
              <w:tab/>
            </w:r>
            <w:r>
              <w:rPr>
                <w:rStyle w:val="IndexLink"/>
              </w:rPr>
              <w:t>101</w:t>
            </w:r>
          </w:hyperlink>
        </w:p>
        <w:p>
          <w:pPr>
            <w:pStyle w:val="Contents2"/>
            <w:tabs>
              <w:tab w:val="clear" w:pos="8743"/>
              <w:tab w:val="right" w:pos="9026" w:leader="dot"/>
            </w:tabs>
            <w:rPr/>
          </w:pPr>
          <w:hyperlink w:anchor="__RefHeading___Toc3601408_3804643083">
            <w:r>
              <w:rPr>
                <w:webHidden/>
                <w:rStyle w:val="IndexLink"/>
                <w:rtl w:val="true"/>
              </w:rPr>
              <w:t>كتاب الحجّة</w:t>
            </w:r>
            <w:r>
              <w:rPr>
                <w:rStyle w:val="IndexLink"/>
                <w:rtl w:val="true"/>
              </w:rPr>
              <w:tab/>
            </w:r>
            <w:r>
              <w:rPr>
                <w:rStyle w:val="IndexLink"/>
              </w:rPr>
              <w:t>105</w:t>
            </w:r>
          </w:hyperlink>
        </w:p>
        <w:p>
          <w:pPr>
            <w:pStyle w:val="Contents3"/>
            <w:tabs>
              <w:tab w:val="clear" w:pos="8459"/>
              <w:tab w:val="right" w:pos="9026" w:leader="dot"/>
            </w:tabs>
            <w:rPr/>
          </w:pPr>
          <w:hyperlink w:anchor="__RefHeading___Toc3601410_380464308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3601412_3804643083">
            <w:r>
              <w:rPr>
                <w:webHidden/>
                <w:rStyle w:val="IndexLink"/>
                <w:rtl w:val="true"/>
              </w:rPr>
              <w:t>باب الاضطرار إلى الحجّة</w:t>
            </w:r>
            <w:r>
              <w:rPr>
                <w:rStyle w:val="IndexLink"/>
                <w:rtl w:val="true"/>
              </w:rPr>
              <w:tab/>
            </w:r>
            <w:r>
              <w:rPr>
                <w:rStyle w:val="IndexLink"/>
              </w:rPr>
              <w:t>106</w:t>
            </w:r>
          </w:hyperlink>
        </w:p>
        <w:p>
          <w:pPr>
            <w:pStyle w:val="Contents4"/>
            <w:tabs>
              <w:tab w:val="clear" w:pos="8176"/>
              <w:tab w:val="right" w:pos="9026" w:leader="dot"/>
            </w:tabs>
            <w:rPr/>
          </w:pPr>
          <w:hyperlink w:anchor="__RefHeading___Toc3601414_3804643083">
            <w:r>
              <w:rPr>
                <w:webHidden/>
                <w:rStyle w:val="IndexLink"/>
                <w:rtl w:val="true"/>
              </w:rPr>
              <w:t>[</w:t>
            </w:r>
            <w:r>
              <w:rPr>
                <w:rStyle w:val="IndexLink"/>
                <w:rtl w:val="true"/>
              </w:rPr>
              <w:t>في تحقّق الفتنة بعد الرسول صلّى اللّه عليه و آله و سلم</w:t>
            </w:r>
            <w:r>
              <w:rPr>
                <w:rStyle w:val="IndexLink"/>
                <w:rtl w:val="true"/>
              </w:rPr>
              <w:t>]</w:t>
              <w:tab/>
            </w:r>
            <w:r>
              <w:rPr>
                <w:rStyle w:val="IndexLink"/>
              </w:rPr>
              <w:t>106</w:t>
            </w:r>
          </w:hyperlink>
        </w:p>
        <w:p>
          <w:pPr>
            <w:pStyle w:val="Contents4"/>
            <w:tabs>
              <w:tab w:val="clear" w:pos="8176"/>
              <w:tab w:val="right" w:pos="9026" w:leader="dot"/>
            </w:tabs>
            <w:rPr/>
          </w:pPr>
          <w:hyperlink w:anchor="__RefHeading___Toc3601416_3804643083">
            <w:r>
              <w:rPr>
                <w:webHidden/>
                <w:rStyle w:val="IndexLink"/>
                <w:rtl w:val="true"/>
              </w:rPr>
              <w:t>[</w:t>
            </w:r>
            <w:r>
              <w:rPr>
                <w:rStyle w:val="IndexLink"/>
                <w:rtl w:val="true"/>
              </w:rPr>
              <w:t>المراد من النذير في الآية</w:t>
            </w:r>
            <w:r>
              <w:rPr>
                <w:rStyle w:val="IndexLink"/>
                <w:rtl w:val="true"/>
              </w:rPr>
              <w:t>]</w:t>
              <w:tab/>
            </w:r>
            <w:r>
              <w:rPr>
                <w:rStyle w:val="IndexLink"/>
              </w:rPr>
              <w:t>107</w:t>
            </w:r>
          </w:hyperlink>
        </w:p>
        <w:p>
          <w:pPr>
            <w:pStyle w:val="Contents4"/>
            <w:tabs>
              <w:tab w:val="clear" w:pos="8176"/>
              <w:tab w:val="right" w:pos="9026" w:leader="dot"/>
            </w:tabs>
            <w:rPr/>
          </w:pPr>
          <w:hyperlink w:anchor="__RefHeading___Toc3601418_3804643083">
            <w:r>
              <w:rPr>
                <w:webHidden/>
                <w:rStyle w:val="IndexLink"/>
                <w:rtl w:val="true"/>
              </w:rPr>
              <w:t>في أنّ الكفّار مكلّفون بفروع الدين</w:t>
            </w:r>
            <w:r>
              <w:rPr>
                <w:rStyle w:val="IndexLink"/>
                <w:rtl w:val="true"/>
              </w:rPr>
              <w:tab/>
            </w:r>
            <w:r>
              <w:rPr>
                <w:rStyle w:val="IndexLink"/>
              </w:rPr>
              <w:t>109</w:t>
            </w:r>
          </w:hyperlink>
        </w:p>
        <w:p>
          <w:pPr>
            <w:pStyle w:val="Contents4"/>
            <w:tabs>
              <w:tab w:val="clear" w:pos="8176"/>
              <w:tab w:val="right" w:pos="9026" w:leader="dot"/>
            </w:tabs>
            <w:rPr/>
          </w:pPr>
          <w:hyperlink w:anchor="__RefHeading___Toc3601420_3804643083">
            <w:r>
              <w:rPr>
                <w:webHidden/>
                <w:rStyle w:val="IndexLink"/>
                <w:rtl w:val="true"/>
              </w:rPr>
              <w:t>في ردّ الشبهة الموردة على طريقة المجتهدين</w:t>
            </w:r>
            <w:r>
              <w:rPr>
                <w:rStyle w:val="IndexLink"/>
                <w:rtl w:val="true"/>
              </w:rPr>
              <w:tab/>
            </w:r>
            <w:r>
              <w:rPr>
                <w:rStyle w:val="IndexLink"/>
              </w:rPr>
              <w:t>114</w:t>
            </w:r>
          </w:hyperlink>
        </w:p>
        <w:p>
          <w:pPr>
            <w:pStyle w:val="Contents2"/>
            <w:tabs>
              <w:tab w:val="clear" w:pos="8743"/>
              <w:tab w:val="right" w:pos="9026" w:leader="dot"/>
            </w:tabs>
            <w:rPr/>
          </w:pPr>
          <w:hyperlink w:anchor="__RefHeading___Toc3601422_3804643083">
            <w:r>
              <w:rPr>
                <w:webHidden/>
                <w:rStyle w:val="IndexLink"/>
                <w:rtl w:val="true"/>
              </w:rPr>
              <w:t>كتاب الطهارة</w:t>
            </w:r>
            <w:r>
              <w:rPr>
                <w:rStyle w:val="IndexLink"/>
                <w:rtl w:val="true"/>
              </w:rPr>
              <w:tab/>
            </w:r>
            <w:r>
              <w:rPr>
                <w:rStyle w:val="IndexLink"/>
              </w:rPr>
              <w:t>116</w:t>
            </w:r>
          </w:hyperlink>
        </w:p>
        <w:p>
          <w:pPr>
            <w:pStyle w:val="Contents3"/>
            <w:tabs>
              <w:tab w:val="clear" w:pos="8459"/>
              <w:tab w:val="right" w:pos="9026" w:leader="dot"/>
            </w:tabs>
            <w:rPr/>
          </w:pPr>
          <w:hyperlink w:anchor="__RefHeading___Toc3601424_380464308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3601426_3804643083">
            <w:r>
              <w:rPr>
                <w:webHidden/>
                <w:rStyle w:val="IndexLink"/>
                <w:rtl w:val="true"/>
              </w:rPr>
              <w:t>[</w:t>
            </w:r>
            <w:r>
              <w:rPr>
                <w:rStyle w:val="IndexLink"/>
                <w:rtl w:val="true"/>
              </w:rPr>
              <w:t>أبواب أحكام المياه</w:t>
            </w:r>
            <w:r>
              <w:rPr>
                <w:rStyle w:val="IndexLink"/>
                <w:rtl w:val="true"/>
              </w:rPr>
              <w:t>]</w:t>
              <w:tab/>
            </w:r>
            <w:r>
              <w:rPr>
                <w:rStyle w:val="IndexLink"/>
              </w:rPr>
              <w:t>117</w:t>
            </w:r>
          </w:hyperlink>
        </w:p>
        <w:p>
          <w:pPr>
            <w:pStyle w:val="Contents4"/>
            <w:tabs>
              <w:tab w:val="clear" w:pos="8176"/>
              <w:tab w:val="right" w:pos="9026" w:leader="dot"/>
            </w:tabs>
            <w:rPr/>
          </w:pPr>
          <w:hyperlink w:anchor="__RefHeading___Toc3601428_3804643083">
            <w:r>
              <w:rPr>
                <w:webHidden/>
                <w:rStyle w:val="IndexLink"/>
                <w:rtl w:val="true"/>
              </w:rPr>
              <w:t>باب طهارة الماء و طهوريّته و أنّه لا ينجس إلّا إذا تغيّر بالنجاسة</w:t>
            </w:r>
            <w:r>
              <w:rPr>
                <w:rStyle w:val="IndexLink"/>
                <w:rtl w:val="true"/>
              </w:rPr>
              <w:tab/>
            </w:r>
            <w:r>
              <w:rPr>
                <w:rStyle w:val="IndexLink"/>
              </w:rPr>
              <w:t>117</w:t>
            </w:r>
          </w:hyperlink>
        </w:p>
        <w:p>
          <w:pPr>
            <w:pStyle w:val="Contents4"/>
            <w:tabs>
              <w:tab w:val="clear" w:pos="8176"/>
              <w:tab w:val="right" w:pos="9026" w:leader="dot"/>
            </w:tabs>
            <w:rPr/>
          </w:pPr>
          <w:hyperlink w:anchor="__RefHeading___Toc3601430_3804643083">
            <w:r>
              <w:rPr>
                <w:webHidden/>
                <w:rStyle w:val="IndexLink"/>
                <w:rtl w:val="true"/>
              </w:rPr>
              <w:t>[</w:t>
            </w:r>
            <w:r>
              <w:rPr>
                <w:rStyle w:val="IndexLink"/>
                <w:rtl w:val="true"/>
              </w:rPr>
              <w:t>باب قدر الماء الذي لا يتغيّر بما يعتاد وروده من النجاسات</w:t>
            </w:r>
            <w:r>
              <w:rPr>
                <w:rStyle w:val="IndexLink"/>
                <w:rtl w:val="true"/>
              </w:rPr>
              <w:t>]</w:t>
              <w:tab/>
            </w:r>
            <w:r>
              <w:rPr>
                <w:rStyle w:val="IndexLink"/>
              </w:rPr>
              <w:t>135</w:t>
            </w:r>
          </w:hyperlink>
        </w:p>
        <w:p>
          <w:pPr>
            <w:pStyle w:val="Contents4"/>
            <w:tabs>
              <w:tab w:val="clear" w:pos="8176"/>
              <w:tab w:val="right" w:pos="9026" w:leader="dot"/>
            </w:tabs>
            <w:rPr/>
          </w:pPr>
          <w:hyperlink w:anchor="__RefHeading___Toc3601432_3804643083">
            <w:r>
              <w:rPr>
                <w:webHidden/>
                <w:rStyle w:val="IndexLink"/>
                <w:rtl w:val="true"/>
              </w:rPr>
              <w:t>[</w:t>
            </w:r>
            <w:r>
              <w:rPr>
                <w:rStyle w:val="IndexLink"/>
                <w:rtl w:val="true"/>
              </w:rPr>
              <w:t>بيان مقدار الكر</w:t>
            </w:r>
            <w:r>
              <w:rPr>
                <w:rStyle w:val="IndexLink"/>
                <w:rtl w:val="true"/>
              </w:rPr>
              <w:t>]</w:t>
              <w:tab/>
            </w:r>
            <w:r>
              <w:rPr>
                <w:rStyle w:val="IndexLink"/>
              </w:rPr>
              <w:t>141</w:t>
            </w:r>
          </w:hyperlink>
        </w:p>
        <w:p>
          <w:pPr>
            <w:pStyle w:val="Contents4"/>
            <w:tabs>
              <w:tab w:val="clear" w:pos="8176"/>
              <w:tab w:val="right" w:pos="9026" w:leader="dot"/>
            </w:tabs>
            <w:rPr/>
          </w:pPr>
          <w:hyperlink w:anchor="__RefHeading___Toc3601434_3804643083">
            <w:r>
              <w:rPr>
                <w:webHidden/>
                <w:rStyle w:val="IndexLink"/>
                <w:rtl w:val="true"/>
              </w:rPr>
              <w:t>[</w:t>
            </w:r>
            <w:r>
              <w:rPr>
                <w:rStyle w:val="IndexLink"/>
                <w:rtl w:val="true"/>
              </w:rPr>
              <w:t>باب ماء البئر و أنّه لا ينجس إلّا إذا تغيّر بالنجاسة</w:t>
            </w:r>
            <w:r>
              <w:rPr>
                <w:rStyle w:val="IndexLink"/>
                <w:rtl w:val="true"/>
              </w:rPr>
              <w:t>]</w:t>
              <w:tab/>
            </w:r>
            <w:r>
              <w:rPr>
                <w:rStyle w:val="IndexLink"/>
              </w:rPr>
              <w:t>143</w:t>
            </w:r>
          </w:hyperlink>
        </w:p>
        <w:p>
          <w:pPr>
            <w:pStyle w:val="Contents4"/>
            <w:tabs>
              <w:tab w:val="clear" w:pos="8176"/>
              <w:tab w:val="right" w:pos="9026" w:leader="dot"/>
            </w:tabs>
            <w:rPr/>
          </w:pPr>
          <w:hyperlink w:anchor="__RefHeading___Toc3601436_3804643083">
            <w:r>
              <w:rPr>
                <w:webHidden/>
                <w:rStyle w:val="IndexLink"/>
                <w:rtl w:val="true"/>
              </w:rPr>
              <w:t>[</w:t>
            </w:r>
            <w:r>
              <w:rPr>
                <w:rStyle w:val="IndexLink"/>
                <w:rtl w:val="true"/>
              </w:rPr>
              <w:t>باب ماء المطر و أنّه لا ينجس إلّا إذا تغيّر بالنجاسة</w:t>
            </w:r>
            <w:r>
              <w:rPr>
                <w:rStyle w:val="IndexLink"/>
                <w:rtl w:val="true"/>
              </w:rPr>
              <w:t>]</w:t>
              <w:tab/>
            </w:r>
            <w:r>
              <w:rPr>
                <w:rStyle w:val="IndexLink"/>
              </w:rPr>
              <w:t>146</w:t>
            </w:r>
          </w:hyperlink>
        </w:p>
        <w:p>
          <w:pPr>
            <w:pStyle w:val="Contents4"/>
            <w:tabs>
              <w:tab w:val="clear" w:pos="8176"/>
              <w:tab w:val="right" w:pos="9026" w:leader="dot"/>
            </w:tabs>
            <w:rPr/>
          </w:pPr>
          <w:hyperlink w:anchor="__RefHeading___Toc3601438_3804643083">
            <w:r>
              <w:rPr>
                <w:webHidden/>
                <w:rStyle w:val="IndexLink"/>
                <w:rtl w:val="true"/>
              </w:rPr>
              <w:t>[</w:t>
            </w:r>
            <w:r>
              <w:rPr>
                <w:rStyle w:val="IndexLink"/>
                <w:rtl w:val="true"/>
              </w:rPr>
              <w:t>باب ماء الحمّام و أنّه لا ينجس إلّا إذا تغيّر بالنجاسة</w:t>
            </w:r>
            <w:r>
              <w:rPr>
                <w:rStyle w:val="IndexLink"/>
                <w:rtl w:val="true"/>
              </w:rPr>
              <w:t>]</w:t>
              <w:tab/>
            </w:r>
            <w:r>
              <w:rPr>
                <w:rStyle w:val="IndexLink"/>
              </w:rPr>
              <w:t>147</w:t>
            </w:r>
          </w:hyperlink>
        </w:p>
        <w:p>
          <w:pPr>
            <w:pStyle w:val="Contents4"/>
            <w:tabs>
              <w:tab w:val="clear" w:pos="8176"/>
              <w:tab w:val="right" w:pos="9026" w:leader="dot"/>
            </w:tabs>
            <w:rPr/>
          </w:pPr>
          <w:hyperlink w:anchor="__RefHeading___Toc3601440_3804643083">
            <w:r>
              <w:rPr>
                <w:webHidden/>
                <w:rStyle w:val="IndexLink"/>
                <w:rtl w:val="true"/>
              </w:rPr>
              <w:t>[</w:t>
            </w:r>
            <w:r>
              <w:rPr>
                <w:rStyle w:val="IndexLink"/>
                <w:rtl w:val="true"/>
              </w:rPr>
              <w:t>باب ما يستحبّ التنزّه عنه في رفع الحدث و الشرب و ما لا بأس به</w:t>
            </w:r>
            <w:r>
              <w:rPr>
                <w:rStyle w:val="IndexLink"/>
                <w:rtl w:val="true"/>
              </w:rPr>
              <w:t>]</w:t>
              <w:tab/>
            </w:r>
            <w:r>
              <w:rPr>
                <w:rStyle w:val="IndexLink"/>
              </w:rPr>
              <w:t>149</w:t>
            </w:r>
          </w:hyperlink>
        </w:p>
        <w:p>
          <w:pPr>
            <w:pStyle w:val="Contents4"/>
            <w:tabs>
              <w:tab w:val="clear" w:pos="8176"/>
              <w:tab w:val="right" w:pos="9026" w:leader="dot"/>
            </w:tabs>
            <w:rPr/>
          </w:pPr>
          <w:hyperlink w:anchor="__RefHeading___Toc3601442_3804643083">
            <w:r>
              <w:rPr>
                <w:webHidden/>
                <w:rStyle w:val="IndexLink"/>
                <w:rtl w:val="true"/>
              </w:rPr>
              <w:t>[</w:t>
            </w:r>
            <w:r>
              <w:rPr>
                <w:rStyle w:val="IndexLink"/>
                <w:rtl w:val="true"/>
              </w:rPr>
              <w:t>باب أسئار الحيوانات و التوضّؤ بها و الشرب منها</w:t>
            </w:r>
            <w:r>
              <w:rPr>
                <w:rStyle w:val="IndexLink"/>
                <w:rtl w:val="true"/>
              </w:rPr>
              <w:t>]</w:t>
              <w:tab/>
            </w:r>
            <w:r>
              <w:rPr>
                <w:rStyle w:val="IndexLink"/>
              </w:rPr>
              <w:t>159</w:t>
            </w:r>
          </w:hyperlink>
        </w:p>
        <w:p>
          <w:pPr>
            <w:pStyle w:val="Contents4"/>
            <w:tabs>
              <w:tab w:val="clear" w:pos="8176"/>
              <w:tab w:val="right" w:pos="9026" w:leader="dot"/>
            </w:tabs>
            <w:rPr/>
          </w:pPr>
          <w:hyperlink w:anchor="__RefHeading___Toc3601444_3804643083">
            <w:r>
              <w:rPr>
                <w:webHidden/>
                <w:rStyle w:val="IndexLink"/>
                <w:rtl w:val="true"/>
              </w:rPr>
              <w:t>[</w:t>
            </w:r>
            <w:r>
              <w:rPr>
                <w:rStyle w:val="IndexLink"/>
                <w:rtl w:val="true"/>
              </w:rPr>
              <w:t>باب الماء القليل المشتبه و رفع الحدث به</w:t>
            </w:r>
            <w:r>
              <w:rPr>
                <w:rStyle w:val="IndexLink"/>
                <w:rtl w:val="true"/>
              </w:rPr>
              <w:t>]</w:t>
              <w:tab/>
            </w:r>
            <w:r>
              <w:rPr>
                <w:rStyle w:val="IndexLink"/>
              </w:rPr>
              <w:t>160</w:t>
            </w:r>
          </w:hyperlink>
        </w:p>
        <w:p>
          <w:pPr>
            <w:pStyle w:val="Contents4"/>
            <w:tabs>
              <w:tab w:val="clear" w:pos="8176"/>
              <w:tab w:val="right" w:pos="9026" w:leader="dot"/>
            </w:tabs>
            <w:rPr/>
          </w:pPr>
          <w:hyperlink w:anchor="__RefHeading___Toc3601446_3804643083">
            <w:r>
              <w:rPr>
                <w:webHidden/>
                <w:rStyle w:val="IndexLink"/>
                <w:rtl w:val="true"/>
              </w:rPr>
              <w:t>[</w:t>
            </w:r>
            <w:r>
              <w:rPr>
                <w:rStyle w:val="IndexLink"/>
                <w:rtl w:val="true"/>
              </w:rPr>
              <w:t>باب مقادير ما ينزح من البئر إذا وقع فيها ما أفسدها لتطيب</w:t>
            </w:r>
            <w:r>
              <w:rPr>
                <w:rStyle w:val="IndexLink"/>
                <w:rtl w:val="true"/>
              </w:rPr>
              <w:t>]</w:t>
              <w:tab/>
            </w:r>
            <w:r>
              <w:rPr>
                <w:rStyle w:val="IndexLink"/>
              </w:rPr>
              <w:t>162</w:t>
            </w:r>
          </w:hyperlink>
        </w:p>
        <w:p>
          <w:pPr>
            <w:pStyle w:val="Contents4"/>
            <w:tabs>
              <w:tab w:val="clear" w:pos="8176"/>
              <w:tab w:val="right" w:pos="9026" w:leader="dot"/>
            </w:tabs>
            <w:rPr/>
          </w:pPr>
          <w:hyperlink w:anchor="__RefHeading___Toc3601448_3804643083">
            <w:r>
              <w:rPr>
                <w:webHidden/>
                <w:rStyle w:val="IndexLink"/>
                <w:rtl w:val="true"/>
              </w:rPr>
              <w:t>[</w:t>
            </w:r>
            <w:r>
              <w:rPr>
                <w:rStyle w:val="IndexLink"/>
                <w:rtl w:val="true"/>
              </w:rPr>
              <w:t>باب آداب التخلّي</w:t>
            </w:r>
            <w:r>
              <w:rPr>
                <w:rStyle w:val="IndexLink"/>
                <w:rtl w:val="true"/>
              </w:rPr>
              <w:t>]</w:t>
              <w:tab/>
            </w:r>
            <w:r>
              <w:rPr>
                <w:rStyle w:val="IndexLink"/>
              </w:rPr>
              <w:t>165</w:t>
            </w:r>
          </w:hyperlink>
        </w:p>
        <w:p>
          <w:pPr>
            <w:pStyle w:val="Contents5"/>
            <w:tabs>
              <w:tab w:val="clear" w:pos="7892"/>
              <w:tab w:val="right" w:pos="9026" w:leader="dot"/>
            </w:tabs>
            <w:rPr/>
          </w:pPr>
          <w:hyperlink w:anchor="__RefHeading___Toc3601450_3804643083">
            <w:r>
              <w:rPr>
                <w:webHidden/>
                <w:rStyle w:val="IndexLink"/>
                <w:rtl w:val="true"/>
              </w:rPr>
              <w:t>[</w:t>
            </w:r>
            <w:r>
              <w:rPr>
                <w:rStyle w:val="IndexLink"/>
                <w:rtl w:val="true"/>
              </w:rPr>
              <w:t>حرمة استقبال القبلة و استدبارها</w:t>
            </w:r>
            <w:r>
              <w:rPr>
                <w:rStyle w:val="IndexLink"/>
                <w:rtl w:val="true"/>
              </w:rPr>
              <w:t>]</w:t>
              <w:tab/>
            </w:r>
            <w:r>
              <w:rPr>
                <w:rStyle w:val="IndexLink"/>
              </w:rPr>
              <w:t>165</w:t>
            </w:r>
          </w:hyperlink>
        </w:p>
        <w:p>
          <w:pPr>
            <w:pStyle w:val="Contents5"/>
            <w:tabs>
              <w:tab w:val="clear" w:pos="7892"/>
              <w:tab w:val="right" w:pos="9026" w:leader="dot"/>
            </w:tabs>
            <w:rPr/>
          </w:pPr>
          <w:hyperlink w:anchor="__RefHeading___Toc3601452_3804643083">
            <w:r>
              <w:rPr>
                <w:webHidden/>
                <w:rStyle w:val="IndexLink"/>
                <w:rtl w:val="true"/>
              </w:rPr>
              <w:t>[</w:t>
            </w:r>
            <w:r>
              <w:rPr>
                <w:rStyle w:val="IndexLink"/>
                <w:rtl w:val="true"/>
              </w:rPr>
              <w:t>المناقشة في كلام صاحب الوافي</w:t>
            </w:r>
            <w:r>
              <w:rPr>
                <w:rStyle w:val="IndexLink"/>
                <w:rtl w:val="true"/>
              </w:rPr>
              <w:t>]</w:t>
              <w:tab/>
            </w:r>
            <w:r>
              <w:rPr>
                <w:rStyle w:val="IndexLink"/>
              </w:rPr>
              <w:t>166</w:t>
            </w:r>
          </w:hyperlink>
        </w:p>
        <w:p>
          <w:pPr>
            <w:pStyle w:val="Contents4"/>
            <w:tabs>
              <w:tab w:val="clear" w:pos="8176"/>
              <w:tab w:val="right" w:pos="9026" w:leader="dot"/>
            </w:tabs>
            <w:rPr/>
          </w:pPr>
          <w:hyperlink w:anchor="__RefHeading___Toc3601454_3804643083">
            <w:r>
              <w:rPr>
                <w:webHidden/>
                <w:rStyle w:val="IndexLink"/>
                <w:rtl w:val="true"/>
              </w:rPr>
              <w:t>[</w:t>
            </w:r>
            <w:r>
              <w:rPr>
                <w:rStyle w:val="IndexLink"/>
                <w:rtl w:val="true"/>
              </w:rPr>
              <w:t>باب الاستنجاء</w:t>
            </w:r>
            <w:r>
              <w:rPr>
                <w:rStyle w:val="IndexLink"/>
                <w:rtl w:val="true"/>
              </w:rPr>
              <w:t>]</w:t>
              <w:tab/>
            </w:r>
            <w:r>
              <w:rPr>
                <w:rStyle w:val="IndexLink"/>
              </w:rPr>
              <w:t>172</w:t>
            </w:r>
          </w:hyperlink>
        </w:p>
        <w:p>
          <w:pPr>
            <w:pStyle w:val="Contents5"/>
            <w:tabs>
              <w:tab w:val="clear" w:pos="7892"/>
              <w:tab w:val="right" w:pos="9026" w:leader="dot"/>
            </w:tabs>
            <w:rPr/>
          </w:pPr>
          <w:hyperlink w:anchor="__RefHeading___Toc3601456_3804643083">
            <w:r>
              <w:rPr>
                <w:webHidden/>
                <w:rStyle w:val="IndexLink"/>
                <w:rtl w:val="true"/>
              </w:rPr>
              <w:t>[</w:t>
            </w:r>
            <w:r>
              <w:rPr>
                <w:rStyle w:val="IndexLink"/>
                <w:rtl w:val="true"/>
              </w:rPr>
              <w:t>عدم معذورية الجاهل بالحكم</w:t>
            </w:r>
            <w:r>
              <w:rPr>
                <w:rStyle w:val="IndexLink"/>
                <w:rtl w:val="true"/>
              </w:rPr>
              <w:t>]</w:t>
              <w:tab/>
            </w:r>
            <w:r>
              <w:rPr>
                <w:rStyle w:val="IndexLink"/>
              </w:rPr>
              <w:t>172</w:t>
            </w:r>
          </w:hyperlink>
        </w:p>
        <w:p>
          <w:pPr>
            <w:pStyle w:val="Contents5"/>
            <w:tabs>
              <w:tab w:val="clear" w:pos="7892"/>
              <w:tab w:val="right" w:pos="9026" w:leader="dot"/>
            </w:tabs>
            <w:rPr/>
          </w:pPr>
          <w:hyperlink w:anchor="__RefHeading___Toc3601458_3804643083">
            <w:r>
              <w:rPr>
                <w:webHidden/>
                <w:rStyle w:val="IndexLink"/>
                <w:rtl w:val="true"/>
              </w:rPr>
              <w:t>[</w:t>
            </w:r>
            <w:r>
              <w:rPr>
                <w:rStyle w:val="IndexLink"/>
                <w:rtl w:val="true"/>
              </w:rPr>
              <w:t>باب التطهير من البول إذا أصاب الجسد أو الثوب</w:t>
            </w:r>
            <w:r>
              <w:rPr>
                <w:rStyle w:val="IndexLink"/>
                <w:rtl w:val="true"/>
              </w:rPr>
              <w:t>]</w:t>
              <w:tab/>
            </w:r>
            <w:r>
              <w:rPr>
                <w:rStyle w:val="IndexLink"/>
              </w:rPr>
              <w:t>174</w:t>
            </w:r>
          </w:hyperlink>
        </w:p>
        <w:p>
          <w:pPr>
            <w:pStyle w:val="Contents5"/>
            <w:tabs>
              <w:tab w:val="clear" w:pos="7892"/>
              <w:tab w:val="right" w:pos="9026" w:leader="dot"/>
            </w:tabs>
            <w:rPr/>
          </w:pPr>
          <w:hyperlink w:anchor="__RefHeading___Toc3601460_3804643083">
            <w:r>
              <w:rPr>
                <w:webHidden/>
                <w:rStyle w:val="IndexLink"/>
                <w:rtl w:val="true"/>
              </w:rPr>
              <w:t>[</w:t>
            </w:r>
            <w:r>
              <w:rPr>
                <w:rStyle w:val="IndexLink"/>
                <w:rtl w:val="true"/>
              </w:rPr>
              <w:t>استحباب الاستبراء من البول</w:t>
            </w:r>
            <w:r>
              <w:rPr>
                <w:rStyle w:val="IndexLink"/>
                <w:rtl w:val="true"/>
              </w:rPr>
              <w:t>]</w:t>
              <w:tab/>
            </w:r>
            <w:r>
              <w:rPr>
                <w:rStyle w:val="IndexLink"/>
              </w:rPr>
              <w:t>179</w:t>
            </w:r>
          </w:hyperlink>
        </w:p>
        <w:p>
          <w:pPr>
            <w:pStyle w:val="Contents4"/>
            <w:tabs>
              <w:tab w:val="clear" w:pos="8176"/>
              <w:tab w:val="right" w:pos="9026" w:leader="dot"/>
            </w:tabs>
            <w:rPr/>
          </w:pPr>
          <w:hyperlink w:anchor="__RefHeading___Toc3601462_3804643083">
            <w:r>
              <w:rPr>
                <w:webHidden/>
                <w:rStyle w:val="IndexLink"/>
                <w:rtl w:val="true"/>
              </w:rPr>
              <w:t>[</w:t>
            </w:r>
            <w:r>
              <w:rPr>
                <w:rStyle w:val="IndexLink"/>
                <w:rtl w:val="true"/>
              </w:rPr>
              <w:t>أحكام النجاسات</w:t>
            </w:r>
            <w:r>
              <w:rPr>
                <w:rStyle w:val="IndexLink"/>
                <w:rtl w:val="true"/>
              </w:rPr>
              <w:t>]</w:t>
              <w:tab/>
            </w:r>
            <w:r>
              <w:rPr>
                <w:rStyle w:val="IndexLink"/>
              </w:rPr>
              <w:t>181</w:t>
            </w:r>
          </w:hyperlink>
        </w:p>
        <w:p>
          <w:pPr>
            <w:pStyle w:val="Contents5"/>
            <w:tabs>
              <w:tab w:val="clear" w:pos="7892"/>
              <w:tab w:val="right" w:pos="9026" w:leader="dot"/>
            </w:tabs>
            <w:rPr/>
          </w:pPr>
          <w:hyperlink w:anchor="__RefHeading___Toc3601464_3804643083">
            <w:r>
              <w:rPr>
                <w:webHidden/>
                <w:rStyle w:val="IndexLink"/>
                <w:rtl w:val="true"/>
              </w:rPr>
              <w:t>[</w:t>
            </w:r>
            <w:r>
              <w:rPr>
                <w:rStyle w:val="IndexLink"/>
                <w:rtl w:val="true"/>
              </w:rPr>
              <w:t>حكم تعدّي النجاسة من المتنجس</w:t>
            </w:r>
            <w:r>
              <w:rPr>
                <w:rStyle w:val="IndexLink"/>
                <w:rtl w:val="true"/>
              </w:rPr>
              <w:t>]</w:t>
              <w:tab/>
            </w:r>
            <w:r>
              <w:rPr>
                <w:rStyle w:val="IndexLink"/>
              </w:rPr>
              <w:t>181</w:t>
            </w:r>
          </w:hyperlink>
        </w:p>
        <w:p>
          <w:pPr>
            <w:pStyle w:val="Contents5"/>
            <w:tabs>
              <w:tab w:val="clear" w:pos="7892"/>
              <w:tab w:val="right" w:pos="9026" w:leader="dot"/>
            </w:tabs>
            <w:rPr/>
          </w:pPr>
          <w:hyperlink w:anchor="__RefHeading___Toc3601466_3804643083">
            <w:r>
              <w:rPr>
                <w:webHidden/>
                <w:rStyle w:val="IndexLink"/>
                <w:rtl w:val="true"/>
              </w:rPr>
              <w:t>[</w:t>
            </w:r>
            <w:r>
              <w:rPr>
                <w:rStyle w:val="IndexLink"/>
                <w:rtl w:val="true"/>
              </w:rPr>
              <w:t>الردّ على ما ذكره صاحب الوافي من الطعن على الفقهاء</w:t>
            </w:r>
            <w:r>
              <w:rPr>
                <w:rStyle w:val="IndexLink"/>
                <w:rtl w:val="true"/>
              </w:rPr>
              <w:t>]</w:t>
              <w:tab/>
            </w:r>
            <w:r>
              <w:rPr>
                <w:rStyle w:val="IndexLink"/>
              </w:rPr>
              <w:t>185</w:t>
            </w:r>
          </w:hyperlink>
        </w:p>
        <w:p>
          <w:pPr>
            <w:pStyle w:val="Contents5"/>
            <w:tabs>
              <w:tab w:val="clear" w:pos="7892"/>
              <w:tab w:val="right" w:pos="9026" w:leader="dot"/>
            </w:tabs>
            <w:rPr/>
          </w:pPr>
          <w:hyperlink w:anchor="__RefHeading___Toc3601468_3804643083">
            <w:r>
              <w:rPr>
                <w:webHidden/>
                <w:rStyle w:val="IndexLink"/>
                <w:rtl w:val="true"/>
              </w:rPr>
              <w:t>[</w:t>
            </w:r>
            <w:r>
              <w:rPr>
                <w:rStyle w:val="IndexLink"/>
                <w:rtl w:val="true"/>
              </w:rPr>
              <w:t>باب ما إذا شكّ في إصابة البول أو نسى غسله أو تعمّد الترك</w:t>
            </w:r>
            <w:r>
              <w:rPr>
                <w:rStyle w:val="IndexLink"/>
                <w:rtl w:val="true"/>
              </w:rPr>
              <w:t>]</w:t>
              <w:tab/>
            </w:r>
            <w:r>
              <w:rPr>
                <w:rStyle w:val="IndexLink"/>
              </w:rPr>
              <w:t>188</w:t>
            </w:r>
          </w:hyperlink>
        </w:p>
        <w:p>
          <w:pPr>
            <w:pStyle w:val="Contents5"/>
            <w:tabs>
              <w:tab w:val="clear" w:pos="7892"/>
              <w:tab w:val="right" w:pos="9026" w:leader="dot"/>
            </w:tabs>
            <w:rPr/>
          </w:pPr>
          <w:hyperlink w:anchor="__RefHeading___Toc3601470_3804643083">
            <w:r>
              <w:rPr>
                <w:webHidden/>
                <w:rStyle w:val="IndexLink"/>
                <w:rtl w:val="true"/>
              </w:rPr>
              <w:t>[</w:t>
            </w:r>
            <w:r>
              <w:rPr>
                <w:rStyle w:val="IndexLink"/>
                <w:rtl w:val="true"/>
              </w:rPr>
              <w:t>باب التطهير من المني</w:t>
            </w:r>
            <w:r>
              <w:rPr>
                <w:rStyle w:val="IndexLink"/>
                <w:rtl w:val="true"/>
              </w:rPr>
              <w:t>]</w:t>
              <w:tab/>
            </w:r>
            <w:r>
              <w:rPr>
                <w:rStyle w:val="IndexLink"/>
              </w:rPr>
              <w:t>191</w:t>
            </w:r>
          </w:hyperlink>
        </w:p>
        <w:p>
          <w:pPr>
            <w:pStyle w:val="Contents5"/>
            <w:tabs>
              <w:tab w:val="clear" w:pos="7892"/>
              <w:tab w:val="right" w:pos="9026" w:leader="dot"/>
            </w:tabs>
            <w:rPr/>
          </w:pPr>
          <w:hyperlink w:anchor="__RefHeading___Toc3601472_3804643083">
            <w:r>
              <w:rPr>
                <w:webHidden/>
                <w:rStyle w:val="IndexLink"/>
                <w:rtl w:val="true"/>
              </w:rPr>
              <w:t>[</w:t>
            </w:r>
            <w:r>
              <w:rPr>
                <w:rStyle w:val="IndexLink"/>
                <w:rtl w:val="true"/>
              </w:rPr>
              <w:t>باب عرق الجنب و الحائض و إصابتهما برطوبة</w:t>
            </w:r>
            <w:r>
              <w:rPr>
                <w:rStyle w:val="IndexLink"/>
                <w:rtl w:val="true"/>
              </w:rPr>
              <w:t>]</w:t>
              <w:tab/>
            </w:r>
            <w:r>
              <w:rPr>
                <w:rStyle w:val="IndexLink"/>
              </w:rPr>
              <w:t>191</w:t>
            </w:r>
          </w:hyperlink>
        </w:p>
        <w:p>
          <w:pPr>
            <w:pStyle w:val="Contents5"/>
            <w:tabs>
              <w:tab w:val="clear" w:pos="7892"/>
              <w:tab w:val="right" w:pos="9026" w:leader="dot"/>
            </w:tabs>
            <w:rPr/>
          </w:pPr>
          <w:hyperlink w:anchor="__RefHeading___Toc3601474_3804643083">
            <w:r>
              <w:rPr>
                <w:webHidden/>
                <w:rStyle w:val="IndexLink"/>
                <w:rtl w:val="true"/>
              </w:rPr>
              <w:t>[</w:t>
            </w:r>
            <w:r>
              <w:rPr>
                <w:rStyle w:val="IndexLink"/>
                <w:rtl w:val="true"/>
              </w:rPr>
              <w:t>باب المذي و أخويه</w:t>
            </w:r>
            <w:r>
              <w:rPr>
                <w:rStyle w:val="IndexLink"/>
                <w:rtl w:val="true"/>
              </w:rPr>
              <w:t>]</w:t>
              <w:tab/>
            </w:r>
            <w:r>
              <w:rPr>
                <w:rStyle w:val="IndexLink"/>
              </w:rPr>
              <w:t>193</w:t>
            </w:r>
          </w:hyperlink>
        </w:p>
        <w:p>
          <w:pPr>
            <w:pStyle w:val="Contents5"/>
            <w:tabs>
              <w:tab w:val="clear" w:pos="7892"/>
              <w:tab w:val="right" w:pos="9026" w:leader="dot"/>
            </w:tabs>
            <w:rPr/>
          </w:pPr>
          <w:hyperlink w:anchor="__RefHeading___Toc3601476_3804643083">
            <w:r>
              <w:rPr>
                <w:webHidden/>
                <w:rStyle w:val="IndexLink"/>
                <w:rtl w:val="true"/>
              </w:rPr>
              <w:t>[</w:t>
            </w:r>
            <w:r>
              <w:rPr>
                <w:rStyle w:val="IndexLink"/>
                <w:rtl w:val="true"/>
              </w:rPr>
              <w:t>باب التطهير من الدم</w:t>
            </w:r>
            <w:r>
              <w:rPr>
                <w:rStyle w:val="IndexLink"/>
                <w:rtl w:val="true"/>
              </w:rPr>
              <w:t>]</w:t>
              <w:tab/>
            </w:r>
            <w:r>
              <w:rPr>
                <w:rStyle w:val="IndexLink"/>
              </w:rPr>
              <w:t>193</w:t>
            </w:r>
          </w:hyperlink>
        </w:p>
        <w:p>
          <w:pPr>
            <w:pStyle w:val="Contents5"/>
            <w:tabs>
              <w:tab w:val="clear" w:pos="7892"/>
              <w:tab w:val="right" w:pos="9026" w:leader="dot"/>
            </w:tabs>
            <w:rPr/>
          </w:pPr>
          <w:hyperlink w:anchor="__RefHeading___Toc3601478_3804643083">
            <w:r>
              <w:rPr>
                <w:webHidden/>
                <w:rStyle w:val="IndexLink"/>
                <w:rtl w:val="true"/>
              </w:rPr>
              <w:t>[</w:t>
            </w:r>
            <w:r>
              <w:rPr>
                <w:rStyle w:val="IndexLink"/>
                <w:rtl w:val="true"/>
              </w:rPr>
              <w:t>باب التطهير من فضلات الحيوانات</w:t>
            </w:r>
            <w:r>
              <w:rPr>
                <w:rStyle w:val="IndexLink"/>
                <w:rtl w:val="true"/>
              </w:rPr>
              <w:t>]</w:t>
              <w:tab/>
            </w:r>
            <w:r>
              <w:rPr>
                <w:rStyle w:val="IndexLink"/>
              </w:rPr>
              <w:t>199</w:t>
            </w:r>
          </w:hyperlink>
        </w:p>
        <w:p>
          <w:pPr>
            <w:pStyle w:val="Contents5"/>
            <w:tabs>
              <w:tab w:val="clear" w:pos="7892"/>
              <w:tab w:val="right" w:pos="9026" w:leader="dot"/>
            </w:tabs>
            <w:rPr/>
          </w:pPr>
          <w:hyperlink w:anchor="__RefHeading___Toc3601480_3804643083">
            <w:r>
              <w:rPr>
                <w:webHidden/>
                <w:rStyle w:val="IndexLink"/>
                <w:rtl w:val="true"/>
              </w:rPr>
              <w:t>[</w:t>
            </w:r>
            <w:r>
              <w:rPr>
                <w:rStyle w:val="IndexLink"/>
                <w:rtl w:val="true"/>
              </w:rPr>
              <w:t>باب التطهير من مسّ الحيوانات</w:t>
            </w:r>
            <w:r>
              <w:rPr>
                <w:rStyle w:val="IndexLink"/>
                <w:rtl w:val="true"/>
              </w:rPr>
              <w:t>]</w:t>
              <w:tab/>
            </w:r>
            <w:r>
              <w:rPr>
                <w:rStyle w:val="IndexLink"/>
              </w:rPr>
              <w:t>203</w:t>
            </w:r>
          </w:hyperlink>
        </w:p>
        <w:p>
          <w:pPr>
            <w:pStyle w:val="Contents5"/>
            <w:tabs>
              <w:tab w:val="clear" w:pos="7892"/>
              <w:tab w:val="right" w:pos="9026" w:leader="dot"/>
            </w:tabs>
            <w:rPr/>
          </w:pPr>
          <w:hyperlink w:anchor="__RefHeading___Toc3601482_3804643083">
            <w:r>
              <w:rPr>
                <w:webHidden/>
                <w:rStyle w:val="IndexLink"/>
                <w:rtl w:val="true"/>
              </w:rPr>
              <w:t>[</w:t>
            </w:r>
            <w:r>
              <w:rPr>
                <w:rStyle w:val="IndexLink"/>
                <w:rtl w:val="true"/>
              </w:rPr>
              <w:t>حكم أهل الكتاب</w:t>
            </w:r>
            <w:r>
              <w:rPr>
                <w:rStyle w:val="IndexLink"/>
                <w:rtl w:val="true"/>
              </w:rPr>
              <w:t>]</w:t>
              <w:tab/>
            </w:r>
            <w:r>
              <w:rPr>
                <w:rStyle w:val="IndexLink"/>
              </w:rPr>
              <w:t>207</w:t>
            </w:r>
          </w:hyperlink>
        </w:p>
        <w:p>
          <w:pPr>
            <w:pStyle w:val="Contents5"/>
            <w:tabs>
              <w:tab w:val="clear" w:pos="7892"/>
              <w:tab w:val="right" w:pos="9026" w:leader="dot"/>
            </w:tabs>
            <w:rPr/>
          </w:pPr>
          <w:hyperlink w:anchor="__RefHeading___Toc3601484_3804643083">
            <w:r>
              <w:rPr>
                <w:webHidden/>
                <w:rStyle w:val="IndexLink"/>
                <w:rtl w:val="true"/>
              </w:rPr>
              <w:t>[</w:t>
            </w:r>
            <w:r>
              <w:rPr>
                <w:rStyle w:val="IndexLink"/>
                <w:rtl w:val="true"/>
              </w:rPr>
              <w:t>باب التطهير من الخمر</w:t>
            </w:r>
            <w:r>
              <w:rPr>
                <w:rStyle w:val="IndexLink"/>
                <w:rtl w:val="true"/>
              </w:rPr>
              <w:t>]</w:t>
              <w:tab/>
            </w:r>
            <w:r>
              <w:rPr>
                <w:rStyle w:val="IndexLink"/>
              </w:rPr>
              <w:t>211</w:t>
            </w:r>
          </w:hyperlink>
        </w:p>
        <w:p>
          <w:pPr>
            <w:pStyle w:val="Contents4"/>
            <w:tabs>
              <w:tab w:val="clear" w:pos="8176"/>
              <w:tab w:val="right" w:pos="9026" w:leader="dot"/>
            </w:tabs>
            <w:rPr/>
          </w:pPr>
          <w:hyperlink w:anchor="__RefHeading___Toc3601486_3804643083">
            <w:r>
              <w:rPr>
                <w:webHidden/>
                <w:rStyle w:val="IndexLink"/>
                <w:rtl w:val="true"/>
              </w:rPr>
              <w:t>[</w:t>
            </w:r>
            <w:r>
              <w:rPr>
                <w:rStyle w:val="IndexLink"/>
                <w:rtl w:val="true"/>
              </w:rPr>
              <w:t>باب ما يطهر بغير الماء و ما لا يحتاج إلى التطهير</w:t>
            </w:r>
            <w:r>
              <w:rPr>
                <w:rStyle w:val="IndexLink"/>
                <w:rtl w:val="true"/>
              </w:rPr>
              <w:t>]</w:t>
              <w:tab/>
            </w:r>
            <w:r>
              <w:rPr>
                <w:rStyle w:val="IndexLink"/>
              </w:rPr>
              <w:t>217</w:t>
            </w:r>
          </w:hyperlink>
        </w:p>
        <w:p>
          <w:pPr>
            <w:pStyle w:val="Contents5"/>
            <w:tabs>
              <w:tab w:val="clear" w:pos="7892"/>
              <w:tab w:val="right" w:pos="9026" w:leader="dot"/>
            </w:tabs>
            <w:rPr/>
          </w:pPr>
          <w:hyperlink w:anchor="__RefHeading___Toc3601488_3804643083">
            <w:r>
              <w:rPr>
                <w:webHidden/>
                <w:rStyle w:val="IndexLink"/>
                <w:rtl w:val="true"/>
              </w:rPr>
              <w:t>[</w:t>
            </w:r>
            <w:r>
              <w:rPr>
                <w:rStyle w:val="IndexLink"/>
                <w:rtl w:val="true"/>
              </w:rPr>
              <w:t>مطهّريّة الأرض</w:t>
            </w:r>
            <w:r>
              <w:rPr>
                <w:rStyle w:val="IndexLink"/>
                <w:rtl w:val="true"/>
              </w:rPr>
              <w:t>]</w:t>
              <w:tab/>
            </w:r>
            <w:r>
              <w:rPr>
                <w:rStyle w:val="IndexLink"/>
              </w:rPr>
              <w:t>217</w:t>
            </w:r>
          </w:hyperlink>
        </w:p>
        <w:p>
          <w:pPr>
            <w:pStyle w:val="Contents5"/>
            <w:tabs>
              <w:tab w:val="clear" w:pos="7892"/>
              <w:tab w:val="right" w:pos="9026" w:leader="dot"/>
            </w:tabs>
            <w:rPr/>
          </w:pPr>
          <w:hyperlink w:anchor="__RefHeading___Toc3601490_3804643083">
            <w:r>
              <w:rPr>
                <w:webHidden/>
                <w:rStyle w:val="IndexLink"/>
                <w:rtl w:val="true"/>
              </w:rPr>
              <w:t>[</w:t>
            </w:r>
            <w:r>
              <w:rPr>
                <w:rStyle w:val="IndexLink"/>
                <w:rtl w:val="true"/>
              </w:rPr>
              <w:t>مطهّريّة الشمس</w:t>
            </w:r>
            <w:r>
              <w:rPr>
                <w:rStyle w:val="IndexLink"/>
                <w:rtl w:val="true"/>
              </w:rPr>
              <w:t>]</w:t>
              <w:tab/>
            </w:r>
            <w:r>
              <w:rPr>
                <w:rStyle w:val="IndexLink"/>
              </w:rPr>
              <w:t>218</w:t>
            </w:r>
          </w:hyperlink>
        </w:p>
        <w:p>
          <w:pPr>
            <w:pStyle w:val="Contents4"/>
            <w:tabs>
              <w:tab w:val="clear" w:pos="8176"/>
              <w:tab w:val="right" w:pos="9026" w:leader="dot"/>
            </w:tabs>
            <w:rPr/>
          </w:pPr>
          <w:hyperlink w:anchor="__RefHeading___Toc3601492_3804643083">
            <w:r>
              <w:rPr>
                <w:webHidden/>
                <w:rStyle w:val="IndexLink"/>
                <w:rtl w:val="true"/>
              </w:rPr>
              <w:t>[</w:t>
            </w:r>
            <w:r>
              <w:rPr>
                <w:rStyle w:val="IndexLink"/>
                <w:rtl w:val="true"/>
              </w:rPr>
              <w:t>أبواب الوضوء</w:t>
            </w:r>
            <w:r>
              <w:rPr>
                <w:rStyle w:val="IndexLink"/>
                <w:rtl w:val="true"/>
              </w:rPr>
              <w:t>]</w:t>
              <w:tab/>
            </w:r>
            <w:r>
              <w:rPr>
                <w:rStyle w:val="IndexLink"/>
              </w:rPr>
              <w:t>227</w:t>
            </w:r>
          </w:hyperlink>
        </w:p>
        <w:p>
          <w:pPr>
            <w:pStyle w:val="Contents5"/>
            <w:tabs>
              <w:tab w:val="clear" w:pos="7892"/>
              <w:tab w:val="right" w:pos="9026" w:leader="dot"/>
            </w:tabs>
            <w:rPr/>
          </w:pPr>
          <w:hyperlink w:anchor="__RefHeading___Toc3601494_3804643083">
            <w:r>
              <w:rPr>
                <w:webHidden/>
                <w:rStyle w:val="IndexLink"/>
                <w:rtl w:val="true"/>
              </w:rPr>
              <w:t>[</w:t>
            </w:r>
            <w:r>
              <w:rPr>
                <w:rStyle w:val="IndexLink"/>
                <w:rtl w:val="true"/>
              </w:rPr>
              <w:t>بحث في معنى الآية</w:t>
            </w:r>
            <w:r>
              <w:rPr>
                <w:rStyle w:val="IndexLink"/>
                <w:rtl w:val="true"/>
              </w:rPr>
              <w:t>]</w:t>
              <w:tab/>
            </w:r>
            <w:r>
              <w:rPr>
                <w:rStyle w:val="IndexLink"/>
              </w:rPr>
              <w:t>227</w:t>
            </w:r>
          </w:hyperlink>
        </w:p>
        <w:p>
          <w:pPr>
            <w:pStyle w:val="Contents5"/>
            <w:tabs>
              <w:tab w:val="clear" w:pos="7892"/>
              <w:tab w:val="right" w:pos="9026" w:leader="dot"/>
            </w:tabs>
            <w:rPr/>
          </w:pPr>
          <w:hyperlink w:anchor="__RefHeading___Toc3601496_3804643083">
            <w:r>
              <w:rPr>
                <w:webHidden/>
                <w:rStyle w:val="IndexLink"/>
                <w:rtl w:val="true"/>
              </w:rPr>
              <w:t>[</w:t>
            </w:r>
            <w:r>
              <w:rPr>
                <w:rStyle w:val="IndexLink"/>
                <w:rtl w:val="true"/>
              </w:rPr>
              <w:t>باب الأحداث التي توجب الوضوء</w:t>
            </w:r>
            <w:r>
              <w:rPr>
                <w:rStyle w:val="IndexLink"/>
                <w:rtl w:val="true"/>
              </w:rPr>
              <w:t>]</w:t>
              <w:tab/>
            </w:r>
            <w:r>
              <w:rPr>
                <w:rStyle w:val="IndexLink"/>
              </w:rPr>
              <w:t>228</w:t>
            </w:r>
          </w:hyperlink>
        </w:p>
        <w:p>
          <w:pPr>
            <w:pStyle w:val="Contents5"/>
            <w:tabs>
              <w:tab w:val="clear" w:pos="7892"/>
              <w:tab w:val="right" w:pos="9026" w:leader="dot"/>
            </w:tabs>
            <w:rPr/>
          </w:pPr>
          <w:hyperlink w:anchor="__RefHeading___Toc3601498_3804643083">
            <w:r>
              <w:rPr>
                <w:webHidden/>
                <w:rStyle w:val="IndexLink"/>
                <w:rtl w:val="true"/>
              </w:rPr>
              <w:t>[</w:t>
            </w:r>
            <w:r>
              <w:rPr>
                <w:rStyle w:val="IndexLink"/>
                <w:rtl w:val="true"/>
              </w:rPr>
              <w:t>معنى وجوب الوضوء</w:t>
            </w:r>
            <w:r>
              <w:rPr>
                <w:rStyle w:val="IndexLink"/>
                <w:rtl w:val="true"/>
              </w:rPr>
              <w:t>]</w:t>
              <w:tab/>
            </w:r>
            <w:r>
              <w:rPr>
                <w:rStyle w:val="IndexLink"/>
              </w:rPr>
              <w:t>229</w:t>
            </w:r>
          </w:hyperlink>
        </w:p>
        <w:p>
          <w:pPr>
            <w:pStyle w:val="Contents5"/>
            <w:tabs>
              <w:tab w:val="clear" w:pos="7892"/>
              <w:tab w:val="right" w:pos="9026" w:leader="dot"/>
            </w:tabs>
            <w:rPr/>
          </w:pPr>
          <w:hyperlink w:anchor="__RefHeading___Toc3601500_3804643083">
            <w:r>
              <w:rPr>
                <w:webHidden/>
                <w:rStyle w:val="IndexLink"/>
                <w:rtl w:val="true"/>
              </w:rPr>
              <w:t>[</w:t>
            </w:r>
            <w:r>
              <w:rPr>
                <w:rStyle w:val="IndexLink"/>
                <w:rtl w:val="true"/>
              </w:rPr>
              <w:t>باب صفة الوضوء</w:t>
            </w:r>
            <w:r>
              <w:rPr>
                <w:rStyle w:val="IndexLink"/>
                <w:rtl w:val="true"/>
              </w:rPr>
              <w:t>]</w:t>
              <w:tab/>
            </w:r>
            <w:r>
              <w:rPr>
                <w:rStyle w:val="IndexLink"/>
              </w:rPr>
              <w:t>234</w:t>
            </w:r>
          </w:hyperlink>
        </w:p>
        <w:p>
          <w:pPr>
            <w:pStyle w:val="Contents5"/>
            <w:tabs>
              <w:tab w:val="clear" w:pos="7892"/>
              <w:tab w:val="right" w:pos="9026" w:leader="dot"/>
            </w:tabs>
            <w:rPr/>
          </w:pPr>
          <w:hyperlink w:anchor="__RefHeading___Toc3601502_3804643083">
            <w:r>
              <w:rPr>
                <w:webHidden/>
                <w:rStyle w:val="IndexLink"/>
                <w:rtl w:val="true"/>
              </w:rPr>
              <w:t>[</w:t>
            </w:r>
            <w:r>
              <w:rPr>
                <w:rStyle w:val="IndexLink"/>
                <w:rtl w:val="true"/>
              </w:rPr>
              <w:t>في معنى الكعب</w:t>
            </w:r>
            <w:r>
              <w:rPr>
                <w:rStyle w:val="IndexLink"/>
                <w:rtl w:val="true"/>
              </w:rPr>
              <w:t>]</w:t>
              <w:tab/>
            </w:r>
            <w:r>
              <w:rPr>
                <w:rStyle w:val="IndexLink"/>
              </w:rPr>
              <w:t>237</w:t>
            </w:r>
          </w:hyperlink>
        </w:p>
        <w:p>
          <w:pPr>
            <w:pStyle w:val="Contents5"/>
            <w:tabs>
              <w:tab w:val="clear" w:pos="7892"/>
              <w:tab w:val="right" w:pos="9026" w:leader="dot"/>
            </w:tabs>
            <w:rPr/>
          </w:pPr>
          <w:hyperlink w:anchor="__RefHeading___Toc3601504_3804643083">
            <w:r>
              <w:rPr>
                <w:webHidden/>
                <w:rStyle w:val="IndexLink"/>
                <w:rtl w:val="true"/>
              </w:rPr>
              <w:t>[</w:t>
            </w:r>
            <w:r>
              <w:rPr>
                <w:rStyle w:val="IndexLink"/>
                <w:rtl w:val="true"/>
              </w:rPr>
              <w:t>حدّ الوجه</w:t>
            </w:r>
            <w:r>
              <w:rPr>
                <w:rStyle w:val="IndexLink"/>
                <w:rtl w:val="true"/>
              </w:rPr>
              <w:t>]</w:t>
              <w:tab/>
            </w:r>
            <w:r>
              <w:rPr>
                <w:rStyle w:val="IndexLink"/>
              </w:rPr>
              <w:t>240</w:t>
            </w:r>
          </w:hyperlink>
        </w:p>
        <w:p>
          <w:pPr>
            <w:pStyle w:val="Contents5"/>
            <w:tabs>
              <w:tab w:val="clear" w:pos="7892"/>
              <w:tab w:val="right" w:pos="9026" w:leader="dot"/>
            </w:tabs>
            <w:rPr/>
          </w:pPr>
          <w:hyperlink w:anchor="__RefHeading___Toc3601506_3804643083">
            <w:r>
              <w:rPr>
                <w:webHidden/>
                <w:rStyle w:val="IndexLink"/>
                <w:rtl w:val="true"/>
              </w:rPr>
              <w:t>[</w:t>
            </w:r>
            <w:r>
              <w:rPr>
                <w:rStyle w:val="IndexLink"/>
                <w:rtl w:val="true"/>
              </w:rPr>
              <w:t>باب غسل الرجلين</w:t>
            </w:r>
            <w:r>
              <w:rPr>
                <w:rStyle w:val="IndexLink"/>
                <w:rtl w:val="true"/>
              </w:rPr>
              <w:t>]</w:t>
              <w:tab/>
            </w:r>
            <w:r>
              <w:rPr>
                <w:rStyle w:val="IndexLink"/>
              </w:rPr>
              <w:t>250</w:t>
            </w:r>
          </w:hyperlink>
        </w:p>
        <w:p>
          <w:pPr>
            <w:pStyle w:val="Contents5"/>
            <w:tabs>
              <w:tab w:val="clear" w:pos="7892"/>
              <w:tab w:val="right" w:pos="9026" w:leader="dot"/>
            </w:tabs>
            <w:rPr/>
          </w:pPr>
          <w:hyperlink w:anchor="__RefHeading___Toc3601508_3804643083">
            <w:r>
              <w:rPr>
                <w:webHidden/>
                <w:rStyle w:val="IndexLink"/>
                <w:rtl w:val="true"/>
              </w:rPr>
              <w:t>[</w:t>
            </w:r>
            <w:r>
              <w:rPr>
                <w:rStyle w:val="IndexLink"/>
                <w:rtl w:val="true"/>
              </w:rPr>
              <w:t>باب مقدار ماء الوضوء</w:t>
            </w:r>
            <w:r>
              <w:rPr>
                <w:rStyle w:val="IndexLink"/>
                <w:rtl w:val="true"/>
              </w:rPr>
              <w:t>]</w:t>
              <w:tab/>
            </w:r>
            <w:r>
              <w:rPr>
                <w:rStyle w:val="IndexLink"/>
              </w:rPr>
              <w:t>252</w:t>
            </w:r>
          </w:hyperlink>
        </w:p>
        <w:p>
          <w:pPr>
            <w:pStyle w:val="Contents5"/>
            <w:tabs>
              <w:tab w:val="clear" w:pos="7892"/>
              <w:tab w:val="right" w:pos="9026" w:leader="dot"/>
            </w:tabs>
            <w:rPr/>
          </w:pPr>
          <w:hyperlink w:anchor="__RefHeading___Toc3601510_3804643083">
            <w:r>
              <w:rPr>
                <w:webHidden/>
                <w:rStyle w:val="IndexLink"/>
                <w:rtl w:val="true"/>
              </w:rPr>
              <w:t>[</w:t>
            </w:r>
            <w:r>
              <w:rPr>
                <w:rStyle w:val="IndexLink"/>
                <w:rtl w:val="true"/>
              </w:rPr>
              <w:t>باب عدد الغسلات في الوضوء</w:t>
            </w:r>
            <w:r>
              <w:rPr>
                <w:rStyle w:val="IndexLink"/>
                <w:rtl w:val="true"/>
              </w:rPr>
              <w:t>]</w:t>
              <w:tab/>
            </w:r>
            <w:r>
              <w:rPr>
                <w:rStyle w:val="IndexLink"/>
              </w:rPr>
              <w:t>254</w:t>
            </w:r>
          </w:hyperlink>
        </w:p>
        <w:p>
          <w:pPr>
            <w:pStyle w:val="Contents5"/>
            <w:tabs>
              <w:tab w:val="clear" w:pos="7892"/>
              <w:tab w:val="right" w:pos="9026" w:leader="dot"/>
            </w:tabs>
            <w:rPr/>
          </w:pPr>
          <w:hyperlink w:anchor="__RefHeading___Toc3601512_3804643083">
            <w:r>
              <w:rPr>
                <w:webHidden/>
                <w:rStyle w:val="IndexLink"/>
                <w:rtl w:val="true"/>
              </w:rPr>
              <w:t>[</w:t>
            </w:r>
            <w:r>
              <w:rPr>
                <w:rStyle w:val="IndexLink"/>
                <w:rtl w:val="true"/>
              </w:rPr>
              <w:t>باب الوضوء بغير الماء</w:t>
            </w:r>
            <w:r>
              <w:rPr>
                <w:rStyle w:val="IndexLink"/>
                <w:rtl w:val="true"/>
              </w:rPr>
              <w:t>]</w:t>
              <w:tab/>
            </w:r>
            <w:r>
              <w:rPr>
                <w:rStyle w:val="IndexLink"/>
              </w:rPr>
              <w:t>262</w:t>
            </w:r>
          </w:hyperlink>
        </w:p>
        <w:p>
          <w:pPr>
            <w:pStyle w:val="Contents5"/>
            <w:tabs>
              <w:tab w:val="clear" w:pos="7892"/>
              <w:tab w:val="right" w:pos="9026" w:leader="dot"/>
            </w:tabs>
            <w:rPr/>
          </w:pPr>
          <w:hyperlink w:anchor="__RefHeading___Toc3601514_3804643083">
            <w:r>
              <w:rPr>
                <w:webHidden/>
                <w:rStyle w:val="IndexLink"/>
                <w:rtl w:val="true"/>
              </w:rPr>
              <w:t>[</w:t>
            </w:r>
            <w:r>
              <w:rPr>
                <w:rStyle w:val="IndexLink"/>
                <w:rtl w:val="true"/>
              </w:rPr>
              <w:t>باب سنن الوضوء و آدابه</w:t>
            </w:r>
            <w:r>
              <w:rPr>
                <w:rStyle w:val="IndexLink"/>
                <w:rtl w:val="true"/>
              </w:rPr>
              <w:t>]</w:t>
              <w:tab/>
            </w:r>
            <w:r>
              <w:rPr>
                <w:rStyle w:val="IndexLink"/>
              </w:rPr>
              <w:t>263</w:t>
            </w:r>
          </w:hyperlink>
        </w:p>
        <w:p>
          <w:pPr>
            <w:pStyle w:val="Contents5"/>
            <w:tabs>
              <w:tab w:val="clear" w:pos="7892"/>
              <w:tab w:val="right" w:pos="9026" w:leader="dot"/>
            </w:tabs>
            <w:rPr/>
          </w:pPr>
          <w:hyperlink w:anchor="__RefHeading___Toc3601516_3804643083">
            <w:r>
              <w:rPr>
                <w:webHidden/>
                <w:rStyle w:val="IndexLink"/>
                <w:rtl w:val="true"/>
              </w:rPr>
              <w:t>[</w:t>
            </w:r>
            <w:r>
              <w:rPr>
                <w:rStyle w:val="IndexLink"/>
                <w:rtl w:val="true"/>
              </w:rPr>
              <w:t>باب ترتيب الوضوء و موالاته و الشكّ و النسيان فيه</w:t>
            </w:r>
            <w:r>
              <w:rPr>
                <w:rStyle w:val="IndexLink"/>
                <w:rtl w:val="true"/>
              </w:rPr>
              <w:t>]</w:t>
              <w:tab/>
            </w:r>
            <w:r>
              <w:rPr>
                <w:rStyle w:val="IndexLink"/>
              </w:rPr>
              <w:t>269</w:t>
            </w:r>
          </w:hyperlink>
        </w:p>
        <w:p>
          <w:pPr>
            <w:pStyle w:val="Contents5"/>
            <w:tabs>
              <w:tab w:val="clear" w:pos="7892"/>
              <w:tab w:val="right" w:pos="9026" w:leader="dot"/>
            </w:tabs>
            <w:rPr/>
          </w:pPr>
          <w:hyperlink w:anchor="__RefHeading___Toc3601518_3804643083">
            <w:r>
              <w:rPr>
                <w:webHidden/>
                <w:rStyle w:val="IndexLink"/>
                <w:rtl w:val="true"/>
              </w:rPr>
              <w:t>[</w:t>
            </w:r>
            <w:r>
              <w:rPr>
                <w:rStyle w:val="IndexLink"/>
                <w:rtl w:val="true"/>
              </w:rPr>
              <w:t>باب وضوء من بأعضائه آفة</w:t>
            </w:r>
            <w:r>
              <w:rPr>
                <w:rStyle w:val="IndexLink"/>
                <w:rtl w:val="true"/>
              </w:rPr>
              <w:t>]</w:t>
              <w:tab/>
            </w:r>
            <w:r>
              <w:rPr>
                <w:rStyle w:val="IndexLink"/>
              </w:rPr>
              <w:t>272</w:t>
            </w:r>
          </w:hyperlink>
        </w:p>
        <w:p>
          <w:pPr>
            <w:pStyle w:val="Contents5"/>
            <w:tabs>
              <w:tab w:val="clear" w:pos="7892"/>
              <w:tab w:val="right" w:pos="9026" w:leader="dot"/>
            </w:tabs>
            <w:rPr/>
          </w:pPr>
          <w:hyperlink w:anchor="__RefHeading___Toc3601520_3804643083">
            <w:r>
              <w:rPr>
                <w:webHidden/>
                <w:rStyle w:val="IndexLink"/>
                <w:rtl w:val="true"/>
              </w:rPr>
              <w:t>[</w:t>
            </w:r>
            <w:r>
              <w:rPr>
                <w:rStyle w:val="IndexLink"/>
                <w:rtl w:val="true"/>
              </w:rPr>
              <w:t>باب فضيلة الوضوء و ثوابه و علّته</w:t>
            </w:r>
            <w:r>
              <w:rPr>
                <w:rStyle w:val="IndexLink"/>
                <w:rtl w:val="true"/>
              </w:rPr>
              <w:t>]</w:t>
              <w:tab/>
            </w:r>
            <w:r>
              <w:rPr>
                <w:rStyle w:val="IndexLink"/>
              </w:rPr>
              <w:t>275</w:t>
            </w:r>
          </w:hyperlink>
        </w:p>
        <w:p>
          <w:pPr>
            <w:pStyle w:val="Contents4"/>
            <w:tabs>
              <w:tab w:val="clear" w:pos="8176"/>
              <w:tab w:val="right" w:pos="9026" w:leader="dot"/>
            </w:tabs>
            <w:rPr/>
          </w:pPr>
          <w:hyperlink w:anchor="__RefHeading___Toc3601522_3804643083">
            <w:r>
              <w:rPr>
                <w:webHidden/>
                <w:rStyle w:val="IndexLink"/>
                <w:rtl w:val="true"/>
              </w:rPr>
              <w:t>[</w:t>
            </w:r>
            <w:r>
              <w:rPr>
                <w:rStyle w:val="IndexLink"/>
                <w:rtl w:val="true"/>
              </w:rPr>
              <w:t>أبواب الغسل</w:t>
            </w:r>
            <w:r>
              <w:rPr>
                <w:rStyle w:val="IndexLink"/>
                <w:rtl w:val="true"/>
              </w:rPr>
              <w:t>]</w:t>
              <w:tab/>
            </w:r>
            <w:r>
              <w:rPr>
                <w:rStyle w:val="IndexLink"/>
              </w:rPr>
              <w:t>277</w:t>
            </w:r>
          </w:hyperlink>
        </w:p>
        <w:p>
          <w:pPr>
            <w:pStyle w:val="Contents5"/>
            <w:tabs>
              <w:tab w:val="clear" w:pos="7892"/>
              <w:tab w:val="right" w:pos="9026" w:leader="dot"/>
            </w:tabs>
            <w:rPr/>
          </w:pPr>
          <w:hyperlink w:anchor="__RefHeading___Toc3601524_3804643083">
            <w:r>
              <w:rPr>
                <w:webHidden/>
                <w:rStyle w:val="IndexLink"/>
                <w:rtl w:val="true"/>
              </w:rPr>
              <w:t>[</w:t>
            </w:r>
            <w:r>
              <w:rPr>
                <w:rStyle w:val="IndexLink"/>
                <w:rtl w:val="true"/>
              </w:rPr>
              <w:t>باب أنواع الغسل</w:t>
            </w:r>
            <w:r>
              <w:rPr>
                <w:rStyle w:val="IndexLink"/>
                <w:rtl w:val="true"/>
              </w:rPr>
              <w:t>]</w:t>
              <w:tab/>
            </w:r>
            <w:r>
              <w:rPr>
                <w:rStyle w:val="IndexLink"/>
              </w:rPr>
              <w:t>277</w:t>
            </w:r>
          </w:hyperlink>
        </w:p>
        <w:p>
          <w:pPr>
            <w:pStyle w:val="Contents5"/>
            <w:tabs>
              <w:tab w:val="clear" w:pos="7892"/>
              <w:tab w:val="right" w:pos="9026" w:leader="dot"/>
            </w:tabs>
            <w:rPr/>
          </w:pPr>
          <w:hyperlink w:anchor="__RefHeading___Toc3601526_3804643083">
            <w:r>
              <w:rPr>
                <w:webHidden/>
                <w:rStyle w:val="IndexLink"/>
                <w:rtl w:val="true"/>
              </w:rPr>
              <w:t>[</w:t>
            </w:r>
            <w:r>
              <w:rPr>
                <w:rStyle w:val="IndexLink"/>
                <w:rtl w:val="true"/>
              </w:rPr>
              <w:t>باب الحثّ على غسل الجمعة و وقته</w:t>
            </w:r>
            <w:r>
              <w:rPr>
                <w:rStyle w:val="IndexLink"/>
                <w:rtl w:val="true"/>
              </w:rPr>
              <w:t>]</w:t>
              <w:tab/>
            </w:r>
            <w:r>
              <w:rPr>
                <w:rStyle w:val="IndexLink"/>
              </w:rPr>
              <w:t>280</w:t>
            </w:r>
          </w:hyperlink>
        </w:p>
        <w:p>
          <w:pPr>
            <w:pStyle w:val="Contents5"/>
            <w:tabs>
              <w:tab w:val="clear" w:pos="7892"/>
              <w:tab w:val="right" w:pos="9026" w:leader="dot"/>
            </w:tabs>
            <w:rPr/>
          </w:pPr>
          <w:hyperlink w:anchor="__RefHeading___Toc3601528_3804643083">
            <w:r>
              <w:rPr>
                <w:webHidden/>
                <w:rStyle w:val="IndexLink"/>
                <w:rtl w:val="true"/>
              </w:rPr>
              <w:t>[</w:t>
            </w:r>
            <w:r>
              <w:rPr>
                <w:rStyle w:val="IndexLink"/>
                <w:rtl w:val="true"/>
              </w:rPr>
              <w:t>باب حدّ الجنابة</w:t>
            </w:r>
            <w:r>
              <w:rPr>
                <w:rStyle w:val="IndexLink"/>
                <w:rtl w:val="true"/>
              </w:rPr>
              <w:t>]</w:t>
              <w:tab/>
            </w:r>
            <w:r>
              <w:rPr>
                <w:rStyle w:val="IndexLink"/>
              </w:rPr>
              <w:t>282</w:t>
            </w:r>
          </w:hyperlink>
        </w:p>
        <w:p>
          <w:pPr>
            <w:pStyle w:val="Contents5"/>
            <w:tabs>
              <w:tab w:val="clear" w:pos="7892"/>
              <w:tab w:val="right" w:pos="9026" w:leader="dot"/>
            </w:tabs>
            <w:rPr/>
          </w:pPr>
          <w:hyperlink w:anchor="__RefHeading___Toc3601530_3804643083">
            <w:r>
              <w:rPr>
                <w:webHidden/>
                <w:rStyle w:val="IndexLink"/>
                <w:rtl w:val="true"/>
              </w:rPr>
              <w:t>[</w:t>
            </w:r>
            <w:r>
              <w:rPr>
                <w:rStyle w:val="IndexLink"/>
                <w:rtl w:val="true"/>
              </w:rPr>
              <w:t>باب احتلام المرأة و إمنائها</w:t>
            </w:r>
            <w:r>
              <w:rPr>
                <w:rStyle w:val="IndexLink"/>
                <w:rtl w:val="true"/>
              </w:rPr>
              <w:t>]</w:t>
              <w:tab/>
            </w:r>
            <w:r>
              <w:rPr>
                <w:rStyle w:val="IndexLink"/>
              </w:rPr>
              <w:t>282</w:t>
            </w:r>
          </w:hyperlink>
        </w:p>
        <w:p>
          <w:pPr>
            <w:pStyle w:val="Contents5"/>
            <w:tabs>
              <w:tab w:val="clear" w:pos="7892"/>
              <w:tab w:val="right" w:pos="9026" w:leader="dot"/>
            </w:tabs>
            <w:rPr/>
          </w:pPr>
          <w:hyperlink w:anchor="__RefHeading___Toc3601532_3804643083">
            <w:r>
              <w:rPr>
                <w:webHidden/>
                <w:rStyle w:val="IndexLink"/>
                <w:rtl w:val="true"/>
              </w:rPr>
              <w:t>[</w:t>
            </w:r>
            <w:r>
              <w:rPr>
                <w:rStyle w:val="IndexLink"/>
                <w:rtl w:val="true"/>
              </w:rPr>
              <w:t>باب إتيان الدبر</w:t>
            </w:r>
            <w:r>
              <w:rPr>
                <w:rStyle w:val="IndexLink"/>
                <w:rtl w:val="true"/>
              </w:rPr>
              <w:t>]</w:t>
              <w:tab/>
            </w:r>
            <w:r>
              <w:rPr>
                <w:rStyle w:val="IndexLink"/>
              </w:rPr>
              <w:t>283</w:t>
            </w:r>
          </w:hyperlink>
        </w:p>
        <w:p>
          <w:pPr>
            <w:pStyle w:val="Contents5"/>
            <w:tabs>
              <w:tab w:val="clear" w:pos="7892"/>
              <w:tab w:val="right" w:pos="9026" w:leader="dot"/>
            </w:tabs>
            <w:rPr/>
          </w:pPr>
          <w:hyperlink w:anchor="__RefHeading___Toc3601534_3804643083">
            <w:r>
              <w:rPr>
                <w:webHidden/>
                <w:rStyle w:val="IndexLink"/>
                <w:rtl w:val="true"/>
              </w:rPr>
              <w:t>[</w:t>
            </w:r>
            <w:r>
              <w:rPr>
                <w:rStyle w:val="IndexLink"/>
                <w:rtl w:val="true"/>
              </w:rPr>
              <w:t>باب خروج البلل بعد الغسل</w:t>
            </w:r>
            <w:r>
              <w:rPr>
                <w:rStyle w:val="IndexLink"/>
                <w:rtl w:val="true"/>
              </w:rPr>
              <w:t>]</w:t>
              <w:tab/>
            </w:r>
            <w:r>
              <w:rPr>
                <w:rStyle w:val="IndexLink"/>
              </w:rPr>
              <w:t>285</w:t>
            </w:r>
          </w:hyperlink>
        </w:p>
        <w:p>
          <w:pPr>
            <w:pStyle w:val="Contents5"/>
            <w:tabs>
              <w:tab w:val="clear" w:pos="7892"/>
              <w:tab w:val="right" w:pos="9026" w:leader="dot"/>
            </w:tabs>
            <w:rPr/>
          </w:pPr>
          <w:hyperlink w:anchor="__RefHeading___Toc3601536_3804643083">
            <w:r>
              <w:rPr>
                <w:webHidden/>
                <w:rStyle w:val="IndexLink"/>
                <w:rtl w:val="true"/>
              </w:rPr>
              <w:t>[</w:t>
            </w:r>
            <w:r>
              <w:rPr>
                <w:rStyle w:val="IndexLink"/>
                <w:rtl w:val="true"/>
              </w:rPr>
              <w:t>باب أحكام الجنب</w:t>
            </w:r>
            <w:r>
              <w:rPr>
                <w:rStyle w:val="IndexLink"/>
                <w:rtl w:val="true"/>
              </w:rPr>
              <w:t>]</w:t>
              <w:tab/>
            </w:r>
            <w:r>
              <w:rPr>
                <w:rStyle w:val="IndexLink"/>
              </w:rPr>
              <w:t>286</w:t>
            </w:r>
          </w:hyperlink>
        </w:p>
        <w:p>
          <w:pPr>
            <w:pStyle w:val="Contents5"/>
            <w:tabs>
              <w:tab w:val="clear" w:pos="7892"/>
              <w:tab w:val="right" w:pos="9026" w:leader="dot"/>
            </w:tabs>
            <w:rPr/>
          </w:pPr>
          <w:hyperlink w:anchor="__RefHeading___Toc3601538_3804643083">
            <w:r>
              <w:rPr>
                <w:webHidden/>
                <w:rStyle w:val="IndexLink"/>
                <w:rtl w:val="true"/>
              </w:rPr>
              <w:t>[</w:t>
            </w:r>
            <w:r>
              <w:rPr>
                <w:rStyle w:val="IndexLink"/>
                <w:rtl w:val="true"/>
              </w:rPr>
              <w:t>باب حدّ مسّ الميّت</w:t>
            </w:r>
            <w:r>
              <w:rPr>
                <w:rStyle w:val="IndexLink"/>
                <w:rtl w:val="true"/>
              </w:rPr>
              <w:t>]</w:t>
              <w:tab/>
            </w:r>
            <w:r>
              <w:rPr>
                <w:rStyle w:val="IndexLink"/>
              </w:rPr>
              <w:t>286</w:t>
            </w:r>
          </w:hyperlink>
        </w:p>
        <w:p>
          <w:pPr>
            <w:pStyle w:val="Contents5"/>
            <w:tabs>
              <w:tab w:val="clear" w:pos="7892"/>
              <w:tab w:val="right" w:pos="9026" w:leader="dot"/>
            </w:tabs>
            <w:rPr/>
          </w:pPr>
          <w:hyperlink w:anchor="__RefHeading___Toc3601540_3804643083">
            <w:r>
              <w:rPr>
                <w:webHidden/>
                <w:rStyle w:val="IndexLink"/>
                <w:rtl w:val="true"/>
              </w:rPr>
              <w:t>[</w:t>
            </w:r>
            <w:r>
              <w:rPr>
                <w:rStyle w:val="IndexLink"/>
                <w:rtl w:val="true"/>
              </w:rPr>
              <w:t>باب حدّ الحيض</w:t>
            </w:r>
            <w:r>
              <w:rPr>
                <w:rStyle w:val="IndexLink"/>
                <w:rtl w:val="true"/>
              </w:rPr>
              <w:t>]</w:t>
              <w:tab/>
            </w:r>
            <w:r>
              <w:rPr>
                <w:rStyle w:val="IndexLink"/>
              </w:rPr>
              <w:t>291</w:t>
            </w:r>
          </w:hyperlink>
        </w:p>
        <w:p>
          <w:pPr>
            <w:pStyle w:val="Contents5"/>
            <w:tabs>
              <w:tab w:val="clear" w:pos="7892"/>
              <w:tab w:val="right" w:pos="9026" w:leader="dot"/>
            </w:tabs>
            <w:rPr/>
          </w:pPr>
          <w:hyperlink w:anchor="__RefHeading___Toc3601542_3804643083">
            <w:r>
              <w:rPr>
                <w:webHidden/>
                <w:rStyle w:val="IndexLink"/>
                <w:rtl w:val="true"/>
              </w:rPr>
              <w:t>[</w:t>
            </w:r>
            <w:r>
              <w:rPr>
                <w:rStyle w:val="IndexLink"/>
                <w:rtl w:val="true"/>
              </w:rPr>
              <w:t>باب ما يتميّز به الحيض من دم العذرة و القرحة</w:t>
            </w:r>
            <w:r>
              <w:rPr>
                <w:rStyle w:val="IndexLink"/>
                <w:rtl w:val="true"/>
              </w:rPr>
              <w:t>]</w:t>
              <w:tab/>
            </w:r>
            <w:r>
              <w:rPr>
                <w:rStyle w:val="IndexLink"/>
              </w:rPr>
              <w:t>296</w:t>
            </w:r>
          </w:hyperlink>
        </w:p>
        <w:p>
          <w:pPr>
            <w:pStyle w:val="Contents5"/>
            <w:tabs>
              <w:tab w:val="clear" w:pos="7892"/>
              <w:tab w:val="right" w:pos="9026" w:leader="dot"/>
            </w:tabs>
            <w:rPr/>
          </w:pPr>
          <w:hyperlink w:anchor="__RefHeading___Toc3601544_3804643083">
            <w:r>
              <w:rPr>
                <w:webHidden/>
                <w:rStyle w:val="IndexLink"/>
                <w:rtl w:val="true"/>
              </w:rPr>
              <w:t>[</w:t>
            </w:r>
            <w:r>
              <w:rPr>
                <w:rStyle w:val="IndexLink"/>
                <w:rtl w:val="true"/>
              </w:rPr>
              <w:t>باب حيض المبتدأة و من اختلفت عليها الأيّام أو اختلطت</w:t>
            </w:r>
            <w:r>
              <w:rPr>
                <w:rStyle w:val="IndexLink"/>
                <w:rtl w:val="true"/>
              </w:rPr>
              <w:t>]</w:t>
              <w:tab/>
            </w:r>
            <w:r>
              <w:rPr>
                <w:rStyle w:val="IndexLink"/>
              </w:rPr>
              <w:t>297</w:t>
            </w:r>
          </w:hyperlink>
        </w:p>
        <w:p>
          <w:pPr>
            <w:pStyle w:val="Contents5"/>
            <w:tabs>
              <w:tab w:val="clear" w:pos="7892"/>
              <w:tab w:val="right" w:pos="9026" w:leader="dot"/>
            </w:tabs>
            <w:rPr/>
          </w:pPr>
          <w:hyperlink w:anchor="__RefHeading___Toc3601546_3804643083">
            <w:r>
              <w:rPr>
                <w:webHidden/>
                <w:rStyle w:val="IndexLink"/>
                <w:rtl w:val="true"/>
              </w:rPr>
              <w:t>[</w:t>
            </w:r>
            <w:r>
              <w:rPr>
                <w:rStyle w:val="IndexLink"/>
                <w:rtl w:val="true"/>
              </w:rPr>
              <w:t>باب الحبلى ترى الدم</w:t>
            </w:r>
            <w:r>
              <w:rPr>
                <w:rStyle w:val="IndexLink"/>
                <w:rtl w:val="true"/>
              </w:rPr>
              <w:t>]</w:t>
              <w:tab/>
            </w:r>
            <w:r>
              <w:rPr>
                <w:rStyle w:val="IndexLink"/>
              </w:rPr>
              <w:t>299</w:t>
            </w:r>
          </w:hyperlink>
        </w:p>
        <w:p>
          <w:pPr>
            <w:pStyle w:val="Contents5"/>
            <w:tabs>
              <w:tab w:val="clear" w:pos="7892"/>
              <w:tab w:val="right" w:pos="9026" w:leader="dot"/>
            </w:tabs>
            <w:rPr/>
          </w:pPr>
          <w:hyperlink w:anchor="__RefHeading___Toc3601548_3804643083">
            <w:r>
              <w:rPr>
                <w:webHidden/>
                <w:rStyle w:val="IndexLink"/>
                <w:rtl w:val="true"/>
              </w:rPr>
              <w:t>[</w:t>
            </w:r>
            <w:r>
              <w:rPr>
                <w:rStyle w:val="IndexLink"/>
                <w:rtl w:val="true"/>
              </w:rPr>
              <w:t>باب الاستحاضة</w:t>
            </w:r>
            <w:r>
              <w:rPr>
                <w:rStyle w:val="IndexLink"/>
                <w:rtl w:val="true"/>
              </w:rPr>
              <w:t>]</w:t>
              <w:tab/>
            </w:r>
            <w:r>
              <w:rPr>
                <w:rStyle w:val="IndexLink"/>
              </w:rPr>
              <w:t>301</w:t>
            </w:r>
          </w:hyperlink>
        </w:p>
        <w:p>
          <w:pPr>
            <w:pStyle w:val="Contents5"/>
            <w:tabs>
              <w:tab w:val="clear" w:pos="7892"/>
              <w:tab w:val="right" w:pos="9026" w:leader="dot"/>
            </w:tabs>
            <w:rPr/>
          </w:pPr>
          <w:hyperlink w:anchor="__RefHeading___Toc3601550_3804643083">
            <w:r>
              <w:rPr>
                <w:webHidden/>
                <w:rStyle w:val="IndexLink"/>
                <w:rtl w:val="true"/>
              </w:rPr>
              <w:t>[</w:t>
            </w:r>
            <w:r>
              <w:rPr>
                <w:rStyle w:val="IndexLink"/>
                <w:rtl w:val="true"/>
              </w:rPr>
              <w:t>باب حدّ النفاس</w:t>
            </w:r>
            <w:r>
              <w:rPr>
                <w:rStyle w:val="IndexLink"/>
                <w:rtl w:val="true"/>
              </w:rPr>
              <w:t>]</w:t>
              <w:tab/>
            </w:r>
            <w:r>
              <w:rPr>
                <w:rStyle w:val="IndexLink"/>
              </w:rPr>
              <w:t>306</w:t>
            </w:r>
          </w:hyperlink>
        </w:p>
        <w:p>
          <w:pPr>
            <w:pStyle w:val="Contents5"/>
            <w:tabs>
              <w:tab w:val="clear" w:pos="7892"/>
              <w:tab w:val="right" w:pos="9026" w:leader="dot"/>
            </w:tabs>
            <w:rPr/>
          </w:pPr>
          <w:hyperlink w:anchor="__RefHeading___Toc3601552_3804643083">
            <w:r>
              <w:rPr>
                <w:webHidden/>
                <w:rStyle w:val="IndexLink"/>
                <w:rtl w:val="true"/>
              </w:rPr>
              <w:t>[</w:t>
            </w:r>
            <w:r>
              <w:rPr>
                <w:rStyle w:val="IndexLink"/>
                <w:rtl w:val="true"/>
              </w:rPr>
              <w:t>باب صفة الغسل و آدابه</w:t>
            </w:r>
            <w:r>
              <w:rPr>
                <w:rStyle w:val="IndexLink"/>
                <w:rtl w:val="true"/>
              </w:rPr>
              <w:t>]</w:t>
              <w:tab/>
            </w:r>
            <w:r>
              <w:rPr>
                <w:rStyle w:val="IndexLink"/>
              </w:rPr>
              <w:t>310</w:t>
            </w:r>
          </w:hyperlink>
        </w:p>
        <w:p>
          <w:pPr>
            <w:pStyle w:val="Contents5"/>
            <w:tabs>
              <w:tab w:val="clear" w:pos="7892"/>
              <w:tab w:val="right" w:pos="9026" w:leader="dot"/>
            </w:tabs>
            <w:rPr/>
          </w:pPr>
          <w:hyperlink w:anchor="__RefHeading___Toc3601554_3804643083">
            <w:r>
              <w:rPr>
                <w:webHidden/>
                <w:rStyle w:val="IndexLink"/>
                <w:rtl w:val="true"/>
              </w:rPr>
              <w:t>[</w:t>
            </w:r>
            <w:r>
              <w:rPr>
                <w:rStyle w:val="IndexLink"/>
                <w:rtl w:val="true"/>
              </w:rPr>
              <w:t>باب وجوب تقديم الرأس في الغسل و سقوط الموالاة فيه</w:t>
            </w:r>
            <w:r>
              <w:rPr>
                <w:rStyle w:val="IndexLink"/>
                <w:rtl w:val="true"/>
              </w:rPr>
              <w:t>]</w:t>
              <w:tab/>
            </w:r>
            <w:r>
              <w:rPr>
                <w:rStyle w:val="IndexLink"/>
              </w:rPr>
              <w:t>313</w:t>
            </w:r>
          </w:hyperlink>
        </w:p>
        <w:p>
          <w:pPr>
            <w:pStyle w:val="Contents5"/>
            <w:tabs>
              <w:tab w:val="clear" w:pos="7892"/>
              <w:tab w:val="right" w:pos="9026" w:leader="dot"/>
            </w:tabs>
            <w:rPr/>
          </w:pPr>
          <w:hyperlink w:anchor="__RefHeading___Toc3601556_3804643083">
            <w:r>
              <w:rPr>
                <w:webHidden/>
                <w:rStyle w:val="IndexLink"/>
                <w:rtl w:val="true"/>
              </w:rPr>
              <w:t>[</w:t>
            </w:r>
            <w:r>
              <w:rPr>
                <w:rStyle w:val="IndexLink"/>
                <w:rtl w:val="true"/>
              </w:rPr>
              <w:t>باب إجزاء الارتماس و إصابة المطر و الثلج عن الغسل و قدر ماء الغسل</w:t>
            </w:r>
            <w:r>
              <w:rPr>
                <w:rStyle w:val="IndexLink"/>
                <w:rtl w:val="true"/>
              </w:rPr>
              <w:t>]</w:t>
              <w:tab/>
            </w:r>
            <w:r>
              <w:rPr>
                <w:rStyle w:val="IndexLink"/>
              </w:rPr>
              <w:t>315</w:t>
            </w:r>
          </w:hyperlink>
        </w:p>
        <w:p>
          <w:pPr>
            <w:pStyle w:val="Contents5"/>
            <w:tabs>
              <w:tab w:val="clear" w:pos="7892"/>
              <w:tab w:val="right" w:pos="9026" w:leader="dot"/>
            </w:tabs>
            <w:rPr/>
          </w:pPr>
          <w:hyperlink w:anchor="__RefHeading___Toc3601558_3804643083">
            <w:r>
              <w:rPr>
                <w:webHidden/>
                <w:rStyle w:val="IndexLink"/>
                <w:rtl w:val="true"/>
              </w:rPr>
              <w:t>[</w:t>
            </w:r>
            <w:r>
              <w:rPr>
                <w:rStyle w:val="IndexLink"/>
                <w:rtl w:val="true"/>
              </w:rPr>
              <w:t>باب أنّ الغسل يجزي عن الوضوء</w:t>
            </w:r>
            <w:r>
              <w:rPr>
                <w:rStyle w:val="IndexLink"/>
                <w:rtl w:val="true"/>
              </w:rPr>
              <w:t>]</w:t>
              <w:tab/>
            </w:r>
            <w:r>
              <w:rPr>
                <w:rStyle w:val="IndexLink"/>
              </w:rPr>
              <w:t>316</w:t>
            </w:r>
          </w:hyperlink>
        </w:p>
        <w:p>
          <w:pPr>
            <w:pStyle w:val="Contents5"/>
            <w:tabs>
              <w:tab w:val="clear" w:pos="7892"/>
              <w:tab w:val="right" w:pos="9026" w:leader="dot"/>
            </w:tabs>
            <w:rPr/>
          </w:pPr>
          <w:hyperlink w:anchor="__RefHeading___Toc3601560_3804643083">
            <w:r>
              <w:rPr>
                <w:webHidden/>
                <w:rStyle w:val="IndexLink"/>
                <w:rtl w:val="true"/>
              </w:rPr>
              <w:t>[</w:t>
            </w:r>
            <w:r>
              <w:rPr>
                <w:rStyle w:val="IndexLink"/>
                <w:rtl w:val="true"/>
              </w:rPr>
              <w:t>باب علّة غسل الجنابة و ثوابه</w:t>
            </w:r>
            <w:r>
              <w:rPr>
                <w:rStyle w:val="IndexLink"/>
                <w:rtl w:val="true"/>
              </w:rPr>
              <w:t>]</w:t>
              <w:tab/>
            </w:r>
            <w:r>
              <w:rPr>
                <w:rStyle w:val="IndexLink"/>
              </w:rPr>
              <w:t>323</w:t>
            </w:r>
          </w:hyperlink>
        </w:p>
        <w:p>
          <w:pPr>
            <w:pStyle w:val="Contents4"/>
            <w:tabs>
              <w:tab w:val="clear" w:pos="8176"/>
              <w:tab w:val="right" w:pos="9026" w:leader="dot"/>
            </w:tabs>
            <w:rPr/>
          </w:pPr>
          <w:hyperlink w:anchor="__RefHeading___Toc3601562_3804643083">
            <w:r>
              <w:rPr>
                <w:webHidden/>
                <w:rStyle w:val="IndexLink"/>
                <w:rtl w:val="true"/>
              </w:rPr>
              <w:t>[</w:t>
            </w:r>
            <w:r>
              <w:rPr>
                <w:rStyle w:val="IndexLink"/>
                <w:rtl w:val="true"/>
              </w:rPr>
              <w:t>أبواب التيمّم</w:t>
            </w:r>
            <w:r>
              <w:rPr>
                <w:rStyle w:val="IndexLink"/>
                <w:rtl w:val="true"/>
              </w:rPr>
              <w:t>]</w:t>
              <w:tab/>
            </w:r>
            <w:r>
              <w:rPr>
                <w:rStyle w:val="IndexLink"/>
              </w:rPr>
              <w:t>325</w:t>
            </w:r>
          </w:hyperlink>
        </w:p>
        <w:p>
          <w:pPr>
            <w:pStyle w:val="Contents5"/>
            <w:tabs>
              <w:tab w:val="clear" w:pos="7892"/>
              <w:tab w:val="right" w:pos="9026" w:leader="dot"/>
            </w:tabs>
            <w:rPr/>
          </w:pPr>
          <w:hyperlink w:anchor="__RefHeading___Toc3601564_3804643083">
            <w:r>
              <w:rPr>
                <w:webHidden/>
                <w:rStyle w:val="IndexLink"/>
                <w:rtl w:val="true"/>
              </w:rPr>
              <w:t>[</w:t>
            </w:r>
            <w:r>
              <w:rPr>
                <w:rStyle w:val="IndexLink"/>
                <w:rtl w:val="true"/>
              </w:rPr>
              <w:t>باب ما يوجب التيمّم</w:t>
            </w:r>
            <w:r>
              <w:rPr>
                <w:rStyle w:val="IndexLink"/>
                <w:rtl w:val="true"/>
              </w:rPr>
              <w:t>]</w:t>
              <w:tab/>
            </w:r>
            <w:r>
              <w:rPr>
                <w:rStyle w:val="IndexLink"/>
              </w:rPr>
              <w:t>325</w:t>
            </w:r>
          </w:hyperlink>
        </w:p>
        <w:p>
          <w:pPr>
            <w:pStyle w:val="Contents5"/>
            <w:tabs>
              <w:tab w:val="clear" w:pos="7892"/>
              <w:tab w:val="right" w:pos="9026" w:leader="dot"/>
            </w:tabs>
            <w:rPr/>
          </w:pPr>
          <w:hyperlink w:anchor="__RefHeading___Toc3601566_3804643083">
            <w:r>
              <w:rPr>
                <w:webHidden/>
                <w:rStyle w:val="IndexLink"/>
                <w:rtl w:val="true"/>
              </w:rPr>
              <w:t>[</w:t>
            </w:r>
            <w:r>
              <w:rPr>
                <w:rStyle w:val="IndexLink"/>
                <w:rtl w:val="true"/>
              </w:rPr>
              <w:t>باب أحكام التيمّم و المتيمّم</w:t>
            </w:r>
            <w:r>
              <w:rPr>
                <w:rStyle w:val="IndexLink"/>
                <w:rtl w:val="true"/>
              </w:rPr>
              <w:t>]</w:t>
              <w:tab/>
            </w:r>
            <w:r>
              <w:rPr>
                <w:rStyle w:val="IndexLink"/>
              </w:rPr>
              <w:t>329</w:t>
            </w:r>
          </w:hyperlink>
        </w:p>
        <w:p>
          <w:pPr>
            <w:pStyle w:val="Contents5"/>
            <w:tabs>
              <w:tab w:val="clear" w:pos="7892"/>
              <w:tab w:val="right" w:pos="9026" w:leader="dot"/>
            </w:tabs>
            <w:rPr/>
          </w:pPr>
          <w:hyperlink w:anchor="__RefHeading___Toc3601568_3804643083">
            <w:r>
              <w:rPr>
                <w:webHidden/>
                <w:rStyle w:val="IndexLink"/>
                <w:rtl w:val="true"/>
              </w:rPr>
              <w:t>[</w:t>
            </w:r>
            <w:r>
              <w:rPr>
                <w:rStyle w:val="IndexLink"/>
                <w:rtl w:val="true"/>
              </w:rPr>
              <w:t>باب صفة التيمّم</w:t>
            </w:r>
            <w:r>
              <w:rPr>
                <w:rStyle w:val="IndexLink"/>
                <w:rtl w:val="true"/>
              </w:rPr>
              <w:t>]</w:t>
              <w:tab/>
            </w:r>
            <w:r>
              <w:rPr>
                <w:rStyle w:val="IndexLink"/>
              </w:rPr>
              <w:t>331</w:t>
            </w:r>
          </w:hyperlink>
        </w:p>
        <w:p>
          <w:pPr>
            <w:pStyle w:val="Contents4"/>
            <w:tabs>
              <w:tab w:val="clear" w:pos="8176"/>
              <w:tab w:val="right" w:pos="9026" w:leader="dot"/>
            </w:tabs>
            <w:rPr/>
          </w:pPr>
          <w:hyperlink w:anchor="__RefHeading___Toc3601570_3804643083">
            <w:r>
              <w:rPr>
                <w:webHidden/>
                <w:rStyle w:val="IndexLink"/>
                <w:rtl w:val="true"/>
              </w:rPr>
              <w:t>[</w:t>
            </w:r>
            <w:r>
              <w:rPr>
                <w:rStyle w:val="IndexLink"/>
                <w:rtl w:val="true"/>
              </w:rPr>
              <w:t>أبواب قضاء التفث و التزيّن</w:t>
            </w:r>
            <w:r>
              <w:rPr>
                <w:rStyle w:val="IndexLink"/>
                <w:rtl w:val="true"/>
              </w:rPr>
              <w:t>]</w:t>
              <w:tab/>
            </w:r>
            <w:r>
              <w:rPr>
                <w:rStyle w:val="IndexLink"/>
              </w:rPr>
              <w:t>332</w:t>
            </w:r>
          </w:hyperlink>
        </w:p>
        <w:p>
          <w:pPr>
            <w:pStyle w:val="Contents5"/>
            <w:tabs>
              <w:tab w:val="clear" w:pos="7892"/>
              <w:tab w:val="right" w:pos="9026" w:leader="dot"/>
            </w:tabs>
            <w:rPr/>
          </w:pPr>
          <w:hyperlink w:anchor="__RefHeading___Toc3601572_3804643083">
            <w:r>
              <w:rPr>
                <w:webHidden/>
                <w:rStyle w:val="IndexLink"/>
                <w:rtl w:val="true"/>
              </w:rPr>
              <w:t>[</w:t>
            </w:r>
            <w:r>
              <w:rPr>
                <w:rStyle w:val="IndexLink"/>
                <w:rtl w:val="true"/>
              </w:rPr>
              <w:t>باب حلق الرأس و جزّ شعره و فرقه إذا ترك</w:t>
            </w:r>
            <w:r>
              <w:rPr>
                <w:rStyle w:val="IndexLink"/>
                <w:rtl w:val="true"/>
              </w:rPr>
              <w:t>]</w:t>
              <w:tab/>
            </w:r>
            <w:r>
              <w:rPr>
                <w:rStyle w:val="IndexLink"/>
              </w:rPr>
              <w:t>332</w:t>
            </w:r>
          </w:hyperlink>
        </w:p>
        <w:p>
          <w:pPr>
            <w:pStyle w:val="Contents2"/>
            <w:tabs>
              <w:tab w:val="clear" w:pos="8743"/>
              <w:tab w:val="right" w:pos="9026" w:leader="dot"/>
            </w:tabs>
            <w:rPr/>
          </w:pPr>
          <w:hyperlink w:anchor="__RefHeading___Toc3601574_3804643083">
            <w:r>
              <w:rPr>
                <w:webHidden/>
                <w:rStyle w:val="IndexLink"/>
                <w:rtl w:val="true"/>
              </w:rPr>
              <w:t>كتاب الصلاة</w:t>
            </w:r>
            <w:r>
              <w:rPr>
                <w:rStyle w:val="IndexLink"/>
                <w:rtl w:val="true"/>
              </w:rPr>
              <w:tab/>
            </w:r>
            <w:r>
              <w:rPr>
                <w:rStyle w:val="IndexLink"/>
              </w:rPr>
              <w:t>333</w:t>
            </w:r>
          </w:hyperlink>
        </w:p>
        <w:p>
          <w:pPr>
            <w:pStyle w:val="Contents3"/>
            <w:tabs>
              <w:tab w:val="clear" w:pos="8459"/>
              <w:tab w:val="right" w:pos="9026" w:leader="dot"/>
            </w:tabs>
            <w:rPr/>
          </w:pPr>
          <w:hyperlink w:anchor="__RefHeading___Toc3601576_380464308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3601578_3804643083">
            <w:r>
              <w:rPr>
                <w:webHidden/>
                <w:rStyle w:val="IndexLink"/>
                <w:rtl w:val="true"/>
              </w:rPr>
              <w:t>[</w:t>
            </w:r>
            <w:r>
              <w:rPr>
                <w:rStyle w:val="IndexLink"/>
                <w:rtl w:val="true"/>
              </w:rPr>
              <w:t>أبواب فضل الصلاة و فرضها</w:t>
            </w:r>
            <w:r>
              <w:rPr>
                <w:rStyle w:val="IndexLink"/>
                <w:rtl w:val="true"/>
              </w:rPr>
              <w:t>]</w:t>
              <w:tab/>
            </w:r>
            <w:r>
              <w:rPr>
                <w:rStyle w:val="IndexLink"/>
              </w:rPr>
              <w:t>334</w:t>
            </w:r>
          </w:hyperlink>
        </w:p>
        <w:p>
          <w:pPr>
            <w:pStyle w:val="Contents4"/>
            <w:tabs>
              <w:tab w:val="clear" w:pos="8176"/>
              <w:tab w:val="right" w:pos="9026" w:leader="dot"/>
            </w:tabs>
            <w:rPr/>
          </w:pPr>
          <w:hyperlink w:anchor="__RefHeading___Toc3601580_3804643083">
            <w:r>
              <w:rPr>
                <w:webHidden/>
                <w:rStyle w:val="IndexLink"/>
                <w:rtl w:val="true"/>
              </w:rPr>
              <w:t>[</w:t>
            </w:r>
            <w:r>
              <w:rPr>
                <w:rStyle w:val="IndexLink"/>
                <w:rtl w:val="true"/>
              </w:rPr>
              <w:t>باب الفرض في الصلاة</w:t>
            </w:r>
            <w:r>
              <w:rPr>
                <w:rStyle w:val="IndexLink"/>
                <w:rtl w:val="true"/>
              </w:rPr>
              <w:t>]</w:t>
              <w:tab/>
            </w:r>
            <w:r>
              <w:rPr>
                <w:rStyle w:val="IndexLink"/>
              </w:rPr>
              <w:t>334</w:t>
            </w:r>
          </w:hyperlink>
        </w:p>
        <w:p>
          <w:pPr>
            <w:pStyle w:val="Contents4"/>
            <w:tabs>
              <w:tab w:val="clear" w:pos="8176"/>
              <w:tab w:val="right" w:pos="9026" w:leader="dot"/>
            </w:tabs>
            <w:rPr/>
          </w:pPr>
          <w:hyperlink w:anchor="__RefHeading___Toc3601582_3804643083">
            <w:r>
              <w:rPr>
                <w:webHidden/>
                <w:rStyle w:val="IndexLink"/>
                <w:rtl w:val="true"/>
              </w:rPr>
              <w:t>[</w:t>
            </w:r>
            <w:r>
              <w:rPr>
                <w:rStyle w:val="IndexLink"/>
                <w:rtl w:val="true"/>
              </w:rPr>
              <w:t>باب حدّ المسير الذي يقصّر فيه الصلاة</w:t>
            </w:r>
            <w:r>
              <w:rPr>
                <w:rStyle w:val="IndexLink"/>
                <w:rtl w:val="true"/>
              </w:rPr>
              <w:t>]</w:t>
              <w:tab/>
            </w:r>
            <w:r>
              <w:rPr>
                <w:rStyle w:val="IndexLink"/>
              </w:rPr>
              <w:t>334</w:t>
            </w:r>
          </w:hyperlink>
        </w:p>
        <w:p>
          <w:pPr>
            <w:pStyle w:val="Contents4"/>
            <w:tabs>
              <w:tab w:val="clear" w:pos="8176"/>
              <w:tab w:val="right" w:pos="9026" w:leader="dot"/>
            </w:tabs>
            <w:rPr/>
          </w:pPr>
          <w:hyperlink w:anchor="__RefHeading___Toc3601584_3804643083">
            <w:r>
              <w:rPr>
                <w:webHidden/>
                <w:rStyle w:val="IndexLink"/>
                <w:rtl w:val="true"/>
              </w:rPr>
              <w:t>[</w:t>
            </w:r>
            <w:r>
              <w:rPr>
                <w:rStyle w:val="IndexLink"/>
                <w:rtl w:val="true"/>
              </w:rPr>
              <w:t>باب أنّه متى يشرع المسافر في التقصير أو يعود إلى التمام</w:t>
            </w:r>
            <w:r>
              <w:rPr>
                <w:rStyle w:val="IndexLink"/>
                <w:rtl w:val="true"/>
              </w:rPr>
              <w:t>]</w:t>
              <w:tab/>
            </w:r>
            <w:r>
              <w:rPr>
                <w:rStyle w:val="IndexLink"/>
              </w:rPr>
              <w:t>340</w:t>
            </w:r>
          </w:hyperlink>
        </w:p>
        <w:p>
          <w:pPr>
            <w:pStyle w:val="Contents5"/>
            <w:tabs>
              <w:tab w:val="clear" w:pos="7892"/>
              <w:tab w:val="right" w:pos="9026" w:leader="dot"/>
            </w:tabs>
            <w:rPr/>
          </w:pPr>
          <w:hyperlink w:anchor="__RefHeading___Toc3601586_3804643083">
            <w:r>
              <w:rPr>
                <w:webHidden/>
                <w:rStyle w:val="IndexLink"/>
                <w:rtl w:val="true"/>
              </w:rPr>
              <w:t>[</w:t>
            </w:r>
            <w:r>
              <w:rPr>
                <w:rStyle w:val="IndexLink"/>
                <w:rtl w:val="true"/>
              </w:rPr>
              <w:t>بيان حدّ الترخّص</w:t>
            </w:r>
            <w:r>
              <w:rPr>
                <w:rStyle w:val="IndexLink"/>
                <w:rtl w:val="true"/>
              </w:rPr>
              <w:t>]</w:t>
              <w:tab/>
            </w:r>
            <w:r>
              <w:rPr>
                <w:rStyle w:val="IndexLink"/>
              </w:rPr>
              <w:t>340</w:t>
            </w:r>
          </w:hyperlink>
        </w:p>
        <w:p>
          <w:pPr>
            <w:pStyle w:val="Contents4"/>
            <w:tabs>
              <w:tab w:val="clear" w:pos="8176"/>
              <w:tab w:val="right" w:pos="9026" w:leader="dot"/>
            </w:tabs>
            <w:rPr/>
          </w:pPr>
          <w:hyperlink w:anchor="__RefHeading___Toc3601588_3804643083">
            <w:r>
              <w:rPr>
                <w:webHidden/>
                <w:rStyle w:val="IndexLink"/>
                <w:rtl w:val="true"/>
              </w:rPr>
              <w:t>[</w:t>
            </w:r>
            <w:r>
              <w:rPr>
                <w:rStyle w:val="IndexLink"/>
                <w:rtl w:val="true"/>
              </w:rPr>
              <w:t>باب عزم الإقامة في السفر و التردّد فيها</w:t>
            </w:r>
            <w:r>
              <w:rPr>
                <w:rStyle w:val="IndexLink"/>
                <w:rtl w:val="true"/>
              </w:rPr>
              <w:t>]</w:t>
              <w:tab/>
            </w:r>
            <w:r>
              <w:rPr>
                <w:rStyle w:val="IndexLink"/>
              </w:rPr>
              <w:t>345</w:t>
            </w:r>
          </w:hyperlink>
        </w:p>
        <w:p>
          <w:pPr>
            <w:pStyle w:val="Contents4"/>
            <w:tabs>
              <w:tab w:val="clear" w:pos="8176"/>
              <w:tab w:val="right" w:pos="9026" w:leader="dot"/>
            </w:tabs>
            <w:rPr/>
          </w:pPr>
          <w:hyperlink w:anchor="__RefHeading___Toc3601590_3804643083">
            <w:r>
              <w:rPr>
                <w:webHidden/>
                <w:rStyle w:val="IndexLink"/>
                <w:rtl w:val="true"/>
              </w:rPr>
              <w:t>[</w:t>
            </w:r>
            <w:r>
              <w:rPr>
                <w:rStyle w:val="IndexLink"/>
                <w:rtl w:val="true"/>
              </w:rPr>
              <w:t>باب من يخرج إلى ضيعته أو يمرّ بها أو ينزل على بعض أهله</w:t>
            </w:r>
            <w:r>
              <w:rPr>
                <w:rStyle w:val="IndexLink"/>
                <w:rtl w:val="true"/>
              </w:rPr>
              <w:t>]</w:t>
              <w:tab/>
            </w:r>
            <w:r>
              <w:rPr>
                <w:rStyle w:val="IndexLink"/>
              </w:rPr>
              <w:t>349</w:t>
            </w:r>
          </w:hyperlink>
        </w:p>
        <w:p>
          <w:pPr>
            <w:pStyle w:val="Contents5"/>
            <w:tabs>
              <w:tab w:val="clear" w:pos="7892"/>
              <w:tab w:val="right" w:pos="9026" w:leader="dot"/>
            </w:tabs>
            <w:rPr/>
          </w:pPr>
          <w:hyperlink w:anchor="__RefHeading___Toc3601592_3804643083">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601594_3804643083">
            <w:r>
              <w:rPr>
                <w:webHidden/>
                <w:rStyle w:val="IndexLink"/>
                <w:rtl w:val="true"/>
              </w:rPr>
              <w:t>[</w:t>
            </w:r>
            <w:r>
              <w:rPr>
                <w:rStyle w:val="IndexLink"/>
                <w:rtl w:val="true"/>
              </w:rPr>
              <w:t>اعتبار الاستيطان في المنزل</w:t>
            </w:r>
            <w:r>
              <w:rPr>
                <w:rStyle w:val="IndexLink"/>
                <w:rtl w:val="true"/>
              </w:rPr>
              <w:t>]</w:t>
              <w:tab/>
            </w:r>
            <w:r>
              <w:rPr>
                <w:rStyle w:val="IndexLink"/>
              </w:rPr>
              <w:t>350</w:t>
            </w:r>
          </w:hyperlink>
        </w:p>
        <w:p>
          <w:pPr>
            <w:pStyle w:val="Contents4"/>
            <w:tabs>
              <w:tab w:val="clear" w:pos="8176"/>
              <w:tab w:val="right" w:pos="9026" w:leader="dot"/>
            </w:tabs>
            <w:rPr/>
          </w:pPr>
          <w:hyperlink w:anchor="__RefHeading___Toc3601596_3804643083">
            <w:r>
              <w:rPr>
                <w:webHidden/>
                <w:rStyle w:val="IndexLink"/>
                <w:rtl w:val="true"/>
              </w:rPr>
              <w:t>[</w:t>
            </w:r>
            <w:r>
              <w:rPr>
                <w:rStyle w:val="IndexLink"/>
                <w:rtl w:val="true"/>
              </w:rPr>
              <w:t>باب من كان السفر عمله أو منزله معه</w:t>
            </w:r>
            <w:r>
              <w:rPr>
                <w:rStyle w:val="IndexLink"/>
                <w:rtl w:val="true"/>
              </w:rPr>
              <w:t>]</w:t>
              <w:tab/>
            </w:r>
            <w:r>
              <w:rPr>
                <w:rStyle w:val="IndexLink"/>
              </w:rPr>
              <w:t>359</w:t>
            </w:r>
          </w:hyperlink>
        </w:p>
        <w:p>
          <w:pPr>
            <w:pStyle w:val="Contents4"/>
            <w:tabs>
              <w:tab w:val="clear" w:pos="8176"/>
              <w:tab w:val="right" w:pos="9026" w:leader="dot"/>
            </w:tabs>
            <w:rPr/>
          </w:pPr>
          <w:hyperlink w:anchor="__RefHeading___Toc3601598_3804643083">
            <w:r>
              <w:rPr>
                <w:webHidden/>
                <w:rStyle w:val="IndexLink"/>
                <w:rtl w:val="true"/>
              </w:rPr>
              <w:t>[</w:t>
            </w:r>
            <w:r>
              <w:rPr>
                <w:rStyle w:val="IndexLink"/>
                <w:rtl w:val="true"/>
              </w:rPr>
              <w:t>باب من كان سفره باطلا</w:t>
            </w:r>
            <w:r>
              <w:rPr>
                <w:rStyle w:val="IndexLink"/>
                <w:rtl w:val="true"/>
              </w:rPr>
              <w:t>]</w:t>
              <w:tab/>
            </w:r>
            <w:r>
              <w:rPr>
                <w:rStyle w:val="IndexLink"/>
              </w:rPr>
              <w:t>359</w:t>
            </w:r>
          </w:hyperlink>
        </w:p>
        <w:p>
          <w:pPr>
            <w:pStyle w:val="Contents4"/>
            <w:tabs>
              <w:tab w:val="clear" w:pos="8176"/>
              <w:tab w:val="right" w:pos="9026" w:leader="dot"/>
            </w:tabs>
            <w:rPr/>
          </w:pPr>
          <w:hyperlink w:anchor="__RefHeading___Toc3601600_3804643083">
            <w:r>
              <w:rPr>
                <w:webHidden/>
                <w:rStyle w:val="IndexLink"/>
                <w:rtl w:val="true"/>
              </w:rPr>
              <w:t>[</w:t>
            </w:r>
            <w:r>
              <w:rPr>
                <w:rStyle w:val="IndexLink"/>
                <w:rtl w:val="true"/>
              </w:rPr>
              <w:t>باب إتمام الصلاة في الحرم الأربعة</w:t>
            </w:r>
            <w:r>
              <w:rPr>
                <w:rStyle w:val="IndexLink"/>
                <w:rtl w:val="true"/>
              </w:rPr>
              <w:t>]</w:t>
              <w:tab/>
            </w:r>
            <w:r>
              <w:rPr>
                <w:rStyle w:val="IndexLink"/>
              </w:rPr>
              <w:t>360</w:t>
            </w:r>
          </w:hyperlink>
        </w:p>
        <w:p>
          <w:pPr>
            <w:pStyle w:val="Contents3"/>
            <w:tabs>
              <w:tab w:val="clear" w:pos="8459"/>
              <w:tab w:val="right" w:pos="9026" w:leader="dot"/>
            </w:tabs>
            <w:rPr/>
          </w:pPr>
          <w:hyperlink w:anchor="__RefHeading___Toc3601602_3804643083">
            <w:r>
              <w:rPr>
                <w:webHidden/>
                <w:rStyle w:val="IndexLink"/>
                <w:rtl w:val="true"/>
              </w:rPr>
              <w:t>[</w:t>
            </w:r>
            <w:r>
              <w:rPr>
                <w:rStyle w:val="IndexLink"/>
                <w:rtl w:val="true"/>
              </w:rPr>
              <w:t>أبواب مواقيت الصلاة</w:t>
            </w:r>
            <w:r>
              <w:rPr>
                <w:rStyle w:val="IndexLink"/>
                <w:rtl w:val="true"/>
              </w:rPr>
              <w:t>]</w:t>
              <w:tab/>
            </w:r>
            <w:r>
              <w:rPr>
                <w:rStyle w:val="IndexLink"/>
              </w:rPr>
              <w:t>370</w:t>
            </w:r>
          </w:hyperlink>
        </w:p>
        <w:p>
          <w:pPr>
            <w:pStyle w:val="Contents4"/>
            <w:tabs>
              <w:tab w:val="clear" w:pos="8176"/>
              <w:tab w:val="right" w:pos="9026" w:leader="dot"/>
            </w:tabs>
            <w:rPr/>
          </w:pPr>
          <w:hyperlink w:anchor="__RefHeading___Toc3601604_3804643083">
            <w:r>
              <w:rPr>
                <w:webHidden/>
                <w:rStyle w:val="IndexLink"/>
                <w:rtl w:val="true"/>
              </w:rPr>
              <w:t>[</w:t>
            </w:r>
            <w:r>
              <w:rPr>
                <w:rStyle w:val="IndexLink"/>
                <w:rtl w:val="true"/>
              </w:rPr>
              <w:t>باب أنّ علامة تمام استتار القرص ذهاب الحمرة من المشرق</w:t>
            </w:r>
            <w:r>
              <w:rPr>
                <w:rStyle w:val="IndexLink"/>
                <w:rtl w:val="true"/>
              </w:rPr>
              <w:t>]</w:t>
              <w:tab/>
            </w:r>
            <w:r>
              <w:rPr>
                <w:rStyle w:val="IndexLink"/>
              </w:rPr>
              <w:t>370</w:t>
            </w:r>
          </w:hyperlink>
        </w:p>
        <w:p>
          <w:pPr>
            <w:pStyle w:val="Contents4"/>
            <w:tabs>
              <w:tab w:val="clear" w:pos="8176"/>
              <w:tab w:val="right" w:pos="9026" w:leader="dot"/>
            </w:tabs>
            <w:rPr/>
          </w:pPr>
          <w:hyperlink w:anchor="__RefHeading___Toc3601606_3804643083">
            <w:r>
              <w:rPr>
                <w:webHidden/>
                <w:rStyle w:val="IndexLink"/>
                <w:rtl w:val="true"/>
              </w:rPr>
              <w:t>[</w:t>
            </w:r>
            <w:r>
              <w:rPr>
                <w:rStyle w:val="IndexLink"/>
                <w:rtl w:val="true"/>
              </w:rPr>
              <w:t>باب تأخير المغرب عن استتار القرص للاحتياط</w:t>
            </w:r>
            <w:r>
              <w:rPr>
                <w:rStyle w:val="IndexLink"/>
                <w:rtl w:val="true"/>
              </w:rPr>
              <w:t>]</w:t>
              <w:tab/>
            </w:r>
            <w:r>
              <w:rPr>
                <w:rStyle w:val="IndexLink"/>
              </w:rPr>
              <w:t>370</w:t>
            </w:r>
          </w:hyperlink>
        </w:p>
        <w:p>
          <w:pPr>
            <w:pStyle w:val="Contents3"/>
            <w:tabs>
              <w:tab w:val="clear" w:pos="8459"/>
              <w:tab w:val="right" w:pos="9026" w:leader="dot"/>
            </w:tabs>
            <w:rPr/>
          </w:pPr>
          <w:hyperlink w:anchor="__RefHeading___Toc3601608_3804643083">
            <w:r>
              <w:rPr>
                <w:webHidden/>
                <w:rStyle w:val="IndexLink"/>
                <w:rtl w:val="true"/>
              </w:rPr>
              <w:t>[</w:t>
            </w:r>
            <w:r>
              <w:rPr>
                <w:rStyle w:val="IndexLink"/>
                <w:rtl w:val="true"/>
              </w:rPr>
              <w:t>أبواب لباس المصلّي و مكانه و القبلة و النداء</w:t>
            </w:r>
            <w:r>
              <w:rPr>
                <w:rStyle w:val="IndexLink"/>
                <w:rtl w:val="true"/>
              </w:rPr>
              <w:t>]</w:t>
              <w:tab/>
            </w:r>
            <w:r>
              <w:rPr>
                <w:rStyle w:val="IndexLink"/>
              </w:rPr>
              <w:t>372</w:t>
            </w:r>
          </w:hyperlink>
        </w:p>
        <w:p>
          <w:pPr>
            <w:pStyle w:val="Contents4"/>
            <w:tabs>
              <w:tab w:val="clear" w:pos="8176"/>
              <w:tab w:val="right" w:pos="9026" w:leader="dot"/>
            </w:tabs>
            <w:rPr/>
          </w:pPr>
          <w:hyperlink w:anchor="__RefHeading___Toc3601610_3804643083">
            <w:r>
              <w:rPr>
                <w:webHidden/>
                <w:rStyle w:val="IndexLink"/>
                <w:rtl w:val="true"/>
              </w:rPr>
              <w:t>[</w:t>
            </w:r>
            <w:r>
              <w:rPr>
                <w:rStyle w:val="IndexLink"/>
                <w:rtl w:val="true"/>
              </w:rPr>
              <w:t>باب الصلاة في جلد الميتة و ما لا يعلم ذكاته</w:t>
            </w:r>
            <w:r>
              <w:rPr>
                <w:rStyle w:val="IndexLink"/>
                <w:rtl w:val="true"/>
              </w:rPr>
              <w:t>]</w:t>
              <w:tab/>
            </w:r>
            <w:r>
              <w:rPr>
                <w:rStyle w:val="IndexLink"/>
              </w:rPr>
              <w:t>372</w:t>
            </w:r>
          </w:hyperlink>
        </w:p>
        <w:p>
          <w:pPr>
            <w:pStyle w:val="Contents4"/>
            <w:tabs>
              <w:tab w:val="clear" w:pos="8176"/>
              <w:tab w:val="right" w:pos="9026" w:leader="dot"/>
            </w:tabs>
            <w:rPr/>
          </w:pPr>
          <w:hyperlink w:anchor="__RefHeading___Toc3601612_3804643083">
            <w:r>
              <w:rPr>
                <w:webHidden/>
                <w:rStyle w:val="IndexLink"/>
                <w:rtl w:val="true"/>
              </w:rPr>
              <w:t>[</w:t>
            </w:r>
            <w:r>
              <w:rPr>
                <w:rStyle w:val="IndexLink"/>
                <w:rtl w:val="true"/>
              </w:rPr>
              <w:t>باب صلاة كلّ من الرجل و المرأة بحذاء الآخر أو قريبا منه</w:t>
            </w:r>
            <w:r>
              <w:rPr>
                <w:rStyle w:val="IndexLink"/>
                <w:rtl w:val="true"/>
              </w:rPr>
              <w:t>]</w:t>
              <w:tab/>
            </w:r>
            <w:r>
              <w:rPr>
                <w:rStyle w:val="IndexLink"/>
              </w:rPr>
              <w:t>373</w:t>
            </w:r>
          </w:hyperlink>
        </w:p>
        <w:p>
          <w:pPr>
            <w:pStyle w:val="Contents5"/>
            <w:tabs>
              <w:tab w:val="clear" w:pos="7892"/>
              <w:tab w:val="right" w:pos="9026" w:leader="dot"/>
            </w:tabs>
            <w:rPr/>
          </w:pPr>
          <w:hyperlink w:anchor="__RefHeading___Toc3601614_3804643083">
            <w:r>
              <w:rPr>
                <w:webHidden/>
                <w:rStyle w:val="IndexLink"/>
                <w:rtl w:val="true"/>
              </w:rPr>
              <w:t>[</w:t>
            </w:r>
            <w:r>
              <w:rPr>
                <w:rStyle w:val="IndexLink"/>
                <w:rtl w:val="true"/>
              </w:rPr>
              <w:t>مكان المصلّي</w:t>
            </w:r>
            <w:r>
              <w:rPr>
                <w:rStyle w:val="IndexLink"/>
                <w:rtl w:val="true"/>
              </w:rPr>
              <w:t>]</w:t>
              <w:tab/>
            </w:r>
            <w:r>
              <w:rPr>
                <w:rStyle w:val="IndexLink"/>
              </w:rPr>
              <w:t>373</w:t>
            </w:r>
          </w:hyperlink>
        </w:p>
        <w:p>
          <w:pPr>
            <w:pStyle w:val="Contents4"/>
            <w:tabs>
              <w:tab w:val="clear" w:pos="8176"/>
              <w:tab w:val="right" w:pos="9026" w:leader="dot"/>
            </w:tabs>
            <w:rPr/>
          </w:pPr>
          <w:hyperlink w:anchor="__RefHeading___Toc3601616_3804643083">
            <w:r>
              <w:rPr>
                <w:webHidden/>
                <w:rStyle w:val="IndexLink"/>
                <w:rtl w:val="true"/>
              </w:rPr>
              <w:t>[</w:t>
            </w:r>
            <w:r>
              <w:rPr>
                <w:rStyle w:val="IndexLink"/>
                <w:rtl w:val="true"/>
              </w:rPr>
              <w:t>باب ما يستتر به المصلّي</w:t>
            </w:r>
            <w:r>
              <w:rPr>
                <w:rStyle w:val="IndexLink"/>
                <w:rtl w:val="true"/>
              </w:rPr>
              <w:t>]</w:t>
              <w:tab/>
            </w:r>
            <w:r>
              <w:rPr>
                <w:rStyle w:val="IndexLink"/>
              </w:rPr>
              <w:t>373</w:t>
            </w:r>
          </w:hyperlink>
        </w:p>
        <w:p>
          <w:pPr>
            <w:pStyle w:val="Contents4"/>
            <w:tabs>
              <w:tab w:val="clear" w:pos="8176"/>
              <w:tab w:val="right" w:pos="9026" w:leader="dot"/>
            </w:tabs>
            <w:rPr/>
          </w:pPr>
          <w:hyperlink w:anchor="__RefHeading___Toc3601618_3804643083">
            <w:r>
              <w:rPr>
                <w:webHidden/>
                <w:rStyle w:val="IndexLink"/>
                <w:rtl w:val="true"/>
              </w:rPr>
              <w:t>[</w:t>
            </w:r>
            <w:r>
              <w:rPr>
                <w:rStyle w:val="IndexLink"/>
                <w:rtl w:val="true"/>
              </w:rPr>
              <w:t>باب أدب المساجد و توقيرها و توقير القبلة</w:t>
            </w:r>
            <w:r>
              <w:rPr>
                <w:rStyle w:val="IndexLink"/>
                <w:rtl w:val="true"/>
              </w:rPr>
              <w:t>]</w:t>
              <w:tab/>
            </w:r>
            <w:r>
              <w:rPr>
                <w:rStyle w:val="IndexLink"/>
              </w:rPr>
              <w:t>374</w:t>
            </w:r>
          </w:hyperlink>
        </w:p>
        <w:p>
          <w:pPr>
            <w:pStyle w:val="Contents4"/>
            <w:tabs>
              <w:tab w:val="clear" w:pos="8176"/>
              <w:tab w:val="right" w:pos="9026" w:leader="dot"/>
            </w:tabs>
            <w:rPr/>
          </w:pPr>
          <w:hyperlink w:anchor="__RefHeading___Toc3601620_3804643083">
            <w:r>
              <w:rPr>
                <w:webHidden/>
                <w:rStyle w:val="IndexLink"/>
                <w:rtl w:val="true"/>
              </w:rPr>
              <w:t>[</w:t>
            </w:r>
            <w:r>
              <w:rPr>
                <w:rStyle w:val="IndexLink"/>
                <w:rtl w:val="true"/>
              </w:rPr>
              <w:t>باب معرفة القبلة و قبلة المتحيّر</w:t>
            </w:r>
            <w:r>
              <w:rPr>
                <w:rStyle w:val="IndexLink"/>
                <w:rtl w:val="true"/>
              </w:rPr>
              <w:t>]</w:t>
              <w:tab/>
            </w:r>
            <w:r>
              <w:rPr>
                <w:rStyle w:val="IndexLink"/>
              </w:rPr>
              <w:t>374</w:t>
            </w:r>
          </w:hyperlink>
        </w:p>
        <w:p>
          <w:pPr>
            <w:pStyle w:val="Contents4"/>
            <w:tabs>
              <w:tab w:val="clear" w:pos="8176"/>
              <w:tab w:val="right" w:pos="9026" w:leader="dot"/>
            </w:tabs>
            <w:rPr/>
          </w:pPr>
          <w:hyperlink w:anchor="__RefHeading___Toc3601622_3804643083">
            <w:r>
              <w:rPr>
                <w:webHidden/>
                <w:rStyle w:val="IndexLink"/>
                <w:rtl w:val="true"/>
              </w:rPr>
              <w:t>[</w:t>
            </w:r>
            <w:r>
              <w:rPr>
                <w:rStyle w:val="IndexLink"/>
                <w:rtl w:val="true"/>
              </w:rPr>
              <w:t>باب صفة الأذان و الإقامة</w:t>
            </w:r>
            <w:r>
              <w:rPr>
                <w:rStyle w:val="IndexLink"/>
                <w:rtl w:val="true"/>
              </w:rPr>
              <w:t>]</w:t>
              <w:tab/>
            </w:r>
            <w:r>
              <w:rPr>
                <w:rStyle w:val="IndexLink"/>
              </w:rPr>
              <w:t>375</w:t>
            </w:r>
          </w:hyperlink>
        </w:p>
        <w:p>
          <w:pPr>
            <w:pStyle w:val="Contents4"/>
            <w:tabs>
              <w:tab w:val="clear" w:pos="8176"/>
              <w:tab w:val="right" w:pos="9026" w:leader="dot"/>
            </w:tabs>
            <w:rPr/>
          </w:pPr>
          <w:hyperlink w:anchor="__RefHeading___Toc3601624_3804643083">
            <w:r>
              <w:rPr>
                <w:webHidden/>
                <w:rStyle w:val="IndexLink"/>
                <w:rtl w:val="true"/>
              </w:rPr>
              <w:t>[</w:t>
            </w:r>
            <w:r>
              <w:rPr>
                <w:rStyle w:val="IndexLink"/>
                <w:rtl w:val="true"/>
              </w:rPr>
              <w:t>باب شرائط الأذان و الإقامة و آدابهما</w:t>
            </w:r>
            <w:r>
              <w:rPr>
                <w:rStyle w:val="IndexLink"/>
                <w:rtl w:val="true"/>
              </w:rPr>
              <w:t>]</w:t>
              <w:tab/>
            </w:r>
            <w:r>
              <w:rPr>
                <w:rStyle w:val="IndexLink"/>
              </w:rPr>
              <w:t>377</w:t>
            </w:r>
          </w:hyperlink>
        </w:p>
        <w:p>
          <w:pPr>
            <w:pStyle w:val="Contents3"/>
            <w:tabs>
              <w:tab w:val="clear" w:pos="8459"/>
              <w:tab w:val="right" w:pos="9026" w:leader="dot"/>
            </w:tabs>
            <w:rPr/>
          </w:pPr>
          <w:hyperlink w:anchor="__RefHeading___Toc3601626_3804643083">
            <w:r>
              <w:rPr>
                <w:webHidden/>
                <w:rStyle w:val="IndexLink"/>
                <w:rtl w:val="true"/>
              </w:rPr>
              <w:t>[</w:t>
            </w:r>
            <w:r>
              <w:rPr>
                <w:rStyle w:val="IndexLink"/>
                <w:rtl w:val="true"/>
              </w:rPr>
              <w:t>أبواب صفة الصلاة و أذكارها و تعقيبها و آدابها و عللها</w:t>
            </w:r>
            <w:r>
              <w:rPr>
                <w:rStyle w:val="IndexLink"/>
                <w:rtl w:val="true"/>
              </w:rPr>
              <w:t>]</w:t>
              <w:tab/>
            </w:r>
            <w:r>
              <w:rPr>
                <w:rStyle w:val="IndexLink"/>
              </w:rPr>
              <w:t>379</w:t>
            </w:r>
          </w:hyperlink>
        </w:p>
        <w:p>
          <w:pPr>
            <w:pStyle w:val="Contents4"/>
            <w:tabs>
              <w:tab w:val="clear" w:pos="8176"/>
              <w:tab w:val="right" w:pos="9026" w:leader="dot"/>
            </w:tabs>
            <w:rPr/>
          </w:pPr>
          <w:hyperlink w:anchor="__RefHeading___Toc3601628_3804643083">
            <w:r>
              <w:rPr>
                <w:webHidden/>
                <w:rStyle w:val="IndexLink"/>
                <w:rtl w:val="true"/>
              </w:rPr>
              <w:t>[</w:t>
            </w:r>
            <w:r>
              <w:rPr>
                <w:rStyle w:val="IndexLink"/>
                <w:rtl w:val="true"/>
              </w:rPr>
              <w:t>باب القيام إلى الصلاة و الافتتاح بالتكبير</w:t>
            </w:r>
            <w:r>
              <w:rPr>
                <w:rStyle w:val="IndexLink"/>
                <w:rtl w:val="true"/>
              </w:rPr>
              <w:t>]</w:t>
              <w:tab/>
            </w:r>
            <w:r>
              <w:rPr>
                <w:rStyle w:val="IndexLink"/>
              </w:rPr>
              <w:t>379</w:t>
            </w:r>
          </w:hyperlink>
        </w:p>
        <w:p>
          <w:pPr>
            <w:pStyle w:val="Contents4"/>
            <w:tabs>
              <w:tab w:val="clear" w:pos="8176"/>
              <w:tab w:val="right" w:pos="9026" w:leader="dot"/>
            </w:tabs>
            <w:rPr/>
          </w:pPr>
          <w:hyperlink w:anchor="__RefHeading___Toc3601630_3804643083">
            <w:r>
              <w:rPr>
                <w:webHidden/>
                <w:rStyle w:val="IndexLink"/>
                <w:rtl w:val="true"/>
              </w:rPr>
              <w:t>[</w:t>
            </w:r>
            <w:r>
              <w:rPr>
                <w:rStyle w:val="IndexLink"/>
                <w:rtl w:val="true"/>
              </w:rPr>
              <w:t>باب قراءة البسملة و الجهر بها</w:t>
            </w:r>
            <w:r>
              <w:rPr>
                <w:rStyle w:val="IndexLink"/>
                <w:rtl w:val="true"/>
              </w:rPr>
              <w:t>]</w:t>
              <w:tab/>
            </w:r>
            <w:r>
              <w:rPr>
                <w:rStyle w:val="IndexLink"/>
              </w:rPr>
              <w:t>380</w:t>
            </w:r>
          </w:hyperlink>
        </w:p>
        <w:p>
          <w:pPr>
            <w:pStyle w:val="Contents4"/>
            <w:tabs>
              <w:tab w:val="clear" w:pos="8176"/>
              <w:tab w:val="right" w:pos="9026" w:leader="dot"/>
            </w:tabs>
            <w:rPr/>
          </w:pPr>
          <w:hyperlink w:anchor="__RefHeading___Toc3601632_3804643083">
            <w:r>
              <w:rPr>
                <w:webHidden/>
                <w:rStyle w:val="IndexLink"/>
                <w:rtl w:val="true"/>
              </w:rPr>
              <w:t>[</w:t>
            </w:r>
            <w:r>
              <w:rPr>
                <w:rStyle w:val="IndexLink"/>
                <w:rtl w:val="true"/>
              </w:rPr>
              <w:t>باب تكرير السورة و تبعيضها</w:t>
            </w:r>
            <w:r>
              <w:rPr>
                <w:rStyle w:val="IndexLink"/>
                <w:rtl w:val="true"/>
              </w:rPr>
              <w:t>]</w:t>
              <w:tab/>
            </w:r>
            <w:r>
              <w:rPr>
                <w:rStyle w:val="IndexLink"/>
              </w:rPr>
              <w:t>381</w:t>
            </w:r>
          </w:hyperlink>
        </w:p>
        <w:p>
          <w:pPr>
            <w:pStyle w:val="Contents4"/>
            <w:tabs>
              <w:tab w:val="clear" w:pos="8176"/>
              <w:tab w:val="right" w:pos="9026" w:leader="dot"/>
            </w:tabs>
            <w:rPr/>
          </w:pPr>
          <w:hyperlink w:anchor="__RefHeading___Toc3601634_3804643083">
            <w:r>
              <w:rPr>
                <w:webHidden/>
                <w:rStyle w:val="IndexLink"/>
                <w:rtl w:val="true"/>
              </w:rPr>
              <w:t>[</w:t>
            </w:r>
            <w:r>
              <w:rPr>
                <w:rStyle w:val="IndexLink"/>
                <w:rtl w:val="true"/>
              </w:rPr>
              <w:t>باب الركوع و الذكر فيه و بعده</w:t>
            </w:r>
            <w:r>
              <w:rPr>
                <w:rStyle w:val="IndexLink"/>
                <w:rtl w:val="true"/>
              </w:rPr>
              <w:t>]</w:t>
              <w:tab/>
            </w:r>
            <w:r>
              <w:rPr>
                <w:rStyle w:val="IndexLink"/>
              </w:rPr>
              <w:t>382</w:t>
            </w:r>
          </w:hyperlink>
        </w:p>
        <w:p>
          <w:pPr>
            <w:pStyle w:val="Contents4"/>
            <w:tabs>
              <w:tab w:val="clear" w:pos="8176"/>
              <w:tab w:val="right" w:pos="9026" w:leader="dot"/>
            </w:tabs>
            <w:rPr/>
          </w:pPr>
          <w:hyperlink w:anchor="__RefHeading___Toc3601636_3804643083">
            <w:r>
              <w:rPr>
                <w:webHidden/>
                <w:rStyle w:val="IndexLink"/>
                <w:rtl w:val="true"/>
              </w:rPr>
              <w:t>[</w:t>
            </w:r>
            <w:r>
              <w:rPr>
                <w:rStyle w:val="IndexLink"/>
                <w:rtl w:val="true"/>
              </w:rPr>
              <w:t>باب ما يسجد عليه و ما يكره</w:t>
            </w:r>
            <w:r>
              <w:rPr>
                <w:rStyle w:val="IndexLink"/>
                <w:rtl w:val="true"/>
              </w:rPr>
              <w:t>]</w:t>
              <w:tab/>
            </w:r>
            <w:r>
              <w:rPr>
                <w:rStyle w:val="IndexLink"/>
              </w:rPr>
              <w:t>383</w:t>
            </w:r>
          </w:hyperlink>
        </w:p>
        <w:p>
          <w:pPr>
            <w:pStyle w:val="Contents4"/>
            <w:tabs>
              <w:tab w:val="clear" w:pos="8176"/>
              <w:tab w:val="right" w:pos="9026" w:leader="dot"/>
            </w:tabs>
            <w:rPr/>
          </w:pPr>
          <w:hyperlink w:anchor="__RefHeading___Toc3601638_3804643083">
            <w:r>
              <w:rPr>
                <w:webHidden/>
                <w:rStyle w:val="IndexLink"/>
                <w:rtl w:val="true"/>
              </w:rPr>
              <w:t>[</w:t>
            </w:r>
            <w:r>
              <w:rPr>
                <w:rStyle w:val="IndexLink"/>
                <w:rtl w:val="true"/>
              </w:rPr>
              <w:t>باب فضل التعقيب و أدناه</w:t>
            </w:r>
            <w:r>
              <w:rPr>
                <w:rStyle w:val="IndexLink"/>
                <w:rtl w:val="true"/>
              </w:rPr>
              <w:t>]</w:t>
              <w:tab/>
            </w:r>
            <w:r>
              <w:rPr>
                <w:rStyle w:val="IndexLink"/>
              </w:rPr>
              <w:t>383</w:t>
            </w:r>
          </w:hyperlink>
        </w:p>
        <w:p>
          <w:pPr>
            <w:pStyle w:val="Contents4"/>
            <w:tabs>
              <w:tab w:val="clear" w:pos="8176"/>
              <w:tab w:val="right" w:pos="9026" w:leader="dot"/>
            </w:tabs>
            <w:rPr/>
          </w:pPr>
          <w:hyperlink w:anchor="__RefHeading___Toc3601640_3804643083">
            <w:r>
              <w:rPr>
                <w:webHidden/>
                <w:rStyle w:val="IndexLink"/>
                <w:rtl w:val="true"/>
              </w:rPr>
              <w:t>[</w:t>
            </w:r>
            <w:r>
              <w:rPr>
                <w:rStyle w:val="IndexLink"/>
                <w:rtl w:val="true"/>
              </w:rPr>
              <w:t>باب ما يقال بعد كلّ صلاة</w:t>
            </w:r>
            <w:r>
              <w:rPr>
                <w:rStyle w:val="IndexLink"/>
                <w:rtl w:val="true"/>
              </w:rPr>
              <w:t>]</w:t>
              <w:tab/>
            </w:r>
            <w:r>
              <w:rPr>
                <w:rStyle w:val="IndexLink"/>
              </w:rPr>
              <w:t>384</w:t>
            </w:r>
          </w:hyperlink>
        </w:p>
        <w:p>
          <w:pPr>
            <w:pStyle w:val="Contents4"/>
            <w:tabs>
              <w:tab w:val="clear" w:pos="8176"/>
              <w:tab w:val="right" w:pos="9026" w:leader="dot"/>
            </w:tabs>
            <w:rPr/>
          </w:pPr>
          <w:hyperlink w:anchor="__RefHeading___Toc3601642_3804643083">
            <w:r>
              <w:rPr>
                <w:webHidden/>
                <w:rStyle w:val="IndexLink"/>
                <w:rtl w:val="true"/>
              </w:rPr>
              <w:t>[</w:t>
            </w:r>
            <w:r>
              <w:rPr>
                <w:rStyle w:val="IndexLink"/>
                <w:rtl w:val="true"/>
              </w:rPr>
              <w:t>باب السهو في تكبيرة الافتتاح و القيام</w:t>
            </w:r>
            <w:r>
              <w:rPr>
                <w:rStyle w:val="IndexLink"/>
                <w:rtl w:val="true"/>
              </w:rPr>
              <w:t>]</w:t>
              <w:tab/>
            </w:r>
            <w:r>
              <w:rPr>
                <w:rStyle w:val="IndexLink"/>
              </w:rPr>
              <w:t>384</w:t>
            </w:r>
          </w:hyperlink>
        </w:p>
        <w:p>
          <w:pPr>
            <w:pStyle w:val="Contents4"/>
            <w:tabs>
              <w:tab w:val="clear" w:pos="8176"/>
              <w:tab w:val="right" w:pos="9026" w:leader="dot"/>
            </w:tabs>
            <w:rPr/>
          </w:pPr>
          <w:hyperlink w:anchor="__RefHeading___Toc3601644_3804643083">
            <w:r>
              <w:rPr>
                <w:webHidden/>
                <w:rStyle w:val="IndexLink"/>
                <w:rtl w:val="true"/>
              </w:rPr>
              <w:t>[</w:t>
            </w:r>
            <w:r>
              <w:rPr>
                <w:rStyle w:val="IndexLink"/>
                <w:rtl w:val="true"/>
              </w:rPr>
              <w:t>باب الشكّ في أجزاء الصلاة</w:t>
            </w:r>
            <w:r>
              <w:rPr>
                <w:rStyle w:val="IndexLink"/>
                <w:rtl w:val="true"/>
              </w:rPr>
              <w:t>]</w:t>
              <w:tab/>
            </w:r>
            <w:r>
              <w:rPr>
                <w:rStyle w:val="IndexLink"/>
              </w:rPr>
              <w:t>385</w:t>
            </w:r>
          </w:hyperlink>
        </w:p>
        <w:p>
          <w:pPr>
            <w:pStyle w:val="Contents4"/>
            <w:tabs>
              <w:tab w:val="clear" w:pos="8176"/>
              <w:tab w:val="right" w:pos="9026" w:leader="dot"/>
            </w:tabs>
            <w:rPr/>
          </w:pPr>
          <w:hyperlink w:anchor="__RefHeading___Toc3601646_3804643083">
            <w:r>
              <w:rPr>
                <w:webHidden/>
                <w:rStyle w:val="IndexLink"/>
                <w:rtl w:val="true"/>
              </w:rPr>
              <w:t>[</w:t>
            </w:r>
            <w:r>
              <w:rPr>
                <w:rStyle w:val="IndexLink"/>
                <w:rtl w:val="true"/>
              </w:rPr>
              <w:t>باب السهو في أعداد الركعات</w:t>
            </w:r>
            <w:r>
              <w:rPr>
                <w:rStyle w:val="IndexLink"/>
                <w:rtl w:val="true"/>
              </w:rPr>
              <w:t>]</w:t>
              <w:tab/>
            </w:r>
            <w:r>
              <w:rPr>
                <w:rStyle w:val="IndexLink"/>
              </w:rPr>
              <w:t>386</w:t>
            </w:r>
          </w:hyperlink>
        </w:p>
        <w:p>
          <w:pPr>
            <w:pStyle w:val="Contents4"/>
            <w:tabs>
              <w:tab w:val="clear" w:pos="8176"/>
              <w:tab w:val="right" w:pos="9026" w:leader="dot"/>
            </w:tabs>
            <w:rPr/>
          </w:pPr>
          <w:hyperlink w:anchor="__RefHeading___Toc3601648_3804643083">
            <w:r>
              <w:rPr>
                <w:webHidden/>
                <w:rStyle w:val="IndexLink"/>
                <w:rtl w:val="true"/>
              </w:rPr>
              <w:t>[</w:t>
            </w:r>
            <w:r>
              <w:rPr>
                <w:rStyle w:val="IndexLink"/>
                <w:rtl w:val="true"/>
              </w:rPr>
              <w:t>باب سهو المسافر في التقصير أو جهله به</w:t>
            </w:r>
            <w:r>
              <w:rPr>
                <w:rStyle w:val="IndexLink"/>
                <w:rtl w:val="true"/>
              </w:rPr>
              <w:t>]</w:t>
              <w:tab/>
            </w:r>
            <w:r>
              <w:rPr>
                <w:rStyle w:val="IndexLink"/>
              </w:rPr>
              <w:t>393</w:t>
            </w:r>
          </w:hyperlink>
        </w:p>
        <w:p>
          <w:pPr>
            <w:pStyle w:val="Contents4"/>
            <w:tabs>
              <w:tab w:val="clear" w:pos="8176"/>
              <w:tab w:val="right" w:pos="9026" w:leader="dot"/>
            </w:tabs>
            <w:rPr/>
          </w:pPr>
          <w:hyperlink w:anchor="__RefHeading___Toc3601650_3804643083">
            <w:r>
              <w:rPr>
                <w:webHidden/>
                <w:rStyle w:val="IndexLink"/>
                <w:rtl w:val="true"/>
              </w:rPr>
              <w:t>[</w:t>
            </w:r>
            <w:r>
              <w:rPr>
                <w:rStyle w:val="IndexLink"/>
                <w:rtl w:val="true"/>
              </w:rPr>
              <w:t>باب الشكّ في الغداة و المغرب و في الركعتين الأوّلتين من الرباعيّة</w:t>
            </w:r>
            <w:r>
              <w:rPr>
                <w:rStyle w:val="IndexLink"/>
                <w:rtl w:val="true"/>
              </w:rPr>
              <w:t>]</w:t>
              <w:tab/>
            </w:r>
            <w:r>
              <w:rPr>
                <w:rStyle w:val="IndexLink"/>
              </w:rPr>
              <w:t>395</w:t>
            </w:r>
          </w:hyperlink>
        </w:p>
        <w:p>
          <w:pPr>
            <w:pStyle w:val="Contents4"/>
            <w:tabs>
              <w:tab w:val="clear" w:pos="8176"/>
              <w:tab w:val="right" w:pos="9026" w:leader="dot"/>
            </w:tabs>
            <w:rPr/>
          </w:pPr>
          <w:hyperlink w:anchor="__RefHeading___Toc3601652_3804643083">
            <w:r>
              <w:rPr>
                <w:webHidden/>
                <w:rStyle w:val="IndexLink"/>
                <w:rtl w:val="true"/>
              </w:rPr>
              <w:t>[</w:t>
            </w:r>
            <w:r>
              <w:rPr>
                <w:rStyle w:val="IndexLink"/>
                <w:rtl w:val="true"/>
              </w:rPr>
              <w:t>باب الشكّ فيما زاد على الركعتين</w:t>
            </w:r>
            <w:r>
              <w:rPr>
                <w:rStyle w:val="IndexLink"/>
                <w:rtl w:val="true"/>
              </w:rPr>
              <w:t>]</w:t>
              <w:tab/>
            </w:r>
            <w:r>
              <w:rPr>
                <w:rStyle w:val="IndexLink"/>
              </w:rPr>
              <w:t>395</w:t>
            </w:r>
          </w:hyperlink>
        </w:p>
        <w:p>
          <w:pPr>
            <w:pStyle w:val="Contents4"/>
            <w:tabs>
              <w:tab w:val="clear" w:pos="8176"/>
              <w:tab w:val="right" w:pos="9026" w:leader="dot"/>
            </w:tabs>
            <w:rPr/>
          </w:pPr>
          <w:hyperlink w:anchor="__RefHeading___Toc3601654_3804643083">
            <w:r>
              <w:rPr>
                <w:webHidden/>
                <w:rStyle w:val="IndexLink"/>
                <w:rtl w:val="true"/>
              </w:rPr>
              <w:t>[</w:t>
            </w:r>
            <w:r>
              <w:rPr>
                <w:rStyle w:val="IndexLink"/>
                <w:rtl w:val="true"/>
              </w:rPr>
              <w:t>باب سائر مواضع سجدتي السهو و صفتهما</w:t>
            </w:r>
            <w:r>
              <w:rPr>
                <w:rStyle w:val="IndexLink"/>
                <w:rtl w:val="true"/>
              </w:rPr>
              <w:t>]</w:t>
              <w:tab/>
            </w:r>
            <w:r>
              <w:rPr>
                <w:rStyle w:val="IndexLink"/>
              </w:rPr>
              <w:t>399</w:t>
            </w:r>
          </w:hyperlink>
        </w:p>
        <w:p>
          <w:pPr>
            <w:pStyle w:val="Contents4"/>
            <w:tabs>
              <w:tab w:val="clear" w:pos="8176"/>
              <w:tab w:val="right" w:pos="9026" w:leader="dot"/>
            </w:tabs>
            <w:rPr/>
          </w:pPr>
          <w:hyperlink w:anchor="__RefHeading___Toc3601656_3804643083">
            <w:r>
              <w:rPr>
                <w:webHidden/>
                <w:rStyle w:val="IndexLink"/>
                <w:rtl w:val="true"/>
              </w:rPr>
              <w:t>[</w:t>
            </w:r>
            <w:r>
              <w:rPr>
                <w:rStyle w:val="IndexLink"/>
                <w:rtl w:val="true"/>
              </w:rPr>
              <w:t>باب من لا يعتدّ بشكّه و علاج السهو و الشكّ</w:t>
            </w:r>
            <w:r>
              <w:rPr>
                <w:rStyle w:val="IndexLink"/>
                <w:rtl w:val="true"/>
              </w:rPr>
              <w:t>]</w:t>
              <w:tab/>
            </w:r>
            <w:r>
              <w:rPr>
                <w:rStyle w:val="IndexLink"/>
              </w:rPr>
              <w:t>400</w:t>
            </w:r>
          </w:hyperlink>
        </w:p>
        <w:p>
          <w:pPr>
            <w:pStyle w:val="Contents4"/>
            <w:tabs>
              <w:tab w:val="clear" w:pos="8176"/>
              <w:tab w:val="right" w:pos="9026" w:leader="dot"/>
            </w:tabs>
            <w:rPr/>
          </w:pPr>
          <w:hyperlink w:anchor="__RefHeading___Toc3601658_3804643083">
            <w:r>
              <w:rPr>
                <w:webHidden/>
                <w:rStyle w:val="IndexLink"/>
                <w:rtl w:val="true"/>
              </w:rPr>
              <w:t>[</w:t>
            </w:r>
            <w:r>
              <w:rPr>
                <w:rStyle w:val="IndexLink"/>
                <w:rtl w:val="true"/>
              </w:rPr>
              <w:t>باب من فاتته صلاة و دخل عليه وقت اخرى</w:t>
            </w:r>
            <w:r>
              <w:rPr>
                <w:rStyle w:val="IndexLink"/>
                <w:rtl w:val="true"/>
              </w:rPr>
              <w:t>]</w:t>
              <w:tab/>
            </w:r>
            <w:r>
              <w:rPr>
                <w:rStyle w:val="IndexLink"/>
              </w:rPr>
              <w:t>400</w:t>
            </w:r>
          </w:hyperlink>
        </w:p>
        <w:p>
          <w:pPr>
            <w:pStyle w:val="Contents3"/>
            <w:tabs>
              <w:tab w:val="clear" w:pos="8459"/>
              <w:tab w:val="right" w:pos="9026" w:leader="dot"/>
            </w:tabs>
            <w:rPr/>
          </w:pPr>
          <w:hyperlink w:anchor="__RefHeading___Toc3601660_3804643083">
            <w:r>
              <w:rPr>
                <w:webHidden/>
                <w:rStyle w:val="IndexLink"/>
                <w:rtl w:val="true"/>
              </w:rPr>
              <w:t>[</w:t>
            </w:r>
            <w:r>
              <w:rPr>
                <w:rStyle w:val="IndexLink"/>
                <w:rtl w:val="true"/>
              </w:rPr>
              <w:t>أبواب فضل صلاة الجمعة و الجماعة و شرائطهما و آدابهما</w:t>
            </w:r>
            <w:r>
              <w:rPr>
                <w:rStyle w:val="IndexLink"/>
                <w:rtl w:val="true"/>
              </w:rPr>
              <w:t>]</w:t>
              <w:tab/>
            </w:r>
            <w:r>
              <w:rPr>
                <w:rStyle w:val="IndexLink"/>
              </w:rPr>
              <w:t>402</w:t>
            </w:r>
          </w:hyperlink>
        </w:p>
        <w:p>
          <w:pPr>
            <w:pStyle w:val="Contents4"/>
            <w:tabs>
              <w:tab w:val="clear" w:pos="8176"/>
              <w:tab w:val="right" w:pos="9026" w:leader="dot"/>
            </w:tabs>
            <w:rPr/>
          </w:pPr>
          <w:hyperlink w:anchor="__RefHeading___Toc3601662_3804643083">
            <w:r>
              <w:rPr>
                <w:webHidden/>
                <w:rStyle w:val="IndexLink"/>
                <w:rtl w:val="true"/>
              </w:rPr>
              <w:t>[</w:t>
            </w:r>
            <w:r>
              <w:rPr>
                <w:rStyle w:val="IndexLink"/>
                <w:rtl w:val="true"/>
              </w:rPr>
              <w:t>صلاة الجمعة</w:t>
            </w:r>
            <w:r>
              <w:rPr>
                <w:rStyle w:val="IndexLink"/>
                <w:rtl w:val="true"/>
              </w:rPr>
              <w:t>]</w:t>
              <w:tab/>
            </w:r>
            <w:r>
              <w:rPr>
                <w:rStyle w:val="IndexLink"/>
              </w:rPr>
              <w:t>402</w:t>
            </w:r>
          </w:hyperlink>
        </w:p>
        <w:p>
          <w:pPr>
            <w:pStyle w:val="Contents5"/>
            <w:tabs>
              <w:tab w:val="clear" w:pos="7892"/>
              <w:tab w:val="right" w:pos="9026" w:leader="dot"/>
            </w:tabs>
            <w:rPr/>
          </w:pPr>
          <w:hyperlink w:anchor="__RefHeading___Toc3601664_3804643083">
            <w:r>
              <w:rPr>
                <w:webHidden/>
                <w:rStyle w:val="IndexLink"/>
                <w:rtl w:val="true"/>
              </w:rPr>
              <w:t>[</w:t>
            </w:r>
            <w:r>
              <w:rPr>
                <w:rStyle w:val="IndexLink"/>
                <w:rtl w:val="true"/>
              </w:rPr>
              <w:t>باب عمل يوم الجمعة و ليلته و التهيّؤ فيه للصلاة</w:t>
            </w:r>
            <w:r>
              <w:rPr>
                <w:rStyle w:val="IndexLink"/>
                <w:rtl w:val="true"/>
              </w:rPr>
              <w:t>]</w:t>
              <w:tab/>
            </w:r>
            <w:r>
              <w:rPr>
                <w:rStyle w:val="IndexLink"/>
              </w:rPr>
              <w:t>402</w:t>
            </w:r>
          </w:hyperlink>
        </w:p>
        <w:p>
          <w:pPr>
            <w:pStyle w:val="Contents5"/>
            <w:tabs>
              <w:tab w:val="clear" w:pos="7892"/>
              <w:tab w:val="right" w:pos="9026" w:leader="dot"/>
            </w:tabs>
            <w:rPr/>
          </w:pPr>
          <w:hyperlink w:anchor="__RefHeading___Toc3601666_3804643083">
            <w:r>
              <w:rPr>
                <w:webHidden/>
                <w:rStyle w:val="IndexLink"/>
                <w:rtl w:val="true"/>
              </w:rPr>
              <w:t>[</w:t>
            </w:r>
            <w:r>
              <w:rPr>
                <w:rStyle w:val="IndexLink"/>
                <w:rtl w:val="true"/>
              </w:rPr>
              <w:t>باب وقت صلاة الجمعة و عصرها</w:t>
            </w:r>
            <w:r>
              <w:rPr>
                <w:rStyle w:val="IndexLink"/>
                <w:rtl w:val="true"/>
              </w:rPr>
              <w:t>]</w:t>
              <w:tab/>
            </w:r>
            <w:r>
              <w:rPr>
                <w:rStyle w:val="IndexLink"/>
              </w:rPr>
              <w:t>402</w:t>
            </w:r>
          </w:hyperlink>
        </w:p>
        <w:p>
          <w:pPr>
            <w:pStyle w:val="Contents5"/>
            <w:tabs>
              <w:tab w:val="clear" w:pos="7892"/>
              <w:tab w:val="right" w:pos="9026" w:leader="dot"/>
            </w:tabs>
            <w:rPr/>
          </w:pPr>
          <w:hyperlink w:anchor="__RefHeading___Toc3601668_3804643083">
            <w:r>
              <w:rPr>
                <w:webHidden/>
                <w:rStyle w:val="IndexLink"/>
                <w:rtl w:val="true"/>
              </w:rPr>
              <w:t>[</w:t>
            </w:r>
            <w:r>
              <w:rPr>
                <w:rStyle w:val="IndexLink"/>
                <w:rtl w:val="true"/>
              </w:rPr>
              <w:t>باب وجوب صلاة الجمعة و شرائطها</w:t>
            </w:r>
            <w:r>
              <w:rPr>
                <w:rStyle w:val="IndexLink"/>
                <w:rtl w:val="true"/>
              </w:rPr>
              <w:t>]</w:t>
              <w:tab/>
            </w:r>
            <w:r>
              <w:rPr>
                <w:rStyle w:val="IndexLink"/>
              </w:rPr>
              <w:t>404</w:t>
            </w:r>
          </w:hyperlink>
        </w:p>
        <w:p>
          <w:pPr>
            <w:pStyle w:val="Contents5"/>
            <w:tabs>
              <w:tab w:val="clear" w:pos="7892"/>
              <w:tab w:val="right" w:pos="9026" w:leader="dot"/>
            </w:tabs>
            <w:rPr/>
          </w:pPr>
          <w:hyperlink w:anchor="__RefHeading___Toc3601670_3804643083">
            <w:r>
              <w:rPr>
                <w:webHidden/>
                <w:rStyle w:val="IndexLink"/>
                <w:rtl w:val="true"/>
              </w:rPr>
              <w:t>[</w:t>
            </w:r>
            <w:r>
              <w:rPr>
                <w:rStyle w:val="IndexLink"/>
                <w:rtl w:val="true"/>
              </w:rPr>
              <w:t>باب قنوت صلاة الجمعة</w:t>
            </w:r>
            <w:r>
              <w:rPr>
                <w:rStyle w:val="IndexLink"/>
                <w:rtl w:val="true"/>
              </w:rPr>
              <w:t>]</w:t>
              <w:tab/>
            </w:r>
            <w:r>
              <w:rPr>
                <w:rStyle w:val="IndexLink"/>
              </w:rPr>
              <w:t>412</w:t>
            </w:r>
          </w:hyperlink>
        </w:p>
        <w:p>
          <w:pPr>
            <w:pStyle w:val="Contents4"/>
            <w:tabs>
              <w:tab w:val="clear" w:pos="8176"/>
              <w:tab w:val="right" w:pos="9026" w:leader="dot"/>
            </w:tabs>
            <w:rPr/>
          </w:pPr>
          <w:hyperlink w:anchor="__RefHeading___Toc3601672_3804643083">
            <w:r>
              <w:rPr>
                <w:webHidden/>
                <w:rStyle w:val="IndexLink"/>
                <w:rtl w:val="true"/>
              </w:rPr>
              <w:t>[</w:t>
            </w:r>
            <w:r>
              <w:rPr>
                <w:rStyle w:val="IndexLink"/>
                <w:rtl w:val="true"/>
              </w:rPr>
              <w:t>صلاة الجماعة</w:t>
            </w:r>
            <w:r>
              <w:rPr>
                <w:rStyle w:val="IndexLink"/>
                <w:rtl w:val="true"/>
              </w:rPr>
              <w:t>]</w:t>
              <w:tab/>
            </w:r>
            <w:r>
              <w:rPr>
                <w:rStyle w:val="IndexLink"/>
              </w:rPr>
              <w:t>412</w:t>
            </w:r>
          </w:hyperlink>
        </w:p>
        <w:p>
          <w:pPr>
            <w:pStyle w:val="Contents5"/>
            <w:tabs>
              <w:tab w:val="clear" w:pos="7892"/>
              <w:tab w:val="right" w:pos="9026" w:leader="dot"/>
            </w:tabs>
            <w:rPr/>
          </w:pPr>
          <w:hyperlink w:anchor="__RefHeading___Toc3601674_3804643083">
            <w:r>
              <w:rPr>
                <w:webHidden/>
                <w:rStyle w:val="IndexLink"/>
                <w:rtl w:val="true"/>
              </w:rPr>
              <w:t>[</w:t>
            </w:r>
            <w:r>
              <w:rPr>
                <w:rStyle w:val="IndexLink"/>
                <w:rtl w:val="true"/>
              </w:rPr>
              <w:t>باب الرجل يدرك الإمام في أثناء الصلاة أو بعد انقضاء الاولى</w:t>
            </w:r>
            <w:r>
              <w:rPr>
                <w:rStyle w:val="IndexLink"/>
                <w:rtl w:val="true"/>
              </w:rPr>
              <w:t>]</w:t>
              <w:tab/>
            </w:r>
            <w:r>
              <w:rPr>
                <w:rStyle w:val="IndexLink"/>
              </w:rPr>
              <w:t>412</w:t>
            </w:r>
          </w:hyperlink>
        </w:p>
        <w:p>
          <w:pPr>
            <w:pStyle w:val="Contents5"/>
            <w:tabs>
              <w:tab w:val="clear" w:pos="7892"/>
              <w:tab w:val="right" w:pos="9026" w:leader="dot"/>
            </w:tabs>
            <w:rPr/>
          </w:pPr>
          <w:hyperlink w:anchor="__RefHeading___Toc3601676_3804643083">
            <w:r>
              <w:rPr>
                <w:webHidden/>
                <w:rStyle w:val="IndexLink"/>
                <w:rtl w:val="true"/>
              </w:rPr>
              <w:t>[</w:t>
            </w:r>
            <w:r>
              <w:rPr>
                <w:rStyle w:val="IndexLink"/>
                <w:rtl w:val="true"/>
              </w:rPr>
              <w:t>باب ضمان الإمام و سهو المأموم و الإمام</w:t>
            </w:r>
            <w:r>
              <w:rPr>
                <w:rStyle w:val="IndexLink"/>
                <w:rtl w:val="true"/>
              </w:rPr>
              <w:t>]</w:t>
              <w:tab/>
            </w:r>
            <w:r>
              <w:rPr>
                <w:rStyle w:val="IndexLink"/>
              </w:rPr>
              <w:t>412</w:t>
            </w:r>
          </w:hyperlink>
        </w:p>
        <w:p>
          <w:pPr>
            <w:pStyle w:val="Contents5"/>
            <w:tabs>
              <w:tab w:val="clear" w:pos="7892"/>
              <w:tab w:val="right" w:pos="9026" w:leader="dot"/>
            </w:tabs>
            <w:rPr/>
          </w:pPr>
          <w:hyperlink w:anchor="__RefHeading___Toc3601678_3804643083">
            <w:r>
              <w:rPr>
                <w:webHidden/>
                <w:rStyle w:val="IndexLink"/>
                <w:rtl w:val="true"/>
              </w:rPr>
              <w:t>[</w:t>
            </w:r>
            <w:r>
              <w:rPr>
                <w:rStyle w:val="IndexLink"/>
                <w:rtl w:val="true"/>
              </w:rPr>
              <w:t>باب النوادر</w:t>
            </w:r>
            <w:r>
              <w:rPr>
                <w:rStyle w:val="IndexLink"/>
                <w:rtl w:val="true"/>
              </w:rPr>
              <w:t>]</w:t>
              <w:tab/>
            </w:r>
            <w:r>
              <w:rPr>
                <w:rStyle w:val="IndexLink"/>
              </w:rPr>
              <w:t>413</w:t>
            </w:r>
          </w:hyperlink>
        </w:p>
        <w:p>
          <w:pPr>
            <w:pStyle w:val="Contents3"/>
            <w:tabs>
              <w:tab w:val="clear" w:pos="8459"/>
              <w:tab w:val="right" w:pos="9026" w:leader="dot"/>
            </w:tabs>
            <w:rPr/>
          </w:pPr>
          <w:hyperlink w:anchor="__RefHeading___Toc3601680_3804643083">
            <w:r>
              <w:rPr>
                <w:webHidden/>
                <w:rStyle w:val="IndexLink"/>
                <w:rtl w:val="true"/>
              </w:rPr>
              <w:t>[</w:t>
            </w:r>
            <w:r>
              <w:rPr>
                <w:rStyle w:val="IndexLink"/>
                <w:rtl w:val="true"/>
              </w:rPr>
              <w:t>أبواب بقيّة الصلوات المفروضات و المسنونات</w:t>
            </w:r>
            <w:r>
              <w:rPr>
                <w:rStyle w:val="IndexLink"/>
                <w:rtl w:val="true"/>
              </w:rPr>
              <w:t>]</w:t>
              <w:tab/>
            </w:r>
            <w:r>
              <w:rPr>
                <w:rStyle w:val="IndexLink"/>
              </w:rPr>
              <w:t>414</w:t>
            </w:r>
          </w:hyperlink>
        </w:p>
        <w:p>
          <w:pPr>
            <w:pStyle w:val="Contents4"/>
            <w:tabs>
              <w:tab w:val="clear" w:pos="8176"/>
              <w:tab w:val="right" w:pos="9026" w:leader="dot"/>
            </w:tabs>
            <w:rPr/>
          </w:pPr>
          <w:hyperlink w:anchor="__RefHeading___Toc3601682_3804643083">
            <w:r>
              <w:rPr>
                <w:webHidden/>
                <w:rStyle w:val="IndexLink"/>
                <w:rtl w:val="true"/>
              </w:rPr>
              <w:t>[</w:t>
            </w:r>
            <w:r>
              <w:rPr>
                <w:rStyle w:val="IndexLink"/>
                <w:rtl w:val="true"/>
              </w:rPr>
              <w:t>باب شرائط صلاة العيدين و فرضها</w:t>
            </w:r>
            <w:r>
              <w:rPr>
                <w:rStyle w:val="IndexLink"/>
                <w:rtl w:val="true"/>
              </w:rPr>
              <w:t>]</w:t>
              <w:tab/>
            </w:r>
            <w:r>
              <w:rPr>
                <w:rStyle w:val="IndexLink"/>
              </w:rPr>
              <w:t>414</w:t>
            </w:r>
          </w:hyperlink>
        </w:p>
        <w:p>
          <w:pPr>
            <w:pStyle w:val="Contents4"/>
            <w:tabs>
              <w:tab w:val="clear" w:pos="8176"/>
              <w:tab w:val="right" w:pos="9026" w:leader="dot"/>
            </w:tabs>
            <w:rPr/>
          </w:pPr>
          <w:hyperlink w:anchor="__RefHeading___Toc3601684_3804643083">
            <w:r>
              <w:rPr>
                <w:webHidden/>
                <w:rStyle w:val="IndexLink"/>
                <w:rtl w:val="true"/>
              </w:rPr>
              <w:t>[</w:t>
            </w:r>
            <w:r>
              <w:rPr>
                <w:rStyle w:val="IndexLink"/>
                <w:rtl w:val="true"/>
              </w:rPr>
              <w:t>باب آداب العيدين</w:t>
            </w:r>
            <w:r>
              <w:rPr>
                <w:rStyle w:val="IndexLink"/>
                <w:rtl w:val="true"/>
              </w:rPr>
              <w:t>]</w:t>
              <w:tab/>
            </w:r>
            <w:r>
              <w:rPr>
                <w:rStyle w:val="IndexLink"/>
              </w:rPr>
              <w:t>417</w:t>
            </w:r>
          </w:hyperlink>
        </w:p>
        <w:p>
          <w:pPr>
            <w:pStyle w:val="Contents4"/>
            <w:tabs>
              <w:tab w:val="clear" w:pos="8176"/>
              <w:tab w:val="right" w:pos="9026" w:leader="dot"/>
            </w:tabs>
            <w:rPr/>
          </w:pPr>
          <w:hyperlink w:anchor="__RefHeading___Toc3601686_3804643083">
            <w:r>
              <w:rPr>
                <w:webHidden/>
                <w:rStyle w:val="IndexLink"/>
                <w:rtl w:val="true"/>
              </w:rPr>
              <w:t>[</w:t>
            </w:r>
            <w:r>
              <w:rPr>
                <w:rStyle w:val="IndexLink"/>
                <w:rtl w:val="true"/>
              </w:rPr>
              <w:t>باب تأخير الصلاة إلى الغد إذا صحّت رؤية الهلال بعد الزوال</w:t>
            </w:r>
            <w:r>
              <w:rPr>
                <w:rStyle w:val="IndexLink"/>
                <w:rtl w:val="true"/>
              </w:rPr>
              <w:t>]</w:t>
              <w:tab/>
            </w:r>
            <w:r>
              <w:rPr>
                <w:rStyle w:val="IndexLink"/>
              </w:rPr>
              <w:t>417</w:t>
            </w:r>
          </w:hyperlink>
        </w:p>
        <w:p>
          <w:pPr>
            <w:pStyle w:val="Contents4"/>
            <w:tabs>
              <w:tab w:val="clear" w:pos="8176"/>
              <w:tab w:val="right" w:pos="9026" w:leader="dot"/>
            </w:tabs>
            <w:rPr/>
          </w:pPr>
          <w:hyperlink w:anchor="__RefHeading___Toc3601688_3804643083">
            <w:r>
              <w:rPr>
                <w:webHidden/>
                <w:rStyle w:val="IndexLink"/>
                <w:rtl w:val="true"/>
              </w:rPr>
              <w:t>[</w:t>
            </w:r>
            <w:r>
              <w:rPr>
                <w:rStyle w:val="IndexLink"/>
                <w:rtl w:val="true"/>
              </w:rPr>
              <w:t>باب التحزّن يوم العيدين و أنّ الناس لا يوفّقون لهما</w:t>
            </w:r>
            <w:r>
              <w:rPr>
                <w:rStyle w:val="IndexLink"/>
                <w:rtl w:val="true"/>
              </w:rPr>
              <w:t>]</w:t>
              <w:tab/>
            </w:r>
            <w:r>
              <w:rPr>
                <w:rStyle w:val="IndexLink"/>
              </w:rPr>
              <w:t>419</w:t>
            </w:r>
          </w:hyperlink>
        </w:p>
        <w:p>
          <w:pPr>
            <w:pStyle w:val="Contents4"/>
            <w:tabs>
              <w:tab w:val="clear" w:pos="8176"/>
              <w:tab w:val="right" w:pos="9026" w:leader="dot"/>
            </w:tabs>
            <w:rPr/>
          </w:pPr>
          <w:hyperlink w:anchor="__RefHeading___Toc3601690_3804643083">
            <w:r>
              <w:rPr>
                <w:webHidden/>
                <w:rStyle w:val="IndexLink"/>
                <w:rtl w:val="true"/>
              </w:rPr>
              <w:t>[</w:t>
            </w:r>
            <w:r>
              <w:rPr>
                <w:rStyle w:val="IndexLink"/>
                <w:rtl w:val="true"/>
              </w:rPr>
              <w:t>باب فرض صلاة الكسوف و كلّ أمر مخوف و تسكين الزلزلة</w:t>
            </w:r>
            <w:r>
              <w:rPr>
                <w:rStyle w:val="IndexLink"/>
                <w:rtl w:val="true"/>
              </w:rPr>
              <w:t>]</w:t>
              <w:tab/>
            </w:r>
            <w:r>
              <w:rPr>
                <w:rStyle w:val="IndexLink"/>
              </w:rPr>
              <w:t>420</w:t>
            </w:r>
          </w:hyperlink>
        </w:p>
        <w:p>
          <w:pPr>
            <w:pStyle w:val="Contents2"/>
            <w:tabs>
              <w:tab w:val="clear" w:pos="8743"/>
              <w:tab w:val="right" w:pos="9026" w:leader="dot"/>
            </w:tabs>
            <w:rPr/>
          </w:pPr>
          <w:hyperlink w:anchor="__RefHeading___Toc3601692_3804643083">
            <w:r>
              <w:rPr>
                <w:webHidden/>
                <w:rStyle w:val="IndexLink"/>
                <w:rtl w:val="true"/>
              </w:rPr>
              <w:t>كتاب الزكاة و الخمس و المبرّات</w:t>
            </w:r>
            <w:r>
              <w:rPr>
                <w:rStyle w:val="IndexLink"/>
                <w:rtl w:val="true"/>
              </w:rPr>
              <w:tab/>
            </w:r>
            <w:r>
              <w:rPr>
                <w:rStyle w:val="IndexLink"/>
              </w:rPr>
              <w:t>423</w:t>
            </w:r>
          </w:hyperlink>
        </w:p>
        <w:p>
          <w:pPr>
            <w:pStyle w:val="Contents3"/>
            <w:tabs>
              <w:tab w:val="clear" w:pos="8459"/>
              <w:tab w:val="right" w:pos="9026" w:leader="dot"/>
            </w:tabs>
            <w:rPr/>
          </w:pPr>
          <w:hyperlink w:anchor="__RefHeading___Toc3601694_3804643083">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3601696_3804643083">
            <w:r>
              <w:rPr>
                <w:webHidden/>
                <w:rStyle w:val="IndexLink"/>
                <w:rtl w:val="true"/>
              </w:rPr>
              <w:t>[</w:t>
            </w:r>
            <w:r>
              <w:rPr>
                <w:rStyle w:val="IndexLink"/>
                <w:rtl w:val="true"/>
              </w:rPr>
              <w:t>أبواب زكاة المال</w:t>
            </w:r>
            <w:r>
              <w:rPr>
                <w:rStyle w:val="IndexLink"/>
                <w:rtl w:val="true"/>
              </w:rPr>
              <w:t>]</w:t>
              <w:tab/>
            </w:r>
            <w:r>
              <w:rPr>
                <w:rStyle w:val="IndexLink"/>
              </w:rPr>
              <w:t>424</w:t>
            </w:r>
          </w:hyperlink>
        </w:p>
        <w:p>
          <w:pPr>
            <w:pStyle w:val="Contents4"/>
            <w:tabs>
              <w:tab w:val="clear" w:pos="8176"/>
              <w:tab w:val="right" w:pos="9026" w:leader="dot"/>
            </w:tabs>
            <w:rPr/>
          </w:pPr>
          <w:hyperlink w:anchor="__RefHeading___Toc3601698_3804643083">
            <w:r>
              <w:rPr>
                <w:webHidden/>
                <w:rStyle w:val="IndexLink"/>
                <w:rtl w:val="true"/>
              </w:rPr>
              <w:t>[</w:t>
            </w:r>
            <w:r>
              <w:rPr>
                <w:rStyle w:val="IndexLink"/>
                <w:rtl w:val="true"/>
              </w:rPr>
              <w:t>باب العلّة في وضع الزكاة و قدرها</w:t>
            </w:r>
            <w:r>
              <w:rPr>
                <w:rStyle w:val="IndexLink"/>
                <w:rtl w:val="true"/>
              </w:rPr>
              <w:t>]</w:t>
              <w:tab/>
            </w:r>
            <w:r>
              <w:rPr>
                <w:rStyle w:val="IndexLink"/>
              </w:rPr>
              <w:t>424</w:t>
            </w:r>
          </w:hyperlink>
        </w:p>
        <w:p>
          <w:pPr>
            <w:pStyle w:val="Contents4"/>
            <w:tabs>
              <w:tab w:val="clear" w:pos="8176"/>
              <w:tab w:val="right" w:pos="9026" w:leader="dot"/>
            </w:tabs>
            <w:rPr/>
          </w:pPr>
          <w:hyperlink w:anchor="__RefHeading___Toc3601700_3804643083">
            <w:r>
              <w:rPr>
                <w:webHidden/>
                <w:rStyle w:val="IndexLink"/>
                <w:rtl w:val="true"/>
              </w:rPr>
              <w:t>[</w:t>
            </w:r>
            <w:r>
              <w:rPr>
                <w:rStyle w:val="IndexLink"/>
                <w:rtl w:val="true"/>
              </w:rPr>
              <w:t>باب زكاة الذهب و الفضّة</w:t>
            </w:r>
            <w:r>
              <w:rPr>
                <w:rStyle w:val="IndexLink"/>
                <w:rtl w:val="true"/>
              </w:rPr>
              <w:t>]</w:t>
              <w:tab/>
            </w:r>
            <w:r>
              <w:rPr>
                <w:rStyle w:val="IndexLink"/>
              </w:rPr>
              <w:t>428</w:t>
            </w:r>
          </w:hyperlink>
        </w:p>
        <w:p>
          <w:pPr>
            <w:pStyle w:val="Contents4"/>
            <w:tabs>
              <w:tab w:val="clear" w:pos="8176"/>
              <w:tab w:val="right" w:pos="9026" w:leader="dot"/>
            </w:tabs>
            <w:rPr/>
          </w:pPr>
          <w:hyperlink w:anchor="__RefHeading___Toc3601702_3804643083">
            <w:r>
              <w:rPr>
                <w:webHidden/>
                <w:rStyle w:val="IndexLink"/>
                <w:rtl w:val="true"/>
              </w:rPr>
              <w:t>[</w:t>
            </w:r>
            <w:r>
              <w:rPr>
                <w:rStyle w:val="IndexLink"/>
                <w:rtl w:val="true"/>
              </w:rPr>
              <w:t>باب زكاة الحنطة و الشعير و التمر و الزبيب</w:t>
            </w:r>
            <w:r>
              <w:rPr>
                <w:rStyle w:val="IndexLink"/>
                <w:rtl w:val="true"/>
              </w:rPr>
              <w:t>]</w:t>
              <w:tab/>
            </w:r>
            <w:r>
              <w:rPr>
                <w:rStyle w:val="IndexLink"/>
              </w:rPr>
              <w:t>429</w:t>
            </w:r>
          </w:hyperlink>
        </w:p>
        <w:p>
          <w:pPr>
            <w:pStyle w:val="Contents4"/>
            <w:tabs>
              <w:tab w:val="clear" w:pos="8176"/>
              <w:tab w:val="right" w:pos="9026" w:leader="dot"/>
            </w:tabs>
            <w:rPr/>
          </w:pPr>
          <w:hyperlink w:anchor="__RefHeading___Toc3601704_3804643083">
            <w:r>
              <w:rPr>
                <w:webHidden/>
                <w:rStyle w:val="IndexLink"/>
                <w:rtl w:val="true"/>
              </w:rPr>
              <w:t>[</w:t>
            </w:r>
            <w:r>
              <w:rPr>
                <w:rStyle w:val="IndexLink"/>
                <w:rtl w:val="true"/>
              </w:rPr>
              <w:t>باب زكاة الإبل و البقر و الغنم</w:t>
            </w:r>
            <w:r>
              <w:rPr>
                <w:rStyle w:val="IndexLink"/>
                <w:rtl w:val="true"/>
              </w:rPr>
              <w:t>]</w:t>
              <w:tab/>
            </w:r>
            <w:r>
              <w:rPr>
                <w:rStyle w:val="IndexLink"/>
              </w:rPr>
              <w:t>430</w:t>
            </w:r>
          </w:hyperlink>
        </w:p>
        <w:p>
          <w:pPr>
            <w:pStyle w:val="Contents4"/>
            <w:tabs>
              <w:tab w:val="clear" w:pos="8176"/>
              <w:tab w:val="right" w:pos="9026" w:leader="dot"/>
            </w:tabs>
            <w:rPr/>
          </w:pPr>
          <w:hyperlink w:anchor="__RefHeading___Toc3601706_3804643083">
            <w:r>
              <w:rPr>
                <w:webHidden/>
                <w:rStyle w:val="IndexLink"/>
                <w:rtl w:val="true"/>
              </w:rPr>
              <w:t>[</w:t>
            </w:r>
            <w:r>
              <w:rPr>
                <w:rStyle w:val="IndexLink"/>
                <w:rtl w:val="true"/>
              </w:rPr>
              <w:t>باب مصرف الزكاة</w:t>
            </w:r>
            <w:r>
              <w:rPr>
                <w:rStyle w:val="IndexLink"/>
                <w:rtl w:val="true"/>
              </w:rPr>
              <w:t>]</w:t>
              <w:tab/>
            </w:r>
            <w:r>
              <w:rPr>
                <w:rStyle w:val="IndexLink"/>
              </w:rPr>
              <w:t>430</w:t>
            </w:r>
          </w:hyperlink>
        </w:p>
        <w:p>
          <w:pPr>
            <w:pStyle w:val="Contents4"/>
            <w:tabs>
              <w:tab w:val="clear" w:pos="8176"/>
              <w:tab w:val="right" w:pos="9026" w:leader="dot"/>
            </w:tabs>
            <w:rPr/>
          </w:pPr>
          <w:hyperlink w:anchor="__RefHeading___Toc3601708_3804643083">
            <w:r>
              <w:rPr>
                <w:webHidden/>
                <w:rStyle w:val="IndexLink"/>
                <w:rtl w:val="true"/>
              </w:rPr>
              <w:t>[</w:t>
            </w:r>
            <w:r>
              <w:rPr>
                <w:rStyle w:val="IndexLink"/>
                <w:rtl w:val="true"/>
              </w:rPr>
              <w:t>باب أنّ الزكاة لا تحلّ لبني هاشم إلّا ممّن هو منهم، أو عند الضرورة</w:t>
            </w:r>
            <w:r>
              <w:rPr>
                <w:rStyle w:val="IndexLink"/>
                <w:rtl w:val="true"/>
              </w:rPr>
              <w:t>]</w:t>
              <w:tab/>
            </w:r>
            <w:r>
              <w:rPr>
                <w:rStyle w:val="IndexLink"/>
              </w:rPr>
              <w:t>440</w:t>
            </w:r>
          </w:hyperlink>
        </w:p>
        <w:p>
          <w:pPr>
            <w:pStyle w:val="Contents4"/>
            <w:tabs>
              <w:tab w:val="clear" w:pos="8176"/>
              <w:tab w:val="right" w:pos="9026" w:leader="dot"/>
            </w:tabs>
            <w:rPr/>
          </w:pPr>
          <w:hyperlink w:anchor="__RefHeading___Toc3601710_3804643083">
            <w:r>
              <w:rPr>
                <w:webHidden/>
                <w:rStyle w:val="IndexLink"/>
                <w:rtl w:val="true"/>
              </w:rPr>
              <w:t>[</w:t>
            </w:r>
            <w:r>
              <w:rPr>
                <w:rStyle w:val="IndexLink"/>
                <w:rtl w:val="true"/>
              </w:rPr>
              <w:t>باب قسمة الزكاة و غيرها</w:t>
            </w:r>
            <w:r>
              <w:rPr>
                <w:rStyle w:val="IndexLink"/>
                <w:rtl w:val="true"/>
              </w:rPr>
              <w:t>]</w:t>
              <w:tab/>
            </w:r>
            <w:r>
              <w:rPr>
                <w:rStyle w:val="IndexLink"/>
              </w:rPr>
              <w:t>440</w:t>
            </w:r>
          </w:hyperlink>
        </w:p>
        <w:p>
          <w:pPr>
            <w:pStyle w:val="Contents4"/>
            <w:tabs>
              <w:tab w:val="clear" w:pos="8176"/>
              <w:tab w:val="right" w:pos="9026" w:leader="dot"/>
            </w:tabs>
            <w:rPr/>
          </w:pPr>
          <w:hyperlink w:anchor="__RefHeading___Toc3601712_3804643083">
            <w:r>
              <w:rPr>
                <w:webHidden/>
                <w:rStyle w:val="IndexLink"/>
                <w:rtl w:val="true"/>
              </w:rPr>
              <w:t>[</w:t>
            </w:r>
            <w:r>
              <w:rPr>
                <w:rStyle w:val="IndexLink"/>
                <w:rtl w:val="true"/>
              </w:rPr>
              <w:t>باب نقل الزكاة و ضمانها</w:t>
            </w:r>
            <w:r>
              <w:rPr>
                <w:rStyle w:val="IndexLink"/>
                <w:rtl w:val="true"/>
              </w:rPr>
              <w:t>]</w:t>
              <w:tab/>
            </w:r>
            <w:r>
              <w:rPr>
                <w:rStyle w:val="IndexLink"/>
              </w:rPr>
              <w:t>443</w:t>
            </w:r>
          </w:hyperlink>
        </w:p>
        <w:p>
          <w:pPr>
            <w:pStyle w:val="Contents4"/>
            <w:tabs>
              <w:tab w:val="clear" w:pos="8176"/>
              <w:tab w:val="right" w:pos="9026" w:leader="dot"/>
            </w:tabs>
            <w:rPr/>
          </w:pPr>
          <w:hyperlink w:anchor="__RefHeading___Toc3601714_3804643083">
            <w:r>
              <w:rPr>
                <w:webHidden/>
                <w:rStyle w:val="IndexLink"/>
                <w:rtl w:val="true"/>
              </w:rPr>
              <w:t>[</w:t>
            </w:r>
            <w:r>
              <w:rPr>
                <w:rStyle w:val="IndexLink"/>
                <w:rtl w:val="true"/>
              </w:rPr>
              <w:t>باب من يمتنع من أخذ الزكاة</w:t>
            </w:r>
            <w:r>
              <w:rPr>
                <w:rStyle w:val="IndexLink"/>
                <w:rtl w:val="true"/>
              </w:rPr>
              <w:t>]</w:t>
              <w:tab/>
            </w:r>
            <w:r>
              <w:rPr>
                <w:rStyle w:val="IndexLink"/>
              </w:rPr>
              <w:t>443</w:t>
            </w:r>
          </w:hyperlink>
        </w:p>
        <w:p>
          <w:pPr>
            <w:pStyle w:val="Contents3"/>
            <w:tabs>
              <w:tab w:val="clear" w:pos="8459"/>
              <w:tab w:val="right" w:pos="9026" w:leader="dot"/>
            </w:tabs>
            <w:rPr/>
          </w:pPr>
          <w:hyperlink w:anchor="__RefHeading___Toc3601716_3804643083">
            <w:r>
              <w:rPr>
                <w:webHidden/>
                <w:rStyle w:val="IndexLink"/>
                <w:rtl w:val="true"/>
              </w:rPr>
              <w:t>[</w:t>
            </w:r>
            <w:r>
              <w:rPr>
                <w:rStyle w:val="IndexLink"/>
                <w:rtl w:val="true"/>
              </w:rPr>
              <w:t>أبواب الخمس و سائر ما يصرف إلى الإمام عليه السّلام</w:t>
            </w:r>
            <w:r>
              <w:rPr>
                <w:rStyle w:val="IndexLink"/>
                <w:rtl w:val="true"/>
              </w:rPr>
              <w:t>]</w:t>
              <w:tab/>
            </w:r>
            <w:r>
              <w:rPr>
                <w:rStyle w:val="IndexLink"/>
              </w:rPr>
              <w:t>446</w:t>
            </w:r>
          </w:hyperlink>
        </w:p>
        <w:p>
          <w:pPr>
            <w:pStyle w:val="Contents4"/>
            <w:tabs>
              <w:tab w:val="clear" w:pos="8176"/>
              <w:tab w:val="right" w:pos="9026" w:leader="dot"/>
            </w:tabs>
            <w:rPr/>
          </w:pPr>
          <w:hyperlink w:anchor="__RefHeading___Toc3601718_3804643083">
            <w:r>
              <w:rPr>
                <w:webHidden/>
                <w:rStyle w:val="IndexLink"/>
                <w:rtl w:val="true"/>
              </w:rPr>
              <w:t>[</w:t>
            </w:r>
            <w:r>
              <w:rPr>
                <w:rStyle w:val="IndexLink"/>
                <w:rtl w:val="true"/>
              </w:rPr>
              <w:t>باب غناء الإمام عن أموال الناس و ما له فيها</w:t>
            </w:r>
            <w:r>
              <w:rPr>
                <w:rStyle w:val="IndexLink"/>
                <w:rtl w:val="true"/>
              </w:rPr>
              <w:t>]</w:t>
              <w:tab/>
            </w:r>
            <w:r>
              <w:rPr>
                <w:rStyle w:val="IndexLink"/>
              </w:rPr>
              <w:t>446</w:t>
            </w:r>
          </w:hyperlink>
        </w:p>
        <w:p>
          <w:pPr>
            <w:pStyle w:val="Contents4"/>
            <w:tabs>
              <w:tab w:val="clear" w:pos="8176"/>
              <w:tab w:val="right" w:pos="9026" w:leader="dot"/>
            </w:tabs>
            <w:rPr/>
          </w:pPr>
          <w:hyperlink w:anchor="__RefHeading___Toc3601720_3804643083">
            <w:r>
              <w:rPr>
                <w:webHidden/>
                <w:rStyle w:val="IndexLink"/>
                <w:rtl w:val="true"/>
              </w:rPr>
              <w:t>[</w:t>
            </w:r>
            <w:r>
              <w:rPr>
                <w:rStyle w:val="IndexLink"/>
                <w:rtl w:val="true"/>
              </w:rPr>
              <w:t>باب جملة الغنائم و الفوائد و مصارفها</w:t>
            </w:r>
            <w:r>
              <w:rPr>
                <w:rStyle w:val="IndexLink"/>
                <w:rtl w:val="true"/>
              </w:rPr>
              <w:t>]</w:t>
              <w:tab/>
            </w:r>
            <w:r>
              <w:rPr>
                <w:rStyle w:val="IndexLink"/>
              </w:rPr>
              <w:t>447</w:t>
            </w:r>
          </w:hyperlink>
        </w:p>
        <w:p>
          <w:pPr>
            <w:pStyle w:val="Contents5"/>
            <w:tabs>
              <w:tab w:val="clear" w:pos="7892"/>
              <w:tab w:val="right" w:pos="9026" w:leader="dot"/>
            </w:tabs>
            <w:rPr/>
          </w:pPr>
          <w:hyperlink w:anchor="__RefHeading___Toc3601722_3804643083">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3601724_3804643083">
            <w:r>
              <w:rPr>
                <w:webHidden/>
                <w:rStyle w:val="IndexLink"/>
                <w:rtl w:val="true"/>
              </w:rPr>
              <w:t>[</w:t>
            </w:r>
            <w:r>
              <w:rPr>
                <w:rStyle w:val="IndexLink"/>
                <w:rtl w:val="true"/>
              </w:rPr>
              <w:t>اعتبار الانتساب إلى هاشم بالأب</w:t>
            </w:r>
            <w:r>
              <w:rPr>
                <w:rStyle w:val="IndexLink"/>
                <w:rtl w:val="true"/>
              </w:rPr>
              <w:t>]</w:t>
              <w:tab/>
            </w:r>
            <w:r>
              <w:rPr>
                <w:rStyle w:val="IndexLink"/>
              </w:rPr>
              <w:t>447</w:t>
            </w:r>
          </w:hyperlink>
        </w:p>
        <w:p>
          <w:pPr>
            <w:pStyle w:val="Contents4"/>
            <w:tabs>
              <w:tab w:val="clear" w:pos="8176"/>
              <w:tab w:val="right" w:pos="9026" w:leader="dot"/>
            </w:tabs>
            <w:rPr/>
          </w:pPr>
          <w:hyperlink w:anchor="__RefHeading___Toc3601726_3804643083">
            <w:r>
              <w:rPr>
                <w:webHidden/>
                <w:rStyle w:val="IndexLink"/>
                <w:rtl w:val="true"/>
              </w:rPr>
              <w:t>[</w:t>
            </w:r>
            <w:r>
              <w:rPr>
                <w:rStyle w:val="IndexLink"/>
                <w:rtl w:val="true"/>
              </w:rPr>
              <w:t>باب ما فيه الخمس من الأموال و ما ليس فيه</w:t>
            </w:r>
            <w:r>
              <w:rPr>
                <w:rStyle w:val="IndexLink"/>
                <w:rtl w:val="true"/>
              </w:rPr>
              <w:t>]</w:t>
              <w:tab/>
            </w:r>
            <w:r>
              <w:rPr>
                <w:rStyle w:val="IndexLink"/>
              </w:rPr>
              <w:t>454</w:t>
            </w:r>
          </w:hyperlink>
        </w:p>
        <w:p>
          <w:pPr>
            <w:pStyle w:val="Contents4"/>
            <w:tabs>
              <w:tab w:val="clear" w:pos="8176"/>
              <w:tab w:val="right" w:pos="9026" w:leader="dot"/>
            </w:tabs>
            <w:rPr/>
          </w:pPr>
          <w:hyperlink w:anchor="__RefHeading___Toc3601728_3804643083">
            <w:r>
              <w:rPr>
                <w:webHidden/>
                <w:rStyle w:val="IndexLink"/>
                <w:rtl w:val="true"/>
              </w:rPr>
              <w:t>[</w:t>
            </w:r>
            <w:r>
              <w:rPr>
                <w:rStyle w:val="IndexLink"/>
                <w:rtl w:val="true"/>
              </w:rPr>
              <w:t>باب نصاب الخمس، و أنّه بعد المئونة</w:t>
            </w:r>
            <w:r>
              <w:rPr>
                <w:rStyle w:val="IndexLink"/>
                <w:rtl w:val="true"/>
              </w:rPr>
              <w:t>]</w:t>
              <w:tab/>
            </w:r>
            <w:r>
              <w:rPr>
                <w:rStyle w:val="IndexLink"/>
              </w:rPr>
              <w:t>458</w:t>
            </w:r>
          </w:hyperlink>
        </w:p>
        <w:p>
          <w:pPr>
            <w:pStyle w:val="Contents4"/>
            <w:tabs>
              <w:tab w:val="clear" w:pos="8176"/>
              <w:tab w:val="right" w:pos="9026" w:leader="dot"/>
            </w:tabs>
            <w:rPr/>
          </w:pPr>
          <w:hyperlink w:anchor="__RefHeading___Toc3601730_3804643083">
            <w:r>
              <w:rPr>
                <w:webHidden/>
                <w:rStyle w:val="IndexLink"/>
                <w:rtl w:val="true"/>
              </w:rPr>
              <w:t>[</w:t>
            </w:r>
            <w:r>
              <w:rPr>
                <w:rStyle w:val="IndexLink"/>
                <w:rtl w:val="true"/>
              </w:rPr>
              <w:t>باب مصرف الخمس</w:t>
            </w:r>
            <w:r>
              <w:rPr>
                <w:rStyle w:val="IndexLink"/>
                <w:rtl w:val="true"/>
              </w:rPr>
              <w:t>]</w:t>
              <w:tab/>
            </w:r>
            <w:r>
              <w:rPr>
                <w:rStyle w:val="IndexLink"/>
              </w:rPr>
              <w:t>459</w:t>
            </w:r>
          </w:hyperlink>
        </w:p>
        <w:p>
          <w:pPr>
            <w:pStyle w:val="Contents4"/>
            <w:tabs>
              <w:tab w:val="clear" w:pos="8176"/>
              <w:tab w:val="right" w:pos="9026" w:leader="dot"/>
            </w:tabs>
            <w:rPr/>
          </w:pPr>
          <w:hyperlink w:anchor="__RefHeading___Toc3601732_3804643083">
            <w:r>
              <w:rPr>
                <w:webHidden/>
                <w:rStyle w:val="IndexLink"/>
                <w:rtl w:val="true"/>
              </w:rPr>
              <w:t>[</w:t>
            </w:r>
            <w:r>
              <w:rPr>
                <w:rStyle w:val="IndexLink"/>
                <w:rtl w:val="true"/>
              </w:rPr>
              <w:t>باب تحليلهم عليهم السّلام الخمس لشيعتهم و تشديدهم الأمر فيه</w:t>
            </w:r>
            <w:r>
              <w:rPr>
                <w:rStyle w:val="IndexLink"/>
                <w:rtl w:val="true"/>
              </w:rPr>
              <w:t>]</w:t>
              <w:tab/>
            </w:r>
            <w:r>
              <w:rPr>
                <w:rStyle w:val="IndexLink"/>
              </w:rPr>
              <w:t>460</w:t>
            </w:r>
          </w:hyperlink>
        </w:p>
        <w:p>
          <w:pPr>
            <w:pStyle w:val="Contents3"/>
            <w:tabs>
              <w:tab w:val="clear" w:pos="8459"/>
              <w:tab w:val="right" w:pos="9026" w:leader="dot"/>
            </w:tabs>
            <w:rPr/>
          </w:pPr>
          <w:hyperlink w:anchor="__RefHeading___Toc3601734_3804643083">
            <w:r>
              <w:rPr>
                <w:webHidden/>
                <w:rStyle w:val="IndexLink"/>
                <w:rtl w:val="true"/>
              </w:rPr>
              <w:t>[</w:t>
            </w:r>
            <w:r>
              <w:rPr>
                <w:rStyle w:val="IndexLink"/>
                <w:rtl w:val="true"/>
              </w:rPr>
              <w:t>أبواب سائر أصناف الإنفاق و المعروف و حقوقهما</w:t>
            </w:r>
            <w:r>
              <w:rPr>
                <w:rStyle w:val="IndexLink"/>
                <w:rtl w:val="true"/>
              </w:rPr>
              <w:t>]</w:t>
              <w:tab/>
            </w:r>
            <w:r>
              <w:rPr>
                <w:rStyle w:val="IndexLink"/>
              </w:rPr>
              <w:t>472</w:t>
            </w:r>
          </w:hyperlink>
        </w:p>
        <w:p>
          <w:pPr>
            <w:pStyle w:val="Contents4"/>
            <w:tabs>
              <w:tab w:val="clear" w:pos="8176"/>
              <w:tab w:val="right" w:pos="9026" w:leader="dot"/>
            </w:tabs>
            <w:rPr/>
          </w:pPr>
          <w:hyperlink w:anchor="__RefHeading___Toc3601736_3804643083">
            <w:r>
              <w:rPr>
                <w:webHidden/>
                <w:rStyle w:val="IndexLink"/>
                <w:rtl w:val="true"/>
              </w:rPr>
              <w:t>[</w:t>
            </w:r>
            <w:r>
              <w:rPr>
                <w:rStyle w:val="IndexLink"/>
                <w:rtl w:val="true"/>
              </w:rPr>
              <w:t>باب القرض</w:t>
            </w:r>
            <w:r>
              <w:rPr>
                <w:rStyle w:val="IndexLink"/>
                <w:rtl w:val="true"/>
              </w:rPr>
              <w:t>]</w:t>
              <w:tab/>
            </w:r>
            <w:r>
              <w:rPr>
                <w:rStyle w:val="IndexLink"/>
              </w:rPr>
              <w:t>472</w:t>
            </w:r>
          </w:hyperlink>
        </w:p>
        <w:p>
          <w:pPr>
            <w:pStyle w:val="Contents4"/>
            <w:tabs>
              <w:tab w:val="clear" w:pos="8176"/>
              <w:tab w:val="right" w:pos="9026" w:leader="dot"/>
            </w:tabs>
            <w:rPr/>
          </w:pPr>
          <w:hyperlink w:anchor="__RefHeading___Toc3601738_3804643083">
            <w:r>
              <w:rPr>
                <w:webHidden/>
                <w:rStyle w:val="IndexLink"/>
                <w:rtl w:val="true"/>
              </w:rPr>
              <w:t>[</w:t>
            </w:r>
            <w:r>
              <w:rPr>
                <w:rStyle w:val="IndexLink"/>
                <w:rtl w:val="true"/>
              </w:rPr>
              <w:t>باب أحكام الصدقات</w:t>
            </w:r>
            <w:r>
              <w:rPr>
                <w:rStyle w:val="IndexLink"/>
                <w:rtl w:val="true"/>
              </w:rPr>
              <w:t>]</w:t>
              <w:tab/>
            </w:r>
            <w:r>
              <w:rPr>
                <w:rStyle w:val="IndexLink"/>
              </w:rPr>
              <w:t>473</w:t>
            </w:r>
          </w:hyperlink>
        </w:p>
        <w:p>
          <w:pPr>
            <w:pStyle w:val="Contents4"/>
            <w:tabs>
              <w:tab w:val="clear" w:pos="8176"/>
              <w:tab w:val="right" w:pos="9026" w:leader="dot"/>
            </w:tabs>
            <w:rPr/>
          </w:pPr>
          <w:hyperlink w:anchor="__RefHeading___Toc3601740_3804643083">
            <w:r>
              <w:rPr>
                <w:webHidden/>
                <w:rStyle w:val="IndexLink"/>
                <w:rtl w:val="true"/>
              </w:rPr>
              <w:t>[</w:t>
            </w:r>
            <w:r>
              <w:rPr>
                <w:rStyle w:val="IndexLink"/>
                <w:rtl w:val="true"/>
              </w:rPr>
              <w:t>باب الهبة و النحلة</w:t>
            </w:r>
            <w:r>
              <w:rPr>
                <w:rStyle w:val="IndexLink"/>
                <w:rtl w:val="true"/>
              </w:rPr>
              <w:t>]</w:t>
              <w:tab/>
            </w:r>
            <w:r>
              <w:rPr>
                <w:rStyle w:val="IndexLink"/>
              </w:rPr>
              <w:t>476</w:t>
            </w:r>
          </w:hyperlink>
        </w:p>
        <w:p>
          <w:pPr>
            <w:pStyle w:val="Contents4"/>
            <w:tabs>
              <w:tab w:val="clear" w:pos="8176"/>
              <w:tab w:val="right" w:pos="9026" w:leader="dot"/>
            </w:tabs>
            <w:rPr/>
          </w:pPr>
          <w:hyperlink w:anchor="__RefHeading___Toc3601742_3804643083">
            <w:r>
              <w:rPr>
                <w:webHidden/>
                <w:rStyle w:val="IndexLink"/>
                <w:rtl w:val="true"/>
              </w:rPr>
              <w:t>[</w:t>
            </w:r>
            <w:r>
              <w:rPr>
                <w:rStyle w:val="IndexLink"/>
                <w:rtl w:val="true"/>
              </w:rPr>
              <w:t>باب السكنى و العمرى و الرقبى و الحبيس</w:t>
            </w:r>
            <w:r>
              <w:rPr>
                <w:rStyle w:val="IndexLink"/>
                <w:rtl w:val="true"/>
              </w:rPr>
              <w:t>]</w:t>
              <w:tab/>
            </w:r>
            <w:r>
              <w:rPr>
                <w:rStyle w:val="IndexLink"/>
              </w:rPr>
              <w:t>481</w:t>
            </w:r>
          </w:hyperlink>
        </w:p>
        <w:p>
          <w:pPr>
            <w:pStyle w:val="Contents4"/>
            <w:tabs>
              <w:tab w:val="clear" w:pos="8176"/>
              <w:tab w:val="right" w:pos="9026" w:leader="dot"/>
            </w:tabs>
            <w:rPr/>
          </w:pPr>
          <w:hyperlink w:anchor="__RefHeading___Toc3601744_3804643083">
            <w:r>
              <w:rPr>
                <w:webHidden/>
                <w:rStyle w:val="IndexLink"/>
                <w:rtl w:val="true"/>
              </w:rPr>
              <w:t>[</w:t>
            </w:r>
            <w:r>
              <w:rPr>
                <w:rStyle w:val="IndexLink"/>
                <w:rtl w:val="true"/>
              </w:rPr>
              <w:t>باب الوقف</w:t>
            </w:r>
            <w:r>
              <w:rPr>
                <w:rStyle w:val="IndexLink"/>
                <w:rtl w:val="true"/>
              </w:rPr>
              <w:t>]</w:t>
              <w:tab/>
            </w:r>
            <w:r>
              <w:rPr>
                <w:rStyle w:val="IndexLink"/>
              </w:rPr>
              <w:t>481</w:t>
            </w:r>
          </w:hyperlink>
        </w:p>
        <w:p>
          <w:pPr>
            <w:pStyle w:val="Contents2"/>
            <w:tabs>
              <w:tab w:val="clear" w:pos="8743"/>
              <w:tab w:val="right" w:pos="9026" w:leader="dot"/>
            </w:tabs>
            <w:rPr/>
          </w:pPr>
          <w:hyperlink w:anchor="__RefHeading___Toc3601746_3804643083">
            <w:r>
              <w:rPr>
                <w:webHidden/>
                <w:rStyle w:val="IndexLink"/>
                <w:rtl w:val="true"/>
              </w:rPr>
              <w:t>كتاب الصيام و الاعتكاف و المعاهدات</w:t>
            </w:r>
            <w:r>
              <w:rPr>
                <w:rStyle w:val="IndexLink"/>
                <w:rtl w:val="true"/>
              </w:rPr>
              <w:tab/>
            </w:r>
            <w:r>
              <w:rPr>
                <w:rStyle w:val="IndexLink"/>
              </w:rPr>
              <w:t>484</w:t>
            </w:r>
          </w:hyperlink>
        </w:p>
        <w:p>
          <w:pPr>
            <w:pStyle w:val="Contents3"/>
            <w:tabs>
              <w:tab w:val="clear" w:pos="8459"/>
              <w:tab w:val="right" w:pos="9026" w:leader="dot"/>
            </w:tabs>
            <w:rPr/>
          </w:pPr>
          <w:hyperlink w:anchor="__RefHeading___Toc3601748_3804643083">
            <w:r>
              <w:rPr>
                <w:webHidden/>
                <w:rStyle w:val="IndexLink"/>
                <w:rtl w:val="true"/>
              </w:rPr>
              <w:t>اشارة</w:t>
            </w:r>
            <w:r>
              <w:rPr>
                <w:rStyle w:val="IndexLink"/>
                <w:rtl w:val="true"/>
              </w:rPr>
              <w:tab/>
            </w:r>
            <w:r>
              <w:rPr>
                <w:rStyle w:val="IndexLink"/>
              </w:rPr>
              <w:t>484</w:t>
            </w:r>
          </w:hyperlink>
        </w:p>
        <w:p>
          <w:pPr>
            <w:pStyle w:val="Contents3"/>
            <w:tabs>
              <w:tab w:val="clear" w:pos="8459"/>
              <w:tab w:val="right" w:pos="9026" w:leader="dot"/>
            </w:tabs>
            <w:rPr/>
          </w:pPr>
          <w:hyperlink w:anchor="__RefHeading___Toc3601750_3804643083">
            <w:r>
              <w:rPr>
                <w:webHidden/>
                <w:rStyle w:val="IndexLink"/>
                <w:rtl w:val="true"/>
              </w:rPr>
              <w:t>[</w:t>
            </w:r>
            <w:r>
              <w:rPr>
                <w:rStyle w:val="IndexLink"/>
                <w:rtl w:val="true"/>
              </w:rPr>
              <w:t>أبواب فرض الصيام و فضله و علّته و أقسامه و علامة دخول الشهر</w:t>
            </w:r>
            <w:r>
              <w:rPr>
                <w:rStyle w:val="IndexLink"/>
                <w:rtl w:val="true"/>
              </w:rPr>
              <w:t>]</w:t>
              <w:tab/>
            </w:r>
            <w:r>
              <w:rPr>
                <w:rStyle w:val="IndexLink"/>
              </w:rPr>
              <w:t>485</w:t>
            </w:r>
          </w:hyperlink>
        </w:p>
        <w:p>
          <w:pPr>
            <w:pStyle w:val="Contents4"/>
            <w:tabs>
              <w:tab w:val="clear" w:pos="8176"/>
              <w:tab w:val="right" w:pos="9026" w:leader="dot"/>
            </w:tabs>
            <w:rPr/>
          </w:pPr>
          <w:hyperlink w:anchor="__RefHeading___Toc3601752_3804643083">
            <w:r>
              <w:rPr>
                <w:webHidden/>
                <w:rStyle w:val="IndexLink"/>
                <w:rtl w:val="true"/>
              </w:rPr>
              <w:t>[</w:t>
            </w:r>
            <w:r>
              <w:rPr>
                <w:rStyle w:val="IndexLink"/>
                <w:rtl w:val="true"/>
              </w:rPr>
              <w:t>باب صيام المسافر</w:t>
            </w:r>
            <w:r>
              <w:rPr>
                <w:rStyle w:val="IndexLink"/>
                <w:rtl w:val="true"/>
              </w:rPr>
              <w:t>]</w:t>
              <w:tab/>
            </w:r>
            <w:r>
              <w:rPr>
                <w:rStyle w:val="IndexLink"/>
              </w:rPr>
              <w:t>485</w:t>
            </w:r>
          </w:hyperlink>
        </w:p>
        <w:p>
          <w:pPr>
            <w:pStyle w:val="Contents4"/>
            <w:tabs>
              <w:tab w:val="clear" w:pos="8176"/>
              <w:tab w:val="right" w:pos="9026" w:leader="dot"/>
            </w:tabs>
            <w:rPr/>
          </w:pPr>
          <w:hyperlink w:anchor="__RefHeading___Toc3601754_3804643083">
            <w:r>
              <w:rPr>
                <w:webHidden/>
                <w:rStyle w:val="IndexLink"/>
                <w:rtl w:val="true"/>
              </w:rPr>
              <w:t>[</w:t>
            </w:r>
            <w:r>
              <w:rPr>
                <w:rStyle w:val="IndexLink"/>
                <w:rtl w:val="true"/>
              </w:rPr>
              <w:t>باب صيام يوم الشكّ</w:t>
            </w:r>
            <w:r>
              <w:rPr>
                <w:rStyle w:val="IndexLink"/>
                <w:rtl w:val="true"/>
              </w:rPr>
              <w:t>]</w:t>
              <w:tab/>
            </w:r>
            <w:r>
              <w:rPr>
                <w:rStyle w:val="IndexLink"/>
              </w:rPr>
              <w:t>486</w:t>
            </w:r>
          </w:hyperlink>
        </w:p>
        <w:p>
          <w:pPr>
            <w:pStyle w:val="Contents4"/>
            <w:tabs>
              <w:tab w:val="clear" w:pos="8176"/>
              <w:tab w:val="right" w:pos="9026" w:leader="dot"/>
            </w:tabs>
            <w:rPr/>
          </w:pPr>
          <w:hyperlink w:anchor="__RefHeading___Toc3601756_3804643083">
            <w:r>
              <w:rPr>
                <w:webHidden/>
                <w:rStyle w:val="IndexLink"/>
                <w:rtl w:val="true"/>
              </w:rPr>
              <w:t>[</w:t>
            </w:r>
            <w:r>
              <w:rPr>
                <w:rStyle w:val="IndexLink"/>
                <w:rtl w:val="true"/>
              </w:rPr>
              <w:t>باب علامة دخول الشهر و أنّ الصوم للرؤية و الفطر للرؤية</w:t>
            </w:r>
            <w:r>
              <w:rPr>
                <w:rStyle w:val="IndexLink"/>
                <w:rtl w:val="true"/>
              </w:rPr>
              <w:t>]</w:t>
              <w:tab/>
            </w:r>
            <w:r>
              <w:rPr>
                <w:rStyle w:val="IndexLink"/>
              </w:rPr>
              <w:t>491</w:t>
            </w:r>
          </w:hyperlink>
        </w:p>
        <w:p>
          <w:pPr>
            <w:pStyle w:val="Contents4"/>
            <w:tabs>
              <w:tab w:val="clear" w:pos="8176"/>
              <w:tab w:val="right" w:pos="9026" w:leader="dot"/>
            </w:tabs>
            <w:rPr/>
          </w:pPr>
          <w:hyperlink w:anchor="__RefHeading___Toc3601758_3804643083">
            <w:r>
              <w:rPr>
                <w:webHidden/>
                <w:rStyle w:val="IndexLink"/>
                <w:rtl w:val="true"/>
              </w:rPr>
              <w:t>[</w:t>
            </w:r>
            <w:r>
              <w:rPr>
                <w:rStyle w:val="IndexLink"/>
                <w:rtl w:val="true"/>
              </w:rPr>
              <w:t>باب عدد أيّام شهر رمضان</w:t>
            </w:r>
            <w:r>
              <w:rPr>
                <w:rStyle w:val="IndexLink"/>
                <w:rtl w:val="true"/>
              </w:rPr>
              <w:t>]</w:t>
              <w:tab/>
            </w:r>
            <w:r>
              <w:rPr>
                <w:rStyle w:val="IndexLink"/>
              </w:rPr>
              <w:t>499</w:t>
            </w:r>
          </w:hyperlink>
        </w:p>
        <w:p>
          <w:pPr>
            <w:pStyle w:val="Contents4"/>
            <w:tabs>
              <w:tab w:val="clear" w:pos="8176"/>
              <w:tab w:val="right" w:pos="9026" w:leader="dot"/>
            </w:tabs>
            <w:rPr/>
          </w:pPr>
          <w:hyperlink w:anchor="__RefHeading___Toc3601760_3804643083">
            <w:r>
              <w:rPr>
                <w:webHidden/>
                <w:rStyle w:val="IndexLink"/>
                <w:rtl w:val="true"/>
              </w:rPr>
              <w:t>[</w:t>
            </w:r>
            <w:r>
              <w:rPr>
                <w:rStyle w:val="IndexLink"/>
                <w:rtl w:val="true"/>
              </w:rPr>
              <w:t>باب رؤية الهلال قبل الزوال</w:t>
            </w:r>
            <w:r>
              <w:rPr>
                <w:rStyle w:val="IndexLink"/>
                <w:rtl w:val="true"/>
              </w:rPr>
              <w:t>]</w:t>
              <w:tab/>
            </w:r>
            <w:r>
              <w:rPr>
                <w:rStyle w:val="IndexLink"/>
              </w:rPr>
              <w:t>500</w:t>
            </w:r>
          </w:hyperlink>
        </w:p>
        <w:p>
          <w:pPr>
            <w:pStyle w:val="Contents4"/>
            <w:tabs>
              <w:tab w:val="clear" w:pos="8176"/>
              <w:tab w:val="right" w:pos="9026" w:leader="dot"/>
            </w:tabs>
            <w:rPr/>
          </w:pPr>
          <w:hyperlink w:anchor="__RefHeading___Toc3601762_3804643083">
            <w:r>
              <w:rPr>
                <w:webHidden/>
                <w:rStyle w:val="IndexLink"/>
                <w:rtl w:val="true"/>
              </w:rPr>
              <w:t>[</w:t>
            </w:r>
            <w:r>
              <w:rPr>
                <w:rStyle w:val="IndexLink"/>
                <w:rtl w:val="true"/>
              </w:rPr>
              <w:t>باب أنّ الصوم و الفطر مع السلطان إذا كان تقيّة</w:t>
            </w:r>
            <w:r>
              <w:rPr>
                <w:rStyle w:val="IndexLink"/>
                <w:rtl w:val="true"/>
              </w:rPr>
              <w:t>]</w:t>
              <w:tab/>
            </w:r>
            <w:r>
              <w:rPr>
                <w:rStyle w:val="IndexLink"/>
              </w:rPr>
              <w:t>512</w:t>
            </w:r>
          </w:hyperlink>
        </w:p>
        <w:p>
          <w:pPr>
            <w:pStyle w:val="Contents3"/>
            <w:tabs>
              <w:tab w:val="clear" w:pos="8459"/>
              <w:tab w:val="right" w:pos="9026" w:leader="dot"/>
            </w:tabs>
            <w:rPr/>
          </w:pPr>
          <w:hyperlink w:anchor="__RefHeading___Toc3601764_3804643083">
            <w:r>
              <w:rPr>
                <w:webHidden/>
                <w:rStyle w:val="IndexLink"/>
                <w:rtl w:val="true"/>
              </w:rPr>
              <w:t>[</w:t>
            </w:r>
            <w:r>
              <w:rPr>
                <w:rStyle w:val="IndexLink"/>
                <w:rtl w:val="true"/>
              </w:rPr>
              <w:t>أبواب نواقض الصيام و شرائطه و آدابه و ما يجبر فواته</w:t>
            </w:r>
            <w:r>
              <w:rPr>
                <w:rStyle w:val="IndexLink"/>
                <w:rtl w:val="true"/>
              </w:rPr>
              <w:t>]</w:t>
              <w:tab/>
            </w:r>
            <w:r>
              <w:rPr>
                <w:rStyle w:val="IndexLink"/>
              </w:rPr>
              <w:t>515</w:t>
            </w:r>
          </w:hyperlink>
        </w:p>
        <w:p>
          <w:pPr>
            <w:pStyle w:val="Contents4"/>
            <w:tabs>
              <w:tab w:val="clear" w:pos="8176"/>
              <w:tab w:val="right" w:pos="9026" w:leader="dot"/>
            </w:tabs>
            <w:rPr/>
          </w:pPr>
          <w:hyperlink w:anchor="__RefHeading___Toc3601766_3804643083">
            <w:r>
              <w:rPr>
                <w:webHidden/>
                <w:rStyle w:val="IndexLink"/>
                <w:rtl w:val="true"/>
              </w:rPr>
              <w:t>[</w:t>
            </w:r>
            <w:r>
              <w:rPr>
                <w:rStyle w:val="IndexLink"/>
                <w:rtl w:val="true"/>
              </w:rPr>
              <w:t>باب ما ينقض الصوم أو يضرّ الصائم</w:t>
            </w:r>
            <w:r>
              <w:rPr>
                <w:rStyle w:val="IndexLink"/>
                <w:rtl w:val="true"/>
              </w:rPr>
              <w:t>]</w:t>
              <w:tab/>
            </w:r>
            <w:r>
              <w:rPr>
                <w:rStyle w:val="IndexLink"/>
              </w:rPr>
              <w:t>515</w:t>
            </w:r>
          </w:hyperlink>
        </w:p>
        <w:p>
          <w:pPr>
            <w:pStyle w:val="Contents4"/>
            <w:tabs>
              <w:tab w:val="clear" w:pos="8176"/>
              <w:tab w:val="right" w:pos="9026" w:leader="dot"/>
            </w:tabs>
            <w:rPr/>
          </w:pPr>
          <w:hyperlink w:anchor="__RefHeading___Toc3601768_3804643083">
            <w:r>
              <w:rPr>
                <w:webHidden/>
                <w:rStyle w:val="IndexLink"/>
                <w:rtl w:val="true"/>
              </w:rPr>
              <w:t>[</w:t>
            </w:r>
            <w:r>
              <w:rPr>
                <w:rStyle w:val="IndexLink"/>
                <w:rtl w:val="true"/>
              </w:rPr>
              <w:t>باب الصائم يصبح جنبا أو يحتلم نهارا</w:t>
            </w:r>
            <w:r>
              <w:rPr>
                <w:rStyle w:val="IndexLink"/>
                <w:rtl w:val="true"/>
              </w:rPr>
              <w:t>]</w:t>
              <w:tab/>
            </w:r>
            <w:r>
              <w:rPr>
                <w:rStyle w:val="IndexLink"/>
              </w:rPr>
              <w:t>516</w:t>
            </w:r>
          </w:hyperlink>
        </w:p>
        <w:p>
          <w:pPr>
            <w:pStyle w:val="Contents4"/>
            <w:tabs>
              <w:tab w:val="clear" w:pos="8176"/>
              <w:tab w:val="right" w:pos="9026" w:leader="dot"/>
            </w:tabs>
            <w:rPr/>
          </w:pPr>
          <w:hyperlink w:anchor="__RefHeading___Toc3601770_3804643083">
            <w:r>
              <w:rPr>
                <w:webHidden/>
                <w:rStyle w:val="IndexLink"/>
                <w:rtl w:val="true"/>
              </w:rPr>
              <w:t>[</w:t>
            </w:r>
            <w:r>
              <w:rPr>
                <w:rStyle w:val="IndexLink"/>
                <w:rtl w:val="true"/>
              </w:rPr>
              <w:t>باب متى يفطر المسافر</w:t>
            </w:r>
            <w:r>
              <w:rPr>
                <w:rStyle w:val="IndexLink"/>
                <w:rtl w:val="true"/>
              </w:rPr>
              <w:t>]</w:t>
              <w:tab/>
            </w:r>
            <w:r>
              <w:rPr>
                <w:rStyle w:val="IndexLink"/>
              </w:rPr>
              <w:t>517</w:t>
            </w:r>
          </w:hyperlink>
        </w:p>
        <w:p>
          <w:pPr>
            <w:pStyle w:val="Contents2"/>
            <w:tabs>
              <w:tab w:val="clear" w:pos="8743"/>
              <w:tab w:val="right" w:pos="9026" w:leader="dot"/>
            </w:tabs>
            <w:rPr/>
          </w:pPr>
          <w:hyperlink w:anchor="__RefHeading___Toc3601772_3804643083">
            <w:r>
              <w:rPr>
                <w:webHidden/>
                <w:rStyle w:val="IndexLink"/>
                <w:rtl w:val="true"/>
              </w:rPr>
              <w:t>كتاب المطاعم و المشارب و التجمّلات</w:t>
            </w:r>
            <w:r>
              <w:rPr>
                <w:rStyle w:val="IndexLink"/>
                <w:rtl w:val="true"/>
              </w:rPr>
              <w:tab/>
            </w:r>
            <w:r>
              <w:rPr>
                <w:rStyle w:val="IndexLink"/>
              </w:rPr>
              <w:t>519</w:t>
            </w:r>
          </w:hyperlink>
        </w:p>
        <w:p>
          <w:pPr>
            <w:pStyle w:val="Contents3"/>
            <w:tabs>
              <w:tab w:val="clear" w:pos="8459"/>
              <w:tab w:val="right" w:pos="9026" w:leader="dot"/>
            </w:tabs>
            <w:rPr/>
          </w:pPr>
          <w:hyperlink w:anchor="__RefHeading___Toc3601774_3804643083">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3601776_3804643083">
            <w:r>
              <w:rPr>
                <w:webHidden/>
                <w:rStyle w:val="IndexLink"/>
                <w:rtl w:val="true"/>
              </w:rPr>
              <w:t>[</w:t>
            </w:r>
            <w:r>
              <w:rPr>
                <w:rStyle w:val="IndexLink"/>
                <w:rtl w:val="true"/>
              </w:rPr>
              <w:t>أبواب ما يحلّ من المطاعم و ما لا يحلّ</w:t>
            </w:r>
            <w:r>
              <w:rPr>
                <w:rStyle w:val="IndexLink"/>
                <w:rtl w:val="true"/>
              </w:rPr>
              <w:t>]</w:t>
              <w:tab/>
            </w:r>
            <w:r>
              <w:rPr>
                <w:rStyle w:val="IndexLink"/>
              </w:rPr>
              <w:t>520</w:t>
            </w:r>
          </w:hyperlink>
        </w:p>
        <w:p>
          <w:pPr>
            <w:pStyle w:val="Contents4"/>
            <w:tabs>
              <w:tab w:val="clear" w:pos="8176"/>
              <w:tab w:val="right" w:pos="9026" w:leader="dot"/>
            </w:tabs>
            <w:rPr/>
          </w:pPr>
          <w:hyperlink w:anchor="__RefHeading___Toc3601778_3804643083">
            <w:r>
              <w:rPr>
                <w:webHidden/>
                <w:rStyle w:val="IndexLink"/>
                <w:rtl w:val="true"/>
              </w:rPr>
              <w:t>[</w:t>
            </w:r>
            <w:r>
              <w:rPr>
                <w:rStyle w:val="IndexLink"/>
                <w:rtl w:val="true"/>
              </w:rPr>
              <w:t>المطاعم المحلّلة و المحرّمة</w:t>
            </w:r>
            <w:r>
              <w:rPr>
                <w:rStyle w:val="IndexLink"/>
                <w:rtl w:val="true"/>
              </w:rPr>
              <w:t>]</w:t>
              <w:tab/>
            </w:r>
            <w:r>
              <w:rPr>
                <w:rStyle w:val="IndexLink"/>
              </w:rPr>
              <w:t>520</w:t>
            </w:r>
          </w:hyperlink>
        </w:p>
        <w:p>
          <w:pPr>
            <w:pStyle w:val="Contents4"/>
            <w:tabs>
              <w:tab w:val="clear" w:pos="8176"/>
              <w:tab w:val="right" w:pos="9026" w:leader="dot"/>
            </w:tabs>
            <w:rPr/>
          </w:pPr>
          <w:hyperlink w:anchor="__RefHeading___Toc3601780_3804643083">
            <w:r>
              <w:rPr>
                <w:webHidden/>
                <w:rStyle w:val="IndexLink"/>
                <w:rtl w:val="true"/>
              </w:rPr>
              <w:t>[</w:t>
            </w:r>
            <w:r>
              <w:rPr>
                <w:rStyle w:val="IndexLink"/>
                <w:rtl w:val="true"/>
              </w:rPr>
              <w:t>باب الحمل و الجدي يرضعان من لبن الخنزيرة و المرأة</w:t>
            </w:r>
            <w:r>
              <w:rPr>
                <w:rStyle w:val="IndexLink"/>
                <w:rtl w:val="true"/>
              </w:rPr>
              <w:t>]</w:t>
              <w:tab/>
            </w:r>
            <w:r>
              <w:rPr>
                <w:rStyle w:val="IndexLink"/>
              </w:rPr>
              <w:t>522</w:t>
            </w:r>
          </w:hyperlink>
        </w:p>
        <w:p>
          <w:pPr>
            <w:pStyle w:val="Contents4"/>
            <w:tabs>
              <w:tab w:val="clear" w:pos="8176"/>
              <w:tab w:val="right" w:pos="9026" w:leader="dot"/>
            </w:tabs>
            <w:rPr/>
          </w:pPr>
          <w:hyperlink w:anchor="__RefHeading___Toc3601782_3804643083">
            <w:r>
              <w:rPr>
                <w:webHidden/>
                <w:rStyle w:val="IndexLink"/>
                <w:rtl w:val="true"/>
              </w:rPr>
              <w:t>[</w:t>
            </w:r>
            <w:r>
              <w:rPr>
                <w:rStyle w:val="IndexLink"/>
                <w:rtl w:val="true"/>
              </w:rPr>
              <w:t>باب ما ينتفع من أجزاء الميتة و ما لا ينتفع به</w:t>
            </w:r>
            <w:r>
              <w:rPr>
                <w:rStyle w:val="IndexLink"/>
                <w:rtl w:val="true"/>
              </w:rPr>
              <w:t>]</w:t>
              <w:tab/>
            </w:r>
            <w:r>
              <w:rPr>
                <w:rStyle w:val="IndexLink"/>
              </w:rPr>
              <w:t>526</w:t>
            </w:r>
          </w:hyperlink>
        </w:p>
        <w:p>
          <w:pPr>
            <w:pStyle w:val="Contents4"/>
            <w:tabs>
              <w:tab w:val="clear" w:pos="8176"/>
              <w:tab w:val="right" w:pos="9026" w:leader="dot"/>
            </w:tabs>
            <w:rPr/>
          </w:pPr>
          <w:hyperlink w:anchor="__RefHeading___Toc3601784_3804643083">
            <w:r>
              <w:rPr>
                <w:webHidden/>
                <w:rStyle w:val="IndexLink"/>
                <w:rtl w:val="true"/>
              </w:rPr>
              <w:t>[</w:t>
            </w:r>
            <w:r>
              <w:rPr>
                <w:rStyle w:val="IndexLink"/>
                <w:rtl w:val="true"/>
              </w:rPr>
              <w:t>باب اختلاط ما يؤكل بغيره</w:t>
            </w:r>
            <w:r>
              <w:rPr>
                <w:rStyle w:val="IndexLink"/>
                <w:rtl w:val="true"/>
              </w:rPr>
              <w:t>]</w:t>
              <w:tab/>
            </w:r>
            <w:r>
              <w:rPr>
                <w:rStyle w:val="IndexLink"/>
              </w:rPr>
              <w:t>526</w:t>
            </w:r>
          </w:hyperlink>
        </w:p>
        <w:p>
          <w:pPr>
            <w:pStyle w:val="Contents3"/>
            <w:tabs>
              <w:tab w:val="clear" w:pos="8459"/>
              <w:tab w:val="right" w:pos="9026" w:leader="dot"/>
            </w:tabs>
            <w:rPr/>
          </w:pPr>
          <w:hyperlink w:anchor="__RefHeading___Toc3601786_3804643083">
            <w:r>
              <w:rPr>
                <w:webHidden/>
                <w:rStyle w:val="IndexLink"/>
                <w:rtl w:val="true"/>
              </w:rPr>
              <w:t>[</w:t>
            </w:r>
            <w:r>
              <w:rPr>
                <w:rStyle w:val="IndexLink"/>
                <w:rtl w:val="true"/>
              </w:rPr>
              <w:t>أبواب الصيد و الذبائح</w:t>
            </w:r>
            <w:r>
              <w:rPr>
                <w:rStyle w:val="IndexLink"/>
                <w:rtl w:val="true"/>
              </w:rPr>
              <w:t>]</w:t>
              <w:tab/>
            </w:r>
            <w:r>
              <w:rPr>
                <w:rStyle w:val="IndexLink"/>
              </w:rPr>
              <w:t>527</w:t>
            </w:r>
          </w:hyperlink>
        </w:p>
        <w:p>
          <w:pPr>
            <w:pStyle w:val="Contents4"/>
            <w:tabs>
              <w:tab w:val="clear" w:pos="8176"/>
              <w:tab w:val="right" w:pos="9026" w:leader="dot"/>
            </w:tabs>
            <w:rPr/>
          </w:pPr>
          <w:hyperlink w:anchor="__RefHeading___Toc3601788_3804643083">
            <w:r>
              <w:rPr>
                <w:webHidden/>
                <w:rStyle w:val="IndexLink"/>
                <w:rtl w:val="true"/>
              </w:rPr>
              <w:t>[</w:t>
            </w:r>
            <w:r>
              <w:rPr>
                <w:rStyle w:val="IndexLink"/>
                <w:rtl w:val="true"/>
              </w:rPr>
              <w:t>باب الصيد بالسلاح</w:t>
            </w:r>
            <w:r>
              <w:rPr>
                <w:rStyle w:val="IndexLink"/>
                <w:rtl w:val="true"/>
              </w:rPr>
              <w:t>]</w:t>
              <w:tab/>
            </w:r>
            <w:r>
              <w:rPr>
                <w:rStyle w:val="IndexLink"/>
              </w:rPr>
              <w:t>527</w:t>
            </w:r>
          </w:hyperlink>
        </w:p>
        <w:p>
          <w:pPr>
            <w:pStyle w:val="Contents3"/>
            <w:tabs>
              <w:tab w:val="clear" w:pos="8459"/>
              <w:tab w:val="right" w:pos="9026" w:leader="dot"/>
            </w:tabs>
            <w:rPr/>
          </w:pPr>
          <w:hyperlink w:anchor="__RefHeading___Toc3601790_3804643083">
            <w:r>
              <w:rPr>
                <w:webHidden/>
                <w:rStyle w:val="IndexLink"/>
                <w:rtl w:val="true"/>
              </w:rPr>
              <w:t>[</w:t>
            </w:r>
            <w:r>
              <w:rPr>
                <w:rStyle w:val="IndexLink"/>
                <w:rtl w:val="true"/>
              </w:rPr>
              <w:t>أبواب المشارب</w:t>
            </w:r>
            <w:r>
              <w:rPr>
                <w:rStyle w:val="IndexLink"/>
                <w:rtl w:val="true"/>
              </w:rPr>
              <w:t>]</w:t>
              <w:tab/>
            </w:r>
            <w:r>
              <w:rPr>
                <w:rStyle w:val="IndexLink"/>
              </w:rPr>
              <w:t>528</w:t>
            </w:r>
          </w:hyperlink>
        </w:p>
        <w:p>
          <w:pPr>
            <w:pStyle w:val="Contents4"/>
            <w:tabs>
              <w:tab w:val="clear" w:pos="8176"/>
              <w:tab w:val="right" w:pos="9026" w:leader="dot"/>
            </w:tabs>
            <w:rPr/>
          </w:pPr>
          <w:hyperlink w:anchor="__RefHeading___Toc3601792_3804643083">
            <w:r>
              <w:rPr>
                <w:webHidden/>
                <w:rStyle w:val="IndexLink"/>
                <w:rtl w:val="true"/>
              </w:rPr>
              <w:t>[</w:t>
            </w:r>
            <w:r>
              <w:rPr>
                <w:rStyle w:val="IndexLink"/>
                <w:rtl w:val="true"/>
              </w:rPr>
              <w:t>باب أصل تحريم الخمر</w:t>
            </w:r>
            <w:r>
              <w:rPr>
                <w:rStyle w:val="IndexLink"/>
                <w:rtl w:val="true"/>
              </w:rPr>
              <w:t>]</w:t>
              <w:tab/>
            </w:r>
            <w:r>
              <w:rPr>
                <w:rStyle w:val="IndexLink"/>
              </w:rPr>
              <w:t>528</w:t>
            </w:r>
          </w:hyperlink>
        </w:p>
        <w:p>
          <w:pPr>
            <w:pStyle w:val="Contents2"/>
            <w:tabs>
              <w:tab w:val="clear" w:pos="8743"/>
              <w:tab w:val="right" w:pos="9026" w:leader="dot"/>
            </w:tabs>
            <w:rPr/>
          </w:pPr>
          <w:hyperlink w:anchor="__RefHeading___Toc3601794_3804643083">
            <w:r>
              <w:rPr>
                <w:webHidden/>
                <w:rStyle w:val="IndexLink"/>
                <w:rtl w:val="true"/>
              </w:rPr>
              <w:t>كتاب النكاح و الطلاق و الولادات</w:t>
            </w:r>
            <w:r>
              <w:rPr>
                <w:rStyle w:val="IndexLink"/>
                <w:rtl w:val="true"/>
              </w:rPr>
              <w:tab/>
            </w:r>
            <w:r>
              <w:rPr>
                <w:rStyle w:val="IndexLink"/>
              </w:rPr>
              <w:t>530</w:t>
            </w:r>
          </w:hyperlink>
        </w:p>
        <w:p>
          <w:pPr>
            <w:pStyle w:val="Contents3"/>
            <w:tabs>
              <w:tab w:val="clear" w:pos="8459"/>
              <w:tab w:val="right" w:pos="9026" w:leader="dot"/>
            </w:tabs>
            <w:rPr/>
          </w:pPr>
          <w:hyperlink w:anchor="__RefHeading___Toc3601796_3804643083">
            <w:r>
              <w:rPr>
                <w:webHidden/>
                <w:rStyle w:val="IndexLink"/>
                <w:rtl w:val="true"/>
              </w:rPr>
              <w:t>اشارة</w:t>
            </w:r>
            <w:r>
              <w:rPr>
                <w:rStyle w:val="IndexLink"/>
                <w:rtl w:val="true"/>
              </w:rPr>
              <w:tab/>
            </w:r>
            <w:r>
              <w:rPr>
                <w:rStyle w:val="IndexLink"/>
              </w:rPr>
              <w:t>530</w:t>
            </w:r>
          </w:hyperlink>
        </w:p>
        <w:p>
          <w:pPr>
            <w:pStyle w:val="Contents3"/>
            <w:tabs>
              <w:tab w:val="clear" w:pos="8459"/>
              <w:tab w:val="right" w:pos="9026" w:leader="dot"/>
            </w:tabs>
            <w:rPr/>
          </w:pPr>
          <w:hyperlink w:anchor="__RefHeading___Toc3601798_3804643083">
            <w:r>
              <w:rPr>
                <w:webHidden/>
                <w:rStyle w:val="IndexLink"/>
                <w:rtl w:val="true"/>
              </w:rPr>
              <w:t>[</w:t>
            </w:r>
            <w:r>
              <w:rPr>
                <w:rStyle w:val="IndexLink"/>
                <w:rtl w:val="true"/>
              </w:rPr>
              <w:t>أبواب بدء النكاح و الحثّ عليه و اختيار الزوج و من يحلّ و من يحرم</w:t>
            </w:r>
            <w:r>
              <w:rPr>
                <w:rStyle w:val="IndexLink"/>
                <w:rtl w:val="true"/>
              </w:rPr>
              <w:t>]</w:t>
              <w:tab/>
            </w:r>
            <w:r>
              <w:rPr>
                <w:rStyle w:val="IndexLink"/>
              </w:rPr>
              <w:t>531</w:t>
            </w:r>
          </w:hyperlink>
        </w:p>
        <w:p>
          <w:pPr>
            <w:pStyle w:val="Contents4"/>
            <w:tabs>
              <w:tab w:val="clear" w:pos="8176"/>
              <w:tab w:val="right" w:pos="9026" w:leader="dot"/>
            </w:tabs>
            <w:rPr/>
          </w:pPr>
          <w:hyperlink w:anchor="__RefHeading___Toc3601800_3804643083">
            <w:r>
              <w:rPr>
                <w:webHidden/>
                <w:rStyle w:val="IndexLink"/>
                <w:rtl w:val="true"/>
              </w:rPr>
              <w:t>[</w:t>
            </w:r>
            <w:r>
              <w:rPr>
                <w:rStyle w:val="IndexLink"/>
                <w:rtl w:val="true"/>
              </w:rPr>
              <w:t>باب الحرّ يتزوّج الأمة</w:t>
            </w:r>
            <w:r>
              <w:rPr>
                <w:rStyle w:val="IndexLink"/>
                <w:rtl w:val="true"/>
              </w:rPr>
              <w:t>]</w:t>
              <w:tab/>
            </w:r>
            <w:r>
              <w:rPr>
                <w:rStyle w:val="IndexLink"/>
              </w:rPr>
              <w:t>531</w:t>
            </w:r>
          </w:hyperlink>
        </w:p>
        <w:p>
          <w:pPr>
            <w:pStyle w:val="Contents4"/>
            <w:tabs>
              <w:tab w:val="clear" w:pos="8176"/>
              <w:tab w:val="right" w:pos="9026" w:leader="dot"/>
            </w:tabs>
            <w:rPr/>
          </w:pPr>
          <w:hyperlink w:anchor="__RefHeading___Toc3601802_3804643083">
            <w:r>
              <w:rPr>
                <w:webHidden/>
                <w:rStyle w:val="IndexLink"/>
                <w:rtl w:val="true"/>
              </w:rPr>
              <w:t>[</w:t>
            </w:r>
            <w:r>
              <w:rPr>
                <w:rStyle w:val="IndexLink"/>
                <w:rtl w:val="true"/>
              </w:rPr>
              <w:t>باب الرجل يفسق بالغلام فينكح اخته أو ابنته أو أمّه أو يزوّج ابنته من ابنه</w:t>
            </w:r>
            <w:r>
              <w:rPr>
                <w:rStyle w:val="IndexLink"/>
                <w:rtl w:val="true"/>
              </w:rPr>
              <w:t>]</w:t>
              <w:tab/>
            </w:r>
            <w:r>
              <w:rPr>
                <w:rStyle w:val="IndexLink"/>
              </w:rPr>
              <w:t>532</w:t>
            </w:r>
          </w:hyperlink>
        </w:p>
        <w:p>
          <w:pPr>
            <w:pStyle w:val="Contents4"/>
            <w:tabs>
              <w:tab w:val="clear" w:pos="8176"/>
              <w:tab w:val="right" w:pos="9026" w:leader="dot"/>
            </w:tabs>
            <w:rPr/>
          </w:pPr>
          <w:hyperlink w:anchor="__RefHeading___Toc3601804_3804643083">
            <w:r>
              <w:rPr>
                <w:webHidden/>
                <w:rStyle w:val="IndexLink"/>
                <w:rtl w:val="true"/>
              </w:rPr>
              <w:t>[</w:t>
            </w:r>
            <w:r>
              <w:rPr>
                <w:rStyle w:val="IndexLink"/>
                <w:rtl w:val="true"/>
              </w:rPr>
              <w:t>باب من يحرم بالرضاع</w:t>
            </w:r>
            <w:r>
              <w:rPr>
                <w:rStyle w:val="IndexLink"/>
                <w:rtl w:val="true"/>
              </w:rPr>
              <w:t>]</w:t>
              <w:tab/>
            </w:r>
            <w:r>
              <w:rPr>
                <w:rStyle w:val="IndexLink"/>
              </w:rPr>
              <w:t>533</w:t>
            </w:r>
          </w:hyperlink>
        </w:p>
        <w:p>
          <w:pPr>
            <w:pStyle w:val="Contents4"/>
            <w:tabs>
              <w:tab w:val="clear" w:pos="8176"/>
              <w:tab w:val="right" w:pos="9026" w:leader="dot"/>
            </w:tabs>
            <w:rPr/>
          </w:pPr>
          <w:hyperlink w:anchor="__RefHeading___Toc3601806_3804643083">
            <w:r>
              <w:rPr>
                <w:webHidden/>
                <w:rStyle w:val="IndexLink"/>
                <w:rtl w:val="true"/>
              </w:rPr>
              <w:t>[</w:t>
            </w:r>
            <w:r>
              <w:rPr>
                <w:rStyle w:val="IndexLink"/>
                <w:rtl w:val="true"/>
              </w:rPr>
              <w:t>باب حدّ الرضاع الذي يحرّم</w:t>
            </w:r>
            <w:r>
              <w:rPr>
                <w:rStyle w:val="IndexLink"/>
                <w:rtl w:val="true"/>
              </w:rPr>
              <w:t>]</w:t>
              <w:tab/>
            </w:r>
            <w:r>
              <w:rPr>
                <w:rStyle w:val="IndexLink"/>
              </w:rPr>
              <w:t>535</w:t>
            </w:r>
          </w:hyperlink>
        </w:p>
        <w:p>
          <w:pPr>
            <w:pStyle w:val="Contents4"/>
            <w:tabs>
              <w:tab w:val="clear" w:pos="8176"/>
              <w:tab w:val="right" w:pos="9026" w:leader="dot"/>
            </w:tabs>
            <w:rPr/>
          </w:pPr>
          <w:hyperlink w:anchor="__RefHeading___Toc3601808_3804643083">
            <w:r>
              <w:rPr>
                <w:webHidden/>
                <w:rStyle w:val="IndexLink"/>
                <w:rtl w:val="true"/>
              </w:rPr>
              <w:t>[</w:t>
            </w:r>
            <w:r>
              <w:rPr>
                <w:rStyle w:val="IndexLink"/>
                <w:rtl w:val="true"/>
              </w:rPr>
              <w:t>باب صفة لبن الفحل</w:t>
            </w:r>
            <w:r>
              <w:rPr>
                <w:rStyle w:val="IndexLink"/>
                <w:rtl w:val="true"/>
              </w:rPr>
              <w:t>]</w:t>
              <w:tab/>
            </w:r>
            <w:r>
              <w:rPr>
                <w:rStyle w:val="IndexLink"/>
              </w:rPr>
              <w:t>538</w:t>
            </w:r>
          </w:hyperlink>
        </w:p>
        <w:p>
          <w:pPr>
            <w:pStyle w:val="Contents4"/>
            <w:tabs>
              <w:tab w:val="clear" w:pos="8176"/>
              <w:tab w:val="right" w:pos="9026" w:leader="dot"/>
            </w:tabs>
            <w:rPr/>
          </w:pPr>
          <w:hyperlink w:anchor="__RefHeading___Toc3601810_3804643083">
            <w:r>
              <w:rPr>
                <w:webHidden/>
                <w:rStyle w:val="IndexLink"/>
                <w:rtl w:val="true"/>
              </w:rPr>
              <w:t>[</w:t>
            </w:r>
            <w:r>
              <w:rPr>
                <w:rStyle w:val="IndexLink"/>
                <w:rtl w:val="true"/>
              </w:rPr>
              <w:t>اعتبار اتّحاد الفحل</w:t>
            </w:r>
            <w:r>
              <w:rPr>
                <w:rStyle w:val="IndexLink"/>
                <w:rtl w:val="true"/>
              </w:rPr>
              <w:t>]</w:t>
              <w:tab/>
            </w:r>
            <w:r>
              <w:rPr>
                <w:rStyle w:val="IndexLink"/>
              </w:rPr>
              <w:t>540</w:t>
            </w:r>
          </w:hyperlink>
        </w:p>
        <w:p>
          <w:pPr>
            <w:pStyle w:val="Contents4"/>
            <w:tabs>
              <w:tab w:val="clear" w:pos="8176"/>
              <w:tab w:val="right" w:pos="9026" w:leader="dot"/>
            </w:tabs>
            <w:rPr/>
          </w:pPr>
          <w:hyperlink w:anchor="__RefHeading___Toc3601812_3804643083">
            <w:r>
              <w:rPr>
                <w:webHidden/>
                <w:rStyle w:val="IndexLink"/>
                <w:rtl w:val="true"/>
              </w:rPr>
              <w:t>[</w:t>
            </w:r>
            <w:r>
              <w:rPr>
                <w:rStyle w:val="IndexLink"/>
                <w:rtl w:val="true"/>
              </w:rPr>
              <w:t>باب أنّه لا رضاع بعد فطام</w:t>
            </w:r>
            <w:r>
              <w:rPr>
                <w:rStyle w:val="IndexLink"/>
                <w:rtl w:val="true"/>
              </w:rPr>
              <w:t>]</w:t>
              <w:tab/>
            </w:r>
            <w:r>
              <w:rPr>
                <w:rStyle w:val="IndexLink"/>
              </w:rPr>
              <w:t>545</w:t>
            </w:r>
          </w:hyperlink>
        </w:p>
        <w:p>
          <w:pPr>
            <w:pStyle w:val="Contents4"/>
            <w:tabs>
              <w:tab w:val="clear" w:pos="8176"/>
              <w:tab w:val="right" w:pos="9026" w:leader="dot"/>
            </w:tabs>
            <w:rPr/>
          </w:pPr>
          <w:hyperlink w:anchor="__RefHeading___Toc3601814_3804643083">
            <w:r>
              <w:rPr>
                <w:webHidden/>
                <w:rStyle w:val="IndexLink"/>
                <w:rtl w:val="true"/>
              </w:rPr>
              <w:t>[</w:t>
            </w:r>
            <w:r>
              <w:rPr>
                <w:rStyle w:val="IndexLink"/>
                <w:rtl w:val="true"/>
              </w:rPr>
              <w:t>باب سائر المحرّمات</w:t>
            </w:r>
            <w:r>
              <w:rPr>
                <w:rStyle w:val="IndexLink"/>
                <w:rtl w:val="true"/>
              </w:rPr>
              <w:t>]</w:t>
              <w:tab/>
            </w:r>
            <w:r>
              <w:rPr>
                <w:rStyle w:val="IndexLink"/>
              </w:rPr>
              <w:t>545</w:t>
            </w:r>
          </w:hyperlink>
        </w:p>
        <w:p>
          <w:pPr>
            <w:pStyle w:val="Contents4"/>
            <w:tabs>
              <w:tab w:val="clear" w:pos="8176"/>
              <w:tab w:val="right" w:pos="9026" w:leader="dot"/>
            </w:tabs>
            <w:rPr/>
          </w:pPr>
          <w:hyperlink w:anchor="__RefHeading___Toc3601816_3804643083">
            <w:r>
              <w:rPr>
                <w:webHidden/>
                <w:rStyle w:val="IndexLink"/>
                <w:rtl w:val="true"/>
              </w:rPr>
              <w:t>[</w:t>
            </w:r>
            <w:r>
              <w:rPr>
                <w:rStyle w:val="IndexLink"/>
                <w:rtl w:val="true"/>
              </w:rPr>
              <w:t>حرمة وطء الزوجة قبل التسع</w:t>
            </w:r>
            <w:r>
              <w:rPr>
                <w:rStyle w:val="IndexLink"/>
                <w:rtl w:val="true"/>
              </w:rPr>
              <w:t>]</w:t>
              <w:tab/>
            </w:r>
            <w:r>
              <w:rPr>
                <w:rStyle w:val="IndexLink"/>
              </w:rPr>
              <w:t>546</w:t>
            </w:r>
          </w:hyperlink>
        </w:p>
        <w:p>
          <w:pPr>
            <w:pStyle w:val="Contents4"/>
            <w:tabs>
              <w:tab w:val="clear" w:pos="8176"/>
              <w:tab w:val="right" w:pos="9026" w:leader="dot"/>
            </w:tabs>
            <w:rPr/>
          </w:pPr>
          <w:hyperlink w:anchor="__RefHeading___Toc3601818_3804643083">
            <w:r>
              <w:rPr>
                <w:webHidden/>
                <w:rStyle w:val="IndexLink"/>
                <w:rtl w:val="true"/>
              </w:rPr>
              <w:t>[</w:t>
            </w:r>
            <w:r>
              <w:rPr>
                <w:rStyle w:val="IndexLink"/>
                <w:rtl w:val="true"/>
              </w:rPr>
              <w:t>باب عدد ما أحلّ اللّه سبحانه من متعة النساء</w:t>
            </w:r>
            <w:r>
              <w:rPr>
                <w:rStyle w:val="IndexLink"/>
                <w:rtl w:val="true"/>
              </w:rPr>
              <w:t>]</w:t>
              <w:tab/>
            </w:r>
            <w:r>
              <w:rPr>
                <w:rStyle w:val="IndexLink"/>
              </w:rPr>
              <w:t>547</w:t>
            </w:r>
          </w:hyperlink>
        </w:p>
        <w:p>
          <w:pPr>
            <w:pStyle w:val="Contents4"/>
            <w:tabs>
              <w:tab w:val="clear" w:pos="8176"/>
              <w:tab w:val="right" w:pos="9026" w:leader="dot"/>
            </w:tabs>
            <w:rPr/>
          </w:pPr>
          <w:hyperlink w:anchor="__RefHeading___Toc3601820_3804643083">
            <w:r>
              <w:rPr>
                <w:webHidden/>
                <w:rStyle w:val="IndexLink"/>
                <w:rtl w:val="true"/>
              </w:rPr>
              <w:t>[</w:t>
            </w:r>
            <w:r>
              <w:rPr>
                <w:rStyle w:val="IndexLink"/>
                <w:rtl w:val="true"/>
              </w:rPr>
              <w:t>باب ما خصّت به فاطمة عليها السّلام في التزويج</w:t>
            </w:r>
            <w:r>
              <w:rPr>
                <w:rStyle w:val="IndexLink"/>
                <w:rtl w:val="true"/>
              </w:rPr>
              <w:t>]</w:t>
              <w:tab/>
            </w:r>
            <w:r>
              <w:rPr>
                <w:rStyle w:val="IndexLink"/>
              </w:rPr>
              <w:t>547</w:t>
            </w:r>
          </w:hyperlink>
        </w:p>
        <w:p>
          <w:pPr>
            <w:pStyle w:val="Contents5"/>
            <w:tabs>
              <w:tab w:val="clear" w:pos="7892"/>
              <w:tab w:val="right" w:pos="9026" w:leader="dot"/>
            </w:tabs>
            <w:rPr/>
          </w:pPr>
          <w:hyperlink w:anchor="__RefHeading___Toc3601822_3804643083">
            <w:r>
              <w:rPr>
                <w:webHidden/>
                <w:rStyle w:val="IndexLink"/>
                <w:rtl w:val="true"/>
              </w:rPr>
              <w:t>[</w:t>
            </w:r>
            <w:r>
              <w:rPr>
                <w:rStyle w:val="IndexLink"/>
                <w:rtl w:val="true"/>
              </w:rPr>
              <w:t>حكم الجمع بين الفاطميّتين</w:t>
            </w:r>
            <w:r>
              <w:rPr>
                <w:rStyle w:val="IndexLink"/>
                <w:rtl w:val="true"/>
              </w:rPr>
              <w:t>]</w:t>
              <w:tab/>
            </w:r>
            <w:r>
              <w:rPr>
                <w:rStyle w:val="IndexLink"/>
              </w:rPr>
              <w:t>547</w:t>
            </w:r>
          </w:hyperlink>
        </w:p>
        <w:p>
          <w:pPr>
            <w:pStyle w:val="Contents3"/>
            <w:tabs>
              <w:tab w:val="clear" w:pos="8459"/>
              <w:tab w:val="right" w:pos="9026" w:leader="dot"/>
            </w:tabs>
            <w:rPr/>
          </w:pPr>
          <w:hyperlink w:anchor="__RefHeading___Toc3601824_3804643083">
            <w:r>
              <w:rPr>
                <w:webHidden/>
                <w:rStyle w:val="IndexLink"/>
                <w:rtl w:val="true"/>
              </w:rPr>
              <w:t>[</w:t>
            </w:r>
            <w:r>
              <w:rPr>
                <w:rStyle w:val="IndexLink"/>
                <w:rtl w:val="true"/>
              </w:rPr>
              <w:t>النكاح المنقطع</w:t>
            </w:r>
            <w:r>
              <w:rPr>
                <w:rStyle w:val="IndexLink"/>
                <w:rtl w:val="true"/>
              </w:rPr>
              <w:t>]</w:t>
              <w:tab/>
            </w:r>
            <w:r>
              <w:rPr>
                <w:rStyle w:val="IndexLink"/>
              </w:rPr>
              <w:t>551</w:t>
            </w:r>
          </w:hyperlink>
        </w:p>
        <w:p>
          <w:pPr>
            <w:pStyle w:val="Contents4"/>
            <w:tabs>
              <w:tab w:val="clear" w:pos="8176"/>
              <w:tab w:val="right" w:pos="9026" w:leader="dot"/>
            </w:tabs>
            <w:rPr/>
          </w:pPr>
          <w:hyperlink w:anchor="__RefHeading___Toc3601826_3804643083">
            <w:r>
              <w:rPr>
                <w:webHidden/>
                <w:rStyle w:val="IndexLink"/>
                <w:rtl w:val="true"/>
              </w:rPr>
              <w:t>[</w:t>
            </w:r>
            <w:r>
              <w:rPr>
                <w:rStyle w:val="IndexLink"/>
                <w:rtl w:val="true"/>
              </w:rPr>
              <w:t>باب إثبات المتعة و ثوابها</w:t>
            </w:r>
            <w:r>
              <w:rPr>
                <w:rStyle w:val="IndexLink"/>
                <w:rtl w:val="true"/>
              </w:rPr>
              <w:t>]</w:t>
              <w:tab/>
            </w:r>
            <w:r>
              <w:rPr>
                <w:rStyle w:val="IndexLink"/>
              </w:rPr>
              <w:t>551</w:t>
            </w:r>
          </w:hyperlink>
        </w:p>
        <w:p>
          <w:pPr>
            <w:pStyle w:val="Contents4"/>
            <w:tabs>
              <w:tab w:val="clear" w:pos="8176"/>
              <w:tab w:val="right" w:pos="9026" w:leader="dot"/>
            </w:tabs>
            <w:rPr/>
          </w:pPr>
          <w:hyperlink w:anchor="__RefHeading___Toc3601828_3804643083">
            <w:r>
              <w:rPr>
                <w:webHidden/>
                <w:rStyle w:val="IndexLink"/>
                <w:rtl w:val="true"/>
              </w:rPr>
              <w:t>[</w:t>
            </w:r>
            <w:r>
              <w:rPr>
                <w:rStyle w:val="IndexLink"/>
                <w:rtl w:val="true"/>
              </w:rPr>
              <w:t>باب كراهيّة المتعة مع الاستغناء و الشين</w:t>
            </w:r>
            <w:r>
              <w:rPr>
                <w:rStyle w:val="IndexLink"/>
                <w:rtl w:val="true"/>
              </w:rPr>
              <w:t>]</w:t>
              <w:tab/>
            </w:r>
            <w:r>
              <w:rPr>
                <w:rStyle w:val="IndexLink"/>
              </w:rPr>
              <w:t>552</w:t>
            </w:r>
          </w:hyperlink>
        </w:p>
        <w:p>
          <w:pPr>
            <w:pStyle w:val="Contents4"/>
            <w:tabs>
              <w:tab w:val="clear" w:pos="8176"/>
              <w:tab w:val="right" w:pos="9026" w:leader="dot"/>
            </w:tabs>
            <w:rPr/>
          </w:pPr>
          <w:hyperlink w:anchor="__RefHeading___Toc3601830_3804643083">
            <w:r>
              <w:rPr>
                <w:webHidden/>
                <w:rStyle w:val="IndexLink"/>
                <w:rtl w:val="true"/>
              </w:rPr>
              <w:t>[</w:t>
            </w:r>
            <w:r>
              <w:rPr>
                <w:rStyle w:val="IndexLink"/>
                <w:rtl w:val="true"/>
              </w:rPr>
              <w:t>باب أنّها مصدّقة على نفسها</w:t>
            </w:r>
            <w:r>
              <w:rPr>
                <w:rStyle w:val="IndexLink"/>
                <w:rtl w:val="true"/>
              </w:rPr>
              <w:t>]</w:t>
              <w:tab/>
            </w:r>
            <w:r>
              <w:rPr>
                <w:rStyle w:val="IndexLink"/>
              </w:rPr>
              <w:t>552</w:t>
            </w:r>
          </w:hyperlink>
        </w:p>
        <w:p>
          <w:pPr>
            <w:pStyle w:val="Contents4"/>
            <w:tabs>
              <w:tab w:val="clear" w:pos="8176"/>
              <w:tab w:val="right" w:pos="9026" w:leader="dot"/>
            </w:tabs>
            <w:rPr/>
          </w:pPr>
          <w:hyperlink w:anchor="__RefHeading___Toc3601832_3804643083">
            <w:r>
              <w:rPr>
                <w:webHidden/>
                <w:rStyle w:val="IndexLink"/>
                <w:rtl w:val="true"/>
              </w:rPr>
              <w:t>[</w:t>
            </w:r>
            <w:r>
              <w:rPr>
                <w:rStyle w:val="IndexLink"/>
                <w:rtl w:val="true"/>
              </w:rPr>
              <w:t>باب التمتّع بالأبكار و ما يوجب منه العار</w:t>
            </w:r>
            <w:r>
              <w:rPr>
                <w:rStyle w:val="IndexLink"/>
                <w:rtl w:val="true"/>
              </w:rPr>
              <w:t>]</w:t>
              <w:tab/>
            </w:r>
            <w:r>
              <w:rPr>
                <w:rStyle w:val="IndexLink"/>
              </w:rPr>
              <w:t>553</w:t>
            </w:r>
          </w:hyperlink>
        </w:p>
        <w:p>
          <w:pPr>
            <w:pStyle w:val="Contents4"/>
            <w:tabs>
              <w:tab w:val="clear" w:pos="8176"/>
              <w:tab w:val="right" w:pos="9026" w:leader="dot"/>
            </w:tabs>
            <w:rPr/>
          </w:pPr>
          <w:hyperlink w:anchor="__RefHeading___Toc3601834_3804643083">
            <w:r>
              <w:rPr>
                <w:webHidden/>
                <w:rStyle w:val="IndexLink"/>
                <w:rtl w:val="true"/>
              </w:rPr>
              <w:t>[</w:t>
            </w:r>
            <w:r>
              <w:rPr>
                <w:rStyle w:val="IndexLink"/>
                <w:rtl w:val="true"/>
              </w:rPr>
              <w:t>باب التمتّع بالإماء</w:t>
            </w:r>
            <w:r>
              <w:rPr>
                <w:rStyle w:val="IndexLink"/>
                <w:rtl w:val="true"/>
              </w:rPr>
              <w:t>]</w:t>
              <w:tab/>
            </w:r>
            <w:r>
              <w:rPr>
                <w:rStyle w:val="IndexLink"/>
              </w:rPr>
              <w:t>554</w:t>
            </w:r>
          </w:hyperlink>
        </w:p>
        <w:p>
          <w:pPr>
            <w:pStyle w:val="Contents4"/>
            <w:tabs>
              <w:tab w:val="clear" w:pos="8176"/>
              <w:tab w:val="right" w:pos="9026" w:leader="dot"/>
            </w:tabs>
            <w:rPr/>
          </w:pPr>
          <w:hyperlink w:anchor="__RefHeading___Toc3601836_3804643083">
            <w:r>
              <w:rPr>
                <w:webHidden/>
                <w:rStyle w:val="IndexLink"/>
                <w:rtl w:val="true"/>
              </w:rPr>
              <w:t>[</w:t>
            </w:r>
            <w:r>
              <w:rPr>
                <w:rStyle w:val="IndexLink"/>
                <w:rtl w:val="true"/>
              </w:rPr>
              <w:t>باب النظر لمن أراد التزويج</w:t>
            </w:r>
            <w:r>
              <w:rPr>
                <w:rStyle w:val="IndexLink"/>
                <w:rtl w:val="true"/>
              </w:rPr>
              <w:t>]</w:t>
              <w:tab/>
            </w:r>
            <w:r>
              <w:rPr>
                <w:rStyle w:val="IndexLink"/>
              </w:rPr>
              <w:t>555</w:t>
            </w:r>
          </w:hyperlink>
        </w:p>
        <w:p>
          <w:pPr>
            <w:pStyle w:val="Contents3"/>
            <w:tabs>
              <w:tab w:val="clear" w:pos="8459"/>
              <w:tab w:val="right" w:pos="9026" w:leader="dot"/>
            </w:tabs>
            <w:rPr/>
          </w:pPr>
          <w:hyperlink w:anchor="__RefHeading___Toc3601838_3804643083">
            <w:r>
              <w:rPr>
                <w:webHidden/>
                <w:rStyle w:val="IndexLink"/>
                <w:rtl w:val="true"/>
              </w:rPr>
              <w:t>[</w:t>
            </w:r>
            <w:r>
              <w:rPr>
                <w:rStyle w:val="IndexLink"/>
                <w:rtl w:val="true"/>
              </w:rPr>
              <w:t>أولياء العقد</w:t>
            </w:r>
            <w:r>
              <w:rPr>
                <w:rStyle w:val="IndexLink"/>
                <w:rtl w:val="true"/>
              </w:rPr>
              <w:t>]</w:t>
              <w:tab/>
            </w:r>
            <w:r>
              <w:rPr>
                <w:rStyle w:val="IndexLink"/>
              </w:rPr>
              <w:t>556</w:t>
            </w:r>
          </w:hyperlink>
        </w:p>
        <w:p>
          <w:pPr>
            <w:pStyle w:val="Contents4"/>
            <w:tabs>
              <w:tab w:val="clear" w:pos="8176"/>
              <w:tab w:val="right" w:pos="9026" w:leader="dot"/>
            </w:tabs>
            <w:rPr/>
          </w:pPr>
          <w:hyperlink w:anchor="__RefHeading___Toc3601840_3804643083">
            <w:r>
              <w:rPr>
                <w:webHidden/>
                <w:rStyle w:val="IndexLink"/>
                <w:rtl w:val="true"/>
              </w:rPr>
              <w:t>[</w:t>
            </w:r>
            <w:r>
              <w:rPr>
                <w:rStyle w:val="IndexLink"/>
                <w:rtl w:val="true"/>
              </w:rPr>
              <w:t>باب وليّ العقد على الأبكار</w:t>
            </w:r>
            <w:r>
              <w:rPr>
                <w:rStyle w:val="IndexLink"/>
                <w:rtl w:val="true"/>
              </w:rPr>
              <w:t>]</w:t>
              <w:tab/>
            </w:r>
            <w:r>
              <w:rPr>
                <w:rStyle w:val="IndexLink"/>
              </w:rPr>
              <w:t>556</w:t>
            </w:r>
          </w:hyperlink>
        </w:p>
        <w:p>
          <w:pPr>
            <w:pStyle w:val="Contents4"/>
            <w:tabs>
              <w:tab w:val="clear" w:pos="8176"/>
              <w:tab w:val="right" w:pos="9026" w:leader="dot"/>
            </w:tabs>
            <w:rPr/>
          </w:pPr>
          <w:hyperlink w:anchor="__RefHeading___Toc3601842_3804643083">
            <w:r>
              <w:rPr>
                <w:webHidden/>
                <w:rStyle w:val="IndexLink"/>
                <w:rtl w:val="true"/>
              </w:rPr>
              <w:t>[</w:t>
            </w:r>
            <w:r>
              <w:rPr>
                <w:rStyle w:val="IndexLink"/>
                <w:rtl w:val="true"/>
              </w:rPr>
              <w:t>باب وليّ العقد على الصغار</w:t>
            </w:r>
            <w:r>
              <w:rPr>
                <w:rStyle w:val="IndexLink"/>
                <w:rtl w:val="true"/>
              </w:rPr>
              <w:t>]</w:t>
              <w:tab/>
            </w:r>
            <w:r>
              <w:rPr>
                <w:rStyle w:val="IndexLink"/>
              </w:rPr>
              <w:t>563</w:t>
            </w:r>
          </w:hyperlink>
        </w:p>
        <w:p>
          <w:pPr>
            <w:pStyle w:val="Contents4"/>
            <w:tabs>
              <w:tab w:val="clear" w:pos="8176"/>
              <w:tab w:val="right" w:pos="9026" w:leader="dot"/>
            </w:tabs>
            <w:rPr/>
          </w:pPr>
          <w:hyperlink w:anchor="__RefHeading___Toc3601844_3804643083">
            <w:r>
              <w:rPr>
                <w:webHidden/>
                <w:rStyle w:val="IndexLink"/>
                <w:rtl w:val="true"/>
              </w:rPr>
              <w:t>[</w:t>
            </w:r>
            <w:r>
              <w:rPr>
                <w:rStyle w:val="IndexLink"/>
                <w:rtl w:val="true"/>
              </w:rPr>
              <w:t xml:space="preserve">باب من له </w:t>
            </w:r>
            <w:r>
              <w:rPr>
                <w:rStyle w:val="IndexLink"/>
                <w:rtl w:val="true"/>
              </w:rPr>
              <w:t>[</w:t>
            </w:r>
            <w:r>
              <w:rPr>
                <w:rStyle w:val="IndexLink"/>
                <w:rtl w:val="true"/>
              </w:rPr>
              <w:t>ا</w:t>
            </w:r>
            <w:r>
              <w:rPr>
                <w:rStyle w:val="IndexLink"/>
                <w:rtl w:val="true"/>
              </w:rPr>
              <w:t xml:space="preserve">] </w:t>
            </w:r>
            <w:r>
              <w:rPr>
                <w:rStyle w:val="IndexLink"/>
                <w:rtl w:val="true"/>
              </w:rPr>
              <w:t>التزويج بغير وليّ و توكيلها الزوج في العقد</w:t>
            </w:r>
            <w:r>
              <w:rPr>
                <w:rStyle w:val="IndexLink"/>
                <w:rtl w:val="true"/>
              </w:rPr>
              <w:t>]</w:t>
              <w:tab/>
            </w:r>
            <w:r>
              <w:rPr>
                <w:rStyle w:val="IndexLink"/>
              </w:rPr>
              <w:t>563</w:t>
            </w:r>
          </w:hyperlink>
        </w:p>
        <w:p>
          <w:pPr>
            <w:pStyle w:val="Contents4"/>
            <w:tabs>
              <w:tab w:val="clear" w:pos="8176"/>
              <w:tab w:val="right" w:pos="9026" w:leader="dot"/>
            </w:tabs>
            <w:rPr/>
          </w:pPr>
          <w:hyperlink w:anchor="__RefHeading___Toc3601846_3804643083">
            <w:r>
              <w:rPr>
                <w:webHidden/>
                <w:rStyle w:val="IndexLink"/>
                <w:rtl w:val="true"/>
              </w:rPr>
              <w:t>[</w:t>
            </w:r>
            <w:r>
              <w:rPr>
                <w:rStyle w:val="IndexLink"/>
                <w:rtl w:val="true"/>
              </w:rPr>
              <w:t>باب الدخول بها قبل أن يعطيها المهر</w:t>
            </w:r>
            <w:r>
              <w:rPr>
                <w:rStyle w:val="IndexLink"/>
                <w:rtl w:val="true"/>
              </w:rPr>
              <w:t>]</w:t>
              <w:tab/>
            </w:r>
            <w:r>
              <w:rPr>
                <w:rStyle w:val="IndexLink"/>
              </w:rPr>
              <w:t>567</w:t>
            </w:r>
          </w:hyperlink>
        </w:p>
        <w:p>
          <w:pPr>
            <w:pStyle w:val="Contents4"/>
            <w:tabs>
              <w:tab w:val="clear" w:pos="8176"/>
              <w:tab w:val="right" w:pos="9026" w:leader="dot"/>
            </w:tabs>
            <w:rPr/>
          </w:pPr>
          <w:hyperlink w:anchor="__RefHeading___Toc3601848_3804643083">
            <w:r>
              <w:rPr>
                <w:webHidden/>
                <w:rStyle w:val="IndexLink"/>
                <w:rtl w:val="true"/>
              </w:rPr>
              <w:t>[</w:t>
            </w:r>
            <w:r>
              <w:rPr>
                <w:rStyle w:val="IndexLink"/>
                <w:rtl w:val="true"/>
              </w:rPr>
              <w:t>باب تحليل الإماء</w:t>
            </w:r>
            <w:r>
              <w:rPr>
                <w:rStyle w:val="IndexLink"/>
                <w:rtl w:val="true"/>
              </w:rPr>
              <w:t>]</w:t>
              <w:tab/>
            </w:r>
            <w:r>
              <w:rPr>
                <w:rStyle w:val="IndexLink"/>
              </w:rPr>
              <w:t>568</w:t>
            </w:r>
          </w:hyperlink>
        </w:p>
        <w:p>
          <w:pPr>
            <w:pStyle w:val="Contents4"/>
            <w:tabs>
              <w:tab w:val="clear" w:pos="8176"/>
              <w:tab w:val="right" w:pos="9026" w:leader="dot"/>
            </w:tabs>
            <w:rPr/>
          </w:pPr>
          <w:hyperlink w:anchor="__RefHeading___Toc3601850_3804643083">
            <w:r>
              <w:rPr>
                <w:webHidden/>
                <w:rStyle w:val="IndexLink"/>
                <w:rtl w:val="true"/>
              </w:rPr>
              <w:t>[</w:t>
            </w:r>
            <w:r>
              <w:rPr>
                <w:rStyle w:val="IndexLink"/>
                <w:rtl w:val="true"/>
              </w:rPr>
              <w:t>باب حكم نكاح المفقود زوجها</w:t>
            </w:r>
            <w:r>
              <w:rPr>
                <w:rStyle w:val="IndexLink"/>
                <w:rtl w:val="true"/>
              </w:rPr>
              <w:t>]</w:t>
              <w:tab/>
            </w:r>
            <w:r>
              <w:rPr>
                <w:rStyle w:val="IndexLink"/>
              </w:rPr>
              <w:t>572</w:t>
            </w:r>
          </w:hyperlink>
        </w:p>
        <w:p>
          <w:pPr>
            <w:pStyle w:val="Contents4"/>
            <w:tabs>
              <w:tab w:val="clear" w:pos="8176"/>
              <w:tab w:val="right" w:pos="9026" w:leader="dot"/>
            </w:tabs>
            <w:rPr/>
          </w:pPr>
          <w:hyperlink w:anchor="__RefHeading___Toc3601852_3804643083">
            <w:r>
              <w:rPr>
                <w:webHidden/>
                <w:rStyle w:val="IndexLink"/>
                <w:rtl w:val="true"/>
              </w:rPr>
              <w:t>[</w:t>
            </w:r>
            <w:r>
              <w:rPr>
                <w:rStyle w:val="IndexLink"/>
                <w:rtl w:val="true"/>
              </w:rPr>
              <w:t>باب شروط المتعة و أحكامها</w:t>
            </w:r>
            <w:r>
              <w:rPr>
                <w:rStyle w:val="IndexLink"/>
                <w:rtl w:val="true"/>
              </w:rPr>
              <w:t>]</w:t>
              <w:tab/>
            </w:r>
            <w:r>
              <w:rPr>
                <w:rStyle w:val="IndexLink"/>
              </w:rPr>
              <w:t>574</w:t>
            </w:r>
          </w:hyperlink>
        </w:p>
        <w:p>
          <w:pPr>
            <w:pStyle w:val="Contents2"/>
            <w:tabs>
              <w:tab w:val="clear" w:pos="8743"/>
              <w:tab w:val="right" w:pos="9026" w:leader="dot"/>
            </w:tabs>
            <w:rPr/>
          </w:pPr>
          <w:hyperlink w:anchor="__RefHeading___Toc3601854_3804643083">
            <w:r>
              <w:rPr>
                <w:webHidden/>
                <w:rStyle w:val="IndexLink"/>
                <w:rtl w:val="true"/>
              </w:rPr>
              <w:t>كتاب الجنائز و الفرائض و الوصيّات</w:t>
            </w:r>
            <w:r>
              <w:rPr>
                <w:rStyle w:val="IndexLink"/>
                <w:rtl w:val="true"/>
              </w:rPr>
              <w:tab/>
            </w:r>
            <w:r>
              <w:rPr>
                <w:rStyle w:val="IndexLink"/>
              </w:rPr>
              <w:t>577</w:t>
            </w:r>
          </w:hyperlink>
        </w:p>
        <w:p>
          <w:pPr>
            <w:pStyle w:val="Contents3"/>
            <w:tabs>
              <w:tab w:val="clear" w:pos="8459"/>
              <w:tab w:val="right" w:pos="9026" w:leader="dot"/>
            </w:tabs>
            <w:rPr/>
          </w:pPr>
          <w:hyperlink w:anchor="__RefHeading___Toc3601856_3804643083">
            <w:r>
              <w:rPr>
                <w:webHidden/>
                <w:rStyle w:val="IndexLink"/>
                <w:rtl w:val="true"/>
              </w:rPr>
              <w:t>اشارة</w:t>
            </w:r>
            <w:r>
              <w:rPr>
                <w:rStyle w:val="IndexLink"/>
                <w:rtl w:val="true"/>
              </w:rPr>
              <w:tab/>
            </w:r>
            <w:r>
              <w:rPr>
                <w:rStyle w:val="IndexLink"/>
              </w:rPr>
              <w:t>577</w:t>
            </w:r>
          </w:hyperlink>
        </w:p>
        <w:p>
          <w:pPr>
            <w:pStyle w:val="Contents3"/>
            <w:tabs>
              <w:tab w:val="clear" w:pos="8459"/>
              <w:tab w:val="right" w:pos="9026" w:leader="dot"/>
            </w:tabs>
            <w:rPr/>
          </w:pPr>
          <w:hyperlink w:anchor="__RefHeading___Toc3601858_3804643083">
            <w:r>
              <w:rPr>
                <w:webHidden/>
                <w:rStyle w:val="IndexLink"/>
                <w:rtl w:val="true"/>
              </w:rPr>
              <w:t>[</w:t>
            </w:r>
            <w:r>
              <w:rPr>
                <w:rStyle w:val="IndexLink"/>
                <w:rtl w:val="true"/>
              </w:rPr>
              <w:t>أبواب التجهيز</w:t>
            </w:r>
            <w:r>
              <w:rPr>
                <w:rStyle w:val="IndexLink"/>
                <w:rtl w:val="true"/>
              </w:rPr>
              <w:t>]</w:t>
              <w:tab/>
            </w:r>
            <w:r>
              <w:rPr>
                <w:rStyle w:val="IndexLink"/>
              </w:rPr>
              <w:t>579</w:t>
            </w:r>
          </w:hyperlink>
        </w:p>
        <w:p>
          <w:pPr>
            <w:pStyle w:val="Contents4"/>
            <w:tabs>
              <w:tab w:val="clear" w:pos="8176"/>
              <w:tab w:val="right" w:pos="9026" w:leader="dot"/>
            </w:tabs>
            <w:rPr/>
          </w:pPr>
          <w:hyperlink w:anchor="__RefHeading___Toc3601860_3804643083">
            <w:r>
              <w:rPr>
                <w:webHidden/>
                <w:rStyle w:val="IndexLink"/>
                <w:rtl w:val="true"/>
              </w:rPr>
              <w:t>[</w:t>
            </w:r>
            <w:r>
              <w:rPr>
                <w:rStyle w:val="IndexLink"/>
                <w:rtl w:val="true"/>
              </w:rPr>
              <w:t>باب ثواب من غسّل مؤمنا أو كفّنه أو حفر له</w:t>
            </w:r>
            <w:r>
              <w:rPr>
                <w:rStyle w:val="IndexLink"/>
                <w:rtl w:val="true"/>
              </w:rPr>
              <w:t>]</w:t>
              <w:tab/>
            </w:r>
            <w:r>
              <w:rPr>
                <w:rStyle w:val="IndexLink"/>
              </w:rPr>
              <w:t>579</w:t>
            </w:r>
          </w:hyperlink>
        </w:p>
        <w:p>
          <w:pPr>
            <w:pStyle w:val="Contents4"/>
            <w:tabs>
              <w:tab w:val="clear" w:pos="8176"/>
              <w:tab w:val="right" w:pos="9026" w:leader="dot"/>
            </w:tabs>
            <w:rPr/>
          </w:pPr>
          <w:hyperlink w:anchor="__RefHeading___Toc3601862_3804643083">
            <w:r>
              <w:rPr>
                <w:webHidden/>
                <w:rStyle w:val="IndexLink"/>
                <w:rtl w:val="true"/>
              </w:rPr>
              <w:t>[</w:t>
            </w:r>
            <w:r>
              <w:rPr>
                <w:rStyle w:val="IndexLink"/>
                <w:rtl w:val="true"/>
              </w:rPr>
              <w:t>باب علّة غسل الميّت</w:t>
            </w:r>
            <w:r>
              <w:rPr>
                <w:rStyle w:val="IndexLink"/>
                <w:rtl w:val="true"/>
              </w:rPr>
              <w:t>]</w:t>
              <w:tab/>
            </w:r>
            <w:r>
              <w:rPr>
                <w:rStyle w:val="IndexLink"/>
              </w:rPr>
              <w:t>580</w:t>
            </w:r>
          </w:hyperlink>
        </w:p>
        <w:p>
          <w:pPr>
            <w:pStyle w:val="Contents2"/>
            <w:tabs>
              <w:tab w:val="clear" w:pos="8743"/>
              <w:tab w:val="right" w:pos="9026" w:leader="dot"/>
            </w:tabs>
            <w:rPr/>
          </w:pPr>
          <w:hyperlink w:anchor="__RefHeading___Toc3601864_3804643083">
            <w:r>
              <w:rPr>
                <w:webHidden/>
                <w:rStyle w:val="IndexLink"/>
                <w:rtl w:val="true"/>
              </w:rPr>
              <w:t>المنابع و الماخذ</w:t>
            </w:r>
            <w:r>
              <w:rPr>
                <w:rStyle w:val="IndexLink"/>
                <w:rtl w:val="true"/>
              </w:rPr>
              <w:tab/>
            </w:r>
            <w:r>
              <w:rPr>
                <w:rStyle w:val="IndexLink"/>
              </w:rPr>
              <w:t>581</w:t>
            </w:r>
          </w:hyperlink>
        </w:p>
        <w:p>
          <w:pPr>
            <w:pStyle w:val="Contents2"/>
            <w:tabs>
              <w:tab w:val="clear" w:pos="8743"/>
              <w:tab w:val="right" w:pos="9026" w:leader="dot"/>
            </w:tabs>
            <w:rPr/>
          </w:pPr>
          <w:hyperlink w:anchor="__RefHeading___Toc3601866_3804643083">
            <w:r>
              <w:rPr>
                <w:webHidden/>
                <w:rStyle w:val="IndexLink"/>
                <w:rtl w:val="true"/>
              </w:rPr>
              <w:t>المحتويات</w:t>
            </w:r>
            <w:r>
              <w:rPr>
                <w:rStyle w:val="IndexLink"/>
                <w:rtl w:val="true"/>
              </w:rPr>
              <w:tab/>
            </w:r>
            <w:r>
              <w:rPr>
                <w:rStyle w:val="IndexLink"/>
              </w:rPr>
              <w:t>601</w:t>
            </w:r>
          </w:hyperlink>
        </w:p>
        <w:p>
          <w:pPr>
            <w:pStyle w:val="Contents2"/>
            <w:tabs>
              <w:tab w:val="clear" w:pos="8743"/>
              <w:tab w:val="right" w:pos="9026" w:leader="dot"/>
            </w:tabs>
            <w:rPr/>
          </w:pPr>
          <w:hyperlink w:anchor="__RefHeading___Toc3601868_3804643083">
            <w:r>
              <w:rPr>
                <w:webHidden/>
                <w:rStyle w:val="IndexLink"/>
                <w:rtl w:val="true"/>
              </w:rPr>
              <w:t>فهرس الكتب و الرسائل المحقّقة المطبوعة</w:t>
            </w:r>
            <w:r>
              <w:rPr>
                <w:rStyle w:val="IndexLink"/>
                <w:rtl w:val="true"/>
              </w:rPr>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70_12243"/>
      <w:bookmarkStart w:id="1" w:name="pg2470_12243"/>
      <w:bookmarkEnd w:id="1"/>
    </w:p>
    <w:p>
      <w:pPr>
        <w:pStyle w:val="Heading2"/>
        <w:numPr>
          <w:ilvl w:val="1"/>
          <w:numId w:val="1"/>
        </w:numPr>
        <w:rPr/>
      </w:pPr>
      <w:bookmarkStart w:id="2" w:name="pg2470_12243"/>
      <w:bookmarkStart w:id="3" w:name="__RefHeading___Toc3601266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بهبهاني، محمدباقربن‌محمداكمل، </w:t>
      </w:r>
      <w:r>
        <w:rPr>
          <w:rFonts w:ascii="Amiri" w:hAnsi="Amiri" w:eastAsia="Amiri" w:cs="Amiri"/>
          <w:color w:val="111111"/>
          <w:sz w:val="28"/>
          <w:sz w:val="28"/>
          <w:szCs w:val="28"/>
          <w:lang w:bidi="ar-SA"/>
        </w:rPr>
        <w:t>۱۱۱۸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قراردادي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حاشيه‌الوافي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البهبهاني ؛ تحقيق و نشر موسسه‌العالمه المجدد الوحيد البهبهاني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العلامه المجدد الوحيد البهبهاني،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۱۴۲۶</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حاضر، حاشيه اي است 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فيض كاشاني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محمدبن‌شاه‌مرتضي، </w:t>
      </w:r>
      <w:r>
        <w:rPr>
          <w:rFonts w:ascii="Amiri" w:hAnsi="Amiri" w:eastAsia="Amiri" w:cs="Amiri"/>
          <w:color w:val="111111"/>
          <w:sz w:val="28"/>
          <w:sz w:val="28"/>
          <w:szCs w:val="28"/>
          <w:lang w:bidi="ar-SA"/>
        </w:rPr>
        <w:t>۱۰۰۶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محمدبن‌شاه‌مرتضي، </w:t>
      </w:r>
      <w:r>
        <w:rPr>
          <w:rFonts w:ascii="Amiri" w:hAnsi="Amiri" w:eastAsia="Amiri" w:cs="Amiri"/>
          <w:color w:val="111111"/>
          <w:sz w:val="28"/>
          <w:sz w:val="28"/>
          <w:szCs w:val="28"/>
          <w:lang w:bidi="ar-SA"/>
        </w:rPr>
        <w:t>۱۰۰۶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موسسه علامه مجدد وحيد بهبهاني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۲۰۳۲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۱۰۵۶۴۱۹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1268_3804643083"/>
      <w:bookmarkStart w:id="6" w:name="_Toc2"/>
      <w:bookmarkEnd w:id="5"/>
      <w:r>
        <w:rPr>
          <w:rtl w:val="true"/>
        </w:rPr>
        <w:t>اشارة</w:t>
      </w:r>
      <w:bookmarkStart w:id="7" w:name="pg2470_12247"/>
      <w:bookmarkEnd w:id="6"/>
    </w:p>
    <w:p>
      <w:pPr>
        <w:pStyle w:val="Heading2"/>
        <w:numPr>
          <w:ilvl w:val="1"/>
          <w:numId w:val="1"/>
        </w:numPr>
        <w:rPr/>
      </w:pPr>
      <w:bookmarkStart w:id="8" w:name="__RefHeading___Toc3601270_3804643083"/>
      <w:bookmarkStart w:id="9" w:name="_Toc3"/>
      <w:bookmarkEnd w:id="7"/>
      <w:bookmarkEnd w:id="8"/>
      <w:r>
        <w:rPr>
          <w:rtl w:val="true"/>
        </w:rPr>
        <w:t>[</w:t>
      </w:r>
      <w:r>
        <w:rPr>
          <w:rtl w:val="true"/>
        </w:rPr>
        <w:t>مقدمات التحقيق</w:t>
      </w:r>
      <w:r>
        <w:rPr>
          <w:rtl w:val="true"/>
        </w:rPr>
        <w:t>]</w:t>
      </w:r>
      <w:bookmarkEnd w:id="9"/>
    </w:p>
    <w:p>
      <w:pPr>
        <w:pStyle w:val="Heading3"/>
        <w:numPr>
          <w:ilvl w:val="2"/>
          <w:numId w:val="1"/>
        </w:numPr>
        <w:rPr/>
      </w:pPr>
      <w:bookmarkStart w:id="10" w:name="__RefHeading___Toc3601272_3804643083"/>
      <w:bookmarkStart w:id="11" w:name="_Toc4"/>
      <w:bookmarkEnd w:id="10"/>
      <w:r>
        <w:rPr>
          <w:rtl w:val="true"/>
        </w:rPr>
        <w:t xml:space="preserve">المقدّمة </w:t>
      </w:r>
      <w:r>
        <w:rPr>
          <w:rtl w:val="true"/>
        </w:rPr>
        <w:t>[</w:t>
      </w:r>
      <w:r>
        <w:rPr>
          <w:rtl w:val="true"/>
        </w:rPr>
        <w:t>للسيد محمد اليثربي</w:t>
      </w:r>
      <w:r>
        <w:rPr>
          <w:rtl w:val="true"/>
        </w:rPr>
        <w:t>]</w:t>
      </w:r>
      <w:bookmarkEnd w:id="11"/>
    </w:p>
    <w:p>
      <w:pPr>
        <w:pStyle w:val="Heading4"/>
        <w:numPr>
          <w:ilvl w:val="3"/>
          <w:numId w:val="1"/>
        </w:numPr>
        <w:rPr/>
      </w:pPr>
      <w:bookmarkStart w:id="12" w:name="__RefHeading___Toc3601274_3804643083"/>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المقدّمة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محمد اليثربي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كان الفقه هو عبارة عن مجموعة معيّنة من القوانين التي تنظّم الأعمال الفرديّة، و الأحوال الشخصيّة، و الروابط الاجتماعيّة للفرد، مع ربّه و مع عباده و مجتمعه، له في مذهب الإماميّة طوال تاريخه تلاطم و تصادم مقابل التيارات الحاكمة و الأهواء المتشتّتة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لإثبات ذلك تصفّح الرسائل العلميّة، و المجاميع الفقهيّة المدوّنة خلال هذه الفترات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حصيلة مدرسة الاعتدال، و بلورة لما تمحّض من أفكارها، و عصارة لما جمع من لباب آرائها</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كلّ البعد عن التحجّر و الجمود و القوقعة التي جاءتها من جهة، و كذا كانت حريصة على التعبّد بالنصوص الشرعيّة، و المبادئ الأصيلة؛ مبتعدة عن الخروج من كلّ المسلّمات العلميّة الثابتة و المقرّرة؛</w:t>
      </w:r>
    </w:p>
    <w:p>
      <w:pPr>
        <w:pStyle w:val="BookText"/>
        <w:rPr/>
      </w:pPr>
      <w:r>
        <w:rPr>
          <w:rFonts w:ascii="Amiri" w:hAnsi="Amiri" w:eastAsia="Amiri" w:cs="Amiri"/>
          <w:color w:val="111111"/>
          <w:sz w:val="28"/>
          <w:sz w:val="28"/>
          <w:szCs w:val="28"/>
          <w:rtl w:val="true"/>
          <w:lang w:bidi="ar-SA"/>
        </w:rPr>
        <w:t>بمعنى عدم مسّ القواعد الأصيلة، و السنن الثابتة الإلهيّة، بل و كلّ ما يشين تلك الاصول المسلّمة و المقدّسة في 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الطريقة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المجاميع العلميّة و الحوزات الدينيّة ما هي إلّا حصيلة مساعي ثلّة طاهرة قامت مجتهدة و مثابرة لمحو كلا الانحرافين المزبورين، حتّى أصبحت كلتا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الإفراطيّة و التفريطيّة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يومنا هذا بديهيّة البطلان، و واضحة الزيف و التجوّف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لإلقاء الضوء على ما لأبناء كلا المدرستين من الانحراف و الابتعاد عن الجادّة و الصراط المستقيم، حفاظا على حاقّ الشريعة و جوهرها، و ما عبّرنا عنه اليوم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الاعتدال،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يتضح ما نريد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بنا أن نشير إلى لمحة مجملة عن كلا الخطّين، و نذكر دراسة مبسّطة لكلتا المدرستين كي يبرز منهما عظمة ما وصلت إليه مدرسة الاعتدال المزبورة في سيرها العلميّ و العمليّ معا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الأخباريّون؛ و هم الممثّلون لمدرسة التحجّر و الجمود </w:t>
      </w:r>
      <w:r>
        <w:rPr>
          <w:rStyle w:val="FootnoteAnchor"/>
          <w:rtl w:val="true"/>
        </w:rPr>
        <w:footnoteReference w:id="3"/>
      </w:r>
      <w:r>
        <w:rPr>
          <w:rFonts w:ascii="Amiri" w:hAnsi="Amiri" w:eastAsia="Amiri" w:cs="Amiri"/>
          <w:color w:val="111111"/>
          <w:sz w:val="28"/>
          <w:sz w:val="28"/>
          <w:szCs w:val="28"/>
          <w:rtl w:val="true"/>
          <w:lang w:bidi="ar-SA"/>
        </w:rPr>
        <w:t>، التي بدأت ظاهرا في أوائل القرن الحادي عشر ببروز مدرسة جديدة لاستنباط 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لنا أن نعبّر عنها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يد شخص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أمين الأسترآبادي رحمه اللّه، الذي يعدّ باني اسس هذه الطريقة، و مؤسّس مبانيها، و الذي أبعد الشريعة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هذا عن جوهر مبانيها، و حاقّ حقيقتها بما أسّسه من طرق، هي أشبه بما جاءتنا به مدرسة الرأى و القياس عند العامّة من ضحالة و سطحيّة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هذا إلّا نتيجة عدم استيعاب ما قرّره السلف الصالح من قواعد فقهيّة و مباني اصوليّة للفقه لم يهضمها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سبّب خروجهم عن كثير ممّا هو مسلّم علميّا و ثابت استدلاليّا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نعطي صورة مجملة عمّا ذهب إليه القوم نذكّر نزرا يسيرا من مهمّ آرائهم التي دانوها و قالوا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 حجّية ظواهر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مستدلّين على ذلك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فهم القرآن بأهل بيت العصمة و الطهارة عليهم السّلام، استنادا إلى بعض الروايات،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يعرف القرآن إلّا من خوطب به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الناهية عن التفسير بالرأي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التخصيصات و التقييدات الواردة على العمومات و المطلقات القرآنيّة ممّا يهد من حجّية عمومات و مطلقات القرآن و يقلّل من أهميّة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القائمة على عدم جواز الأخذ بالظنّ يشمل الظواهر القرآنيّة من غير فرق بينها 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العقل في فعليّة الأحكام الشرعيّة، حيث ذهب المحدّث الأسترآبادي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إلى أنّ مناط تعلّق التكاليف كلّها السماع من الشرع، و منهم من أفرط فذهب إلى إنكار لزوم امتثال الأوامر الشرعيّة التي قامت عليها الأدلّة العقليّة الثابتة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للإجماع بجميع أقسامه، حتّى رفضوا جميع التوجيهات المسلّمة عند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الحجّية على خصوص السنن الواردة الخاصّة دون غيرها من الطرق المقرّرة و المعتبرة شرعا، و هم في هذا قد سلكوا طريقة التسامح و التساهل في النقل، لاكتفائهم بصرف نسبة القول لأحد المعصومين عليهم السّلام في القبول، بل عدّوه بذلك قطعي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انكروا فائدة علم الرجال و ثمرته و تبعا لذلك علم دراية الحديث 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أقوالهم و آرائهم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هذا و غيره يتضح مقدار الظلامة التي حلّت بالأدلّة الثلاثة الباقية من المبادئ الاستدلاليّة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الكتاب، و الإجماع،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الاقتصار على الحديث بما فسّروه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فالقران؛ الذي هو العدل الأكبر و الثقل الأعظم للشريعة يجرّد من دلالته و يفرّط و يقلّل من حجّيته؛ و هو الحجّة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غريب جدّا، إذ إنّهم يحسبون فهمه منحصرا فيهم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حصر فهمه فيهم عليهم السّلام كاف لإسقاط الكتاب عن الحجّية، مع أنّه من المسلّم كونه ناظرا إلى فهم خصوص متشابهات القرآن و مجملاته و ناسخه و منسوخه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 القول بهذا يلزم منه إنكار ما للقرآن من فصاحة و بلاغة و 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الأخذ بهذا التعميم ما هو إلّا إنكار للسنّة القطعيّة، التي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التبست عليكم الفتن كقطع الليل المظلم فعليكم بالقرآن</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وافق كتاب اللّه فخذوه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الأهمّ من هذا و الأدهى أنّه يلزم منه طرح حديث الثقلين المتواتر لفظا فضلا عن معناه و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بلغويّة نزول الوحي و إنزال الكتب، و بعث الأنبياء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هذا؛ يتّضح أنّه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بالظهورات و المحكمات في النصوص القرآنيّة تفسير بالرأى؟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صحّ ذلك لم يبق لنا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ألفاظ التحاور المتداولة بيننا و بين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معنى هذا إنكار أهمّيّة التخصيصات و التقييدات الواردة على العمومات و الإطلاقات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أمر مسلّم برهانا و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يمنع و لا ينافي الرجوع إليهما بعد ملاحظة الروايات الواردة فيهما؛ إذ أنّ حجّية الظهورات ثابتة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النقض عليهم تشبّثهم بالآيات و الأدلّة الناهية عن العمل بالظنّ مع فرض كونه ظاهرا قرآنيا، و المفروض فيها ألا حجّية لها على مختارهم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هذا فهي مردودة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أمثال هذه الأخبار مرتبط بالنهي عن اتّباع الظنّ و الوهم في الامور الاعتقاديّة، و لا ربط له بالفروع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قول أعلام الطائفة و عمدها بحجّية مطلق الظنّ، بل إنّهم قد صرّحوا بعدم حجّية الظنّ الغير المعتبر، و ذهبوا إلى الاقتصار في الحجّية على ما قام الدليل عليه خاصّة لا مطلقا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تضافر الروايات المعتبرة على حجّية الظواهر القرآنيّة، بل كادت أن</w:t>
      </w:r>
    </w:p>
    <w:p>
      <w:pPr>
        <w:pStyle w:val="BookText"/>
        <w:rPr/>
      </w:pPr>
      <w:r>
        <w:rPr>
          <w:rFonts w:ascii="Amiri" w:hAnsi="Amiri" w:eastAsia="Amiri" w:cs="Amiri"/>
          <w:color w:val="111111"/>
          <w:sz w:val="28"/>
          <w:sz w:val="28"/>
          <w:szCs w:val="28"/>
          <w:rtl w:val="true"/>
          <w:lang w:bidi="ar-SA"/>
        </w:rPr>
        <w:t>تكون متواترة لفظا فضلا عن كونها كذلك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نجد ثمّة عاقلا فضلا عن عالم متفقّه عدا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دلالة أمثال قوله سبحانه و تعالى وصفا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تِبْيٰاناً لِكُلِّ شَيْ‌ءٍ </w:t>
      </w:r>
      <w:r>
        <w:rPr>
          <w:rStyle w:val="FootnoteAnchor"/>
          <w:rtl w:val="true"/>
        </w:rPr>
        <w:footnoteReference w:id="10"/>
      </w:r>
      <w:r>
        <w:rPr>
          <w:rFonts w:ascii="Amiri" w:hAnsi="Amiri" w:eastAsia="Amiri" w:cs="Amiri"/>
          <w:color w:val="111111"/>
          <w:sz w:val="28"/>
          <w:sz w:val="28"/>
          <w:szCs w:val="28"/>
          <w:rtl w:val="true"/>
          <w:lang w:bidi="ar-SA"/>
        </w:rPr>
        <w:t>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 هُدىً و تِبْيٰاناً، و هو الذي لا يغادر صغيرة و لا كبيرة و لا رطبا و لا يابسا إلّا كان فيه، بل كلّ ما يحتاجه البشر، طبعا بالاستضاءة بنور الولاية و العترة الطاهرة عليهم السّلام المكمّلة للثقل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تكن دلالة أمثال هذا واضحة لما بقي لنا دليل و لا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يفيد إنكار حجّية المدركات العقليّة التي عدّت في الشريعة الحجّة الباطنيّة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للّه على الناس حجّتين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يداقّ اللّه العباد في الحساب يوم القيامة على قدر ما اتاهم من العقول في الدنيا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 من جهة اخرى نحن لا نريد بما قلناه إثبات قطعيّة صدور تمام الروايات الواردة عن طريق أهل بيت العصمة و الطهارة عليهم السّلام، بمعنى حجّية كلّ منقول، كما ذهب إليه الأسترآبادي في قولته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أحاديثنا كلّها قطعيّة الصدور عن المعصوم عليهم السّلام، فلا نحتاج إلى ملاحظة سندها؛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إذ فيه أوجه للمناقشة لا نودّ الخوض فيها، و الإسهاب في بيانها فعلا، و يكفينا منها ما قاله شيخنا المعظّم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 الأخبار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المسلّم عند أعلام الطائفة كثرة وجود الأحاديث الموضوعة،</w:t>
      </w:r>
    </w:p>
    <w:p>
      <w:pPr>
        <w:pStyle w:val="BookText"/>
        <w:rPr/>
      </w:pPr>
      <w:r>
        <w:rPr>
          <w:rFonts w:ascii="Amiri" w:hAnsi="Amiri" w:eastAsia="Amiri" w:cs="Amiri"/>
          <w:color w:val="111111"/>
          <w:sz w:val="28"/>
          <w:sz w:val="28"/>
          <w:szCs w:val="28"/>
          <w:rtl w:val="true"/>
          <w:lang w:bidi="ar-SA"/>
        </w:rPr>
        <w:t xml:space="preserve">و الأخبار الضعيفة، و الرواة المتّهمون؛ سواء ما كان منها في الأسانيد الروائيّة أو المجاميع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يحدو بنا إلى الأخذ بالقواعد الرجاليّة، بل منه يعلم ضرورة مراجعة علم الرجال كي تميّز به الأخبار، و تصحّح به الأسانيد الروائيّة، و يعرف به الغث من السمين، و الصحيح من السقيم، بل و يظهر من هذا سخف إنكار القوم لضرورة الحاجة إلى علم الرجال،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تمحّض من مجمل ما أسلفناه من الحديث عن الأخباريّين حصول طريقة جديدة في كيفيّة استنباط الأحكام الشرعيّة كان وليدها الطبيعي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 الاعتدال؛ بحلّته الجديدة المتمثّلة بما ذهب إليه شيخنا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تلامذته رحمهم اللّه؛ إذ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سلف من طريقة الأخباريّين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يرونه من عدم ضرورة الغور في المسائل الاصوليّة، و المبانى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يعمل بمقدار ما يفهمه و يظهر له من ظواهر الأحاديث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البديهي أنّ سلوك مثل هذا النوع من التفكّر سيخلق لنا فاجعة لا يمكن سدّها، و ثلمة لا يمكن جبرها في اسس المباني الشرعيّة و أحكامها، بل يوجب تزلزلا في أساس الدين القويم، حيث لو ابيح لكلّ أحد أن يخوض المنابع الأوّليّة للاصول الدينيّة، أو يستخرج بنفسه ما يحتاج إليه من الأحكام الشرعيّة بدون أن يكون له صلاحية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إحاطة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تلك مصيبة ليس وراءها 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سيظهر لنا في موضوع واحد عشرات بل مئات الأحكام المختلفة المتضادة، بل المتناقضة النابعة من اختلاف المدارك و المدركات، و تعدّد الفهم و الانتزاعات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حدّ نفسه نقض لغرض الشارع المقدّس من تقنين القوانين، كما يعدّ مخالفا لاسس التقنينيّة الاجتماعيّة و نظامها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لم يبق لهذا المذهب في يومنا الحاضر ذاك الرصيد العلميّ الكافي أو</w:t>
      </w:r>
      <w:bookmarkStart w:id="14" w:name="pg2470_12254"/>
    </w:p>
    <w:p>
      <w:pPr>
        <w:pStyle w:val="BookText"/>
        <w:rPr/>
      </w:pPr>
      <w:bookmarkEnd w:id="14"/>
      <w:r>
        <w:rPr>
          <w:rFonts w:ascii="Amiri" w:hAnsi="Amiri" w:eastAsia="Amiri" w:cs="Amiri"/>
          <w:color w:val="111111"/>
          <w:sz w:val="28"/>
          <w:sz w:val="28"/>
          <w:szCs w:val="28"/>
          <w:rtl w:val="true"/>
          <w:lang w:bidi="ar-SA"/>
        </w:rPr>
        <w:t xml:space="preserve">من يتبنّاه و يدافع عنه من أهل المعرفة و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نكتفي بما ذكرناه و نطوي الحديث عنهم في هذه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موقفنا منهم مجرد سرد تاريخ للفقه لا مناقشة أقوال و مباني رصينة أكل الدهر عليها و شرب، و قد أغنانا السلف الصالح عناء الدفاع و الرد و النقض و الإبرام</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3601276_3804643083"/>
      <w:bookmarkStart w:id="16" w:name="_Toc6"/>
      <w:bookmarkEnd w:id="15"/>
      <w:r>
        <w:rPr>
          <w:rtl w:val="true"/>
        </w:rPr>
        <w:t>المتحرّرون</w:t>
      </w:r>
      <w:r>
        <w:rPr>
          <w:rtl w:val="true"/>
        </w:rPr>
        <w:t>:</w:t>
      </w:r>
      <w:bookmarkEnd w:id="16"/>
    </w:p>
    <w:p>
      <w:pPr>
        <w:pStyle w:val="Heading5"/>
        <w:numPr>
          <w:ilvl w:val="4"/>
          <w:numId w:val="1"/>
        </w:numPr>
        <w:rPr/>
      </w:pPr>
      <w:bookmarkStart w:id="17" w:name="__RefHeading___Toc3601278_3804643083"/>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و هم جمع لا يقلّ خطرهم عن سابقيهم إن لم يزد عليهم، فإنّهم كانوا و لا يزالون يهدمون حصون الشريعة و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اشتدّ و عظم اليوم خطرهم بعد أن جاءوا بعناوين جديدة برّاقة، و شعارات زائفة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قد خرجوا من هذه الامور التي تشدّقوا بها و زمّروا لها بدعاوي حسبوها فريدة تحت إطار دور الزمان و المكان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ذريعة لبعض في الخروج عن اطر القواعد المقبولة و المسلّمة إلى تغيير الأحكام القطعيّة، و المسائل الأساسيّة، و قد سرت المناقشة في الترديد و التشكيك في الطرق المحدّثة و المسلّمة في الاستنباط بحجّة ملاحظة مقتضيات الزمان و المكان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أنّا لا ننكر ما لهذين الأصلين من الأثر و دور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طريقة الاستنباط و الاستظهار في الأحكام الشرعيّة، إلّا أنّه لا يمكن القول بأنّ أحكام الشريعة المقدّسة على نحو الإطلاق و بما هي هي امور قابلة للتغيير و التبديل، و أنّها تتبدّل و تتغيّر بتوارد الأيّام و تعاقب الزمان، فيصبح الواجب محرّما، و ينقلب المحرّم إلى واجب، إذ إنّ قبول مثل هذا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لفلسفة تشريع الدين من المشرّع الخالق الإلهي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جهة اخرى؛ ما هو إلّا إنكار لخاتميّة الرسالة المحمّديّة صلّى اللّه عليه و آله و سلم، و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w:t>
      </w:r>
    </w:p>
    <w:p>
      <w:pPr>
        <w:pStyle w:val="BookText"/>
        <w:rPr/>
      </w:pPr>
      <w:r>
        <w:rPr>
          <w:rFonts w:ascii="Amiri" w:hAnsi="Amiri" w:eastAsia="Amiri" w:cs="Amiri"/>
          <w:color w:val="111111"/>
          <w:sz w:val="28"/>
          <w:sz w:val="28"/>
          <w:szCs w:val="28"/>
          <w:rtl w:val="true"/>
          <w:lang w:bidi="ar-SA"/>
        </w:rPr>
        <w:t>و حرامه حرام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تمام ما تمتاز به الشرائع السماويّة عن القوانين البشريّة الوضعيّة هو هذا التفاوت الجوهريّ الماهويّ في أنّ القوانين الشرعيّة وليدة مقنّن حكيم عالم محيط ممثّل الكمال المطلق، بل مبدأ 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ما يترشح عن مبدأ الكمال لا يمكن أن يكون ناقصا، لمنافات ذلك لكماله و حكمته مع إحاطته بكلّ ما في متعلق أحكامه و موضوعاته، و ما تشريع الأديان إلّا لسدّ كلّ ما يفتقر إليه المكلّف في مقام العمل، و جميع ما يحتاج إليه ليومه و غده مؤطّر بإطار هذه القوانين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التغيير 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كاشفا عن نقصان و قصور المقنّن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 بل حاك عن جهله و عدم إحاطته، لما يلزم أنّ المشرّع بعد صدور حكمه و إجراء قانونه قد أدرك عدم تطابق ذلك الحكم مع متطلّبات الإنسان و احتياجاته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بتقنينه القانون الجديد يحاول سدّ النقص الحاصل الذي جاءه في ما قرّره في قانونه 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هذا من الوضوح بمكان، إذ لا يتلائم مع أساس التشريع و مقرّراته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وقوع مثل هذا طبيعى جدّا في القوانين الوضعيّة، و التشريعات البشريّة التي تكون تابعة إلى تكامل ذلك القانون و المجتمع و رقيّه، إذ عند ما يشعر المجتمع بأنّ القانون الحاكم غير واف بما يحتاجه، و لا يحلّ مشاكله الفرديّة أو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 لرفع النقصان و تكميله بوضع قانون جديد ينسخ ما سلفه أو يسدّ نقيصته، و يرفع قصوره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يتصور للزمان و المكان دور بشكل مطلق بهذا المعنى في مسير</w:t>
      </w:r>
    </w:p>
    <w:p>
      <w:pPr>
        <w:pStyle w:val="BookText"/>
        <w:rPr/>
      </w:pPr>
      <w:r>
        <w:rPr>
          <w:rFonts w:ascii="Amiri" w:hAnsi="Amiri" w:eastAsia="Amiri" w:cs="Amiri"/>
          <w:color w:val="111111"/>
          <w:sz w:val="28"/>
          <w:sz w:val="28"/>
          <w:szCs w:val="28"/>
          <w:rtl w:val="true"/>
          <w:lang w:bidi="ar-SA"/>
        </w:rPr>
        <w:t>التشريع الإلهيّ الخارج عن قيد الزمان و المكان، و المتحرّر من ملابساتهما، لما نعتقده و ندين به من كمال الشارع و حكمته، و عدم نقصان الشريعة و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نقرّ وجود دور للزمان و المكان في رفع بعض الاحتياجات الوليدة من متطلّبات الزمن قد أحدثتها الحاجة، و أولدتها الأيّام، و هي تتفاوت عمّا كانت عليه سابقا لوجود حوادث محدثة تقتضي أحكاما جديدة لم تكن من ذي قبل، و لذا تفتقر إلى تعيين الحكم من طرف الشارع و الأخذ بنظره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التلوّن و التصادم ليس بمعنى أنّ ما يحتاجه البشر من الامور الثابتة الأوّليّة و الفطريّة التي لها أحكامها الثابتة و المنصوصة أن تتبدّل بتبدّل المكان أو أن تتغيّر بتوارد الأزمان، إذ لا أثر لذا و لا ذا، بل لا تتغيّر و لا تتبدّل بحال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هذه الامور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قابلة للتبدّل و التغيير، و الإنسان في مسيرته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منها، إذ أنّ من الطبيعى عدم إمكان قبول التغيير لمثل هذه الأحكام النابعة لتأمين الاحتياجات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احتياجات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واقعها موصلة مكمّلة للحوائج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تتغيّر في نفسها، و من الواضح أنّ الأحكام الواردة في مثل هذه الموارد قابلة للتغيير و التبدّل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فإنّا نظنّ أنّه قد أصبح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الوجيزة المجملة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جذور أكثر المنازعات و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 الزمان و المكان و عدمه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الفرعيّة و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نزاع لفظي بحت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تشدّق به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 جديدا أبدا، بحيث لم يلتفت إليه الماضون، أو عجز عنه الفقهاء السابقون، أو يعدّ مشكلة عويصة</w:t>
      </w:r>
    </w:p>
    <w:p>
      <w:pPr>
        <w:pStyle w:val="BookText"/>
        <w:rPr/>
      </w:pPr>
      <w:r>
        <w:rPr>
          <w:rFonts w:ascii="Amiri" w:hAnsi="Amiri" w:eastAsia="Amiri" w:cs="Amiri"/>
          <w:color w:val="111111"/>
          <w:sz w:val="28"/>
          <w:sz w:val="28"/>
          <w:szCs w:val="28"/>
          <w:rtl w:val="true"/>
          <w:lang w:bidi="ar-SA"/>
        </w:rPr>
        <w:t>لم يدركها المتقدّمون، كما حسبها البعض؛ إذ مثل هذه التحوّلات و التغييرات في الامور الممكنة و اليوميّة طبيعيّة دارجة، و مسألة واضحة بديهيّة، و بها تتغيّر الأحكام الشرعيّة الفرعيّة لا الأوّليّة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كثيرا ما يكون الفقهاء في معرض أمثال هذه الامور التي أقرّوها و أعطوها الأحكام الكافية الدقيقة مستندين فيها إلى ما لهم من إحاطة بالقواعد الفقهيّة المقرّرة الثابتة عندهم، و لعلّ من هذا ما سنوافيك به ممّا يعبّرون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نعرف متفقّها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لنفسه أن يغيّر الأحكام الأوّليّة مع فرض بقاء موضوعاتها و مباديها الأساسيّة، إذ ذاك تشريع لا يستسيغه من له أدنى إحاطة بالفقه، و لا يجيزه من له تقوى عمليّة في مقام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من المناسب التعرّض لبعض تلك القواعد التي أشرنا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الموضوع؛ إذ ذهب علماء الاصول إلى أنّ وضع الأحكام الشرعيّة و جعلها من قبيل القضايا الحقيقيّة لا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المقنّن عند ما قنّن و أقرّ الحكم لاحظ طبيعة الموضوع و وضع بإزائه قانونا له، و كلّ فرد كان مصداقا لذلك الكلّي الطبيعي؛ يكون محكوما بذلك الحكم المحفوظ موضوعه، فيستحيل في مقام الجعل و التقنين أن يجعل الشارع المقدّس حكمين لمعنون و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صادفنا نادرا مثل هذه الموارد في مصادر الأحكام لعدّ ذلك من باب تعارض الأدلّة التي يلتجأ فيها غالبا إلى المعالجة و التصحيح بواسطة الأدلّة العلاجيّة المقرّرة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الموضوع بنحو القضايا الخارجيّة فلا يستحيل تقنين أحكام متضادة أو متناقضة على عنوان واحد باعتبارات مختلفة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لتقريب الموضوع نومي إلى بعض الأمثلة، حيث عند ما نجد حكم الشارع</w:t>
      </w:r>
      <w:bookmarkStart w:id="19" w:name="pg2470_12258"/>
    </w:p>
    <w:p>
      <w:pPr>
        <w:pStyle w:val="BookText"/>
        <w:rPr/>
      </w:pPr>
      <w:bookmarkEnd w:id="19"/>
      <w:r>
        <w:rPr>
          <w:rFonts w:ascii="Amiri" w:hAnsi="Amiri" w:eastAsia="Amiri" w:cs="Amiri"/>
          <w:color w:val="111111"/>
          <w:sz w:val="28"/>
          <w:sz w:val="28"/>
          <w:szCs w:val="28"/>
          <w:rtl w:val="true"/>
          <w:lang w:bidi="ar-SA"/>
        </w:rPr>
        <w:t xml:space="preserve">المقدّس بأنّ الخمر حرام، أو لحم الغنم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المائع الخمري أو طبيعة لحم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دام هذان العنوانان الكلّيان منطبقان على كل مصداق تترتّب عليه نفس الأحكام بلا فرق، و لا يمكن مع حفظ هذا العنوان ترتيب حكم اخر عليه مناقض للحكم الأوّل،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غنم البلد الفلاني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قضيّة خارجيّة، و إن قلنا بحرمة أغنام بلدة اخرى، فهو غير ناف للحكم الأوّل، نعم في مثل هذه القضيّة الحقيقيّة لو تبدّل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صار المائع الخمري مثلا بعد ذهاب ثلثيه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حكمه الأوّلي لتبدّل الموضوع، و لا ريب أنّ هناك عوامل عديدة في تبدّل التكليف بالنسبة إلى الموضوعات المختلفة، نذكر بعضا منها</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3601280_3804643083"/>
      <w:bookmarkStart w:id="21" w:name="_Toc8"/>
      <w:bookmarkEnd w:id="20"/>
      <w:r>
        <w:rPr>
          <w:rtl w:val="true"/>
        </w:rPr>
        <w:t>أ</w:t>
      </w:r>
      <w:r>
        <w:rPr>
          <w:rtl w:val="true"/>
        </w:rPr>
        <w:t xml:space="preserve">: </w:t>
      </w:r>
      <w:r>
        <w:rPr>
          <w:rtl w:val="true"/>
        </w:rPr>
        <w:t>العرف؛</w:t>
      </w:r>
      <w:bookmarkEnd w:id="21"/>
    </w:p>
    <w:p>
      <w:pPr>
        <w:pStyle w:val="BookText"/>
        <w:rPr/>
      </w:pPr>
      <w:r>
        <w:rPr>
          <w:rFonts w:ascii="Amiri" w:hAnsi="Amiri" w:eastAsia="Amiri" w:cs="Amiri"/>
          <w:color w:val="111111"/>
          <w:sz w:val="28"/>
          <w:sz w:val="28"/>
          <w:szCs w:val="28"/>
          <w:rtl w:val="true"/>
          <w:lang w:bidi="ar-SA"/>
        </w:rPr>
        <w:t>قد علم ممّا سلف بيانه أنّ التكاليف التي خاطب بها الشارع المقدّس الناس أراد بها عموم المكلّفين و عامّة الناس، و أوكل تشخيص الموضوعات إليهم إلّا في المواضيع المستنبطة، فلو تغيّر موضوع حكم في نظر العرف؛ بأن شهد العرف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العنوان لا ينطبق اليوم على هذا المصداق، فلا يشمله حكمه المذكور طبعا، كما لا يكون حكم الشارع المقدّس ناظرا إليه؛ فمثلا حكم حرمة التعامل بالدم عند قدماء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بكونه نجسا، و النجس مسلوب المنفعة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كذلك لا يجوز التعامل عليه بلا كلام و لذا حكموا بما 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فإنّ العرف لا يرى ذلك، بل عنده إنّ الدم له منفعة و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جملة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حيث إنّ الموضوع قد تبدّل هنا حتما في نظر العرف، فلا وجه لترتّب حكم الحرمة عليه جزما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الثلج؛ حيث إنّ بيعه في غالب نقاط العالم أمر متعارف معقول، و متاع يدفع بإزائه ثمن و عرض، كما و تترتّب عليه منفعة و فائدة، و لكن</w:t>
      </w:r>
      <w:bookmarkStart w:id="22" w:name="pg2470_12259"/>
    </w:p>
    <w:p>
      <w:pPr>
        <w:pStyle w:val="BookText"/>
        <w:rPr/>
      </w:pPr>
      <w:bookmarkEnd w:id="22"/>
      <w:r>
        <w:rPr>
          <w:rFonts w:ascii="Amiri" w:hAnsi="Amiri" w:eastAsia="Amiri" w:cs="Amiri"/>
          <w:color w:val="111111"/>
          <w:sz w:val="28"/>
          <w:sz w:val="28"/>
          <w:szCs w:val="28"/>
          <w:rtl w:val="true"/>
          <w:lang w:bidi="ar-SA"/>
        </w:rPr>
        <w:t>مثل هذا التعامل في القطبين غير معقول و لا فائدة فيه، بل لا وجه للتعامل عليه، و لذا يحكم عليه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هذا التعامل على الماء القليل عند النهر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هذا أنّ الزمان و كذا المكان لهما دور مهمّ في نتيجة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إنّ هذا ليس بشي‌ء جديد، و لا موضوع بكر، بل كان دوما مورد بحث و نقاش في الموسوعات الفقهيّة لأعلامنا و فقهائنا رحمهم اللّه</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3601282_3804643083"/>
      <w:bookmarkStart w:id="24" w:name="_Toc9"/>
      <w:bookmarkEnd w:id="23"/>
      <w:r>
        <w:rPr>
          <w:rtl w:val="true"/>
        </w:rPr>
        <w:t>ب</w:t>
      </w:r>
      <w:r>
        <w:rPr>
          <w:rtl w:val="true"/>
        </w:rPr>
        <w:t xml:space="preserve">: </w:t>
      </w:r>
      <w:r>
        <w:rPr>
          <w:rtl w:val="true"/>
        </w:rPr>
        <w:t>قاعدة التزاحم؛</w:t>
      </w:r>
      <w:bookmarkEnd w:id="24"/>
    </w:p>
    <w:p>
      <w:pPr>
        <w:pStyle w:val="BookText"/>
        <w:rPr/>
      </w:pPr>
      <w:r>
        <w:rPr>
          <w:rFonts w:ascii="Amiri" w:hAnsi="Amiri" w:eastAsia="Amiri" w:cs="Amiri"/>
          <w:color w:val="111111"/>
          <w:sz w:val="28"/>
          <w:sz w:val="28"/>
          <w:szCs w:val="28"/>
          <w:rtl w:val="true"/>
          <w:lang w:bidi="ar-SA"/>
        </w:rPr>
        <w:t>و مدلولها ما لو كان ثمّة تزاحم و تمانع في مقام الامتثال لحكمين بالنسبة إلى موضوعين غير مرتبطين مع البعض، فبحكم القواعد العقليّة في تقديم الأهمّ على المهمّ، و ترك المهمّ بالنسبة إلى الموضوع الأهمّ يصبح ذاك فعليا، و من الطبيعى إنّ الزمان و المكان في أمثال هذه الموارد لهما دور مهمّ في تعيين الوظيفة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غالبا ما يمثّل لمثل هذه الموارد بإنقاذ الغريق الواجب شرعا الملازم للاجتياز بالأراضي المغصوبة المحرّمة قطعا، حيث هما موضوعان مستقلّان لا ربط لأحدهما بالآخر، و مع اجتماعهما في مورد خاصّ يتوقّف الإتيان بأحدهما على الأخذ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هما موضوعان كلّ واحد منهما له حكمه الخاصّ، و هو يضادّ الآخر، و قد اجتمعا و كانا سبب حرج للمكلّف و إشكال في مقام الأداء و التنفيذ؛ فالعقل يحكم هنا بإلزام المكلّف بالإتيان بالأهمّ منهما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يرى العقل لزوم حفظ الإنسان و نجاته و إنقاذ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يقدّمه على حرمة الدخول في ملك الغير و التصرّف 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القاعدة تحلّ لنا كثيرا من المشاكل المعاصرة، مثل علاج المريض بواسطة لمس الأجنبي أو الأجنبيّة مع فرض الانحصار، أو تشريح جنازة الميّت مع</w:t>
      </w:r>
      <w:bookmarkStart w:id="25" w:name="pg2470_12260"/>
    </w:p>
    <w:p>
      <w:pPr>
        <w:pStyle w:val="BookText"/>
        <w:rPr/>
      </w:pPr>
      <w:bookmarkEnd w:id="25"/>
      <w:r>
        <w:rPr>
          <w:rFonts w:ascii="Amiri" w:hAnsi="Amiri" w:eastAsia="Amiri" w:cs="Amiri"/>
          <w:color w:val="111111"/>
          <w:sz w:val="28"/>
          <w:sz w:val="28"/>
          <w:szCs w:val="28"/>
          <w:rtl w:val="true"/>
          <w:lang w:bidi="ar-SA"/>
        </w:rPr>
        <w:t xml:space="preserve">فرض عدم وجود جنازة اخرى لغير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جدّا، إذ بعد تشخيصنا للأهمّ و المهمّ يسهل الحكم عند ذاك</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3601284_3804643083"/>
      <w:bookmarkStart w:id="27" w:name="_Toc10"/>
      <w:bookmarkEnd w:id="26"/>
      <w:r>
        <w:rPr>
          <w:rtl w:val="true"/>
        </w:rPr>
        <w:t>ج</w:t>
      </w:r>
      <w:r>
        <w:rPr>
          <w:rtl w:val="true"/>
        </w:rPr>
        <w:t xml:space="preserve">: </w:t>
      </w:r>
      <w:r>
        <w:rPr>
          <w:rtl w:val="true"/>
        </w:rPr>
        <w:t>القواعد الثانويّة؛</w:t>
      </w:r>
      <w:bookmarkEnd w:id="27"/>
    </w:p>
    <w:p>
      <w:pPr>
        <w:pStyle w:val="BookText"/>
        <w:rPr/>
      </w:pPr>
      <w:r>
        <w:rPr>
          <w:rFonts w:ascii="Amiri" w:hAnsi="Amiri" w:eastAsia="Amiri" w:cs="Amiri"/>
          <w:color w:val="111111"/>
          <w:sz w:val="28"/>
          <w:sz w:val="28"/>
          <w:szCs w:val="28"/>
          <w:rtl w:val="true"/>
          <w:lang w:bidi="ar-SA"/>
        </w:rPr>
        <w:t>نظير قاعدة لا ضرر، و قاعدة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الامور التي يمكن أن يكون لهما دور مهمّ في تشخيص ما للمكلّف من حكم بمقتضى الزمان و المكان على ما هناك من اختلاف في كيفيّة جمع هذه القواعد مع الأدلّة الأوّليّة للأحكام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تقديم مفادّ هذه القواعد، و هي تشمل سعة المعاملات و العبادات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ألزمنا الشارع المقدّس بحكم دليل وجوب الصلاة أو الصيام على تحصيل الطهارة المائيّة أو صيام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يصحّ فيما لو لم يلزم من الإتيان به ضررا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لزم من أيّ حكم من هذه الأحكام ضررا عليه لزم رفعه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مفادّ هذه القاعدة نفي كلّ قانون في الشرع يلزم من جعله و تقنينه أو متعلقه ضررا أو حرجا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الألفاظ الموضوعة للمفاهيم الواقعيّة، و المخاطب فيها هو شخص المكلّف الذي يتضرّر من ناحية الحكم، فعليه كلّ مكلّف لو كان في شرائط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أو 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اقتضى كلّ واحد من هذه ورود ضرر عليه، كان ذلك الحكم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يحلّ لنا كثيرا من المشاكل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ملاكات الأحكام؛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 علماء الإماميّة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للأشاعرة ذهبوا إلى أنّ الأحكام الشرعيّة تابعة للملاكات و المناطات الواقعيّة و نفس الأمريّة، و لا يمكن للشارع المقدّس أن يقرّ حكما لموضوع بدون ملاك واقعيّ له، لما</w:t>
      </w:r>
    </w:p>
    <w:p>
      <w:pPr>
        <w:pStyle w:val="BookText"/>
        <w:rPr/>
      </w:pPr>
      <w:r>
        <w:rPr>
          <w:rFonts w:ascii="Amiri" w:hAnsi="Amiri" w:eastAsia="Amiri" w:cs="Amiri"/>
          <w:color w:val="111111"/>
          <w:sz w:val="28"/>
          <w:sz w:val="28"/>
          <w:szCs w:val="28"/>
          <w:rtl w:val="true"/>
          <w:lang w:bidi="ar-SA"/>
        </w:rPr>
        <w:t>يلزم من قبول هذا الأمر من إنكار لحقائق الأشياء، و تسليم التغيّر في الحقيقة الثابتة، مع أنّ الواقع الخارجي للأشياء يمكن أن يكون معرضا للحوادث الزمانيّة و المكانيّة و يتغيّر بخلاف حقيقة الأشياء و 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السرقة و التصرّف في مال الغير بدون رضاه مذموم و قبيح على أيّ حال، و في كلّ زمان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القبيح الذاتيّ محكوما بالحكم الشرعيّ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وصل المجتهد بالطرق المقرّرة إلى الحكم الواقعيّ للشارع المقدّس كان مصيبا، و لو اشتبه كان مخطئا؛ لأنّ حقيقة الحكم الإلهيّ لا تتغيّر بحسب فتواه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مصيب على كلّ حال، و إنّ فتواه و حكمه حكم القانون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أفتى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فالمجتهد عند الإماميّة مستنبط و كاشف لا مشرّع و مقنّن، و هو يمكن أن يصل إلى واقع حكم اللّه تعالى و قد يخطئ، كلّ ذاك خلافا لما ذهب إليه الأشاعرة من القول بكون المجتهد على كلّ حال مصيبا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حكمه هو الحكم الواقعيّ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 من جهة اخرى ذهبوا إلى أنّ الحسن ما حسّنه الشارع و القبيح ما قبّحه، ففي الواقع قد جوّزوا أن يكون الموضوع الواحد له عدّة أحكام في ان واحد بحسب تعدّد الفتوى عليه، و كلّها صحيحة و مصابة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يخالف بداهة العقل و ما أقرّته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ثبوت الشرائع الإلهيّة أساسا موقوف على قبول الحسن و القبح الواقعيّ الذاتيّ للأشياء، و إلّا فإذا كان ثبوت الشريعة مستندا إلى الطرق الشرعيّة فما هو البرهان على وجوب قبول ذلك الطريق فلا بدّ أن يكون ذلك الطريق منتهيا إلى مستند عقليّ حذرا من التسلسل إلى غير النهاية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فيلزم قبول أنّ أساس جعل الشرائع الإلهيّة و الأحكام الشرعيّة</w:t>
      </w:r>
    </w:p>
    <w:p>
      <w:pPr>
        <w:pStyle w:val="BookText"/>
        <w:rPr/>
      </w:pPr>
      <w:r>
        <w:rPr>
          <w:rFonts w:ascii="Amiri" w:hAnsi="Amiri" w:eastAsia="Amiri" w:cs="Amiri"/>
          <w:color w:val="111111"/>
          <w:sz w:val="28"/>
          <w:sz w:val="28"/>
          <w:szCs w:val="28"/>
          <w:rtl w:val="true"/>
          <w:lang w:bidi="ar-SA"/>
        </w:rPr>
        <w:t>تابع للملاكات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لذلك أنّ ما قرّرناه قد تضافرت عليه الأحاديث و جاء فيها بألسنة متعدّدة، نظير ما نقله الشيخ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إنّ أبا الحسن عليّ بن موسى الرضا عليه السّلام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هذا الكتاب جواب كتابه إليه يسأله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كتابك تذكر أنّ بعض أهل القبلة يزعم أنّ اللّه تبارك و تعالى لم يحلّ شيئا و لم يحرّمه لعلّة أكثر من التعبّد لعباده بذلك، قد ضلّ من قال ذلك ضلالا بعيدا و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كلّ ما أحلّ اللّه تبارك و تعالى ففيه صلاح العباد و بقاؤهم، و لهم إليه الحاجة التي لا يستغنون عنها، و وجدنا المحرّم من الأشياء لا حاجة بالعباد إليه، و وجدناه مفسدا داعيا إلى الفناء و الهلاك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ثبت أنّ الأحكام الشرعيّة لها مناطاتها الخاصّة و ملاكاتها الواقعيّة، و كذا ظهر بطلان ما ذهب إليه الأشاعرة و من تبعهم، فلنسأل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لشخص أن يدّعي أنّه يمكنه إدراك ملاكات و مناطات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شكّ أنّ كلّما ذكر الشارع المقدّس حكما معلّلا بذكر دليله و فلسفته، صحّ تعميم الحكم إلى الموارد الاخرى المشتملة للمناط له، إذ مع لحاظ وجود المناط في موضوع اخر لزم سراية الحكم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جاءت هذه العلّة في موضوع اخر غير الخمر ترتّب عليه حكم حرمة الشرب، لاستحالة انفكاك الأحكام عن ملاكاتها الواقعيّة، مثل ما جاء في رواية عن أمير المؤمنين عليه السّلام أنّه سئل عن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صلّى اللّه عليه و آله و سلم ذلك و الدين قلّ، و أمّا الآن و قد اتّسع نطاقه</w:t>
      </w:r>
    </w:p>
    <w:p>
      <w:pPr>
        <w:pStyle w:val="BookText"/>
        <w:rPr/>
      </w:pPr>
      <w:r>
        <w:rPr>
          <w:rFonts w:ascii="IRNazanin" w:hAnsi="IRNazanin" w:eastAsia="IRNazanin"/>
          <w:color w:val="111111"/>
          <w:sz w:val="28"/>
          <w:sz w:val="28"/>
          <w:szCs w:val="28"/>
          <w:rtl w:val="true"/>
          <w:lang w:bidi="fa-IR"/>
        </w:rPr>
        <w:t>و ضرب بجرانه فامرؤ و ما اختار</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نصّ عليه السّلام أنّ علّة وجوب أو استحباب الخضاب في عصر الضعف و قلّة المسلمين، أمّا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زاد عددهم و قلّ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معارضة لهم مع الكفّار، فلا دليل على لزوم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للحوادث الطارئة على المكان و الزمان أن يكون لها دور في تعيين الحكم و تأثيره و التأثّر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أحد الطرق النافعة في يومنا هذا لحلّ جملة من المشاكل و المسائل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في كون هذا الحكم مربوطا بالامور العباديّة، أو الأعمّ منها و من المعاملات، و كذا الأحكام الشخصيّة أو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الوحيد رحمه اللّه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القياس المنصوص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المنصوص العلّة حجّة مطلقا لفهم العرف و كون البناء في الأخبار على محاورات العرف و تفاهمهم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المحقّقين بحجّية ما هو بمنزلته مثل الحكم بعدم الاعتناء بحال كثير الشكّ في الوضوء و غيره من الواجبات، بسبب ما ورد عنهم عليهم السّلام في حكم كثير الشكّ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هذا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أنّه حجّة إذا كان بحيث يفهمه أهل العرف، أو يكون المناط منقّحا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يستفاد من هذا بوضوح أنّ إحراز مناط حكم في موضوع قابل للسراية إلى موضوع اخر، سواء كان الموضوع عباديّا أم غيره، و لإحراز كشف</w:t>
      </w:r>
    </w:p>
    <w:p>
      <w:pPr>
        <w:pStyle w:val="BookText"/>
        <w:rPr/>
      </w:pPr>
      <w:r>
        <w:rPr>
          <w:rFonts w:ascii="Amiri" w:hAnsi="Amiri" w:eastAsia="Amiri" w:cs="Amiri"/>
          <w:color w:val="111111"/>
          <w:sz w:val="28"/>
          <w:sz w:val="28"/>
          <w:szCs w:val="28"/>
          <w:rtl w:val="true"/>
          <w:lang w:bidi="ar-SA"/>
        </w:rPr>
        <w:t>المناط لا ريب في كون العوامل الزمانيّة و المكانيّة دخيلة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إحراز المناط المنصوص و تعميمه و تسريته أمر متّفق عليه، و لكنّ البحث في أنّه في موضوع لم ينصّ الشارع فيه على ملاك أو مناط، بل جعل الحكم بما أنّه شارع و مقنّن فقط، ففي مثل هذا هل يمكن ادّعاء مناط يكون ذاك موجبا لسريان الحكم إلى سائر الموارد أم لا؟ أو يدّعى إنّ ذلك المناط المنصوص لا ينطبق اليوم لما حكم الشارع به، و عليه فلا حكم له و يكون بذلك منتفيا أم لا؟</w:t>
      </w:r>
    </w:p>
    <w:p>
      <w:pPr>
        <w:pStyle w:val="BookText"/>
        <w:rPr/>
      </w:pPr>
      <w:r>
        <w:rPr>
          <w:rFonts w:ascii="Amiri" w:hAnsi="Amiri" w:eastAsia="Amiri" w:cs="Amiri"/>
          <w:color w:val="111111"/>
          <w:sz w:val="28"/>
          <w:sz w:val="28"/>
          <w:szCs w:val="28"/>
          <w:rtl w:val="true"/>
          <w:lang w:bidi="ar-SA"/>
        </w:rPr>
        <w:t>الحقّ فيه أنّ العقول البشريّة عاجزة بل قاصرة عن الإحاطة بتمام مناطات الأحكام، و لا تجد من يدّعي جزما أو يقطع في مورد أنّ ملاك الحكم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إيجابيّا أو تحريميّا، بل حتّى الاستحبابي و الكراهتي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بنفس الفلسفة و العلّة التي أدركتها أنا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تلك الحال كما يحتمل فيها أنّ ملاك الحكم فيه هو ذاك كذا قد يكون هناك احتمال اخر قد غفل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يمكن الجزم بذلك، و لا يكون كلّ ما حكم به الشرع يجب أن يحكم به العقل، و ما لم يحكم لا يعدّ حكما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معنى هذه العبارة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الشرع 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الأحكام الشرعيّة بشكل بحيث أنّ لها أسرار و رموز لو بيّنات تلك الأسرار للعقل لأقرّ العقل ضرورة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التوجيه ليس إنكارا لقاعدة الملازمة، حيث هي ناظرة إلى الكشف القطعيّ و اليقينيّ الذي هو مقبول عقول جميع العقلاء، و لا يتردّد فيه العاقل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هذه الموارد تعدّ قاعدة الملازمة مقبولة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مجرد فرض؛ حيث إنّ طريق الكشف عن الواقع و الوصول إليه مسدود، و ما ورد في ذلك قليل، بل نادر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فما كان من الاستدلال مبنيّ على هذه القاعدة كان مردودا جزما</w:t>
      </w:r>
    </w:p>
    <w:p>
      <w:pPr>
        <w:pStyle w:val="BookText"/>
        <w:rPr/>
      </w:pPr>
      <w:r>
        <w:rPr>
          <w:rFonts w:ascii="IRNazanin" w:hAnsi="IRNazanin" w:eastAsia="IRNazanin"/>
          <w:color w:val="111111"/>
          <w:sz w:val="28"/>
          <w:sz w:val="28"/>
          <w:szCs w:val="28"/>
          <w:rtl w:val="true"/>
          <w:lang w:bidi="fa-IR"/>
        </w:rPr>
        <w:t>و مرفوضا حتما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التأمل في هذه الرواية الصحيحة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إصبعا من أصابع المرأة، كم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أربعا؟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يقطع ثلاثا فيكون عليه ثلاثون، و 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يبلغنا و نحن بالعراق فنبرأ ممّن قاله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جاء به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حكم رسول اللّه صلّى اللّه عليه و آله و سلم إنّ المرأة تقابل الرجل إلى ثلث الدية، فإذا بلغت الثلث رجعت إلى النصف،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أخذتني بالقياس، و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كاف في المقام، حيث إنّها صريحة في أنّ الإمام الصادق عليه السّلام قد صرّح في ذيلها أنّ تحليل المسائل الشرعيّة و تعليلها بهذا الشكل يوجب إبطال الشريعة و محقها، و الطريف أنّ صدر الرواية ناظر إلى بيان أمر طالما تشدّق به بعض المعاصرين في توحيد دية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استدلالات لإثبات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 بأدلّة مدّعاة لإثبات تشريعاته، كقوله بقضاء إطلاق أدلّة الدية و عدم الدليل على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إذ يكفيه للتقييد هذه الرواية الصحيحة الصريحة، فضلا عن ثلاثة عشر رواية اخرى أكثرها تامّة السند مدرجة في نفس هذا الباب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عنه دعواه أنّ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لَيْسَ بِظَلّٰامٍ لِلْعَبِيدِ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شي‌ء مضحك حقّا، إذ لو جرت عمومات القرآنيّة و اصبحت مستندا لمثل هذه الأحكام الشرعيّة لكان الأولى به أن يستدلّ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أنّه لو عدّ مثل هذا الحكم ظلما لكان قوله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22"/>
      </w:r>
      <w:r>
        <w:rPr>
          <w:rFonts w:ascii="Amiri" w:hAnsi="Amiri" w:eastAsia="Amiri" w:cs="Amiri"/>
          <w:color w:val="111111"/>
          <w:sz w:val="28"/>
          <w:sz w:val="28"/>
          <w:szCs w:val="28"/>
          <w:rtl w:val="true"/>
          <w:lang w:bidi="ar-SA"/>
        </w:rPr>
        <w:t>في باب الميراث ظلما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العمل في هذا الحال عند ما يتعارض عمومان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هنا أيضا بأنّ نفي الظلم في كلامه سبحانه و تعالى ليس بمعنى التساوي، حيث إنّ مقابل الظلم؛ العدل،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و تلقّاه الأصحاب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كلّ ذي حقّ حقّه، و من الواضح أنّ الدية من الحقوق المجعولة، و الجاعل بحسب المصلحة المخفيّة علينا قد جعل و قرّر حقّ المرأة بهذا الشكل، و لا يعدّ مثل هذا مصداقا للظلم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إنكار الروايات المستفيضة فيه بصرف توهّم معارضتها مع عموم الكتاب، إذ لا يوجب مثل ذاك أن يكون موردا للإعراض و الإسقاط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هذا، هل ياترى أنّ أخذ الدية دوما يعدّ ظلما للمرأة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يأخذ الرجل تمام الدية و المرأة نصف ما قرّر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يكون عكس ذلك؛ بأن تكون الدية المنتهية إلى القتل لورثة جميعهم رجال و المقتول امرأة، أو كلّهم نساء و المقتول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ذاك تكون الدية كلّها للنساء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أمثال هذه الدعاوي تسبّب الانحراف و الخروج عن اصول الشريعة، و أنّ صرف الحوادث الزمانيّة أو الخوف من طعن المخالفين لا يوجب تغيّر حكم اللّه سبحانه، أو إسقاط أحد طرق الاجتهاد المهمّة عندنا، أو أن تؤثّر في اسس طريقة استنباط الأحكام الشرعيّة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في طرق الاجتهاد؛ حيث أنّ مقتضيات الزمان أو المكان تلزمنا أن نجدّد النظر في المبادي الأوّليّة القطعيّة لاستنباط الأحكام، و نحدّد حجّية</w:t>
      </w:r>
    </w:p>
    <w:p>
      <w:pPr>
        <w:pStyle w:val="BookText"/>
        <w:rPr/>
      </w:pPr>
      <w:r>
        <w:rPr>
          <w:rFonts w:ascii="Amiri" w:hAnsi="Amiri" w:eastAsia="Amiri" w:cs="Amiri"/>
          <w:color w:val="111111"/>
          <w:sz w:val="28"/>
          <w:sz w:val="28"/>
          <w:szCs w:val="28"/>
          <w:rtl w:val="true"/>
          <w:lang w:bidi="ar-SA"/>
        </w:rPr>
        <w:t>القرآن الكريم، و السنّة الشريفة، و دليلي العقل و الإجماع و اعتبارها بزمان خاصّ و نتعبّد بذلك، و نتذرّع لذلك بكون السنّة المحمّديّة صلّى اللّه عليه و آله و سلم شريعة سهلة و سمحاء، و كلّما واجه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المكان أو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يوافقه، و لم يكن فيه من المرونة الكافية، و السهولة المطلوبة أوجب منّا الطعن في منبع الحكم و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نجعل بدلا من ذلك حكما يوافقها على أساس ما يرتضيه أو يقتضيه الزمان أو المكان و يوافقان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ياترى هذا هو المعنى المراد من تأثير الزمان و المكان في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المراد منها تأثير الحوادث الزمانيّة و المكانيّة و كذا الموضوعات المحدثة و المتجدّدة في أنّ الفقيه يستخرج الحكم الشرعي بما لديه من معايير علميّة و فنّيّة مع مقتضيات جديدة يواجه بها الموضوعات، و مع معرفته بتبدّل الموضوع و تغييره، أو كشف المناط و الملاك المنصوص على لسان الشارع، أو بتنقيح المناط القطعي مستندا فيه إلى العمومات و المطلقات و مستعينا بها و مطبقا لها على المصاديق، و إلّا للزم الهرج و المرج العلميّ في غير هذه الصورة، مع ما في ذاك من خروج قطعي عن القواعد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مستند هؤلاء إلّا مجموعة من الأدلّة 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التعبير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بمعنى السعي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قواعده المقرّرة، و اسلوبه الخاصّ لأخذ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مسلّم و مقبول عند علماء جميع الفنون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من استدل بمثل هذه السفاسف بالنسبة لجواز تأخير بلوغ البنت إلى ثلاثة عشر سنة، بذريعة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يسوغ لو سرقت هذه البنت المسكينة في سنة التاسع أن تقطع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إنّها تصوم طوال يوم صائف ذو أربعة عشر ساعة من الحرّ القارص؟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إنّها تبكّر إلى صلاة الصبح مع طفولتها؟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 عن أمثال هذه التوهمات المضحكة باستدلالات اخر</w:t>
      </w:r>
    </w:p>
    <w:p>
      <w:pPr>
        <w:pStyle w:val="BookText"/>
        <w:rPr/>
      </w:pPr>
      <w:r>
        <w:rPr>
          <w:rFonts w:ascii="Amiri" w:hAnsi="Amiri" w:eastAsia="Amiri" w:cs="Amiri"/>
          <w:color w:val="111111"/>
          <w:sz w:val="28"/>
          <w:sz w:val="28"/>
          <w:szCs w:val="28"/>
          <w:rtl w:val="true"/>
          <w:lang w:bidi="ar-SA"/>
        </w:rPr>
        <w:t xml:space="preserve">خطابيّة متشابهة لها بالاستفادة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نوع جنس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قابليّة توجّه الخطابات الإلهيّة في هذا السنّ المبكر، و هذا نوع امتياز للمرأة و منزلة لها لم يحظ بها الرجل، لا أنّه نوع كلفة و ثقل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لما كلّفها سبحانه و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لا نركز على هذه القابليّة الإلهيّة، و نسلبها هذه العناية الربانيّة بذريعة هذه السفسطات و التوهمات الخياليّة التي عدّوها أدلّة لجواز تأخير رشدها و بلوغها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أمثال هذه البراهين الخطابيّة لا يمكن الأخذ بها أو تكون بدليّة عن البراهين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الفقه فقط، بل في سائر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تنفع لإقناع بعض العوام و السذج، كما أنّ من البديهي أنّ مثل هذا يعدّ خروجا عن الطرق الفنّيّة و الأساليب العلميّة المتداولة عند الأعلام، و لا قيمة علميّة لها تذكر، و لا داعية ثمّة للعلماء للأخذ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هذه الامور الحديثة لا توجب أيّ توسعة و لا تضييق في منابع أدلّة الأحكام الأوّليّة، كما أنّها لا يمكنها أن تؤثّر أو أن تغيّر في متون الأدلّة الشرعيّة الأوّليّة، بمعنى أنّ الآية الفلانيّة، أو الرواية التالية كانت تفسّر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أو 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إلّا أنّ مدلولها اليوم أصبح بواسطة مرور الزمان قد 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لسان الأدلّة مشخّص في قالب لغة معيّنة ذا معان معلومة، و قواعد أدبيّة خاصّة، و هي لا تقبل أيّ تبدّل و لا تغيير و لا أثر لمرور الزمان و المكان عليها بحال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يمكن أن يقال مثل هذا مع أنّ لازمه هو قبول أنّ اللفظة الفلانيّة كان معناها سابقا كذا، أو صيغة الأمر و النهي في الجمل الكلاميّة كانت تدل على مفهوم في يوم ما خاصّ، أمّا الآن فبمرور الزمان و المكان أصبحت أمثال هذه المفردات و كذا التركيبات قد تغيّرت و تبدّلت و صار لها معاني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في مثل لغة العرب التي لها قواعدها الأدبيّة الفنيّة الدسمة الخاصّة، بحيث إنّها لكلّ حرف من</w:t>
      </w:r>
    </w:p>
    <w:p>
      <w:pPr>
        <w:pStyle w:val="BookText"/>
        <w:rPr/>
      </w:pPr>
      <w:r>
        <w:rPr>
          <w:rFonts w:ascii="Amiri" w:hAnsi="Amiri" w:eastAsia="Amiri" w:cs="Amiri"/>
          <w:color w:val="111111"/>
          <w:sz w:val="28"/>
          <w:sz w:val="28"/>
          <w:szCs w:val="28"/>
          <w:rtl w:val="true"/>
          <w:lang w:bidi="ar-SA"/>
        </w:rPr>
        <w:t>الحروف المستعملة، أو لكلّ مورد من موارد وقوع التراكيب الكلاميّة مدلول خاصّ كما هو ذو معان و مفاهيم خاصّة قد قرّرت و ثبتت عندهم لا يمكن أن تختلف أو تتخلّف بمرور الأيّام أو تغيير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نقرّ أنّ مرور الزمان و التطوّر العلميّ الحادث أوجب وضوح فهم كثير من الامور التي كانت غامضة يوما ما أو كانت مبهمة، من الآيات القرآنيّة، أو المتون الروائيّة، و كلّما تكاملت العلوم الجديدة برزت لنا أسرار أكثر و أكبر عن مفاهيم كنّا قد غفلنا عنها من ذي قبل، و لعل هذا سرّ كلام المعصوم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للقرآن ظهرا و بطنا، و لبطنه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سبعة أبطن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فيمكن القول بإمكان انطباق العمومات و الإطلاقات المزبورة الواردة في متون الأدلّة على المصاديق الحديثة في حالة إمكان انطباق و إحراز ذلك منها، و لا نحصر أنفسنا بعصر النصّ بما فيه من مصاديق خارجيّة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بالتمسّك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4"/>
      </w:r>
      <w:r>
        <w:rPr>
          <w:rFonts w:ascii="Amiri" w:hAnsi="Amiri" w:eastAsia="Amiri" w:cs="Amiri"/>
          <w:color w:val="111111"/>
          <w:sz w:val="28"/>
          <w:sz w:val="28"/>
          <w:szCs w:val="28"/>
          <w:rtl w:val="true"/>
          <w:lang w:bidi="ar-SA"/>
        </w:rPr>
        <w:t xml:space="preserve">، يمكن تصحيح و إمضاء عقود جديدة عقلائيّة كالتأمين مثلا، و بالاستناد إلى حَرَّمَ الرِّبٰا </w:t>
      </w:r>
      <w:r>
        <w:rPr>
          <w:rStyle w:val="FootnoteAnchor"/>
          <w:rtl w:val="true"/>
        </w:rPr>
        <w:footnoteReference w:id="25"/>
      </w:r>
      <w:r>
        <w:rPr>
          <w:rFonts w:ascii="Amiri" w:hAnsi="Amiri" w:eastAsia="Amiri" w:cs="Amiri"/>
          <w:color w:val="111111"/>
          <w:sz w:val="28"/>
          <w:sz w:val="28"/>
          <w:szCs w:val="28"/>
          <w:rtl w:val="true"/>
          <w:lang w:bidi="ar-SA"/>
        </w:rPr>
        <w:t xml:space="preserve">يمكن الحكم بصور جديدة مستنبطة للقروض الربويّة مثلا، إذ أنّ الالتزام بحصر المعاملات المتعارفة بما كان في عصر الصدور، و بما كان يوم ذاك من أعيان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عدم جواز التعامل على الأمتعة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يقرّ أحد، و لا يقول به ذو مسكة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لنرجع إلى ما كنّا عليه، و هو أنّه لا يمكن القول بحال من قبول أيّ تغيير أو تبديل في متون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التضييق فيها و لا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قبول مثل هذا المعنى مساوق للالتزام بالنقص في الشريعة الخاتمة، و القول بعدم إشباع الوحي</w:t>
      </w:r>
      <w:bookmarkStart w:id="28" w:name="pg2470_12270"/>
    </w:p>
    <w:p>
      <w:pPr>
        <w:pStyle w:val="BookText"/>
        <w:rPr/>
      </w:pPr>
      <w:bookmarkEnd w:id="28"/>
      <w:r>
        <w:rPr>
          <w:rFonts w:ascii="Amiri" w:hAnsi="Amiri" w:eastAsia="Amiri" w:cs="Amiri"/>
          <w:color w:val="111111"/>
          <w:sz w:val="28"/>
          <w:sz w:val="28"/>
          <w:szCs w:val="28"/>
          <w:rtl w:val="true"/>
          <w:lang w:bidi="ar-SA"/>
        </w:rPr>
        <w:t>الإلهي، و كلمات أهل بيت العصمة و الطهارة عليهم السّلام في تأمين مفتقرات البشر و حاجاته ممّا يلجئنا إلى الرجوع إلى البدع و التشريع و إدخال ما ليس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إنّ منابع الأحكام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تحوجنا و لا تفقرنا لمثل هذا بحال، إذ ليست هى قاصرة أو ناقصة، و لا أعلام فقهائنا رحمهم اللّه أظهروا العجز أو الاستئصال في الوصول إلى الأحكام الإلهيّة، بل هم في غنى عن كلّ ذاك باستنادهم إلى منابع الوحي، و أخذهم باطر القواعد العلميّة المسلّمة، و القوانين الفنّيّة المقبولة لحلّ ما يطرأ لهم من معضلات علميّة و مشكلات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أحسّ أحدهم بأحد الخطرين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التحجّر و الجمود، أو التحرّر و 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يخرجه عن القواعد العلميّة ممّا يوجب تحديد الفقه و القواعد الإلهيّة، كانت ليد السماء و العناية الربانيّة في أن تبعث في كلّ فترة فقيها دقيقا عالما متعمّقا لمواجهة أمثال أحد هذين الخطرين أو هما معا، و لعلّ من عمد من كان كذلك شيخنا المصنّف استاد الكلّ في الكلّ العلّامة المجدّد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كفاءة و جدارة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601286_3804643083"/>
      <w:bookmarkStart w:id="30" w:name="_Toc11"/>
      <w:bookmarkEnd w:id="29"/>
      <w:r>
        <w:rPr>
          <w:rtl w:val="true"/>
        </w:rPr>
        <w:t>الوحيد و مواجهته للانحراف في مسيرة الاستنباط الفقهي</w:t>
      </w:r>
      <w:bookmarkEnd w:id="30"/>
    </w:p>
    <w:p>
      <w:pPr>
        <w:pStyle w:val="Heading5"/>
        <w:numPr>
          <w:ilvl w:val="4"/>
          <w:numId w:val="1"/>
        </w:numPr>
        <w:rPr/>
      </w:pPr>
      <w:bookmarkStart w:id="31" w:name="__RefHeading___Toc3601288_3804643083"/>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إنّ هذا الاسم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مساعي مباركة و جهود جبّارة قام بها قبال الجمود الفكري لطائفة الأخباريّة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التفكّر المحظور الذي هيمن على الحوزات العلميّة الشيعيّة طوال قرن من الزمن تلاشى و انمحى ببزوغ نجم هذا الرجل العظيم في سماء الفقاهة و التفكّر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للتصلّب العلميّ و العمليّ للمرحوم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إرادته</w:t>
      </w:r>
    </w:p>
    <w:p>
      <w:pPr>
        <w:pStyle w:val="BookText"/>
        <w:rPr/>
      </w:pPr>
      <w:r>
        <w:rPr>
          <w:rFonts w:ascii="Amiri" w:hAnsi="Amiri" w:eastAsia="Amiri" w:cs="Amiri"/>
          <w:color w:val="111111"/>
          <w:sz w:val="28"/>
          <w:sz w:val="28"/>
          <w:szCs w:val="28"/>
          <w:rtl w:val="true"/>
          <w:lang w:bidi="ar-SA"/>
        </w:rPr>
        <w:t>الجبّارة أكبر الأثر في تبيين مفاسد القوم و زيفهم من جهة، و ضلال هذا الطريق و ضعفه من جهة اخرى، ممّا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اضمحلاله و افوله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ذاك الفقيد الفقيه الفذّ بما حواه من خزائن علميّة وافرة، و ما كان له من توفيق في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شهامة و قدرة علميّة و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ميادين التطاحن مع المدارس الانحرافيّة، بتشييده و إحيائه تلك المدرسة الفقهيّة الإماميّة التي تمتاز في قبال سائر المدارس بخصوصيّة التعقل و التفكّر، فكان ذاك انجرّ جميع المدارس المخالفة إلى الاضمحلال بل الزوال و الفناء تدريجا، بعد أن جدّد بناء مدرسة الاعتدال، و استحقّ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جدارة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 المذهب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فقد 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بتأليفه القيّمة الثمينة بعد أن حكّم لنا المباني الصحيحة و الأصليّة للاستنباط، وقف أمام كلّ الانحرافات و الإبداعات الضالّة و المضلّة، كما أنّه من جهة اخرى قد اهتمّ بشرح المتون الأوّليّة، و تحشية الاصول الفقهيّة التي أبقتها لنا الأيّام من مصنّفات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الملفت للنظر حقّا أنّه في الوقت الذي قد اشتهر بمواقفه الجادة و الحادة أمام المدّ الأخباري، و كان جديرا بها و موفّقا فيها، إذ قدّم بذلك خدمة للطائفة لا 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خدم بذلك المدرسة الفقهيّة الإماميّة في هذا الطريق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للتدريس طوال سنوات مديدة، و تربيته لجمع كبير من فحول الأعلام، و مباشرته تأليف كثير من المصنّفات التي لا زالت إلى يومنا هذا محطّ نظر الأعلام، و لم تبلها لنا الأيّام</w:t>
      </w:r>
      <w:r>
        <w:rPr>
          <w:rFonts w:eastAsia="Amiri" w:cs="Amiri" w:ascii="Amiri" w:hAnsi="Amiri"/>
          <w:color w:val="111111"/>
          <w:sz w:val="28"/>
          <w:szCs w:val="28"/>
          <w:rtl w:val="true"/>
          <w:lang w:bidi="ar-SA"/>
        </w:rPr>
        <w:t>.</w:t>
      </w:r>
      <w:bookmarkStart w:id="33" w:name="pg2470_12272"/>
    </w:p>
    <w:p>
      <w:pPr>
        <w:pStyle w:val="BookText"/>
        <w:rPr/>
      </w:pPr>
      <w:bookmarkEnd w:id="33"/>
      <w:r>
        <w:rPr>
          <w:rFonts w:ascii="Amiri" w:hAnsi="Amiri" w:eastAsia="Amiri" w:cs="Amiri"/>
          <w:color w:val="111111"/>
          <w:sz w:val="28"/>
          <w:sz w:val="28"/>
          <w:szCs w:val="28"/>
          <w:rtl w:val="true"/>
          <w:lang w:bidi="ar-SA"/>
        </w:rPr>
        <w:t xml:space="preserve">و من هذا القبيل سفره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كتابنا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منها نادر في بابه فريد في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الرجل العظيم كما كان له موقفه المعروف أمام التحجّر و الجمود و السذاجة العلميّة و الفكريّة، كذا كان له الحدّية و القاطعيّة مع كلّ من أبدع بالقول بالخروج إلى التحرّر عمّا كان عليه السلف الصالح من سنن و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قاوم أمام كلّ من يتجرّأ على مخالفة الموازين العلميّة الثابتة، و لذا فهو قد حكم على كلا الطريقين بالانحراف و الخروج عن الجادة، بل كان له موقفه الخاصّ أمام الطريق الأخير الذي يظهر من بعض كلمات المتأخّرين و المعاصرين له، و قد حاكم آراءهم و أظهر مختاره عليهم ضمن ما جاد به من حواش على مصنّفاتهم، و ما بيّنه من نقاط ضعف في أنظارهم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نماذجه الواضحة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فقد اعيد مجد الحوزات العلميّة من حين بزوغ نجم هذا العظيم و ظهوره، إذ كان هو منشأ لتربية ثلّة طاهرة من أبناء مكتب الاعتدال كانوا و لا زالوا إلى يومنا هذا قد حافظوا لنا ذاك الطريق بجهودهم، و ما أسّسوه لنا من قواعدهم و اصولهم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ساير بسيرته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فقد كان هناك خطران يهدّدان هذه المسيرة المباركة</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601290_3804643083"/>
      <w:bookmarkStart w:id="35" w:name="_Toc13"/>
      <w:bookmarkEnd w:id="34"/>
      <w:r>
        <w:rPr>
          <w:rtl w:val="true"/>
        </w:rPr>
        <w:t>الأوّل</w:t>
      </w:r>
      <w:r>
        <w:rPr>
          <w:rtl w:val="true"/>
        </w:rPr>
        <w:t xml:space="preserve">: </w:t>
      </w:r>
      <w:r>
        <w:rPr>
          <w:rtl w:val="true"/>
        </w:rPr>
        <w:t>طريقة الأخباريين</w:t>
      </w:r>
      <w:r>
        <w:rPr>
          <w:rtl w:val="true"/>
        </w:rPr>
        <w:t>:</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هم ضرورة الاجتهاد و لزوم الفحص في الأدلّة للوصول إلى حكم شرعي، بمعنى إنكارهم طريقة المجتهدين، إذ 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تبنّاه</w:t>
      </w:r>
      <w:bookmarkStart w:id="36" w:name="pg2470_12273"/>
    </w:p>
    <w:p>
      <w:pPr>
        <w:pStyle w:val="BookText"/>
        <w:rPr/>
      </w:pPr>
      <w:bookmarkEnd w:id="36"/>
      <w:r>
        <w:rPr>
          <w:rFonts w:ascii="Amiri" w:hAnsi="Amiri" w:eastAsia="Amiri" w:cs="Amiri"/>
          <w:color w:val="111111"/>
          <w:sz w:val="28"/>
          <w:sz w:val="28"/>
          <w:szCs w:val="28"/>
          <w:rtl w:val="true"/>
          <w:lang w:bidi="ar-SA"/>
        </w:rPr>
        <w:t>تدريجا جمع من أعلام الطائفة عدّ منهم الفيض الكاشاني رحمه اللّه، و كان لشيخنا الوحيد 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أحسّ بجدّية خطر هذا الطريق أن وقف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حول 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بتأليفه القيّمة سواء ما كان منها على نحو الكتاب المفصّل، أو الرسالة 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للردّ و قمع هذا النوع من التفكّر المنحرف و الطريقة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نماذجه المتداولة المعروفة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 و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الاصوليّة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يلمس أهل الفنّ و النظر خلال هاتيك المصنّفات استدلالات و براهين قويمة أصبحت اليوم عند المجتهدين بديهيّة و ضروريّة واضحة، و ما هذه البداهة و الضرورة اليوم إلّا نتيجة ما أبطله ذلك البطل من التفكّر الأخباري و ما كان لمساعيه و جهوده الجبّارة في تفتيت ذاك النوع من التحجّر، و لم يمنعه في هذا الطريق شي‌ء و قد بلغ من التوفيق ما لم يبلغه إلّا النادرين، إذ لم يبق من بعده من يحمل هذا الفكر الانحرافي من له شأن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نجد الكلّ يتبرّأ من بعد ذاك عن مثل هذا التفكّر، أو يقذف الآخرين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تصدّي جمع من عيون الطائفة، و بتبعهم من أصحاب التأليف للأخذ ببعض أفكار الأخباريّين، و عدّ مثل هذا خطر كبير على سلامة طريقة الاجتهاد و 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بادر للتحشية و الشرح و نقد مؤلّفاتهم و مصنّفاتهم</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3601292_3804643083"/>
      <w:bookmarkStart w:id="38" w:name="_Toc14"/>
      <w:bookmarkEnd w:id="37"/>
      <w:r>
        <w:rPr>
          <w:rtl w:val="true"/>
        </w:rPr>
        <w:t>الثانى</w:t>
      </w:r>
      <w:r>
        <w:rPr>
          <w:rtl w:val="true"/>
        </w:rPr>
        <w:t xml:space="preserve">: </w:t>
      </w:r>
      <w:r>
        <w:rPr>
          <w:rtl w:val="true"/>
        </w:rPr>
        <w:t>الخروج عن طريقة المجتهدين و ما تعارفوا عليه</w:t>
      </w:r>
      <w:r>
        <w:rPr>
          <w:rtl w:val="true"/>
        </w:rPr>
        <w:t>:</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 لما في هذه من الخطرات و الآفات الكثيرة التي أشرنا لبعضها سالفا، و المواجهة مع هذا الانحراف ممّا أخذه الوحيد رحمه اللّه على عهدته، و قاومه بشدّة في كتاباته، و أشار إليه في حواشيه التي أثبتها على المتون و مؤلّفات سالكي هذه الطريقة، بالنقد لهذا الطريق المحظور، و ذلك بألسنة متعدّدة، مع التنبيه على ما فيه</w:t>
      </w:r>
    </w:p>
    <w:p>
      <w:pPr>
        <w:pStyle w:val="BookText"/>
        <w:rPr/>
      </w:pPr>
      <w:r>
        <w:rPr>
          <w:rFonts w:ascii="Amiri" w:hAnsi="Amiri" w:eastAsia="Amiri" w:cs="Amiri"/>
          <w:color w:val="111111"/>
          <w:sz w:val="28"/>
          <w:sz w:val="28"/>
          <w:szCs w:val="28"/>
          <w:rtl w:val="true"/>
          <w:lang w:bidi="ar-SA"/>
        </w:rPr>
        <w:t>من الاشتباهات الكثيرة، و جذور الخطاء و الانحراف، و كذا التذكير بالنتائج المضرّة لأمثال هذه المسالك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هؤلاء الأعلام المرحوم المحقّق المقدّس الأردبيلى رحمه اللّه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حشّى شيخنا الوحيد رحمه اللّه على قسم المعاملات من كتابه ذاك بحواشي نقديّة، قد كان جارحا في بعضها، و نبّه على ما اشتبه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كلماته من خطرات و اشتباهات، و لوازم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نجد في مبحث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هل يسقط الخيار مع تصرّف المشتري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المرحوم الأردبيلي في مقام القول بعدم سقوط خيار الشرط بصرف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عدم الدليل أصلا على ما رأيناه على سقوط خيار الشرط بالتصرّف، مع ثبوته بالدليل اليقيني من الكتاب و السنّة و الإجماع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علّق المرحوم الوحيد البهبهانيّ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الرواية الواردة و قال إنّ جميع الأصحاب فهم سقوط الخيار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اطّلاعه على الدليل لا يقتضي عدمه، فإنّه رحمه اللّه في غالب المواضع يناقش و يقول كذلك، فلو صحّ مناقشاته لم يبق للشرع و الفقه أثر أصلا، و لم يوجد حكم شرعي إلّا في غاية الندرة، و أين هذا من الدين و الشريعة؟</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ذكره في باب مستثنيات حرمة أكل مال الغير؛ حيث حشّى كلام المحقّق الأردبيلي عند أخذه برواية صحيحة و إعراضه عن 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كلامهم إلى روايات صحاح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عضّد كلامه بدليل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الوحيد رحمه اللّه هنا</w:t>
      </w:r>
    </w:p>
    <w:p>
      <w:pPr>
        <w:pStyle w:val="BookText"/>
        <w:rPr/>
      </w:pPr>
      <w:r>
        <w:rPr>
          <w:rFonts w:ascii="Amiri" w:hAnsi="Amiri" w:eastAsia="Amiri" w:cs="Amiri"/>
          <w:color w:val="111111"/>
          <w:sz w:val="28"/>
          <w:sz w:val="28"/>
          <w:szCs w:val="28"/>
          <w:rtl w:val="true"/>
          <w:lang w:bidi="ar-SA"/>
        </w:rPr>
        <w:t>في مقام معاضدة المشهور و الدفاع عنه، و لزوم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يزيد قوّة ما ذكره و يشتدّ يصير منشئا لقوّة المعارض و فتاوي الفقهاء، لأنّهم الخبيرون الماهرون، يظهر أنّه ظهر عليهم قوّة مستند فتواهم إلى الحدّ الذي عدلوا عن حكم العقل و النقل المذكور و اتفقوا على خلافه، لوثوق تامّ خال عن التزلزل بالمرّة، حتّى أنّهم ما أمروا بالاحتياط أصلا، مع كونهم بحيث يحتاطون غالبا، بل و كليّا في مقام الخطر و الضرر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ثم عقّب بعد ذلك بسطور في إثبات حجّية أسانيد الروايات التي هي مستند المشهور،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جميع ما ذكر انجبرت بالشهرة بين الأصحاب، و الخبر المنجبر و إن كان ضعيفا، كما هو الحقّ المحقّق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 عند الفقهاء القدماء و المتأخّرين إلّا نادرا من متأخّرى المتأخّرين، لشبهة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 في موت الفقه، ألا ترى أنّ الشارح لا تكاد توجد مسألة فقهيّة خالية عن الاضطراب عنده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ترى أنّ هذا الفقيه المتعمّق يرى أنّ الفهم الإجماعي للأصحاب أو ما هو مشهور عند هؤلاء هو بحكم القاعدة، و لو أراد الفقيه أن يقف و يقاوم أمام كلّ ما ذهب إليه فقهاء السلف من الأدلّة لما بقي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أبدا، خاصّة مع وجود روايات بيّنة و واضحة الدلالة أمامه، و مع هذا فقد أعرضوا عنها و طرحوها، فيفيد أنّ إعراض المشهور عنده مهمّ جدّا، و عدم الاعتناء به و الفتوى بما أعرض عنه المشهور يوجب موت الفقه، و يعتقد أنّ سالك مثل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 إلى وادي المخالفة مع القواعد العلميّة، و حتّى البديهيّات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قد يلتجئ إلى إنكار حجّية الظواهر، أو الإغماض عن القواعد المعمولة في المرجّحات، أو أن يتمسّك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نصّ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يستنجد بالعقل في قبال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 هنا ملاحظة بعض الموارد؛ حيث إنّ المحقّق الأردبيلي رحمه اللّه قد صرّح في ذيل صحيحة أبي عبيدة الدالّة على جواز شراء الصدقات و الخراجات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يدلّ على جواز شراء الزكاة بعينها صريحا، نعم ظاهرها ذلك و لكن لا ينبغي الحمل عليه لمنافاته للعقل و النقل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المرحوم الوحيد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يكفي للاستدلال و لا يشترط الصراحة، و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بالظواهر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 كأنّه يريد أن يقول إنّ مثل هذه الطريقة مع النظر إلى الأدلّة ينتهي إلى إنكار حجّية الظهورات، مع أنّ مدار المستدل هو الأخذ بالظواهر، بل قد يوجب الغافلة عن نصوصيّة الدليل،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الظهور إنّما هو في صدر الحديث، و أمّا وسطه و ذيله فهما صريحان في غاية الصراحة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ثمّ حقّق و بحث في ادّعاء التنافي بين هذه الرواية مع الأدلّة العقليّة و النقليّة، و ذهب إلى أنّ المدّعي لم يشر إلى الدليل النقلي المنافي في المقام، لذا لم يكن قابلا للقبول، و العقل هنا لا يستطيع أن يكون له الحكم مع وجود النصّ الخاصّ</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يرجع إلى غمض العين عن قواعد باب التعادل و الترجيح، فنرى في موارد من كتاب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موثّقة قدّمت على الصحيحة، أو حسنة رجّحت على الصحيحة، مع أنّ مقتضى القاعدة في باب</w:t>
      </w:r>
    </w:p>
    <w:p>
      <w:pPr>
        <w:pStyle w:val="BookText"/>
        <w:rPr/>
      </w:pPr>
      <w:r>
        <w:rPr>
          <w:rFonts w:ascii="Amiri" w:hAnsi="Amiri" w:eastAsia="Amiri" w:cs="Amiri"/>
          <w:color w:val="111111"/>
          <w:sz w:val="28"/>
          <w:sz w:val="28"/>
          <w:szCs w:val="28"/>
          <w:rtl w:val="true"/>
          <w:lang w:bidi="ar-SA"/>
        </w:rPr>
        <w:t xml:space="preserve">التعارض هو تقديم ذو المزيّة و الأرجح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أمثال هذه الانحرافات الكثيرة ما يجده من يلاحظ حاشية الوحيد رحمه اللّه النقديّة، إذ يجد شواهد كثيرة لها، و لذا ترى شيخنا البهبهاني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كان يكنّه من احترام و تقديس للمقدّس الأردبيلي رحمه اللّه، كما صرّح بذلك في مقدّمته على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 على أنّ علّة تحشيته لهذا الكتاب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قد كبا جواده في بعض الميادين فأخذ يعترض على علمائنا الأساطين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غرضه من تدارك الأدلّة و التنبيه على غفلاته و شطحاته هو صون طلّاب العلم و من يأتى في المستقبل من بعده من سلوك أمثال هذه المسالك، و الأخذ بمثل هذه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بادر خلال مسيرته العلميّة إلى كتابة حاشية نقديّة اخرى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مؤلفه أحد خرّيجى مكتب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رحمه اللّه بنقد هذا الطريق و المسلك مع التنبيه إلى ما فيه من الزلّات و الاشتباهات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فصاحب المدارك قدّس سرّه في مقام الاستنباط لا يرى غير الكتاب و السنّة الصحيحة المسلّمة في كلّ مسيرته العلميّة، و هذا المسلك قد تجلّى بشكل أصبح مشكلة جديدة في الفقه يتنافى مع ما كان عليه الفقه السابق و يختلف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بادر المرحوم الوحيد رحمه اللّه في مقام ردّه و بيان خطره لهذه الطريقة فأعلن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فساد المناقشة لاقتضائها سدّ باب إثبات الفقه بالمرّة، إذ لا شبهة بأنّ عشر معشار الفقه لم يرد فيه حديث صحيح، و القدر الذي ورد فيه الصحيح لا</w:t>
      </w:r>
    </w:p>
    <w:p>
      <w:pPr>
        <w:pStyle w:val="BookText"/>
        <w:rPr/>
      </w:pPr>
      <w:r>
        <w:rPr>
          <w:rFonts w:ascii="Amiri" w:hAnsi="Amiri" w:eastAsia="Amiri" w:cs="Amiri"/>
          <w:color w:val="111111"/>
          <w:sz w:val="28"/>
          <w:sz w:val="28"/>
          <w:szCs w:val="28"/>
          <w:rtl w:val="true"/>
          <w:lang w:bidi="ar-SA"/>
        </w:rPr>
        <w:t xml:space="preserve">يخلو ذلك الصحيح من اختلالات كثيرة بحسب السند و بحسب المتن و بحسب الدلالة، و من جهة التعارض بينه و بين الصحيح الآخر، أو القرآن، أو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الفوائد و ظهر لك من التأمل فيها، و في الملحقات أيضا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العلاج كيف يجوز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لم يكن العلاج حجّة و كون العلاج هو الخبر الصحيح، أو مختصا به بديهي البطلان </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عمل الشيعة بأخبار غير العدول أضعاف عملهم بأخبار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الفقهاء في الأعصار و الأمصار كان كذلك إلى زمان صاحب المدارك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الأفكار التي كان يحملها بعض الأعلام التي كان يحسّ بخطرها شيخنا الوحيد رحمه اللّه هو ما جاء في مصنّفات المرحوم الفيض الكاشاني قدّس سرّه، حيث كان يعتقد المصنّف إنّ الفقه قد تأثّر بأفكار الأخباريّين من جهة، و من جهة اخرى تبعيّته إلى ما ذهب إليه الشهيد الثاني رحمه اللّه و صاحب المدارك رحمه اللّه من مبان، و هذا ما يظهر من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بعد أن ادّعى أنّه مورد عنايته سبحانه، و قد حصل على الطريق الواقعي للاستنباط؛ و إنّه يحمل أفكار الماضين من علماء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سوّغ له أن يتهجّم على الآخرين من الأعلام و قد اتّهمهم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يعرف الهرّ من البرّ، و هم الذين يأتون البيوت من ظهورها، فيدخل فيه من غير معرفة، بل على التخمين، أو الاقتفاء لآراء الماضين مع اختلافهم الشديد، و اعتراف أكثرهم بعدم جواز تقليد الميّت، و ألا قول للميّتين، و إن لم يأتوا في هذا بشي‌ء مبين، فهو في ريب من أمره و عوج، و في صدره من ذلك حرج، ألّا يقبل منه</w:t>
      </w:r>
    </w:p>
    <w:p>
      <w:pPr>
        <w:pStyle w:val="BookText"/>
        <w:rPr/>
      </w:pPr>
      <w:r>
        <w:rPr>
          <w:rFonts w:ascii="Amiri" w:hAnsi="Amiri" w:eastAsia="Amiri" w:cs="Amiri"/>
          <w:color w:val="111111"/>
          <w:sz w:val="28"/>
          <w:sz w:val="28"/>
          <w:szCs w:val="28"/>
          <w:rtl w:val="true"/>
          <w:lang w:bidi="ar-SA"/>
        </w:rPr>
        <w:t xml:space="preserve">صلاة و لا زكاة و لا صيام و لا حجّ، إذ العامل على غير بصيرة كالسائر على غير المنهج، لا يزداده كثرة السير إلّا بعدا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وفّقني اللّه سبحانه لاستنباط مفاتيح جملة من تلك الأبواب، من مآخذها المتينة و اصولها المحكمة، و هي محكمات كلام اللّه عزّ و جلّ، و كلام رسوله صلّى اللّه عليه و آله و سلم، و كلام أهل البيت عليهم السّلام، من غير تقليد لغيرهم و إن كان من الفحول، و لا اعتماد على ما يسمّى إجماعا و ليس بالمصطلح عليه في الاصول الراجع إلى كلام المعصوم من آل الرسول، و لا متابعة للشهرة من غير دليل، و لا بناء على اصول مبتدعة ليس إليها من الشرع سبيل، و لا جمود على الألفاظ بيد قصيرة، و لا عمل بقياسات عامية من غير بصيرة، بل بنور من اللّه سبحانه و هدى و رحمة، و له الحمد على هذه النعمة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طعنا منه بعلماء الطائفة و أكابر الفقه و أساطينه باتّهامهم بالعمل بالقياس و الاصول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 ذلك إنّه قد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تابعه، بالأنوار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الحقائق العلميّة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كرّر الوحيد رحمه اللّه ردّ هذه الأفكار المتطرفة في أكثر من موطن من كتابه،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التنبيه التام، و المبالغة في إظهار ما هو أظهر من الشمس، و إتمام الحجّة، تراهم ينكرون الإجماع مطلقا كما كانوا ينكرون، و يقولون بانحصار مدرك الشرع في الآية و الخبر كما كانوا يقولون، بل و يزيدون في اللجاج، و ينسبون جميع الفقهاء إلى سوء الفهم و الاعوجاج، بل و إلى الحكم بغير ما أنزل اللّه و القياس، و الهلاك و إهلاك الناس، و البدعة، و متابعة العامّة، أو مخالفة طريقة الشيعة، و غير ما ذكر من الامور الشنيعة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على القسم الثاني ممّا ادّعاه من كون الفيض رحمه اللّه مقلّدا لصاحب المدارك و المسالك، حيث ذكر في شرحه لجملة الماتن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ذكره و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منه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اعتمد عليهما نهاية الاعتماد، إلى أن قلّدهما أشدّ تقليد إلّا ما شذّ و ندر، بل في الحقيقة كتابه هذا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اختصرهما، و كان الأولى أن يسمّيه مختصر المدارك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زاد فيه بعض الامور، مضافا إلى ما ندر من المخالفة، و إلّا ففي الحقيقة هو مقلّدهما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تقليد الغير و إن كان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من التقليد الشديد غير خفيّ على من له أدنى اطّلاع و تفطّن، فإنّا وجدنا في الكتابين اشتباهات كثيرة واضحة غاية الوضوح، مثل كونه ربّما نقل فيهما الحديث بنحو، و ليس كذلك قطعا، و كذلك كلام الفقهاء، و كذلك دليل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ذكر فيهما حديث دليلا للحكم موردا للاعتراض، و ليس دليله ذلك بلا شبهة، بل دليله حديث اخر بلا شبهة و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اقتصر فيهما على نقل الخلاف من بعض، مع أنّ المخالف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اقتصر على نقل بعض الخلافات في مسألة مع أنّها أزيد، بل ربّما كانت أزيد بمراتب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لم ينقل فيهما كثير من المسائل الخلافيّة، و المصنّف في جميع ما ذكر على طبق كتابيهما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ربّما ذكرا فيهما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نصّا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تبعهما، مع أنّ النصوص موجودة في الكتب المشهورة، بل ربّما كان في الكتب الأربعة، بل ربّما</w:t>
      </w:r>
    </w:p>
    <w:p>
      <w:pPr>
        <w:pStyle w:val="BookText"/>
        <w:rPr/>
      </w:pPr>
      <w:r>
        <w:rPr>
          <w:rFonts w:ascii="Amiri" w:hAnsi="Amiri" w:eastAsia="Amiri" w:cs="Amiri"/>
          <w:color w:val="111111"/>
          <w:sz w:val="28"/>
          <w:sz w:val="28"/>
          <w:szCs w:val="28"/>
          <w:rtl w:val="true"/>
          <w:lang w:bidi="ar-SA"/>
        </w:rPr>
        <w:t>كان في مقام ذكر تلك المسألة، بل ربّما كان في غير المقام نصوص كثيرة في كتب غير المشهورة، أو المشهورة، أو الأربعة، أو هي أيضا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ربّما اقتصرا على ذكر بعض الأدلّة، و المصنّف تبعهما، و ربّما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دليلا، و المصنّف تبعهما، مع أنّ الدليل موجود قطعا، بل و ربّما يكون واضحا، بل و ربّما يكون في الكتب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ربّما اقتصرا على نقل الإجماع عن بعض، و ربّما لم ينقلا الإجماع، مع أنّ الناقل موجود، بل ربّما يكون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ربّما ادّعيا الإجماع أو نقلا، و ظهر أنّه ليس كذلك يقينا، و ربّما كان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الاشتباهات، مثل ما وقع في فهم الحديث، أو الجمع أو الطرح أو الترجيح، أو غير ذلك، مثل الحكم بصحّة حديث ليس بصحيح و بالعكس، و مثل الاصول و القواعد الفقهيّة و الاصوليّة و غيرها، و المصنّف تبعهما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نبّهنا على الاشتباهات المذكورة و غيرها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الإرشاد للمقدّس الأردبيلي،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قليلا من الحواشي التي كتبناها على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كلّ هذا، فإنّ الشارح رحمه اللّه كان يحسّ مدى خطر هذه الأفكار و ما تجرّه على الطائفة من ويلات، و كان يعتقد بأنّ هذا المقدار من الحواشي غير كاف لرفع هذا الخطر الجسيم، و لذا بادر رحمه اللّه إلى شرح بعض الكتب،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في أكثر من مورد فيه إنّه طرح كثيرا من المطالب لم يتعرّض لها و لم ينقدها،</w:t>
      </w:r>
      <w:bookmarkStart w:id="39" w:name="pg2470_12282"/>
    </w:p>
    <w:p>
      <w:pPr>
        <w:pStyle w:val="BookText"/>
        <w:rPr/>
      </w:pPr>
      <w:bookmarkEnd w:id="39"/>
      <w:r>
        <w:rPr>
          <w:rFonts w:ascii="Amiri" w:hAnsi="Amiri" w:eastAsia="Amiri" w:cs="Amiri"/>
          <w:color w:val="111111"/>
          <w:sz w:val="28"/>
          <w:sz w:val="28"/>
          <w:szCs w:val="28"/>
          <w:rtl w:val="true"/>
          <w:lang w:bidi="ar-SA"/>
        </w:rPr>
        <w:t>كما في بحث انفعال ماء القليل،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رأينا المقام من مزالّ الأقدام من المحقّقين الأعلام في أمثال زماننا، و كاد أن يرسخ في قلوب الخاصّ و العامّ، لا جرم بسطنا الكلام كما بسطنا في نظائره، و إن كان ما ذكرته قليلا بالنسبة إلى ما أحب أن أذكره لكن تركته خوفا من الملال و السأم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3601294_3804643083"/>
      <w:bookmarkStart w:id="41" w:name="_Toc15"/>
      <w:bookmarkEnd w:id="40"/>
      <w:r>
        <w:rPr>
          <w:rtl w:val="true"/>
        </w:rPr>
        <w:t>المؤلف و خصوصيات كتابه</w:t>
      </w:r>
      <w:bookmarkEnd w:id="41"/>
    </w:p>
    <w:p>
      <w:pPr>
        <w:pStyle w:val="Heading5"/>
        <w:numPr>
          <w:ilvl w:val="4"/>
          <w:numId w:val="1"/>
        </w:numPr>
        <w:rPr/>
      </w:pPr>
      <w:bookmarkStart w:id="42" w:name="__RefHeading___Toc3601296_3804643083"/>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و هي كثيرة، جدّا نشير إلى بعض منها</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601298_3804643083"/>
      <w:bookmarkStart w:id="45" w:name="_Toc17"/>
      <w:bookmarkEnd w:id="44"/>
      <w:r>
        <w:rPr>
          <w:rtl w:val="true"/>
        </w:rPr>
        <w:t>الاولى</w:t>
      </w:r>
      <w:r>
        <w:rPr>
          <w:rtl w:val="true"/>
        </w:rPr>
        <w:t xml:space="preserve">: </w:t>
      </w:r>
      <w:r>
        <w:rPr>
          <w:rtl w:val="true"/>
        </w:rPr>
        <w:t>تشقيق الفروع الفقهيّة و الاستدلال عليها؛</w:t>
      </w:r>
      <w:bookmarkEnd w:id="45"/>
    </w:p>
    <w:p>
      <w:pPr>
        <w:pStyle w:val="BookText"/>
        <w:rPr/>
      </w:pPr>
      <w:r>
        <w:rPr>
          <w:rFonts w:ascii="Amiri" w:hAnsi="Amiri" w:eastAsia="Amiri" w:cs="Amiri"/>
          <w:color w:val="111111"/>
          <w:sz w:val="28"/>
          <w:sz w:val="28"/>
          <w:szCs w:val="28"/>
          <w:rtl w:val="true"/>
          <w:lang w:bidi="ar-SA"/>
        </w:rPr>
        <w:t>إنّ هذا الأثر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ما كان عند مؤلّفه و في متناول يده من منابع و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بحقّ عمل عظيم جدّا، و العجب أنّه مع افتقاره إلى كثير من المصادر كيف استطاع أن يبقي منه هذا الأثر العظيم، فها هو في شرح المفاتيح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Style w:val="FootnoteAnchor"/>
          <w:rtl w:val="true"/>
        </w:rPr>
        <w:footnoteReference w:id="42"/>
      </w:r>
      <w:r>
        <w:rPr>
          <w:rFonts w:ascii="Amiri" w:hAnsi="Amiri" w:eastAsia="Amiri" w:cs="Amiri"/>
          <w:color w:val="111111"/>
          <w:sz w:val="28"/>
          <w:sz w:val="28"/>
          <w:szCs w:val="28"/>
          <w:rtl w:val="true"/>
          <w:lang w:bidi="ar-SA"/>
        </w:rPr>
        <w:t xml:space="preserve">، مع أنّ من البيّن 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أمّهات مصادرنا، و مع هذا لم يكن عنده، فكيف استطاع إتمام عمل بمثل هذه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هذا؛ 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المباحث الضروريّة و طرح ما لا ضرورة فيه و لا أهميّة له، و تكميل المباحث الفقهيّة بدرج الفروع اللازمة فيه، فنحن نرى في مبحث الفقير و المسكين أيّهما أسوأ حالا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هذا الاختلاف يوجب بسطا لا طائل تحته، من أراد الاطّلاع فعليه بمطالعة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قبال ذلك في مبحث الشكّ في النوافل نجده يطرح ثمان و عشرون فرعا</w:t>
      </w:r>
      <w:bookmarkStart w:id="46" w:name="pg2470_12283"/>
    </w:p>
    <w:p>
      <w:pPr>
        <w:pStyle w:val="BookText"/>
        <w:rPr/>
      </w:pPr>
      <w:bookmarkEnd w:id="46"/>
      <w:r>
        <w:rPr>
          <w:rFonts w:ascii="Amiri" w:hAnsi="Amiri" w:eastAsia="Amiri" w:cs="Amiri"/>
          <w:color w:val="111111"/>
          <w:sz w:val="28"/>
          <w:sz w:val="28"/>
          <w:szCs w:val="28"/>
          <w:rtl w:val="true"/>
          <w:lang w:bidi="ar-SA"/>
        </w:rPr>
        <w:t xml:space="preserve">ضروريّا و مهما </w:t>
      </w:r>
      <w:r>
        <w:rPr>
          <w:rStyle w:val="FootnoteAnchor"/>
          <w:rtl w:val="true"/>
        </w:rPr>
        <w:footnoteReference w:id="44"/>
      </w:r>
      <w:r>
        <w:rPr>
          <w:rFonts w:ascii="Amiri" w:hAnsi="Amiri" w:eastAsia="Amiri" w:cs="Amiri"/>
          <w:color w:val="111111"/>
          <w:sz w:val="28"/>
          <w:sz w:val="28"/>
          <w:szCs w:val="28"/>
          <w:rtl w:val="true"/>
          <w:lang w:bidi="ar-SA"/>
        </w:rPr>
        <w:t>، لا تجد واحدة من هذه الفروع في أيّ موسوعة فقهيّة اخرى</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3601300_3804643083"/>
      <w:bookmarkStart w:id="48" w:name="_Toc18"/>
      <w:bookmarkEnd w:id="47"/>
      <w:r>
        <w:rPr>
          <w:rtl w:val="true"/>
        </w:rPr>
        <w:t>الثانية</w:t>
      </w:r>
      <w:r>
        <w:rPr>
          <w:rtl w:val="true"/>
        </w:rPr>
        <w:t xml:space="preserve">: </w:t>
      </w:r>
      <w:r>
        <w:rPr>
          <w:rtl w:val="true"/>
        </w:rPr>
        <w:t>تحكيم الأدلّة و تنوّعها؛</w:t>
      </w:r>
      <w:bookmarkEnd w:id="48"/>
    </w:p>
    <w:p>
      <w:pPr>
        <w:pStyle w:val="BookText"/>
        <w:rPr/>
      </w:pPr>
      <w:r>
        <w:rPr>
          <w:rFonts w:ascii="Amiri" w:hAnsi="Amiri" w:eastAsia="Amiri" w:cs="Amiri"/>
          <w:color w:val="111111"/>
          <w:sz w:val="28"/>
          <w:sz w:val="28"/>
          <w:szCs w:val="28"/>
          <w:rtl w:val="true"/>
          <w:lang w:bidi="ar-SA"/>
        </w:rPr>
        <w:t>و هذا ما يظهر من مقارنة هذا السفر الجليل بما سلفه من مصنّفات الأصحاب، إذ يظهر منه مدى ابتكاره و خلاقيّته بما برز من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نكات و ملاحظات خلال شرحه، ممّا يكشف عن مقدار إحاطته على كتب السلف و مبانيهم مع استحكام الأدلّة و إثباتها على كلّ دعوى ادّعاه، و كل ما أورده فيه مع تنوّع فيها، مثلا في مبحث انفعال الماء القليل استدلّ بروايات كثيرة، ثمّ خلّص إلى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تواتر الأخبار، و قد أشرنا إلى بعضها، و قد زاد على المائة و المائتين، فما ظنّك بصورة ضمّ ما لم يشر؟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سرد الأدلّة المنقولة في كلامه في الأبواب المختلفة المربوطة بهذا البحث مع ما هناك من إجماعات مدّعاة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تقوية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قوله ردّا على أدلّة ابن أبي عقيل و من تابعه، خاصّة نقضه على ادّعائه العجيب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لا ينجّسه شي‌ء إلّا ما غيّر لونه، أو طعمه، أو رائحته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المضمون لم يرو عنه عليه السّلام بعنوان الآحاد أحد من مشايخنا المحدّثين الضابطين لأحاديثهم عليهم السّلام المقبولة و المردودة، كما هو دأب المحدّثين، و كذلك الفقهاء المتمسّكون بأخبارهم عليهم السّلام من القدماء و المتأخّرين جميعا في مقام الاستناد، أو التوجيه، أو الطعن في كتاب من كتبهم، أو مقام من مقامات ذكر مثل هذا الحديث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ما رووا في ذلك المقام إلّا خصوص ما رواه العامّة عن النبي صلّى اللّه عليه و آله و سلم</w:t>
      </w:r>
      <w:bookmarkStart w:id="49" w:name="pg2470_12284"/>
    </w:p>
    <w:p>
      <w:pPr>
        <w:pStyle w:val="BookText"/>
        <w:rPr/>
      </w:pPr>
      <w:bookmarkEnd w:id="49"/>
      <w:r>
        <w:rPr>
          <w:rFonts w:ascii="Amiri" w:hAnsi="Amiri" w:eastAsia="Amiri" w:cs="Amiri"/>
          <w:color w:val="111111"/>
          <w:sz w:val="28"/>
          <w:sz w:val="28"/>
          <w:szCs w:val="28"/>
          <w:rtl w:val="true"/>
          <w:lang w:bidi="ar-SA"/>
        </w:rPr>
        <w:t xml:space="preserve">بالمضمون المذكور </w:t>
      </w:r>
      <w:r>
        <w:rPr>
          <w:rStyle w:val="FootnoteAnchor"/>
          <w:rtl w:val="true"/>
        </w:rPr>
        <w:footnoteReference w:id="46"/>
      </w:r>
      <w:r>
        <w:rPr>
          <w:rFonts w:ascii="Amiri" w:hAnsi="Amiri" w:eastAsia="Amiri" w:cs="Amiri"/>
          <w:color w:val="111111"/>
          <w:sz w:val="28"/>
          <w:sz w:val="28"/>
          <w:szCs w:val="28"/>
          <w:rtl w:val="true"/>
          <w:lang w:bidi="ar-SA"/>
        </w:rPr>
        <w:t xml:space="preserve">في مقام الاحتجاج أو الردّ أو التأويل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العلماء قبل الشارح كأنّهم قبلوا ادّعاء التواتر و نقلوا التواتر بشكل أفرده ضمنا و ردّوا من جهة اخرى و نجد هناك روايات اخر رفضها الوحيد رحمه اللّه من جهات اخر، إمّا لشذوذها، أو موافقتها للعامّة، أو عدم موافقتها مع الروايات المعتبرة أو غير ذلك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3601302_3804643083"/>
      <w:bookmarkStart w:id="51" w:name="_Toc19"/>
      <w:bookmarkEnd w:id="50"/>
      <w:r>
        <w:rPr>
          <w:rtl w:val="true"/>
        </w:rPr>
        <w:t>الثالثة</w:t>
      </w:r>
      <w:r>
        <w:rPr>
          <w:rtl w:val="true"/>
        </w:rPr>
        <w:t xml:space="preserve">: </w:t>
      </w:r>
      <w:r>
        <w:rPr>
          <w:rtl w:val="true"/>
        </w:rPr>
        <w:t>تبعيّة الدليل على أيّ حال؛</w:t>
      </w:r>
      <w:bookmarkEnd w:id="51"/>
    </w:p>
    <w:p>
      <w:pPr>
        <w:pStyle w:val="BookText"/>
        <w:rPr/>
      </w:pPr>
      <w:r>
        <w:rPr>
          <w:rFonts w:ascii="Amiri" w:hAnsi="Amiri" w:eastAsia="Amiri" w:cs="Amiri"/>
          <w:color w:val="111111"/>
          <w:sz w:val="28"/>
          <w:sz w:val="28"/>
          <w:szCs w:val="28"/>
          <w:rtl w:val="true"/>
          <w:lang w:bidi="ar-SA"/>
        </w:rPr>
        <w:t>حيث قد يتصوّر البعض أنّ الشارح قد ألزم نفسه بالدفاع عن الشهرة المنقولة و الإجماعات الواردة، إلّا أنّه قد ثبت أنّه مخالف للإجماع في ما لو كان هناك اتّفاق من الفقهاء، و لم يكن يتلائم مع روح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بحث مستحقّ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الفقهاء متّفقون في أنّ المدين يجب عليه أداء ديونه بكلّ ما يملك، سوى قوت يومه و ليلته، و لباسه، و الدار، و الخادم، و نحوهما، لأنّ لازم ذلك أن يعطي مئونة سنته سوى قوت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معلوم أنّه تعالى لا يرضى أن يذلّ المؤمن نفسه و يجعلها فقيرة، فلذا جعل له هذا السهم، فهو فقير واقعا، و هو المرعيّ في المقام، كما هو ظاهر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يظهر منه أنّه يفتي بما يعتقده و يراه موافقا للشريعة على ما وصل إليه نظره، و لو كان ذلك مخالفا لما أجمع و اتّفق عليه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 السير الفقهي للمسألة</w:t>
      </w:r>
      <w:r>
        <w:rPr>
          <w:rFonts w:eastAsia="Amiri" w:cs="Amiri" w:ascii="Amiri" w:hAnsi="Amiri"/>
          <w:color w:val="111111"/>
          <w:sz w:val="28"/>
          <w:szCs w:val="28"/>
          <w:rtl w:val="true"/>
          <w:lang w:bidi="ar-SA"/>
        </w:rPr>
        <w:t>.</w:t>
      </w:r>
      <w:bookmarkStart w:id="52" w:name="pg2470_12285"/>
    </w:p>
    <w:p>
      <w:pPr>
        <w:pStyle w:val="Heading4"/>
        <w:numPr>
          <w:ilvl w:val="3"/>
          <w:numId w:val="1"/>
        </w:numPr>
        <w:rPr/>
      </w:pPr>
      <w:bookmarkStart w:id="53" w:name="__RefHeading___Toc3601304_3804643083"/>
      <w:bookmarkStart w:id="54" w:name="_Toc20"/>
      <w:bookmarkEnd w:id="52"/>
      <w:bookmarkEnd w:id="53"/>
      <w:r>
        <w:rPr>
          <w:rtl w:val="true"/>
        </w:rPr>
        <w:t>تحليل المؤلف لخروج بعض الأصحاب عن مدلول بعض الأدلّة</w:t>
      </w:r>
      <w:bookmarkEnd w:id="54"/>
    </w:p>
    <w:p>
      <w:pPr>
        <w:pStyle w:val="Heading5"/>
        <w:numPr>
          <w:ilvl w:val="4"/>
          <w:numId w:val="1"/>
        </w:numPr>
        <w:rPr/>
      </w:pPr>
      <w:bookmarkStart w:id="55" w:name="__RefHeading___Toc3601306_3804643083"/>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 كي نعرف و يتّضح لنا فلسفة ما ذهب إليه المحشّي في عمله الكبير، و نعلم سبب أمثال هذه الانحرافات عنده مع ما تفرّد به من المباني أو اهتمّ بها، نسرّدها و نشير إليها ضمن بعض النقاط</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601308_3804643083"/>
      <w:bookmarkStart w:id="58" w:name="_Toc22"/>
      <w:bookmarkEnd w:id="57"/>
      <w:r>
        <w:rPr>
          <w:rtl w:val="true"/>
        </w:rPr>
        <w:t>أ</w:t>
      </w:r>
      <w:r>
        <w:rPr>
          <w:rtl w:val="true"/>
        </w:rPr>
        <w:t xml:space="preserve">: </w:t>
      </w:r>
      <w:r>
        <w:rPr>
          <w:rtl w:val="true"/>
        </w:rPr>
        <w:t>عدم الدقّة في موارد حرمة التعدّي عن النصّ و وجوبه؛</w:t>
      </w:r>
      <w:bookmarkEnd w:id="58"/>
    </w:p>
    <w:p>
      <w:pPr>
        <w:pStyle w:val="BookText"/>
        <w:rPr/>
      </w:pPr>
      <w:r>
        <w:rPr>
          <w:rFonts w:ascii="Amiri" w:hAnsi="Amiri" w:eastAsia="Amiri" w:cs="Amiri"/>
          <w:color w:val="111111"/>
          <w:sz w:val="28"/>
          <w:sz w:val="28"/>
          <w:szCs w:val="28"/>
          <w:rtl w:val="true"/>
          <w:lang w:bidi="ar-SA"/>
        </w:rPr>
        <w:t>هناك خلط عندهم بين أصلين مهمّين لم يفرق بينهما غالبا، و هما عدم جواز التعدّي عن النصّ و وجوب التعدّي عنه؛ إذ لم يفرق بين التعدّي الواجب و الحرام، و من الواضح وجود موارد كثيرة في الفقه قد تجاوز مدلول النصّ و تعدّي عنه حتّى ذهب جمع من الأخباريّين و نزر من الاصوليّين إلى عدّ مثل ذاك نوعا من القياس، و لذا 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نجد أنّ هناك موارد يلزم فيها التعدي، و في بعض الموارد يحرم، و المرحوم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موارد التعدي الواجب و الحرام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الفرق بين المقامين أعظم خطرا على المجتهد، فلو كان أحد لم يفرق، و لم يعرف ما به الفرق يخرّب في الدين تخريبات كثيرة من أوّل الفقه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وجدنا غير واحد من العلماء أنّهم يفعلون كذلك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شرح مقدّمة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ردّه لاتّهام عمل أعلام الطائفة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المواضع التي طعنوا بالقياس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بقياس أصلا، لاطّلاعنا على دليل التعدّي، و جزمنا بأنّ الطاعن إمّا قاصر، أو غافل، أو معاند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59" w:name="pg2470_12286"/>
    </w:p>
    <w:p>
      <w:pPr>
        <w:pStyle w:val="BookText"/>
        <w:rPr/>
      </w:pPr>
      <w:bookmarkEnd w:id="59"/>
      <w:r>
        <w:rPr>
          <w:rFonts w:ascii="Amiri" w:hAnsi="Amiri" w:eastAsia="Amiri" w:cs="Amiri"/>
          <w:color w:val="111111"/>
          <w:sz w:val="28"/>
          <w:sz w:val="28"/>
          <w:szCs w:val="28"/>
          <w:rtl w:val="true"/>
          <w:lang w:bidi="ar-SA"/>
        </w:rPr>
        <w:t xml:space="preserve">ثمّ ذكر موارد وجوب التعدّي فيها كي لا يقع في محذور القياس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تعرّض بعد ذاك إلى طرق التعدّي الواجب و الموارد التي لا يقع فيها الباحث في القياس</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601310_3804643083"/>
      <w:bookmarkStart w:id="61" w:name="_Toc23"/>
      <w:bookmarkEnd w:id="60"/>
      <w:r>
        <w:rPr>
          <w:rtl w:val="true"/>
        </w:rPr>
        <w:t>ب</w:t>
      </w:r>
      <w:r>
        <w:rPr>
          <w:rtl w:val="true"/>
        </w:rPr>
        <w:t xml:space="preserve">: </w:t>
      </w:r>
      <w:r>
        <w:rPr>
          <w:rtl w:val="true"/>
        </w:rPr>
        <w:t>عدم المعرفة التامّة بعلم الرجال؛</w:t>
      </w:r>
      <w:bookmarkEnd w:id="61"/>
    </w:p>
    <w:p>
      <w:pPr>
        <w:pStyle w:val="BookText"/>
        <w:rPr/>
      </w:pPr>
      <w:r>
        <w:rPr>
          <w:rFonts w:ascii="Amiri" w:hAnsi="Amiri" w:eastAsia="Amiri" w:cs="Amiri"/>
          <w:color w:val="111111"/>
          <w:sz w:val="28"/>
          <w:sz w:val="28"/>
          <w:szCs w:val="28"/>
          <w:rtl w:val="true"/>
          <w:lang w:bidi="ar-SA"/>
        </w:rPr>
        <w:t>حيث إنّ صاحب الحدائق رحمه اللّه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لأوّل مرّة بعد اثني عشر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الفاطميّتين حرام، تمسّكا برواية جاءت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 مقام تصحيحها،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عند المتأخرين فطريق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البتّة </w:t>
      </w:r>
      <w:r>
        <w:rPr>
          <w:rStyle w:val="FootnoteAnchor"/>
          <w:rtl w:val="true"/>
        </w:rPr>
        <w:footnoteReference w:id="53"/>
      </w:r>
      <w:r>
        <w:rPr>
          <w:rFonts w:ascii="Amiri" w:hAnsi="Amiri" w:eastAsia="Amiri" w:cs="Amiri"/>
          <w:color w:val="111111"/>
          <w:sz w:val="28"/>
          <w:sz w:val="28"/>
          <w:szCs w:val="28"/>
          <w:rtl w:val="true"/>
          <w:lang w:bidi="ar-SA"/>
        </w:rPr>
        <w:t>إلّا أنّ المحشّي في جوابه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حكمه بصحة طريق الصدوق على طريقة المتأخرين، فليس إلّا من جهة عدم اطّلاعه على طريقتهم، و عدم اطّلاعه على شرائط صحّته، و عدم اطّلاعه على علم الرجال؛ لأنّ الصحيح عندهم ليس إلّا ما رواه ثقة عن 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عن المعصوم عليه السّلام، و محمّد بن علي ماجيلويه غير مذكور في الرجال إلّا مهملا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نجده في موارد كثيرة استطاع إلى التنبّه إلى ما فيها من الانحرافات و الاشتباهات لتسلّطه و إحاطته بالرجال، و تنبّه إلى نكاته و دقائقه فاستطاع أن يوضّح و يصحّح ما وقع فيه البعض لا عن قصد من الاشتباهات و الانحرافات</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601312_3804643083"/>
      <w:bookmarkStart w:id="63" w:name="_Toc24"/>
      <w:bookmarkEnd w:id="62"/>
      <w:r>
        <w:rPr>
          <w:rtl w:val="true"/>
        </w:rPr>
        <w:t>ج</w:t>
      </w:r>
      <w:r>
        <w:rPr>
          <w:rtl w:val="true"/>
        </w:rPr>
        <w:t xml:space="preserve">: </w:t>
      </w:r>
      <w:r>
        <w:rPr>
          <w:rtl w:val="true"/>
        </w:rPr>
        <w:t>عدم التسلّط التام على اللغة؛</w:t>
      </w:r>
      <w:bookmarkEnd w:id="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مطلق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بكونهم جاهلين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صاحب المدارك مستندا</w:t>
      </w:r>
      <w:bookmarkStart w:id="64" w:name="pg2470_12287"/>
    </w:p>
    <w:p>
      <w:pPr>
        <w:pStyle w:val="BookText"/>
        <w:rPr/>
      </w:pPr>
      <w:bookmarkEnd w:id="64"/>
      <w:r>
        <w:rPr>
          <w:rFonts w:ascii="Amiri" w:hAnsi="Amiri" w:eastAsia="Amiri" w:cs="Amiri"/>
          <w:color w:val="111111"/>
          <w:sz w:val="28"/>
          <w:sz w:val="28"/>
          <w:szCs w:val="28"/>
          <w:rtl w:val="true"/>
          <w:lang w:bidi="ar-SA"/>
        </w:rPr>
        <w:t xml:space="preserve">ببعض أقوال اللغويّين المعتبرين، و مستعينا بالروايات، و أثبت أنّ الصعيد هو التراب لا مطلق وجه الأرض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3601314_3804643083"/>
      <w:bookmarkStart w:id="66" w:name="_Toc25"/>
      <w:bookmarkEnd w:id="65"/>
      <w:r>
        <w:rPr>
          <w:rtl w:val="true"/>
        </w:rPr>
        <w:t>د</w:t>
      </w:r>
      <w:r>
        <w:rPr>
          <w:rtl w:val="true"/>
        </w:rPr>
        <w:t xml:space="preserve">: </w:t>
      </w:r>
      <w:r>
        <w:rPr>
          <w:rtl w:val="true"/>
        </w:rPr>
        <w:t>عدم الالتفات إلى مواطن الأمارات و مجاري الاصول؛</w:t>
      </w:r>
      <w:bookmarkEnd w:id="66"/>
    </w:p>
    <w:p>
      <w:pPr>
        <w:pStyle w:val="BookText"/>
        <w:rPr/>
      </w:pPr>
      <w:r>
        <w:rPr>
          <w:rFonts w:ascii="Amiri" w:hAnsi="Amiri" w:eastAsia="Amiri" w:cs="Amiri"/>
          <w:color w:val="111111"/>
          <w:sz w:val="28"/>
          <w:sz w:val="28"/>
          <w:szCs w:val="28"/>
          <w:rtl w:val="true"/>
          <w:lang w:bidi="ar-SA"/>
        </w:rPr>
        <w:t>حيث لا يخفى على أهل الفنّ أنّ مع وجود الأمارات لا مجرى لأصل البراءة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نجد بعض الأعاظم غفل عن هذا المهمّ و استدلّ بأصالة البراءة في مواطن متعدّدة، مثل صاحب الذخيرة في بحث فطرة عائلته الغائبة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استغرب الشارح لمثل هذا الاستدلال،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عورض هذا الأصل بأصالة براءة الذمّة </w:t>
      </w:r>
      <w:r>
        <w:rPr>
          <w:rStyle w:val="FootnoteAnchor"/>
          <w:rtl w:val="true"/>
        </w:rPr>
        <w:footnoteReference w:id="56"/>
      </w:r>
      <w:r>
        <w:rPr>
          <w:rFonts w:ascii="Amiri" w:hAnsi="Amiri" w:eastAsia="Amiri" w:cs="Amiri"/>
          <w:color w:val="111111"/>
          <w:sz w:val="28"/>
          <w:sz w:val="28"/>
          <w:szCs w:val="28"/>
          <w:rtl w:val="true"/>
          <w:lang w:bidi="ar-SA"/>
        </w:rPr>
        <w:t>، إذ الأصل براءة الذمّة فيما لم يقم عليه دليل شرعي، و أصل البقاء من أقوى الحجج الشرعيّة و على ذلك؛ المدار في الفقه و الفتاوى، و عمل المسلمين في الأعصار 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براءة ذمّة العيال أيضا و عنده، بل و غيره أيضا أنّه إذا لم تجب على المعيل تجب على العيال في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 الأصل براءة الذمّة في وجوب النفقة باطل جزما، و وجوب الفطرة تابع له، كما عرفت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3601316_3804643083"/>
      <w:bookmarkStart w:id="68" w:name="_Toc26"/>
      <w:bookmarkEnd w:id="67"/>
      <w:r>
        <w:rPr>
          <w:rtl w:val="true"/>
        </w:rPr>
        <w:t>ه</w:t>
      </w:r>
      <w:r>
        <w:rPr>
          <w:rtl w:val="true"/>
        </w:rPr>
        <w:t xml:space="preserve">: </w:t>
      </w:r>
      <w:r>
        <w:rPr>
          <w:rtl w:val="true"/>
        </w:rPr>
        <w:t>الغافلة عن عدم إمكان إجراء الأصل في ماهيّة العبادات؛</w:t>
      </w:r>
      <w:bookmarkEnd w:id="68"/>
    </w:p>
    <w:p>
      <w:pPr>
        <w:pStyle w:val="BookText"/>
        <w:rPr/>
      </w:pPr>
      <w:r>
        <w:rPr>
          <w:rFonts w:ascii="Amiri" w:hAnsi="Amiri" w:eastAsia="Amiri" w:cs="Amiri"/>
          <w:color w:val="111111"/>
          <w:sz w:val="28"/>
          <w:sz w:val="28"/>
          <w:szCs w:val="28"/>
          <w:rtl w:val="true"/>
          <w:lang w:bidi="ar-SA"/>
        </w:rPr>
        <w:t>حيث تمسّك البعض في ماهيّة العبادات بأصالة البراءة مع أنّها ليست موردا لها، و المحشّي أشار لمثل هذا الاشتباه في بحث صلاة الجمعة مثلا، حيث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جميع ما ذكر أنّهم ربّما يتمسّكون بأصالة عدم الاشتراط لتتميم استدلالاتهم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الأصل دليل برأسه لا مدخليّة له في الاستدلالات بالآية</w:t>
      </w:r>
      <w:bookmarkStart w:id="69" w:name="pg2470_12288"/>
    </w:p>
    <w:p>
      <w:pPr>
        <w:pStyle w:val="BookText"/>
        <w:rPr/>
      </w:pPr>
      <w:bookmarkEnd w:id="69"/>
      <w:r>
        <w:rPr>
          <w:rFonts w:ascii="Amiri" w:hAnsi="Amiri" w:eastAsia="Amiri" w:cs="Amiri"/>
          <w:color w:val="111111"/>
          <w:sz w:val="28"/>
          <w:sz w:val="28"/>
          <w:szCs w:val="28"/>
          <w:rtl w:val="true"/>
          <w:lang w:bidi="ar-SA"/>
        </w:rPr>
        <w:t>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لا يجري في ماهيّة العبادات، كما هو المحقّق و المسلّم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ذكر هذا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مبسوط هناك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3601318_3804643083"/>
      <w:bookmarkStart w:id="71" w:name="_Toc27"/>
      <w:bookmarkEnd w:id="70"/>
      <w:r>
        <w:rPr>
          <w:rtl w:val="true"/>
        </w:rPr>
        <w:t>و</w:t>
      </w:r>
      <w:r>
        <w:rPr>
          <w:rtl w:val="true"/>
        </w:rPr>
        <w:t xml:space="preserve">: </w:t>
      </w:r>
      <w:r>
        <w:rPr>
          <w:rtl w:val="true"/>
        </w:rPr>
        <w:t>عدم غور البعض في الأدب العربي و مباديه الأوّليّة؛</w:t>
      </w:r>
      <w:bookmarkEnd w:id="71"/>
    </w:p>
    <w:p>
      <w:pPr>
        <w:pStyle w:val="BookText"/>
        <w:rPr/>
      </w:pPr>
      <w:r>
        <w:rPr>
          <w:rFonts w:ascii="Amiri" w:hAnsi="Amiri" w:eastAsia="Amiri" w:cs="Amiri"/>
          <w:color w:val="111111"/>
          <w:sz w:val="28"/>
          <w:sz w:val="28"/>
          <w:szCs w:val="28"/>
          <w:rtl w:val="true"/>
          <w:lang w:bidi="ar-SA"/>
        </w:rPr>
        <w:t>حيث نجد أنّ صاحب الذخيرة رحمه اللّه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ذهب إلى عدم إمكان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الشارح رحمه اللّه عند شرحه لذلك أثبت في تحقيق أدبيّ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بمعني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الماتن و علّل اشتباهه بعدم إحاطته بالأدب العربي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3601320_3804643083"/>
      <w:bookmarkStart w:id="73" w:name="_Toc28"/>
      <w:bookmarkEnd w:id="72"/>
      <w:r>
        <w:rPr>
          <w:rtl w:val="true"/>
        </w:rPr>
        <w:t>ز</w:t>
      </w:r>
      <w:r>
        <w:rPr>
          <w:rtl w:val="true"/>
        </w:rPr>
        <w:t xml:space="preserve">: </w:t>
      </w:r>
      <w:r>
        <w:rPr>
          <w:rtl w:val="true"/>
        </w:rPr>
        <w:t>عدم التوجه إلى العرف؛</w:t>
      </w:r>
      <w:bookmarkEnd w:id="73"/>
    </w:p>
    <w:p>
      <w:pPr>
        <w:pStyle w:val="BookText"/>
        <w:rPr/>
      </w:pPr>
      <w:r>
        <w:rPr>
          <w:rFonts w:ascii="Amiri" w:hAnsi="Amiri" w:eastAsia="Amiri" w:cs="Amiri"/>
          <w:color w:val="111111"/>
          <w:sz w:val="28"/>
          <w:sz w:val="28"/>
          <w:szCs w:val="28"/>
          <w:rtl w:val="true"/>
          <w:lang w:bidi="ar-SA"/>
        </w:rPr>
        <w:t>حيث إنّ المحشّي رحمه اللّه عند نقده لقول المحقّق قدّس سرّه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السوم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يقال للمعلوفة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سائمة في حال علفها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عدم صدق السائمة عليها حال علفها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الظاهر عدم الخروج عن كونها عرفا بذلك، كما لا يخرج الكلام عن العربيّة باشتماله على ما هو أعجميّ، و بالجملة المعتبر هو التسمية عرفا و ما يتبادر عندهم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تجده قد عقد بابا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الأئمّة عليهم السّلام كانوا يتكلّمون على طريقة المحاورات العرفيّة </w:t>
      </w:r>
      <w:r>
        <w:rPr>
          <w:rStyle w:val="FootnoteAnchor"/>
          <w:rtl w:val="true"/>
        </w:rPr>
        <w:footnoteReference w:id="64"/>
      </w:r>
      <w:r>
        <w:rPr>
          <w:rFonts w:ascii="IRNazanin" w:hAnsi="IRNazanin" w:eastAsia="IRNazanin"/>
          <w:color w:val="111111"/>
          <w:sz w:val="28"/>
          <w:sz w:val="28"/>
          <w:szCs w:val="28"/>
          <w:rtl w:val="true"/>
          <w:lang w:bidi="fa-IR"/>
        </w:rPr>
        <w:t>، و من هنا جعل العرف مفتاحا لفهم</w:t>
      </w:r>
      <w:bookmarkStart w:id="74" w:name="pg2470_12289"/>
    </w:p>
    <w:p>
      <w:pPr>
        <w:pStyle w:val="BookText"/>
        <w:rPr/>
      </w:pPr>
      <w:bookmarkEnd w:id="74"/>
      <w:r>
        <w:rPr>
          <w:rFonts w:ascii="Amiri" w:hAnsi="Amiri" w:eastAsia="Amiri" w:cs="Amiri"/>
          <w:color w:val="111111"/>
          <w:sz w:val="28"/>
          <w:sz w:val="28"/>
          <w:szCs w:val="28"/>
          <w:rtl w:val="true"/>
          <w:lang w:bidi="ar-SA"/>
        </w:rPr>
        <w:t>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أخيرا إلى أنّ صاحب المدارك حيث لم يلتفت لمثل هذه الموارد ترك طريقة الفقهاء في بحث الحيض و الاستحاضة، و سلك طريقا معوجا في فهم الروايات، و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الفقهاء قدّس سرّهم</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601322_3804643083"/>
      <w:bookmarkStart w:id="76" w:name="_Toc29"/>
      <w:bookmarkEnd w:id="75"/>
      <w:r>
        <w:rPr>
          <w:rtl w:val="true"/>
        </w:rPr>
        <w:t>ح</w:t>
      </w:r>
      <w:r>
        <w:rPr>
          <w:rtl w:val="true"/>
        </w:rPr>
        <w:t xml:space="preserve">: </w:t>
      </w:r>
      <w:r>
        <w:rPr>
          <w:rtl w:val="true"/>
        </w:rPr>
        <w:t>عدم الدقّة في نقل الأقوال؛</w:t>
      </w:r>
      <w:bookmarkEnd w:id="76"/>
    </w:p>
    <w:p>
      <w:pPr>
        <w:pStyle w:val="BookText"/>
        <w:rPr/>
      </w:pPr>
      <w:r>
        <w:rPr>
          <w:rFonts w:ascii="Amiri" w:hAnsi="Amiri" w:eastAsia="Amiri" w:cs="Amiri"/>
          <w:color w:val="111111"/>
          <w:sz w:val="28"/>
          <w:sz w:val="28"/>
          <w:szCs w:val="28"/>
          <w:rtl w:val="true"/>
          <w:lang w:bidi="ar-SA"/>
        </w:rPr>
        <w:t>إذ نجد في الكتب الفقهيّة أقوالا نسبت إلى السلف الصالح رحمهم اللّه لو رجعنا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كلماتهم و اصولهم المدوّنة، لوجدنا أنّ هذه النسبة غير صحيحة، بل قد تكون معكوسة، و هذه من الأعمال المهمّة التي قام بها المحشّي عند تصحيحه لاشتباهات المصنّف و الآخرين، حيث صرّح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المصنّف رحمه اللّه أيضا في مفاتيحه إنّ جمعا أفتوا أنّ الفطرة يمكن إعطاءها للمستضعف غير الشيعي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المرحوم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ردّه لهذا الادّعاء صرّح بعدم من قال بذلك عن فقهاء الشيعة، نعم أفتوا بذلك إذا لم يكن شيعيّا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3601324_3804643083"/>
      <w:bookmarkStart w:id="78" w:name="_Toc30"/>
      <w:bookmarkEnd w:id="77"/>
      <w:r>
        <w:rPr>
          <w:rtl w:val="true"/>
        </w:rPr>
        <w:t>ط</w:t>
      </w:r>
      <w:r>
        <w:rPr>
          <w:rtl w:val="true"/>
        </w:rPr>
        <w:t xml:space="preserve">: </w:t>
      </w:r>
      <w:r>
        <w:rPr>
          <w:rtl w:val="true"/>
        </w:rPr>
        <w:t>عدم الالتفات إلى دور الزمن في واقع النصّ؛</w:t>
      </w:r>
      <w:bookmarkEnd w:id="78"/>
    </w:p>
    <w:p>
      <w:pPr>
        <w:pStyle w:val="BookText"/>
        <w:rPr/>
      </w:pPr>
      <w:r>
        <w:rPr>
          <w:rFonts w:ascii="Amiri" w:hAnsi="Amiri" w:eastAsia="Amiri" w:cs="Amiri"/>
          <w:color w:val="111111"/>
          <w:sz w:val="28"/>
          <w:sz w:val="28"/>
          <w:szCs w:val="28"/>
          <w:rtl w:val="true"/>
          <w:lang w:bidi="ar-SA"/>
        </w:rPr>
        <w:t>حيث إنّ الشارح رحمه اللّه يعتقد أنّ عدم الاعتناء بالزمان يوجب أنّ الفقيه لا يمكنه الوصول إلى الاستنباط الصحيح، لذا فهو مع أخذه بنظر الاعتبار لهذا المهمّ و ملاحظة زمن الأئمة عليهم السّلام و تاريخ النصّ، وجّه كثيرا من الروايات و أماط عنها الإبهام، و صرّح بجواز إعطاء الفطرة للفقير غير الشيعي، متمسّكا برواية جاءت في عصر السجاد عليه السّلام، ثمّ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زمان علي بن الحسين عليه السّلام ما كان يوجد المؤمن العارف إلّا نادرا نهاية الندرة لو قلنا بوجوده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كان عليه السّلام يعطي فطرته الضعفاء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79" w:name="pg2470_12290"/>
    </w:p>
    <w:p>
      <w:pPr>
        <w:pStyle w:val="Heading5"/>
        <w:numPr>
          <w:ilvl w:val="4"/>
          <w:numId w:val="1"/>
        </w:numPr>
        <w:rPr/>
      </w:pPr>
      <w:bookmarkStart w:id="80" w:name="__RefHeading___Toc3601326_3804643083"/>
      <w:bookmarkStart w:id="81" w:name="_Toc31"/>
      <w:bookmarkEnd w:id="79"/>
      <w:bookmarkEnd w:id="80"/>
      <w:r>
        <w:rPr>
          <w:rtl w:val="true"/>
        </w:rPr>
        <w:t>ى</w:t>
      </w:r>
      <w:r>
        <w:rPr>
          <w:rtl w:val="true"/>
        </w:rPr>
        <w:t xml:space="preserve">: </w:t>
      </w:r>
      <w:r>
        <w:rPr>
          <w:rtl w:val="true"/>
        </w:rPr>
        <w:t>عدم الالتفات إلى دور المكان في بيان الحكم؛</w:t>
      </w:r>
      <w:bookmarkEnd w:id="81"/>
    </w:p>
    <w:p>
      <w:pPr>
        <w:pStyle w:val="BookText"/>
        <w:rPr/>
      </w:pPr>
      <w:r>
        <w:rPr>
          <w:rFonts w:ascii="Amiri" w:hAnsi="Amiri" w:eastAsia="Amiri" w:cs="Amiri"/>
          <w:color w:val="111111"/>
          <w:sz w:val="28"/>
          <w:sz w:val="28"/>
          <w:szCs w:val="28"/>
          <w:rtl w:val="true"/>
          <w:lang w:bidi="ar-SA"/>
        </w:rPr>
        <w:t>و قد اعتنى رحمه اللّه و اهتمّ بهذه النكتة المهمّة في استنباطاته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في بحث التيمّم قرينة لإثبات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معظم الأرض و أغلب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السؤال في بلد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التراب، بل لعلّه لا يوجد فيها من الأرض سوى التراب إلّا شاذّا نادرا، و المطلق ينصرف إلى الفرد الغالب، كما هو ظاهر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مقام إثبات عدم مانعيّة ملاقات الحائض و النفساء مع الأئمّة عليهم السّلام، استدلّ بأنّ بيوتهم عليهم السّلام ما كانت خالية من النساء و الجواري لهم و لخدمهم و مماليكهم و غيرهم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3601328_3804643083"/>
      <w:bookmarkStart w:id="83" w:name="_Toc32"/>
      <w:bookmarkEnd w:id="82"/>
      <w:r>
        <w:rPr>
          <w:rtl w:val="true"/>
        </w:rPr>
        <w:t>ك</w:t>
      </w:r>
      <w:r>
        <w:rPr>
          <w:rtl w:val="true"/>
        </w:rPr>
        <w:t xml:space="preserve">: </w:t>
      </w:r>
      <w:r>
        <w:rPr>
          <w:rtl w:val="true"/>
        </w:rPr>
        <w:t>الاتكال إلى الأدلّة و الغافلة عن الشخصيّات؛</w:t>
      </w:r>
      <w:bookmarkEnd w:id="83"/>
    </w:p>
    <w:p>
      <w:pPr>
        <w:pStyle w:val="BookText"/>
        <w:rPr/>
      </w:pPr>
      <w:r>
        <w:rPr>
          <w:rFonts w:ascii="Amiri" w:hAnsi="Amiri" w:eastAsia="Amiri" w:cs="Amiri"/>
          <w:color w:val="111111"/>
          <w:sz w:val="28"/>
          <w:sz w:val="28"/>
          <w:szCs w:val="28"/>
          <w:rtl w:val="true"/>
          <w:lang w:bidi="ar-SA"/>
        </w:rPr>
        <w:t xml:space="preserve">إذ نجد أنّ بعضهم نسبوا إلى رسول اللّه صلّى اللّه عليه و آله و سلم أنّه بقي إلى صبح يوم الصيام عمدا على الجنابة و لم يبادر إلى رفع الحدث 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المحشّي رحمه اللّه مع التفاته إلى عظمة شخصيّته صلّى اللّه عليه و آله و سلم و مقام الرسالة و العصمة فيه، و ما له من خصائص كوجوب صلاة الليل عليه؛ نفى هذا الادّعاء،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صلاة الليل كانت واجبة عليه بالإجماع و صلاة الليل ما كان يتركها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3601330_3804643083"/>
      <w:bookmarkStart w:id="85" w:name="_Toc33"/>
      <w:bookmarkEnd w:id="84"/>
      <w:r>
        <w:rPr>
          <w:rtl w:val="true"/>
        </w:rPr>
        <w:t>ل</w:t>
      </w:r>
      <w:r>
        <w:rPr>
          <w:rtl w:val="true"/>
        </w:rPr>
        <w:t xml:space="preserve">: </w:t>
      </w:r>
      <w:r>
        <w:rPr>
          <w:rtl w:val="true"/>
        </w:rPr>
        <w:t>عدم الدقّة في استعمال الاصطلاحات؛</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اصطلاحاته الخاصّة، و لا يستثنى علم الفقه من هذا، نظير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تستعمل في معاني</w:t>
      </w:r>
      <w:bookmarkStart w:id="86" w:name="pg2470_12291"/>
    </w:p>
    <w:p>
      <w:pPr>
        <w:pStyle w:val="BookText"/>
        <w:rPr/>
      </w:pPr>
      <w:bookmarkEnd w:id="86"/>
      <w:r>
        <w:rPr>
          <w:rFonts w:ascii="Amiri" w:hAnsi="Amiri" w:eastAsia="Amiri" w:cs="Amiri"/>
          <w:color w:val="111111"/>
          <w:sz w:val="28"/>
          <w:sz w:val="28"/>
          <w:szCs w:val="28"/>
          <w:rtl w:val="true"/>
          <w:lang w:bidi="ar-SA"/>
        </w:rPr>
        <w:t>خاصّة لها، و قد ذهب جمع من الأعلام و واجهوا الأدلّة، بما ارتكز في ذهنهم من المعاني المصطلحة، و هذا بنفسه يوجب الاشتباه في مقام الاستنباط، إلّا أنّ الشارح رحمه اللّه مع أخذه بما ذهب إليه الشيخ الطوسي قدّس سرّه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الوجوب عندنا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تركه عقاب، و ضرب على تركه اللوم و العتاب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أوضح لنا أنّه لا يمكن في مواطن حمل بعض الألفاظ المستعملة إلّا على معانيها اللغويّة، إلّا إذا كانت هناك قرينة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لسان الشارع هو لسان العرف و اللغة لا الاصطلاح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3601332_3804643083"/>
      <w:bookmarkStart w:id="88" w:name="_Toc34"/>
      <w:bookmarkEnd w:id="87"/>
      <w:r>
        <w:rPr>
          <w:rtl w:val="true"/>
        </w:rPr>
        <w:t>م</w:t>
      </w:r>
      <w:r>
        <w:rPr>
          <w:rtl w:val="true"/>
        </w:rPr>
        <w:t xml:space="preserve">: </w:t>
      </w:r>
      <w:r>
        <w:rPr>
          <w:rtl w:val="true"/>
        </w:rPr>
        <w:t>إثبات الحكم بالأدلّة الضعيفة؛</w:t>
      </w:r>
      <w:bookmarkEnd w:id="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نجد في كلمات بعض الأعلام أنّهم أثبتوا حكما ما برواية ضعيفة غير مجبورة بعمل الأصحاب و أفتوا على ضوئها، كما نقله الشارح رحمه اللّه في إثبات كراهة قراءة القرآن للجنب و الحائض أكثر من سبع أو سبعين آية </w:t>
      </w:r>
      <w:r>
        <w:rPr>
          <w:rStyle w:val="FootnoteAnchor"/>
          <w:rtl w:val="true"/>
        </w:rPr>
        <w:footnoteReference w:id="72"/>
      </w:r>
      <w:r>
        <w:rPr>
          <w:rFonts w:ascii="Amiri" w:hAnsi="Amiri" w:eastAsia="Amiri" w:cs="Amiri"/>
          <w:color w:val="111111"/>
          <w:sz w:val="28"/>
          <w:sz w:val="28"/>
          <w:szCs w:val="28"/>
          <w:rtl w:val="true"/>
          <w:lang w:bidi="ar-SA"/>
        </w:rPr>
        <w:t>، حيث بعد أن ذكر مستند القول بالجواز و استفاد من الروايات المجوّزة و عبّر عنها بأنّها صحيحة السند، و جعل فتوى المشهور دليلا اخر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هذه الفتوى موافقة مع العمومات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الروايات الناظرة إلى الكراهة عبّر عنها بكونها مضمرة، أو مضطربة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أنّ تأييد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عامية غير نافع، حيث إنّها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خالف العامّة</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مؤيّدة للحكم بالجواز لا الكراهة،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كون الحكم غير إلزامي لا يسوّغ عدم الاهتمام به عند جمع الأدلّة، حيث إنّ الحكم الشرعي حكم و إن كان استحبابيّا أو كراهيّا</w:t>
      </w:r>
      <w:r>
        <w:rPr>
          <w:rFonts w:eastAsia="Amiri" w:cs="Amiri" w:ascii="Amiri" w:hAnsi="Amiri"/>
          <w:color w:val="111111"/>
          <w:sz w:val="28"/>
          <w:szCs w:val="28"/>
          <w:rtl w:val="true"/>
          <w:lang w:bidi="ar-SA"/>
        </w:rPr>
        <w:t>.</w:t>
      </w:r>
      <w:bookmarkStart w:id="89" w:name="pg2470_12292"/>
    </w:p>
    <w:p>
      <w:pPr>
        <w:pStyle w:val="BookText"/>
        <w:rPr/>
      </w:pPr>
      <w:bookmarkEnd w:id="89"/>
      <w:r>
        <w:rPr>
          <w:rFonts w:ascii="Amiri" w:hAnsi="Amiri" w:eastAsia="Amiri" w:cs="Amiri"/>
          <w:color w:val="111111"/>
          <w:sz w:val="28"/>
          <w:sz w:val="28"/>
          <w:szCs w:val="28"/>
          <w:rtl w:val="true"/>
          <w:lang w:bidi="ar-SA"/>
        </w:rPr>
        <w:t>فكان فتح هذا الباب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الاستناد إلى الأدلّة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 اتقان الكيان الفقهي و ثباته</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601334_3804643083"/>
      <w:bookmarkStart w:id="91" w:name="_Toc35"/>
      <w:bookmarkEnd w:id="90"/>
      <w:r>
        <w:rPr>
          <w:rtl w:val="true"/>
        </w:rPr>
        <w:t>ن</w:t>
      </w:r>
      <w:r>
        <w:rPr>
          <w:rtl w:val="true"/>
        </w:rPr>
        <w:t xml:space="preserve">: </w:t>
      </w:r>
      <w:r>
        <w:rPr>
          <w:rtl w:val="true"/>
        </w:rPr>
        <w:t>عدم الاعتناء بالإجماعات و خلق إجماعات جديدة مدّعاة؛</w:t>
      </w:r>
      <w:bookmarkEnd w:id="91"/>
    </w:p>
    <w:p>
      <w:pPr>
        <w:pStyle w:val="BookText"/>
        <w:rPr/>
      </w:pPr>
      <w:r>
        <w:rPr>
          <w:rFonts w:ascii="Amiri" w:hAnsi="Amiri" w:eastAsia="Amiri" w:cs="Amiri"/>
          <w:color w:val="111111"/>
          <w:sz w:val="28"/>
          <w:sz w:val="28"/>
          <w:szCs w:val="28"/>
          <w:rtl w:val="true"/>
          <w:lang w:bidi="ar-SA"/>
        </w:rPr>
        <w:t>حيث إنّ هناك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عديدة لم يعتن بالإجماع بل لم يعتبره، إلّا أنّ ما فعله المرحوم الفيض قدّس سرّه في المفاتيح، هو أنّه كلّ ما واجه الإجماع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بالإجماع، أما لو لم يجد خبرا مطابقا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إنّه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الإجماع لو لم يكن معتبرا فإنّ صرف ضمّ الخبر الضعيف إليه لا يوجب صيرورته معتبرا، فلا يجعله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الموارد هناك رواية إلّا أنّها لم تصل بيده يكرّر تعبيره السالف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الشارح عند نقده لكلامه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إذا رأى مع إجماع العلماء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بأنّه إجماع، و إن لم ير معه خبرا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 عوض الخبر ظنيّا اخر، بل ظنيّا متعدّدا، كما اتّفق منه في تحريم الزنا بذات البعل و ذات العدّة الرجعيّة، فإنّه نقل موضع الخبر قياسين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الاستقراء أيضا يعضدهما فإنّ حالهما بحسب الشرع واحد غالبا، و يعضده أيضا أنّهم نقلوا النصّ على أنّ ذات العدّة الرجعيّة بحكم ذات البعل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3601336_3804643083"/>
      <w:bookmarkStart w:id="93" w:name="_Toc36"/>
      <w:bookmarkEnd w:id="92"/>
      <w:r>
        <w:rPr>
          <w:rtl w:val="true"/>
        </w:rPr>
        <w:t>س</w:t>
      </w:r>
      <w:r>
        <w:rPr>
          <w:rtl w:val="true"/>
        </w:rPr>
        <w:t xml:space="preserve">: </w:t>
      </w:r>
      <w:r>
        <w:rPr>
          <w:rtl w:val="true"/>
        </w:rPr>
        <w:t>عدم التوجه للقواعد المسلّمة؛</w:t>
      </w:r>
      <w:bookmarkEnd w:id="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ذهب البعض في مبحث البلل في باب مستحبات الغسل إلى نقل روايتين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ما أفتى به الصدوق رحمه اللّه، و ذكر قول صاحب المدارك في ذيله،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لو صحّ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تقدير الصحّة أيضا مشكل، للمخالفة للقاعدة الشرعيّة الثابتة من الأدلّة الكثيرة الموافقة لطريقة المسلمين في الأعصار و الأمصار، و لمخالفتها للأخبار الصحيحة و المعتبرة الكثيرة التي أفتى الفقهاء بها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في مقام تأسيس أصل أنّه لو كانت الرواية صحيحة السند إلّا أنّها مخالفة مع القواعد المسلّمة و القطعيّة للشريعة لا يمكن الاستناد عليها و بها فحينئذ يلزم إمّا تأويلها و توجيهها، أو طرحها 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الأساس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بحث قد عنون تحت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 الأدلّة و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يستندون إلى هذه الرواية و نظائرها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اعرضوا الحديث على سائر أحكامنا، فإن وجدتموه يشبهها فخذوا به،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أثبت أنّ حكم وجوب الطرح و عدم جواز الأخذ ليس مختصّا بالروايات المخالفة للنصوص الصريحة القرآنيّة، و القواعد القطعيّة الشرعيّة، بل الروايات التي هي مخالفة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الشهرة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عن الاعتبار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بسبب عدم الالتفات إلى هذا الأصل المهمّ جرّ جمع من الفقهاء رحمهم اللّه إلى التفردات الفقهيّة و الاستنباطات المغلوطة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يستنتج من هذه الفائدة أنّه حتّى الروايات في باب الاعتقادات و القضايا التاريخيّة لو تغايرت مع الاصول المسلّمة الاعتقاديّة للطائفة الحقّة الإماميّة لا يمكن الاستناد إليها، بل و لا يصح نقلها على أنّها رواية، إذ أنّ ذاك يوجب تضعيف المباني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من الزلل</w:t>
      </w:r>
      <w:r>
        <w:rPr>
          <w:rFonts w:eastAsia="Amiri" w:cs="Amiri" w:ascii="Amiri" w:hAnsi="Amiri"/>
          <w:color w:val="111111"/>
          <w:sz w:val="28"/>
          <w:szCs w:val="28"/>
          <w:rtl w:val="true"/>
          <w:lang w:bidi="ar-SA"/>
        </w:rPr>
        <w:t>.</w:t>
      </w:r>
      <w:bookmarkStart w:id="94" w:name="pg2470_12294"/>
    </w:p>
    <w:p>
      <w:pPr>
        <w:pStyle w:val="Heading5"/>
        <w:numPr>
          <w:ilvl w:val="4"/>
          <w:numId w:val="1"/>
        </w:numPr>
        <w:rPr/>
      </w:pPr>
      <w:bookmarkStart w:id="95" w:name="__RefHeading___Toc3601338_3804643083"/>
      <w:bookmarkStart w:id="96" w:name="_Toc37"/>
      <w:bookmarkEnd w:id="94"/>
      <w:bookmarkEnd w:id="95"/>
      <w:r>
        <w:rPr>
          <w:rtl w:val="true"/>
        </w:rPr>
        <w:t>ع</w:t>
      </w:r>
      <w:r>
        <w:rPr>
          <w:rtl w:val="true"/>
        </w:rPr>
        <w:t xml:space="preserve">- </w:t>
      </w:r>
      <w:r>
        <w:rPr>
          <w:rtl w:val="true"/>
        </w:rPr>
        <w:t>عدم الاعتناء بالشهرة؛</w:t>
      </w:r>
      <w:bookmarkEnd w:id="96"/>
    </w:p>
    <w:p>
      <w:pPr>
        <w:pStyle w:val="BookText"/>
        <w:rPr/>
      </w:pPr>
      <w:r>
        <w:rPr>
          <w:rFonts w:ascii="Amiri" w:hAnsi="Amiri" w:eastAsia="Amiri" w:cs="Amiri"/>
          <w:color w:val="111111"/>
          <w:sz w:val="28"/>
          <w:sz w:val="28"/>
          <w:szCs w:val="28"/>
          <w:rtl w:val="true"/>
          <w:lang w:bidi="ar-SA"/>
        </w:rPr>
        <w:t>حيث إنّ إطلاق التعبير بالشهرة يمكن حمله على الشهرة الروائيّة، أو العمليّة، أو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الشارح من الاهتمام بالشهرة هما الأخيران منها خاصّة، حيث إنّ نقل الرواية الضعيفة في المجاميع الحديثيّة العديدة لا يوجب الاطمئنان بصدورها، إذ أنّ حجّية الرواية تابعة لقواعدها المقرّرة الخاصّة بها، أمّا إذا كانت الرواية ضعيفة و عمل بها المشهور، ثمّ عارضتها رواية صحيحة، فنظر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الرواية المعمولة بها، و هذا ما تجده قد عمل به في غالب كتبه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وقع التعارض بين الضعيف المنجبر بالشهرة و الصحيح الغير المنجبر، يكون الضعيف مقدّما عليه، كما هو طريقة القدماء و أكثر المتأخرين، كما لا يخفى على المطّلع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التأمّل في كلمات الوحيد رحمه اللّه نجد أنّ دعوى الشهرة لا حجّية لها في نفسها، فكيف يحتجّ بها و يكون ما لا حجّية له حجّة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خصوصا إنّ الرواية الصحيحة قد أعرض عنها و لا اطمئنان لنا في حجّيتها، و إتقان الخبر أو عدم وجود قرينة مانعة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إعراض المشهور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 إنّ المسألة من المسائل المبتلى بها، و كانت بمرئى و منظر من فقهائنا الأعاظم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فإعراض القوم عن هذه الرواية و عملهم بالرواية الضعيفة و افتاؤهم على ضوئها كاف في وهنها، مثل عدم الاكتفاء بجميع الأغسال عن الوضوء عدا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سلف أنّ مقام الفقاهة مقام و منصب خطير، و قد نصّ</w:t>
      </w:r>
    </w:p>
    <w:p>
      <w:pPr>
        <w:pStyle w:val="BookText"/>
        <w:rPr/>
      </w:pPr>
      <w:r>
        <w:rPr>
          <w:rFonts w:ascii="Amiri" w:hAnsi="Amiri" w:eastAsia="Amiri" w:cs="Amiri"/>
          <w:color w:val="111111"/>
          <w:sz w:val="28"/>
          <w:sz w:val="28"/>
          <w:szCs w:val="28"/>
          <w:rtl w:val="true"/>
          <w:lang w:bidi="ar-SA"/>
        </w:rPr>
        <w:t xml:space="preserve">الشارح رحمه اللّه في الفائدة الاولى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w:t>
      </w:r>
      <w:r>
        <w:rPr>
          <w:rStyle w:val="FootnoteAnchor"/>
          <w:rtl w:val="true"/>
        </w:rPr>
        <w:footnoteReference w:id="78"/>
      </w:r>
      <w:r>
        <w:rPr>
          <w:rFonts w:ascii="Amiri" w:hAnsi="Amiri" w:eastAsia="Amiri" w:cs="Amiri"/>
          <w:color w:val="111111"/>
          <w:sz w:val="28"/>
          <w:sz w:val="28"/>
          <w:szCs w:val="28"/>
          <w:rtl w:val="true"/>
          <w:lang w:bidi="ar-SA"/>
        </w:rPr>
        <w:t>، و تعرّض مفصلا لخطورة هذا المقام و عظمته، و أدرج جملة من الآيات و الروايات المهدّدة الكثيرة الواردة في الفقه، من قبيل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79"/>
      </w:r>
      <w:r>
        <w:rPr>
          <w:rFonts w:ascii="Amiri" w:hAnsi="Amiri" w:eastAsia="Amiri" w:cs="Amiri"/>
          <w:color w:val="111111"/>
          <w:sz w:val="28"/>
          <w:sz w:val="28"/>
          <w:szCs w:val="28"/>
          <w:rtl w:val="true"/>
          <w:lang w:bidi="ar-SA"/>
        </w:rPr>
        <w:t>و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Style w:val="FootnoteAnchor"/>
          <w:rtl w:val="true"/>
        </w:rPr>
        <w:footnoteReference w:id="80"/>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بدر همين بغير ما أنزل اللّه عزّ و جل فقد كفر</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المفتي ضامن قال أ و لم يقل</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و ما ورد مكررا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المفتي على شفير السعير</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أجرأكم على الفتيا أجرأكم على اللّه تعالى</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يستنتج أنّ الفقه كلّا مبنيّ على الظنون، و الظنّ مقارب للشكّ، و يجرّ الإنسان بأدنى غفلة إلى وادي الوهم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اعتصم الفقهاء في مقام الإفتاء بالاحتياط مهما أمكن، و عليه فليس لمن له أدنى قدر من التقوى و العلم أن يفتخر بدعوى تركه الاحتياط،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تركنا مئات الاحتياطات في الرسائل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شكّ أنّ ضرر عدم الاحتياط و تركه عند سلوك هذه الجادة أخطر من ترك الاحتياط في عالم الطبّ، لكونه هذا أعظم خطرا، لما يلزم من كون الطبيب القاصر غير المحتاط عدوّ النفوس</w:t>
      </w:r>
    </w:p>
    <w:p>
      <w:pPr>
        <w:pStyle w:val="BookText"/>
        <w:rPr/>
      </w:pPr>
      <w:r>
        <w:rPr>
          <w:rFonts w:ascii="Amiri" w:hAnsi="Amiri" w:eastAsia="Amiri" w:cs="Amiri"/>
          <w:color w:val="111111"/>
          <w:sz w:val="28"/>
          <w:sz w:val="28"/>
          <w:szCs w:val="28"/>
          <w:rtl w:val="true"/>
          <w:lang w:bidi="ar-SA"/>
        </w:rPr>
        <w:t xml:space="preserve">و الأرواح، و الفقيه القاصر غير المحتاط عدوّ الدين و الإيمان و اعتقادات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عصمنا اللّه و إيّاكم من مضلّات الفتن، و من الزلّات و الهفوات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نعم المولى و 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 الغدير الأغرّ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المير السيّد محمّد اليثربي الكاشاني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97" w:name="pg2470_12297"/>
    </w:p>
    <w:p>
      <w:pPr>
        <w:pStyle w:val="Heading3"/>
        <w:numPr>
          <w:ilvl w:val="2"/>
          <w:numId w:val="1"/>
        </w:numPr>
        <w:rPr/>
      </w:pPr>
      <w:bookmarkStart w:id="98" w:name="__RefHeading___Toc3601340_3804643083"/>
      <w:bookmarkStart w:id="99" w:name="_Toc38"/>
      <w:bookmarkEnd w:id="97"/>
      <w:bookmarkEnd w:id="98"/>
      <w:r>
        <w:rPr>
          <w:rtl w:val="true"/>
        </w:rPr>
        <w:t>[</w:t>
      </w:r>
      <w:r>
        <w:rPr>
          <w:rtl w:val="true"/>
        </w:rPr>
        <w:t>مقدمة مؤسسة البهبهاني</w:t>
      </w:r>
      <w:r>
        <w:rPr>
          <w:rtl w:val="true"/>
        </w:rPr>
        <w:t>]</w:t>
      </w:r>
      <w:bookmarkEnd w:id="99"/>
    </w:p>
    <w:p>
      <w:pPr>
        <w:pStyle w:val="Heading4"/>
        <w:numPr>
          <w:ilvl w:val="3"/>
          <w:numId w:val="1"/>
        </w:numPr>
        <w:rPr/>
      </w:pPr>
      <w:bookmarkStart w:id="100" w:name="__RefHeading___Toc3601342_3804643083"/>
      <w:bookmarkStart w:id="101" w:name="_Toc39"/>
      <w:bookmarkEnd w:id="100"/>
      <w:r>
        <w:rPr>
          <w:rtl w:val="true"/>
        </w:rPr>
        <w:t>لمحة من حياة العلّامة الوحيد البهبهاني رحمه اللّه</w:t>
      </w:r>
      <w:bookmarkEnd w:id="101"/>
    </w:p>
    <w:p>
      <w:pPr>
        <w:pStyle w:val="Heading5"/>
        <w:numPr>
          <w:ilvl w:val="4"/>
          <w:numId w:val="1"/>
        </w:numPr>
        <w:rPr/>
      </w:pPr>
      <w:bookmarkStart w:id="102" w:name="__RefHeading___Toc3601344_3804643083"/>
      <w:bookmarkStart w:id="103" w:name="_Toc40"/>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لمحة من حياة العلّامة الوحيد البهبهاني رحمه اللّه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مؤلّفنا العظيم، استاد الكلّ، العلّامة المجدّد الآقا محمّد باقر بن محمّد أكمل ولد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أصفهان، كما نقل حفيده العالم آقا أحمد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3601346_3804643083"/>
      <w:bookmarkStart w:id="105" w:name="_Toc41"/>
      <w:bookmarkEnd w:id="104"/>
      <w:r>
        <w:rPr>
          <w:rtl w:val="true"/>
        </w:rPr>
        <w:t>نسبه</w:t>
      </w:r>
      <w:r>
        <w:rPr>
          <w:rtl w:val="true"/>
        </w:rPr>
        <w:t>:</w:t>
      </w:r>
      <w:bookmarkEnd w:id="1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ينتهي نسب شيخنا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سيّد الأعيان، و شيخنا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عشرة واسطة من طرف أبيه إلى الشيخ الأعظم محمّد بن محمّد بن النعمان المفيد قدّس سرّه </w:t>
      </w:r>
      <w:r>
        <w:rPr>
          <w:rStyle w:val="FootnoteAnchor"/>
          <w:rtl w:val="true"/>
        </w:rPr>
        <w:footnoteReference w:id="88"/>
      </w:r>
      <w:r>
        <w:rPr>
          <w:rFonts w:ascii="Amiri" w:hAnsi="Amiri" w:eastAsia="Amiri" w:cs="Amiri"/>
          <w:color w:val="111111"/>
          <w:sz w:val="28"/>
          <w:sz w:val="28"/>
          <w:szCs w:val="28"/>
          <w:rtl w:val="true"/>
          <w:lang w:bidi="ar-SA"/>
        </w:rPr>
        <w:t xml:space="preserve">، و من جهة أمّه بثلاث وسائط إلى المحدّث الكبير و العالم الربّاني المجلسي الأوّل، و من هنا نراه قد عبّر في تاليفه عن المجلسي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المجلسي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 أنّ في ضمن حلقاته السببيّة نجد جمعا من الفطاحل و الأوتاد أمثال العالم الصالح العلّامة ملّا صالح المازندراني قدّس سرّه</w:t>
      </w:r>
      <w:r>
        <w:rPr>
          <w:rFonts w:eastAsia="Amiri" w:cs="Amiri" w:ascii="Amiri" w:hAnsi="Amiri"/>
          <w:color w:val="111111"/>
          <w:sz w:val="28"/>
          <w:szCs w:val="28"/>
          <w:rtl w:val="true"/>
          <w:lang w:bidi="ar-SA"/>
        </w:rPr>
        <w:t>.</w:t>
      </w:r>
      <w:bookmarkStart w:id="106" w:name="pg2470_12298"/>
    </w:p>
    <w:p>
      <w:pPr>
        <w:pStyle w:val="BookText"/>
        <w:rPr/>
      </w:pPr>
      <w:bookmarkEnd w:id="106"/>
      <w:r>
        <w:rPr>
          <w:rFonts w:ascii="Amiri" w:hAnsi="Amiri" w:eastAsia="Amiri" w:cs="Amiri"/>
          <w:color w:val="111111"/>
          <w:sz w:val="28"/>
          <w:sz w:val="28"/>
          <w:szCs w:val="28"/>
          <w:rtl w:val="true"/>
          <w:lang w:bidi="ar-SA"/>
        </w:rPr>
        <w:t>و على هذا، فمترجمنا ولد و ترعرع و شبّ و شاب و انحدر من أبرز و أعرق البيوتات العلميّة في الطائفة الإماميّة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601348_3804643083"/>
      <w:bookmarkStart w:id="108" w:name="_Toc42"/>
      <w:bookmarkEnd w:id="107"/>
      <w:r>
        <w:rPr>
          <w:rtl w:val="true"/>
        </w:rPr>
        <w:t>أبوه</w:t>
      </w:r>
      <w:r>
        <w:rPr>
          <w:rtl w:val="true"/>
        </w:rPr>
        <w:t>:</w:t>
      </w:r>
      <w:bookmarkEnd w:id="108"/>
    </w:p>
    <w:p>
      <w:pPr>
        <w:pStyle w:val="BookText"/>
        <w:rPr/>
      </w:pPr>
      <w:r>
        <w:rPr>
          <w:rFonts w:ascii="Amiri" w:hAnsi="Amiri" w:eastAsia="Amiri" w:cs="Amiri"/>
          <w:color w:val="111111"/>
          <w:sz w:val="28"/>
          <w:sz w:val="28"/>
          <w:szCs w:val="28"/>
          <w:rtl w:val="true"/>
          <w:lang w:bidi="ar-SA"/>
        </w:rPr>
        <w:t xml:space="preserve">العالم الفاضل، الكامل الماهر، المحقّق المدقّق الباذل، بل الأعلم الأفضل الأكمل استاذ الأساتيد، و شيخ مشايخ الفقهاء الآقا محمّد أكمل بن محمّد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عبّر مصنّفنا الوحيد رحمه اللّه عن أبيه في إجازته المختصرة التي منحها للسيد بحر العلوم، و هي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يستشهد به لإثبات و تثبيت مراتب والده قدّس سرّه العلميّة و العمليّة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3601350_3804643083"/>
      <w:bookmarkStart w:id="110" w:name="_Toc43"/>
      <w:bookmarkEnd w:id="109"/>
      <w:r>
        <w:rPr>
          <w:rtl w:val="true"/>
        </w:rPr>
        <w:t>صباه</w:t>
      </w:r>
      <w:r>
        <w:rPr>
          <w:rtl w:val="true"/>
        </w:rPr>
        <w:t>:</w:t>
      </w:r>
      <w:bookmarkEnd w:id="110"/>
    </w:p>
    <w:p>
      <w:pPr>
        <w:pStyle w:val="BookText"/>
        <w:rPr/>
      </w:pPr>
      <w:r>
        <w:rPr>
          <w:rFonts w:ascii="Amiri" w:hAnsi="Amiri" w:eastAsia="Amiri" w:cs="Amiri"/>
          <w:color w:val="111111"/>
          <w:sz w:val="28"/>
          <w:sz w:val="28"/>
          <w:szCs w:val="28"/>
          <w:rtl w:val="true"/>
          <w:lang w:bidi="ar-SA"/>
        </w:rPr>
        <w:t>مرّت مراحل صباه و باكورة شبابه في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أحضان والده العظيم و رعايته حيث سعى له بتعليمه مبادئ العربيّة و الأوّليّات الدراسيّة و 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حرم من والده العظيم و اكتسحت أصفهان موجة من الاضطرابات التي ألجأت شيخنا إلى الهجرة إلى النجف الأشرف، و تهيّأت له الأسباب هناك لتحصيل و تكميل ما تعلّمه من العلوم العقليّة و النقليّة عند العالمين العالمين السيّد محمّد الطباطبائي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صدر الدين القمّي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وافية الاصول</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3601352_3804643083"/>
      <w:bookmarkStart w:id="112" w:name="_Toc44"/>
      <w:bookmarkEnd w:id="111"/>
      <w:r>
        <w:rPr>
          <w:rtl w:val="true"/>
        </w:rPr>
        <w:t>أساتذته</w:t>
      </w:r>
      <w:r>
        <w:rPr>
          <w:rtl w:val="true"/>
        </w:rPr>
        <w:t>:</w:t>
      </w:r>
      <w:bookmarkEnd w:id="11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تعرض إلى حياة شيخنا الأعظم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أساتذته</w:t>
      </w:r>
      <w:bookmarkStart w:id="113" w:name="pg2470_12299"/>
    </w:p>
    <w:p>
      <w:pPr>
        <w:pStyle w:val="BookText"/>
        <w:rPr/>
      </w:pPr>
      <w:bookmarkEnd w:id="113"/>
      <w:r>
        <w:rPr>
          <w:rFonts w:ascii="Amiri" w:hAnsi="Amiri" w:eastAsia="Amiri" w:cs="Amiri"/>
          <w:color w:val="111111"/>
          <w:sz w:val="28"/>
          <w:sz w:val="28"/>
          <w:szCs w:val="28"/>
          <w:rtl w:val="true"/>
          <w:lang w:bidi="ar-SA"/>
        </w:rPr>
        <w:t>المولى محمّد أكمل و السيّد محمّد الطباطبائي، و السيّد صدر الدين القمّي، إلّا أنّا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في إجازته التي منحها للسيّد بحر العلوم و الاخرى التي شرّف بها ملّا محمد باقر الأسترآبادي إلى جمع اخر من مشايخه، الذين عبّر عنهم بتعابير مختلفة و الفاظ مادحة مثل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استاذنا و من هو في العلوم العقليّة و النقليّة استنادنا، العالم الكامل الفاضل، المحقّق المدقّق، الأواحد المؤيّد، الحاج الشيخ محمّد بن الحاج محمّد زمان القاساني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العالم الفاضل الجليل، الفقيه المتفقّه النبيل، الآميرزا إبراهيم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الإسلام و معاذ المسلمين، الأمير محمّد حسين بن العلّامة الأمير محمّد صالح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الحسيب، ذي المناقب و المفاخر، الآميرزا محمّد باقر بن السيّد المحقّق الآميرزا علاء الدين گلستانه،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 الأفخم، و الاستاذ الأعظم، سمي خاتم الأولياء، السيّد محمّد مهدي، عن الوالد المسدّد و الحبر المؤيّد </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3601354_3804643083"/>
      <w:bookmarkStart w:id="115" w:name="_Toc45"/>
      <w:bookmarkEnd w:id="114"/>
      <w:r>
        <w:rPr>
          <w:rtl w:val="true"/>
        </w:rPr>
        <w:t>مشايخ إجازاته</w:t>
      </w:r>
      <w:r>
        <w:rPr>
          <w:rtl w:val="true"/>
        </w:rPr>
        <w:t>:</w:t>
      </w:r>
      <w:bookmarkEnd w:id="115"/>
    </w:p>
    <w:p>
      <w:pPr>
        <w:pStyle w:val="BookText"/>
        <w:rPr/>
      </w:pPr>
      <w:r>
        <w:rPr>
          <w:rFonts w:ascii="Amiri" w:hAnsi="Amiri" w:eastAsia="Amiri" w:cs="Amiri"/>
          <w:color w:val="111111"/>
          <w:sz w:val="28"/>
          <w:sz w:val="28"/>
          <w:szCs w:val="28"/>
          <w:rtl w:val="true"/>
          <w:lang w:bidi="ar-SA"/>
        </w:rPr>
        <w:t>الذي يظهر من مجموع من أجازهم الوحيد رحمه اللّه ممّا وصل بأيدينا؛ أنّ مشايخه في الإجازة من أساتذته و غيرهم هم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المتفقّه النبيل الآميرزا إبراهيم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الآميرزا محمّد باقر بن السيّد المحقّق الآميرزا علاء الدين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بن الحاج محمّد زمان القاساني</w:t>
      </w:r>
      <w:r>
        <w:rPr>
          <w:rFonts w:eastAsia="Amiri" w:cs="Amiri" w:ascii="Amiri" w:hAnsi="Amiri"/>
          <w:color w:val="111111"/>
          <w:sz w:val="28"/>
          <w:szCs w:val="28"/>
          <w:rtl w:val="true"/>
          <w:lang w:bidi="ar-SA"/>
        </w:rPr>
        <w:t>.</w:t>
      </w:r>
      <w:bookmarkStart w:id="116" w:name="pg2470_12300"/>
    </w:p>
    <w:p>
      <w:pPr>
        <w:pStyle w:val="BookText"/>
        <w:rPr/>
      </w:pPr>
      <w:bookmarkEnd w:id="116"/>
      <w:r>
        <w:rPr>
          <w:rFonts w:ascii="Amiri" w:hAnsi="Amiri" w:eastAsia="Amiri" w:cs="Amiri"/>
          <w:color w:val="111111"/>
          <w:sz w:val="28"/>
          <w:sz w:val="28"/>
          <w:szCs w:val="28"/>
          <w:rtl w:val="true"/>
          <w:lang w:bidi="ar-SA"/>
        </w:rPr>
        <w:t>الأمير محمّد حسين بن العلّامة الأمير محمّد صالح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رأسهم والده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سلف</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3601356_3804643083"/>
      <w:bookmarkStart w:id="118" w:name="_Toc46"/>
      <w:bookmarkEnd w:id="117"/>
      <w:r>
        <w:rPr>
          <w:rtl w:val="true"/>
        </w:rPr>
        <w:t>الذين أجازهم</w:t>
      </w:r>
      <w:r>
        <w:rPr>
          <w:rtl w:val="true"/>
        </w:rPr>
        <w:t>:</w:t>
      </w:r>
      <w:bookmarkEnd w:id="118"/>
    </w:p>
    <w:p>
      <w:pPr>
        <w:pStyle w:val="BookText"/>
        <w:rPr/>
      </w:pPr>
      <w:r>
        <w:rPr>
          <w:rFonts w:ascii="Amiri" w:hAnsi="Amiri" w:eastAsia="Amiri" w:cs="Amiri"/>
          <w:color w:val="111111"/>
          <w:sz w:val="28"/>
          <w:sz w:val="28"/>
          <w:szCs w:val="28"/>
          <w:rtl w:val="true"/>
          <w:lang w:bidi="ar-SA"/>
        </w:rPr>
        <w:t>لقد منح شيخنا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من الأعلام ممّن استجازه فأجازه، و التي بأيدينا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للشيخ أبي علي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للسيّد علي بن محمّد علي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لحسين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لسعيد بن محمّد يوسف القراجه‌داغي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لعليّ بن كاظم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لمحمّد بن يوسف بن عماد مير فتّاح الحسني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للسيّد محمّد مهدي بحر العلوم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601358_3804643083"/>
      <w:bookmarkStart w:id="120" w:name="_Toc47"/>
      <w:bookmarkEnd w:id="119"/>
      <w:r>
        <w:rPr>
          <w:rtl w:val="true"/>
        </w:rPr>
        <w:t>عصره</w:t>
      </w:r>
      <w:r>
        <w:rPr>
          <w:rtl w:val="true"/>
        </w:rPr>
        <w:t>:</w:t>
      </w:r>
      <w:bookmarkEnd w:id="120"/>
    </w:p>
    <w:p>
      <w:pPr>
        <w:pStyle w:val="BookText"/>
        <w:rPr/>
      </w:pPr>
      <w:r>
        <w:rPr>
          <w:rFonts w:ascii="Amiri" w:hAnsi="Amiri" w:eastAsia="Amiri" w:cs="Amiri"/>
          <w:color w:val="111111"/>
          <w:sz w:val="28"/>
          <w:sz w:val="28"/>
          <w:szCs w:val="28"/>
          <w:rtl w:val="true"/>
          <w:lang w:bidi="ar-SA"/>
        </w:rPr>
        <w:t>تمتاز الفترة الزمنيّة التي عاصرها شيخنا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مليئة بالحوادث المرّة المؤلمة، فنجد التهاجم الروسي و التركي و الأفغاني على بلاد إيران و حاكميّة محمود أفغان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استئصال الشيعة و محاولة إبادتهم بواسطة تهاجم أبناء العامّة عليهم آنذاك، و بعدها سلطنة نادرشاه و تحميل معاهدة دشت مغان لتضعيف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اخر رواج المذهب الأخباري مع تموّج الهجرة و التعصّب و الانزواء من أعلام علماء الشيعة و مفكّريهم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اخرى رشد و انتشار التصوّف و اللادينيّة باسم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غيره من الزوابع التي ينتظر من فقيدنا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أمامها كي يحيي شريعة سيّد الرسل صلّى اللّه عليه و آله و سلم، و من ثمّ أن يوجد الحلّ المناسب لها مع ما تمليه عليه وظيفته الشرعيّة من الطرق العلاجيّة لأمثال هذه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أوّل قدم رفعها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يحدّثنا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غادر مسقط رأسه، بعد أن فقد عماده و والده المعظّم؛ كي يترك آنذاك المحيط المشوب بالفتن و الاضطرابات، و ليستغلّ هجرته كي يعطي المجتمع الشيعي جملة من مؤلّفاته و رسائله في باب الإمامة و غيره، و ليربّي ثلّة طاهرة من الأعلام يبثّهم في بلاد الإسلام؛ كي يحافظوا المعتقدات الشيعيّة، و يسعوا في حماية مبادئ 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يجد مترجمنا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الأرضيّة المساعدة للعودة إلى بلده إيران يتوجّه إلى بلدة بهبهان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تعدّ آنذاك معقلا مهمّا للأخباريين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يلبث هناك ثلاثين سنة يسبغ فيها رعايته و عنايته العلميّة، و يدفع خلالها الخطر الكبير المتوجّه إلى 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تفريغ المذهب من القدرة العقليّة و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حكّ تهمة الجمود و التحجّر اللتين و سمت بهما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ذاك يهاجر مجدّدنا مجدّدا إلى كربلاء كي يرعى و يحنو على حوزتها العلميّة؛ ليبدأ جهادا جديدا و بشكل اخر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يغافل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ذلك عن خطر رسوخ فكرة التصوّف و استغلال وساطة بعض جهّال الطائفة من قبل هذه الفرقة، ممّا حدى به إلى إرسال ولده الأرشد العالم المجتهد الآقا محمّد علي لإطفاء هذه الغائلة التي تمركزت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كرمانشاه و حواليها، فكان ذلك الشبل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بهذه المهمّة الصعبة، و لا غرابة؛ إذ تربّى في ذلك الحضن الطاهر، و رعي من ذلك</w:t>
      </w:r>
      <w:bookmarkStart w:id="121" w:name="pg2470_12302"/>
    </w:p>
    <w:p>
      <w:pPr>
        <w:pStyle w:val="BookText"/>
        <w:rPr/>
      </w:pPr>
      <w:bookmarkEnd w:id="121"/>
      <w:r>
        <w:rPr>
          <w:rFonts w:ascii="Amiri" w:hAnsi="Amiri" w:eastAsia="Amiri" w:cs="Amiri"/>
          <w:color w:val="111111"/>
          <w:sz w:val="28"/>
          <w:sz w:val="28"/>
          <w:szCs w:val="28"/>
          <w:rtl w:val="true"/>
          <w:lang w:bidi="ar-SA"/>
        </w:rPr>
        <w:t xml:space="preserve">الأب الكبير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3601360_3804643083"/>
      <w:bookmarkStart w:id="123" w:name="_Toc48"/>
      <w:bookmarkEnd w:id="122"/>
      <w:r>
        <w:rPr>
          <w:rtl w:val="true"/>
        </w:rPr>
        <w:t>نزوله بلدة بهبهان</w:t>
      </w:r>
      <w:r>
        <w:rPr>
          <w:rtl w:val="true"/>
        </w:rPr>
        <w:t>:</w:t>
      </w:r>
      <w:bookmarkEnd w:id="123"/>
    </w:p>
    <w:p>
      <w:pPr>
        <w:pStyle w:val="BookText"/>
        <w:rPr/>
      </w:pPr>
      <w:r>
        <w:rPr>
          <w:rFonts w:ascii="Amiri" w:hAnsi="Amiri" w:eastAsia="Amiri" w:cs="Amiri"/>
          <w:color w:val="111111"/>
          <w:sz w:val="28"/>
          <w:sz w:val="28"/>
          <w:szCs w:val="28"/>
          <w:rtl w:val="true"/>
          <w:lang w:bidi="ar-SA"/>
        </w:rPr>
        <w:t xml:space="preserve">الذي يظهر ممّا أفاده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هاجر من أصفهان إلى النجف الأشرف، و تزوّد من معين تلك الحوزة الطاهرة علما و عملا، و استفاد من محضر أساتذة الفنّ آنذاك، و صاهر استاذه السيّد محمّد الطباطبائي على ابنته، كرّ راجعا إلى بهبهان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 هناك ما يزيد على ثلاثين سنة، و من هنا اكتسب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و اشتهر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القول؛ أنّ مبدأ ذياع صيته العلميّ و مقامه الفقهي إلى الأطراف و الأكناف كان خلال توقّفه في هذه البلدة التي أقام فيها، بالإضافة إلى دوره التربوي في إرشاد العوام و تربية الطلّاب، مع مساعيه الحثيثة و الجادّة في التأليف و التصنيف، إلّا أنّ روحه العالية و صدره الموّاج بالعلوم و الفنون لم يسمحا له بالبقاء أكثر من ذلك في تلك البلدة، لذا كرّ راجعا إلى بلدة كربلاء المقدّسة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3601362_3804643083"/>
      <w:bookmarkStart w:id="125" w:name="_Toc49"/>
      <w:bookmarkEnd w:id="124"/>
      <w:r>
        <w:rPr>
          <w:rtl w:val="true"/>
        </w:rPr>
        <w:t>هجرته إلى كربلاء</w:t>
      </w:r>
      <w:r>
        <w:rPr>
          <w:rtl w:val="true"/>
        </w:rPr>
        <w:t>:</w:t>
      </w:r>
      <w:bookmarkEnd w:id="125"/>
    </w:p>
    <w:p>
      <w:pPr>
        <w:pStyle w:val="Heading6"/>
        <w:numPr>
          <w:ilvl w:val="5"/>
          <w:numId w:val="1"/>
        </w:numPr>
        <w:rPr/>
      </w:pPr>
      <w:bookmarkStart w:id="126" w:name="__RefHeading___Toc3601364_3804643083"/>
      <w:bookmarkStart w:id="127" w:name="_Toc50"/>
      <w:bookmarkEnd w:id="126"/>
      <w:r>
        <w:rPr>
          <w:rtl w:val="true"/>
        </w:rPr>
        <w:t>اشارة</w:t>
      </w:r>
      <w:bookmarkEnd w:id="1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يحدّثنا المرحوم العلّامة المامقاني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قطن مدّة بهبهان؛ فلمّا استكمل على يد والده انتقل إلى العراق فورد النجف الأشرف، و حضر مجلس بحث مدرّس ذلك الوقت فلم يجده كاملا، فانتقل إلى كربلاء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يومئذ مجمع الأخباريّين، و رئيسهم يومئذ الشيخ يوسف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بحثه أيّاما، ثمّ وقف يوما في</w:t>
      </w:r>
    </w:p>
    <w:p>
      <w:pPr>
        <w:pStyle w:val="BookText"/>
        <w:rPr/>
      </w:pPr>
      <w:r>
        <w:rPr>
          <w:rFonts w:ascii="Amiri" w:hAnsi="Amiri" w:eastAsia="Amiri" w:cs="Amiri"/>
          <w:color w:val="111111"/>
          <w:sz w:val="28"/>
          <w:sz w:val="28"/>
          <w:szCs w:val="28"/>
          <w:rtl w:val="true"/>
          <w:lang w:bidi="ar-SA"/>
        </w:rPr>
        <w:t>الصحن الشريف و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عليكم، فاجتمعوا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الشيخ يوسف يمكّنني من منبره و يأمر تلامذته أن يحضروا تحت منبري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فأخبروا الشيخ يوسف بذلك، و حيث أنّه يومئذ كان عادلا عن مذهب الأخباريّة خائفا من إظهار ذلك من جهّالهم طابت نفسه بالإجابة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هذا مبدأ تحوّل عظيم في تأريخ التشيّع؛ إذ اتّفق الجلّ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لا هذه الحركة المباركة و الهجرة العلميّة لكان اليوم مسير الفقه الشيعي و تأريخ الاجتهاد و الاستنباط بشكل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قد نقل لنا تلميذ المترجم المولى الحائري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الهجرة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يخطر بخاطره الشريف الارتحال منها إلى بعض البلدان تغيّر الدهر و تنكّد الزمان، فرأى الإمام عليه السّلام في المنام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أرضى لك أن تخرج من 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فجزم العزم على الإقامة بذلك النادي، و قد كانت بلدان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المشهدين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قبل قدومه من معاشر الأخباريّين، بل و من جاهليهم و القاصرين، حتّى أنّ الرجل منهم كان إذا أراد حمل كتاب من كتب فقهائنا رضي اللّه عنهم حمله مع منديل، و قد أخلى اللّه البلاد منهم ببركة قدومه و اهتدى المتحيّرة في الأحكام بأنوار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كلّ من عاصره من المجتهدين، فإنّما أخذ من فوائده و استفاد من فرائده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تعدّ هذه الهجرة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لخدمات كبيرة و آثار عظيمة في العالم الإسلامي</w:t>
      </w:r>
      <w:r>
        <w:rPr>
          <w:rFonts w:eastAsia="Amiri" w:cs="Amiri" w:ascii="Amiri" w:hAnsi="Amiri"/>
          <w:color w:val="111111"/>
          <w:sz w:val="28"/>
          <w:szCs w:val="28"/>
          <w:rtl w:val="true"/>
          <w:lang w:bidi="ar-SA"/>
        </w:rPr>
        <w:t>.</w:t>
      </w:r>
      <w:bookmarkStart w:id="128" w:name="pg2470_12304"/>
    </w:p>
    <w:p>
      <w:pPr>
        <w:pStyle w:val="Heading6"/>
        <w:numPr>
          <w:ilvl w:val="5"/>
          <w:numId w:val="1"/>
        </w:numPr>
        <w:rPr/>
      </w:pPr>
      <w:bookmarkStart w:id="129" w:name="__RefHeading___Toc3601366_3804643083"/>
      <w:bookmarkStart w:id="130" w:name="_Toc51"/>
      <w:bookmarkEnd w:id="128"/>
      <w:bookmarkEnd w:id="129"/>
      <w:r>
        <w:rPr>
          <w:rtl w:val="true"/>
        </w:rPr>
        <w:t>أياديه في كربلاء</w:t>
      </w:r>
      <w:r>
        <w:rPr>
          <w:rtl w:val="true"/>
        </w:rPr>
        <w:t>:</w:t>
      </w:r>
      <w:bookmarkEnd w:id="130"/>
    </w:p>
    <w:p>
      <w:pPr>
        <w:pStyle w:val="BookText"/>
        <w:rPr/>
      </w:pPr>
      <w:r>
        <w:rPr>
          <w:rFonts w:ascii="Amiri" w:hAnsi="Amiri" w:eastAsia="Amiri" w:cs="Amiri"/>
          <w:color w:val="111111"/>
          <w:sz w:val="28"/>
          <w:sz w:val="28"/>
          <w:szCs w:val="28"/>
          <w:rtl w:val="true"/>
          <w:lang w:bidi="ar-SA"/>
        </w:rPr>
        <w:t xml:space="preserve">لعلّ أكبر خدمة و أنفس موقف يمكن أن يختصّ به وحيدنا الوحيد رحمه اللّه في كربلاء هو تطهيره الفقه الشيعي و السير الاجتهادي من براثن التحجّر و الجمود، و إنقاذ المذهب من الانحراف و الاعوجاج الفكري الذي أولده بعض الأخباريين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أن تعدّ هذه العطيّة الإلهيّة و المنحة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وجود شيخنا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بأيّام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دوره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جميع المورّخين و 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استغلّ من قبل كلّ من عاصره و لحق به على مدّ التاريخ متنعّما بما بسطه على موائده العلميّة من علوم عقليّة و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أعاظم مشايخ علماء الدين المبين، و كبار الفقهاء و المحدّثين، تنتهي سلسلة أسانيد أكثر العلماء ممّن جاء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بل سلسلة تتلمذ جميع المشاهير إليه، و لذا لقّب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استاذ الكلّ في الكلّ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بالإضافة إلى ذلك فقد وفّق شيخنا المترجم إلى تربية باقة من خيرة المجتهدين، كلّ واحد منهم يعدّ آية و نجما يتلألأ في افق تأريخ الفقاهة و يفيض في ساحته، كما و قد وفّق إلى تأليف رسائل و كتب يعدّ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ما كتب في ذلك الفنّ في تلك البرهة، و سنأتي بعدّها و تعدادها قريبا</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601368_3804643083"/>
      <w:bookmarkStart w:id="132" w:name="_Toc52"/>
      <w:bookmarkEnd w:id="131"/>
      <w:r>
        <w:rPr>
          <w:rtl w:val="true"/>
        </w:rPr>
        <w:t>ما قيل فيه</w:t>
      </w:r>
      <w:r>
        <w:rPr>
          <w:rtl w:val="true"/>
        </w:rPr>
        <w:t>:</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لعلّنا لا نغالي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 بين علماء و أعاظم الشيعة من وفّق لأن تتّفق</w:t>
      </w:r>
    </w:p>
    <w:p>
      <w:pPr>
        <w:pStyle w:val="BookText"/>
        <w:rPr/>
      </w:pPr>
      <w:r>
        <w:rPr>
          <w:rFonts w:ascii="Amiri" w:hAnsi="Amiri" w:eastAsia="Amiri" w:cs="Amiri"/>
          <w:color w:val="111111"/>
          <w:sz w:val="28"/>
          <w:sz w:val="28"/>
          <w:szCs w:val="28"/>
          <w:rtl w:val="true"/>
          <w:lang w:bidi="ar-SA"/>
        </w:rPr>
        <w:t>عليه أنظار معاصريه في جميع أبعاده العلميّة و العمليّة، نظير شيخنا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توفيقاته الوافرة في ترويج الدين الحنيف و تحكيم مباني الشرع المنيف لا تعدّ و لا تحصى، و لنذكر لك نزرا يسيرا 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المحقّق الشيخ عبد النبي القزويني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ممّن عاصر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محمّد باقر بن أكمل الدين محمّد الأصبهاني البهبهاني الحائري، فقيه العصر، فريد الدهر، وحيد الزمان، صدر فضلاء الزمان، صاحب الفكر العميق و الذهن الدقيق، صرف عمره في اقتناء العلوم و اكتساب المعارف و الدقائق و تكميل النفس بالعلم بالحقائق، فحباه اللّه باستعداده علوما لم يسبقه أحد فيها من المتقدّمين و لا يلحقه أحد من المتأخّرين إلّا بالأخذ منه، و رزقه من العلوم ما لا عين رأت و لا اذن سمعت؛ لدقّتها و رقّتها و وقوعها موقعها، فصار اليوم إماما في العلم، و ركنا للدين، و شمسا لإزالة ظلم الجهالة، و بدرا لإزاحة دياجير البطالة، فاستنارت الطلبة بعلومه، و استضاء الطالبون بفهومه، و استطارت فتاواه كشعاع الشمس في الإشراق، مدّ اللّه ظلاله على العالمين، و أمدّهم بجود وجوده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زهده في الدنيا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السدد السنيّة و الأعتاب العليّة، فجعل مجاورتها له أقرّ من رقدة الوسنان، و أثلج من شربة الظمئان، و أذهب للجوع من رغفة الجوعان، فصيّر ترابها ذرورا لباصرته، و ماءها المملّح الزعاق أحلى من السكّر لذائقته، و همهمة الزوّار مقوّية لسامعته، و رمالها و جنادلها مفرشا ليّنا للامسته، و رياح أعراق الزائرين غالية لشامّته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أراد عراق العجم و خراسان، و شيراز و اصبهان، لحملوه إليهم بأجفان العيون، و جعلوه إماما يركنون إليه و إليه يوفضون، يصرفون له</w:t>
      </w:r>
    </w:p>
    <w:p>
      <w:pPr>
        <w:pStyle w:val="BookText"/>
        <w:rPr/>
      </w:pPr>
      <w:r>
        <w:rPr>
          <w:rFonts w:ascii="Amiri" w:hAnsi="Amiri" w:eastAsia="Amiri" w:cs="Amiri"/>
          <w:color w:val="111111"/>
          <w:sz w:val="28"/>
          <w:sz w:val="28"/>
          <w:szCs w:val="28"/>
          <w:rtl w:val="true"/>
          <w:lang w:bidi="ar-SA"/>
        </w:rPr>
        <w:t xml:space="preserve">نقودهم و جواهرهم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أنفسهم فداء له ظاهرهم و باطنهم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يحدّثنا تلميذه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استادنا العالم العلّامة، و شيخنا الفاضل الفهّامة، دام علاه، و مدّ في بقاه، علّامة الزمان، و نادرة الدوران، عالم عرّيف، و فاضل غطريف، ثقة و أيّ ثقة، ركن الطائفة و عمادها، و أورع نسّاكها و عبّادها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ملّة سيّد البشر في رأس المائة الثانية عشر، باقر العلم و نحريره، و الشاهد عليه تحقيقه و تحبيره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فنون الفضل فانعقدت عليه الخناصر، و حوى صنوف العلم فانقاد له المعاصر، و الحريّ ألا يمدحه مثلي و يصف؛ فلعمري تفنى في نعته القراطيس و الصحف؛ لأنّه المولى الذي لم يكتحل عين الزمان له بنظير، كما يشهد له من شهد فضائله، و لا ينبّئك مثل خبير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وصفه تلميذه السيّد محمّد مهدي بحر العلوم في بعض إجازاته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العالم العامل العلّامة، و استاذنا الحبر الفاضل الفهّامة، المحقّق النحرير، و الفقيه العديم النظير، بقيّة العلماء، و نادرة الفضلاء، مجدّد ما اندرس من طريقة الفقهاء، و معيد ما انمحى من آثار القدماء، البحر الزاخر، و الإمام الباهر، الشيخ محمّد باقر ابن الشيخ الأجلّ الأكمل و المولى الأعظم الأبجل المولى محمّد أكمل أعزّه اللّه تعالى برحمته الكاملة و ألطافه السابغة الشاملة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عنه تلميذه الشيخ أسد اللّه الكاظمي الدزفولي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الأعظم، شيخنا العظيم الشأن، الساطع البرهان، كشّاف قواعد الإسلام، حلّال معاقد</w:t>
      </w:r>
    </w:p>
    <w:p>
      <w:pPr>
        <w:pStyle w:val="BookText"/>
        <w:rPr/>
      </w:pPr>
      <w:r>
        <w:rPr>
          <w:rFonts w:ascii="Amiri" w:hAnsi="Amiri" w:eastAsia="Amiri" w:cs="Amiri"/>
          <w:color w:val="111111"/>
          <w:sz w:val="28"/>
          <w:sz w:val="28"/>
          <w:szCs w:val="28"/>
          <w:rtl w:val="true"/>
          <w:lang w:bidi="ar-SA"/>
        </w:rPr>
        <w:t xml:space="preserve">الأحكام، مهذّب قوانين الشريعة ببدائع أفكاره الباهرة، مقرّب أفانين الملّة المنيعة بفرائد أنظاره الزاهرة، مبيّن طوائف العلوم الدينيّة بعوالي تحقيقاته الرائقة، مزيّن صحائف رسوم الشريعة بلآلئ تدقيقاته الفائقة، فريد الخلائق، واحد الآفاق في محاسن الفضائل و مكارم الأخلاق، مبيد شبهات اولي الزيغ و اللجاج و الشقاق على الإطلاق، بمقاليد تبيانه الفاتحة للأغلاق، الخالية عن الإغلاق، الفائز بالسباق، الفائت عن اللحاق، شيخي و استاذي في مبادئ تحصيلي، و شيخ مشايخي، المحقّق الثالث و العلّامة الثاني، الزاهد العابد، الأتقى الأورع، العالم العلم الربّاني، مولانا آقا محمّد باقر بن محمّد أكمل الأصفهاني الحائري، الشهير بالبهبهاني قدّس اللّه نفسه الزكيّة، و أحلّه في الفردوس في المنازل العليّة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العلّامة مجدّد رسوم المذهب على رأس المائة الثانية عشر، و كان أتقى الناس في زمانه، و في هذه الأزمنة، و أورعهم و أزهدهم، و بالجملة؛ كان في الحقيقة عالما عاملا بعلمه، متأسّيا مقتديا بالأئمّة الهداة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خلوص نيّته و صفاء عزيمته و صل كلّ من تلمّذ عنده مرتبة الاجتهاد، و صاروا أعلاما في الدين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بالجملة؛ جلالة الشيخ الوحيد واضحة على كلّ أحد، و يكفي في تبحّره و فضله في أغلب العلوم تأليفه و تلميذه؛ إذ الأوّل مصدر التأليف لكلّ من تأخّر، و الثاني منتشر في البلاد و صار كلّ من تلاميذه من أساطين العلماء و جهابذة الفضلاء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رأس المائة الثالثة عشرة من الهجرة المقدّسة المطهّرة، كما أنّ سميّه المتقدّم </w:t>
      </w:r>
      <w:r>
        <w:rPr>
          <w:rStyle w:val="FootnoteAnchor"/>
          <w:rtl w:val="true"/>
        </w:rPr>
        <w:footnoteReference w:id="102"/>
      </w:r>
      <w:r>
        <w:rPr>
          <w:rFonts w:ascii="Amiri" w:hAnsi="Amiri" w:eastAsia="Amiri" w:cs="Amiri"/>
          <w:color w:val="111111"/>
          <w:sz w:val="28"/>
          <w:sz w:val="28"/>
          <w:szCs w:val="28"/>
          <w:rtl w:val="true"/>
          <w:lang w:bidi="ar-SA"/>
        </w:rPr>
        <w:t xml:space="preserve">كان مروّجا على رأس المائة قبلها، و قد بقي إلى الثامنة من الثالثة كما قد بقي الأوّل إلى العاشرة من الثانية، و كذلك ارتفعت بميامن تأييداته المتينة أغبرة آراء الأخباريّة المندرجة في أهواء الجاهليّة الاخرى من ذلك البين، كما انطمست آثار البدع الالوفية المنتشرة من جماعة الملاحدة و الغلاة و الصوفيّة ببركات انتصار المتقدّم منهما لأخبار المصطفين عليهم السّلام، و قد سمّي كلاهما أيضا باية اللّه تعالى من غاية الكرامة غبّ ما سمّي بهذه المنقبة إمامنا العلّامة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 علينا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الآقا محمّد باقر بن ملّا محمّد أكمل البهبهانيّ، علّامة الدهر و نادرة الزمان، فاضل بلا ثاني، مشيّد الاصول و الفروع و المباني، عالم صمداني، و عليم ربّاني، سائر مسالك الألفاظ و المعاني، مقتدى الأقاصي و الأعالي و الأداني، صاحب الكرامات الباهرة، و المؤسّس في الاصول و الفروع و الرجال، محطّ رحال الرجال، الوحيد الفريد في التحقيق و التدقيق و التفريع و الاستدلال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 لنا جمعا من تلامذة العلّامة الوحيد و تبحّرهم في بعض الفنون، ما ترجمته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يستكشف ممّا ذكرنا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 فنون عديدة، له يد في كلّ واحد منها، ممّا سبّب أن يكون تلامذته مظهرا لواحد أو اكثر من تلك الفنون،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تأسيسه للقواعد الكليّة</w:t>
      </w:r>
    </w:p>
    <w:p>
      <w:pPr>
        <w:pStyle w:val="BookText"/>
        <w:rPr/>
      </w:pPr>
      <w:r>
        <w:rPr>
          <w:rFonts w:ascii="Amiri" w:hAnsi="Amiri" w:eastAsia="Amiri" w:cs="Amiri"/>
          <w:color w:val="111111"/>
          <w:sz w:val="28"/>
          <w:sz w:val="28"/>
          <w:szCs w:val="28"/>
          <w:rtl w:val="true"/>
          <w:lang w:bidi="ar-SA"/>
        </w:rPr>
        <w:t xml:space="preserve">وحيدا، و في كثرة إجراء الأدلّة في المسائل حتّى تصبح المسألة بديهيّة فريدا، و في تفريعه الفروع و إحاطته الفقهيّة بطلا صنديدا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الوحيد و الرجالي الكبير المولى علي بن عبد اللّه العلياري التبريزي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البهبهاني معلّم البشر مجدّد المذهب في الثاني عشر</w:t>
      </w:r>
    </w:p>
    <w:p>
      <w:pPr>
        <w:pStyle w:val="BookText"/>
        <w:rPr/>
      </w:pPr>
      <w:r>
        <w:rPr>
          <w:rFonts w:ascii="Amiri" w:hAnsi="Amiri" w:eastAsia="Amiri" w:cs="Amiri"/>
          <w:color w:val="111111"/>
          <w:sz w:val="28"/>
          <w:sz w:val="28"/>
          <w:szCs w:val="28"/>
          <w:rtl w:val="true"/>
          <w:lang w:bidi="ar-SA"/>
        </w:rPr>
        <w:t xml:space="preserve">محمّد باقر بن محمّد أكمل؛ كان هذا العالم الربّاني، و العلم العامل الصمداني، و القمر الطالع الشعشعاني، مروّج المذهب و الدين، و معلّم الفقهاء المجتهدين، أصفهاني الأصل، ثمّ الفارسي البهبهاني قدّس اللّه نفسه و طيّب رمسه، روّج في رأس العالم الثاني عشر بناء على ما روى الفاضل النيسابوري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النوري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و أجلّهم و أكملهم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الأكبر مروّج الدين في رأس المائة الثالثة عشر المولى محمّد باقر الأصبهاني البهبهاني الحائري، قال الشيخ عبد النبي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العصر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و لا يصل إليه مكنتنا و قدرتنا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العجز عن شرح فضله هو الكلام الفصل اللائق بحاله، و الميرزا محمّد الأخباري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عليه من العداوة و البغضاء لجنابه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رجاله بكلام تكاد ترجف منه السماوات و تهتزّ منه الأرض؛ عدّه في الفائدة الحادية عشر من الباب الرابع عشر من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دوائر</w:t>
      </w:r>
    </w:p>
    <w:p>
      <w:pPr>
        <w:pStyle w:val="BookText"/>
        <w:rPr/>
      </w:pPr>
      <w:r>
        <w:rPr>
          <w:rFonts w:ascii="Amiri" w:hAnsi="Amiri" w:eastAsia="Amiri" w:cs="Amiri"/>
          <w:color w:val="111111"/>
          <w:sz w:val="28"/>
          <w:sz w:val="28"/>
          <w:szCs w:val="28"/>
          <w:rtl w:val="true"/>
          <w:lang w:bidi="ar-SA"/>
        </w:rPr>
        <w:t>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رأوا القائم الحجّة عجّل اللّه تعالى فرجه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آغابزرك الطهراني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فإنّ المترجم لمّا ورد كربلاء المشرّفة قام بأعباء الخلافة، و نهض بتكاليف الزعامة و الإمامة، و نشر العلم بها، و اشتهر تحقيقه و تدقيقه، و بانت للملإ مكانته السامية، و علمه الكثير، فانتهت إليه زعامة الشيعة و رئاسة المذهب الإمامي في سائر الأقطار، و خضع له جميع علماء عصره، و شهدوا له بالتفوّق و العظمة و الجلالة، و لذا اعتبر مجدّدا للمذهب على رأس هذه المائة، و قد ثنّيت له الوسادة زمنا، استطاع خلاله أن يعمل و يفيد، و قد كانت في أيّامه للأخباريّة صولة، و كانت لجهّالهم جولة، و فلتات و جسارات و تظاهرات اشير إلى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المترجم آنذاك موقفا جليلا كسر به شوكتهم، فهو الوحيد من شيوخ الشيعة الأعاظم الناهضين بنشر العلم و المعارف، و له في التأريخ صحيفة بيضاء يقف عليها المتتبّع في غضون كتب السير و معاجم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أنّا و إن أطنبنا في ذكره و أشدنا به، فلا شكّ أنّا غير واصفيه على حقيقته، و قد أحسن و أنصف الشيخ عبد النبيّ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اعترف بالعجز عن توصيفه و تعريفه، فكيف يوصف، و بأيّ مدح يمدح من خرج من معهد درسه جمع من أعلام الدين، و عباقرة الامّة، و شيوخ الطائفة، و نواميس الملّة، كالمولى مهدي النراقي، و الميرزا أبي القاسم القمّي، و الميرزا مهدي الشهرستاني، و السيّد محسن الأعرجي، و الشيخ أبي علي الحائري، و الشيخ الأكبر جعفر كاشف الغطاء، و السيّد مهدي بحر العلوم، و الشيخ أسد اللّه الدزفولي، و السيّد أحمد الطالقاني النجفي، و السيّد</w:t>
      </w:r>
      <w:bookmarkStart w:id="133" w:name="pg2470_12311"/>
    </w:p>
    <w:p>
      <w:pPr>
        <w:pStyle w:val="BookText"/>
        <w:rPr/>
      </w:pPr>
      <w:bookmarkEnd w:id="133"/>
      <w:r>
        <w:rPr>
          <w:rFonts w:ascii="Amiri" w:hAnsi="Amiri" w:eastAsia="Amiri" w:cs="Amiri"/>
          <w:color w:val="111111"/>
          <w:sz w:val="28"/>
          <w:sz w:val="28"/>
          <w:szCs w:val="28"/>
          <w:rtl w:val="true"/>
          <w:lang w:bidi="ar-SA"/>
        </w:rPr>
        <w:t xml:space="preserve">محمّد باقر حجّة الإسلام الأصفهاني، و غيرهم من مشيّدي دعائم الدين، و مقوّمي أركان المذهب أعلى اللّه درجاتهم جميعا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كلمات جهابذة التأليف و التصنيف، و أعلام الطائفة الحقّة في حقّه ممّا يعجزنا حصرهم و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لنكتفي بما سطرناه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601370_3804643083"/>
      <w:bookmarkStart w:id="135" w:name="_Toc53"/>
      <w:bookmarkEnd w:id="134"/>
      <w:r>
        <w:rPr>
          <w:rtl w:val="true"/>
        </w:rPr>
        <w:t>اهتمام معاصريه و تلامذته و من تأخّر عنه بنظريّاته رحمه اللّه</w:t>
      </w:r>
      <w:r>
        <w:rPr>
          <w:rtl w:val="true"/>
        </w:rPr>
        <w:t>:</w:t>
      </w:r>
      <w:bookmarkEnd w:id="135"/>
    </w:p>
    <w:p>
      <w:pPr>
        <w:pStyle w:val="BookText"/>
        <w:rPr/>
      </w:pPr>
      <w:r>
        <w:rPr>
          <w:rFonts w:ascii="Amiri" w:hAnsi="Amiri" w:eastAsia="Amiri" w:cs="Amiri"/>
          <w:color w:val="111111"/>
          <w:sz w:val="28"/>
          <w:sz w:val="28"/>
          <w:szCs w:val="28"/>
          <w:rtl w:val="true"/>
          <w:lang w:bidi="ar-SA"/>
        </w:rPr>
        <w:t>لقد سلف أن ذكرنا كلام المرحوم الشيخ عبد النبي القزويني في حقّ المؤلّف؛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فحباه اللّه باستعداده علوما لم يسبقه أحد فيها من المتقدّمين و لا يلحقه أحد من المتأخّرين إلّا بالأخذ منه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علي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فنون الفضل، فانعقدت عليه الخناصر، و حوى صنوف العلم فانقاد له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على فوائد و تحقيقات لم يتفطّن بها المتقدّمون، و لم يعثر عليها المتأخّرون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شيخنا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خضع له جميع علماء عصره، و شهدوا له بالتفوّق و العظمة و الجلالة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التأليف لكلّ من تأخّر،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في البلاد، و صار كلّ من تلاميذه من أساطين العلماء، و جهابذة الفضلاء، قد سلّط كلّ في أحد علومه، و أعلى منهم المولى الفريد بحر العلوم؛ فإنّه قد خاض في الجميع، و لذا سمّى بهذا اللقب</w:t>
      </w:r>
    </w:p>
    <w:p>
      <w:pPr>
        <w:pStyle w:val="BookText"/>
        <w:rPr/>
      </w:pPr>
      <w:r>
        <w:rPr>
          <w:rFonts w:ascii="Amiri" w:hAnsi="Amiri" w:eastAsia="Amiri" w:cs="Amiri"/>
          <w:color w:val="111111"/>
          <w:sz w:val="28"/>
          <w:sz w:val="28"/>
          <w:szCs w:val="28"/>
          <w:rtl w:val="true"/>
          <w:lang w:bidi="ar-SA"/>
        </w:rPr>
        <w:t xml:space="preserve">قدّس اللّه أرواحهم الشريفة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في غيرها، و لا يسعنا عدّها و تعدادها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أطلق جمع من أعلامنا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شيخنا المترجم رحمه اللّه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علي الحائري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ارجوزته الرجاليّة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36" w:name="pg2470_12313"/>
    </w:p>
    <w:p>
      <w:pPr>
        <w:pStyle w:val="BookText"/>
        <w:rPr/>
      </w:pPr>
      <w:bookmarkEnd w:id="136"/>
      <w:r>
        <w:rPr>
          <w:rFonts w:ascii="Amiri" w:hAnsi="Amiri" w:eastAsia="Amiri" w:cs="Amiri"/>
          <w:color w:val="111111"/>
          <w:sz w:val="28"/>
          <w:sz w:val="28"/>
          <w:szCs w:val="28"/>
          <w:rtl w:val="true"/>
          <w:lang w:bidi="ar-SA"/>
        </w:rPr>
        <w:t xml:space="preserve">السيّد 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العلياري،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المامقاني،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601372_3804643083"/>
      <w:bookmarkStart w:id="138" w:name="_Toc54"/>
      <w:bookmarkEnd w:id="137"/>
      <w:r>
        <w:rPr>
          <w:rtl w:val="true"/>
        </w:rPr>
        <w:t>فضائله الأخلاقيّة و ملكاته النفسيّة</w:t>
      </w:r>
      <w:r>
        <w:rPr>
          <w:rtl w:val="true"/>
        </w:rPr>
        <w:t>:</w:t>
      </w:r>
      <w:bookmarkEnd w:id="138"/>
    </w:p>
    <w:p>
      <w:pPr>
        <w:pStyle w:val="BookText"/>
        <w:rPr/>
      </w:pPr>
      <w:r>
        <w:rPr>
          <w:rFonts w:ascii="Amiri" w:hAnsi="Amiri" w:eastAsia="Amiri" w:cs="Amiri"/>
          <w:color w:val="111111"/>
          <w:sz w:val="28"/>
          <w:sz w:val="28"/>
          <w:szCs w:val="28"/>
          <w:rtl w:val="true"/>
          <w:lang w:bidi="ar-SA"/>
        </w:rPr>
        <w:t>إنّ من حظي بلقيا شيخنا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انبهر بما امتاز به من سلوكيّة رائعة، و خلوص تام، و طهارة بيّنة، نلمسها ممّا كتبوه عنه، فهاك العلّامة الدربندي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أتقى الناس في زمانه و في هذه الأزمنة، و أورعهم و أزهدهم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كان في الحقيقة عالما عاملا بعلمه، متأسّيا مقتديا بالأئمّة الهداة صلوات اللّه عليهم، فلأجل خلوص نيّته و صفاء عزيمته، و صل كلّ من تلمّذ عنده مرتبة الاجتهاد، و صاروا أعلاما في الدين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كلّ ما امتاز به من عظمة و غور علمي و فكري، نجده أمام النصّ و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خاضعا،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يراعي في أواخر عمره ما كانت عادته عليه من زيارة قبر الحسين عليه السّلام، و إحراز</w:t>
      </w:r>
    </w:p>
    <w:p>
      <w:pPr>
        <w:pStyle w:val="BookText"/>
        <w:rPr/>
      </w:pPr>
      <w:r>
        <w:rPr>
          <w:rFonts w:ascii="Amiri" w:hAnsi="Amiri" w:eastAsia="Amiri" w:cs="Amiri"/>
          <w:color w:val="111111"/>
          <w:sz w:val="28"/>
          <w:sz w:val="28"/>
          <w:szCs w:val="28"/>
          <w:rtl w:val="true"/>
          <w:lang w:bidi="ar-SA"/>
        </w:rPr>
        <w:t xml:space="preserve">غاية الآداب، و نهاية الخضوع و الخشوع، حتّى أنّه كان يسقط على وجهه في مخلع النعال، و تقبيل الأرض الطاهرة، و يسقط في أبواب الحرم الحسيني الشريف على وجهه و يقبّلها و يدخل الحرم، و كان أيضا يراعي تلك الآداب و يفعل هذه الأفعال عند زيارة أبي الفضل العبّاس عليه السّلام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ينقل نظير هذه الواقعة التنكابني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خضوعه و خشوعه عند حريم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الطريف أنّه مع كلّ تذلّله و خضوعه بين يدي ربّه و أوليائه، نراه أبيّ النفس أمام أصحاب القدرة و السلطان، غنيّا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محمّد خان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قرانا نفيسا بخطّ الميرزا النيريزي، مرصّعا بالياقوت و الألماس و الزبرجد و غيرها من الأحجار الكريمة، فما كان من شيخنا إلّا أن صدّ رسل السلطان و أنّبهم على ترصيعهم و تذهيبهم للقرآن الكريم، و أمر ببيع هذه الجواهر و الأحجار الكريمة و توزيع ثمنها بين الطلّاب و المساكين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نفسه عن موائد السلاطين و لا يعتني بصولتهم الظاهريّة، مع ما تراه خاضعا في ساحة أئمّة الهدى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فحسب، بل يعدّ سرّ توفيقه و علّة ترقّيه من جهة تجليله و تبجيله للعلماء؛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سرّ وصوله إلى هذه المرتبة العالية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من نفسي شيئا أستحقّ به ذلك، إلّا أنّي لم أكن أحسب نفسي شيئا أبدا، و لا أجعلها في عداد الموجودين، و لم ال جهدا في تعظيم العلماء، و المحمدة على أسمائهم،</w:t>
      </w:r>
    </w:p>
    <w:p>
      <w:pPr>
        <w:pStyle w:val="BookText"/>
        <w:rPr/>
      </w:pPr>
      <w:r>
        <w:rPr>
          <w:rFonts w:ascii="Amiri" w:hAnsi="Amiri" w:eastAsia="Amiri" w:cs="Amiri"/>
          <w:color w:val="111111"/>
          <w:sz w:val="28"/>
          <w:sz w:val="28"/>
          <w:szCs w:val="28"/>
          <w:rtl w:val="true"/>
          <w:lang w:bidi="ar-SA"/>
        </w:rPr>
        <w:t xml:space="preserve">و لم أترك الاشتغال بتحصيل العلم مهما استطعت، و قدّمته على كلّ مرحلة دائما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بحقّ نزيها منزّها من جميع التعلّقات الظاهريّة و الزخارف الدنيويّة،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يصرف همّته العالية طوال عمره الشريف لجمع الزخارف الدنيويّة التي كان يسعى أقلّ تلامذته على تحصيلها، بل لم يكن أصلا عارفا بأنواع المسكوكات المختلفة من دراهم و دنانير و الفرق بينها، بل استولى عليه الابتعاد عن أصحاب المقامات الدنيويّة، و أبعد نفسه الشريفة عن معاشرة اولئك مبدّلا إيّاهم بمصاحبة الفقراء و المساكين؛ حيث كان يلتذّ بذلك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سنة من السنين خاطت له زوجته جبّة في أيّام الشتاء فلبسها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حان وقت المغرب ذهب إلى المسجد، فبادر أحد الأراذل إلى تعرية رأسه و مشى حافيا إلى الشيخ رحمه اللّه و عرض له حاله و عريته و برودة الهواء، و طلب منه أن يفكّر له بتغطية رأسه، فسأله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سكّين؟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السكّين منه و قصّ أحد كمّيه و أعطاه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الكمّ وضعه على رأسك هذه الليلة كي أجد لك حلّا غدا، و عند عودته إلى البيت رأت زوجته أنّ جبّته بدون الكمّ، فتأثّرت منه؛ حيث أنّها قضت مدّة طويلة لتهيئة هذه الجبّة فأنقصها بقطع كمّها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نتيجة هذا النوع من الورع و التقوى و التنزّه عن المادّيات كان له الأثر في تقويته الروحيّة و تعاليه في الكمالات المعنويّة، بل أنّ الميرزا محمّد الأخباري</w:t>
      </w:r>
    </w:p>
    <w:p>
      <w:pPr>
        <w:pStyle w:val="BookText"/>
        <w:rPr/>
      </w:pPr>
      <w:r>
        <w:rPr>
          <w:rFonts w:ascii="Amiri" w:hAnsi="Amiri" w:eastAsia="Amiri" w:cs="Amiri"/>
          <w:color w:val="111111"/>
          <w:sz w:val="28"/>
          <w:sz w:val="28"/>
          <w:szCs w:val="28"/>
          <w:rtl w:val="true"/>
          <w:lang w:bidi="ar-SA"/>
        </w:rPr>
        <w:t xml:space="preserve">عدّه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دوائر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من حظي بلقيا إمام العصر و الزمان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مطّلعا على ما في ضمائر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الثقة السيّد عبد الكريم بن السيّد زين العابدين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حين تحصيلنا للعلوم الدينيّة في العتبات المقدّسة في أواخر زمان المرحوم البهبهاني؛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شيخوخته و كبر سنّه قد استعفى من التدريس لما كان ينتابه من الفتور و الضعف، فكان تلامذته يدرسون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درس يدرّس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السطوح، و كنّا عدّة أشخاص نتشرّف؛ تيمّنا و تبرّكا بحضور درسه، و صادف أن احتلمت في المنام يوما ممّا سبّب أن تفوتني صلاة الصبح، فحلّ وقت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أبادر بحضور الدرس كي لا يفوتني، ثمّ أذهب للاغتسال في الحمّام، فحضرت مجلس الدرس قبل أن يشرّفه شيخنا الاستاذ، و بعد أن حلّ فيه نظر ببشر و ابتهاج إلى أطراف المجلس، و فجأة ظهرت عليه آثار الهمّ و الغمّ و تغيّر وجهه الشريف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قد عطّل الدرس اذهبوا إلى بيوتكم، فقام التلاميذ واحدا واحدا و غادروا مجلس الدرس، و عند ما أردت القيام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و حيث فرغ المجلس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تحت البساط الذي أنت جالس عليه مقدارا من المال خذه و اذهب و اغتسل و لا تحضر بعد هذا في أمثال هذه المجالس و أنت مجنب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 المال متعجّبا و ذهبت إلى الحمّام مبادرا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اغتسلت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39" w:name="pg2470_12317"/>
    </w:p>
    <w:p>
      <w:pPr>
        <w:pStyle w:val="BookText"/>
        <w:rPr/>
      </w:pPr>
      <w:bookmarkEnd w:id="139"/>
      <w:r>
        <w:rPr>
          <w:rFonts w:ascii="Amiri" w:hAnsi="Amiri" w:eastAsia="Amiri" w:cs="Amiri"/>
          <w:color w:val="111111"/>
          <w:sz w:val="28"/>
          <w:sz w:val="28"/>
          <w:szCs w:val="28"/>
          <w:rtl w:val="true"/>
          <w:lang w:bidi="ar-SA"/>
        </w:rPr>
        <w:t>و من الواضح؛ أنّ أمثال هذه التوفيقات لا تتأتّى لكلّ فرد هيّنا، و لا تحصل لأحد جزافا؛ إذ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أحسب نفسي شيئا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يثبت هذه الدعوى تركه لمنصب التدريس و الإفتاء في أواخر عمره و إيكاله إلى تلامذته بل مباشرته لتدريس السطوح من دون أنفة و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يحرم منصب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أنّه كان يتقبّل أحيانا الاجرة على العبادات كالصلاة و الصوم، و يؤدّيها و يدفع الاجرة إلى بعض تلامذته؛ ليدفع عنهم العسرة و يفرّغهم للدراسة و التسلّح بسلاح العلم للدفاع عن حياض الدين</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601374_3804643083"/>
      <w:bookmarkStart w:id="141" w:name="_Toc55"/>
      <w:bookmarkEnd w:id="140"/>
      <w:r>
        <w:rPr>
          <w:rtl w:val="true"/>
        </w:rPr>
        <w:t>معاصروه</w:t>
      </w:r>
      <w:r>
        <w:rPr>
          <w:rtl w:val="true"/>
        </w:rPr>
        <w:t>:</w:t>
      </w:r>
      <w:bookmarkEnd w:id="141"/>
    </w:p>
    <w:p>
      <w:pPr>
        <w:pStyle w:val="BookText"/>
        <w:rPr/>
      </w:pPr>
      <w:r>
        <w:rPr>
          <w:rFonts w:ascii="Amiri" w:hAnsi="Amiri" w:eastAsia="Amiri" w:cs="Amiri"/>
          <w:color w:val="111111"/>
          <w:sz w:val="28"/>
          <w:sz w:val="28"/>
          <w:szCs w:val="28"/>
          <w:rtl w:val="true"/>
          <w:lang w:bidi="ar-SA"/>
        </w:rPr>
        <w:t>لا بأس بالتعرّض إلى جمع من مفاخر أعلامنا الذين عاصروا المرحوم الوحيد، نذكر بعض المشاهير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الآقا محمّد باقر الهزار جريبي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النبي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جعفر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الآقا السيّد حسين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مهدي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يوسف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الآقا السيّد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تقي الدورقي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 عبد الباقي الخاتون‌آبادي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الميرزا محمّد باقر الشيرازي</w:t>
      </w:r>
      <w:r>
        <w:rPr>
          <w:rFonts w:eastAsia="Amiri" w:cs="Amiri" w:ascii="Amiri" w:hAnsi="Amiri"/>
          <w:color w:val="111111"/>
          <w:sz w:val="28"/>
          <w:szCs w:val="28"/>
          <w:rtl w:val="true"/>
          <w:lang w:bidi="ar-SA"/>
        </w:rPr>
        <w:t>.</w:t>
      </w:r>
      <w:bookmarkStart w:id="142" w:name="pg2470_12318"/>
    </w:p>
    <w:p>
      <w:pPr>
        <w:pStyle w:val="BookText"/>
        <w:rPr/>
      </w:pPr>
      <w:bookmarkEnd w:id="1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طاب رمسهم و قدّس الله روحهم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3601376_3804643083"/>
      <w:bookmarkStart w:id="144" w:name="_Toc56"/>
      <w:bookmarkEnd w:id="143"/>
      <w:r>
        <w:rPr>
          <w:rtl w:val="true"/>
        </w:rPr>
        <w:t>تلامذته</w:t>
      </w:r>
      <w:r>
        <w:rPr>
          <w:rtl w:val="true"/>
        </w:rPr>
        <w:t>:</w:t>
      </w:r>
      <w:bookmarkEnd w:id="144"/>
    </w:p>
    <w:p>
      <w:pPr>
        <w:pStyle w:val="BookText"/>
        <w:rPr/>
      </w:pPr>
      <w:r>
        <w:rPr>
          <w:rFonts w:ascii="Amiri" w:hAnsi="Amiri" w:eastAsia="Amiri" w:cs="Amiri"/>
          <w:color w:val="111111"/>
          <w:sz w:val="28"/>
          <w:sz w:val="28"/>
          <w:szCs w:val="28"/>
          <w:rtl w:val="true"/>
          <w:lang w:bidi="ar-SA"/>
        </w:rPr>
        <w:t>تربّى في مدرسة هذا الرجل العظيم مفاخر قلّ نظيرهم في العصور المتأخّرة، يعدّ كلّ واحد منهم نجما لا معا في سماء العلم و الفكر، يمثّل جانبا من ذاك البحر الموّاج الذي كان يتمتّع به الاستاد؛ حيث ترى أحدهم فقيها فطحلا، و ذاك اصوليّا فحلا، أو رجاليّا فردا،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شفيع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أحمد الطالقاني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المولى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أحمد العطّار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الصمد الهمداني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الآقا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الأكبر للوحيد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عبّر عنه أبوه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شيخ البهائي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المولى محمّد كاظم الهزار جريبي، الشهيد في حملة الوهّابيّين على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الميرزا محمّد مهدي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الميرزا مهدي بن هداية اللّه بن طاهر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bookmarkStart w:id="145" w:name="pg2470_12319"/>
    </w:p>
    <w:p>
      <w:pPr>
        <w:pStyle w:val="BookText"/>
        <w:rPr/>
      </w:pPr>
      <w:bookmarkEnd w:id="145"/>
      <w:r>
        <w:rPr>
          <w:rFonts w:ascii="Amiri" w:hAnsi="Amiri" w:eastAsia="Amiri" w:cs="Amiri"/>
          <w:color w:val="111111"/>
          <w:sz w:val="28"/>
          <w:sz w:val="28"/>
          <w:szCs w:val="28"/>
          <w:rtl w:val="true"/>
          <w:lang w:bidi="ar-SA"/>
        </w:rPr>
        <w:t xml:space="preserve">السيّد ميرزا محمّد تقي القاضي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محسن الأعرجي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 محمّد حسين بن المير عبد الباقي خاتون‌آبادي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أسد اللّه التستري الدزفولي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دلدار علي نصيرآبادي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الآقا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الثاني للوحيد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ميرزا يوسف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المولى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حسن الزنوزي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بن جمال الدين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القصير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محمّد إبراهيم الكلباسي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صدر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باقر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601378_3804643083"/>
      <w:bookmarkStart w:id="147" w:name="_Toc57"/>
      <w:bookmarkEnd w:id="146"/>
      <w:r>
        <w:rPr>
          <w:rtl w:val="true"/>
        </w:rPr>
        <w:t>تآليفه القيّمة</w:t>
      </w:r>
      <w:r>
        <w:rPr>
          <w:rtl w:val="true"/>
        </w:rPr>
        <w:t>:</w:t>
      </w:r>
      <w:bookmarkEnd w:id="1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تضاهي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تسعين، ما بين رسائل مختصرة و كتب مفصّلة، ندرجها مجملا معجميا،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التحسين و التقبيح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الاجتهاد و الأخبار 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اجتماع الأمر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أجوبة المسائل المتفرّقة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استحباب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الإسلام و الإيمان و حكم الناصب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عدم الصحّة في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الصحّة و الفساد في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طهارة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الإفادة الإجماليّة العبادات المكروهة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التحفة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عمليّة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التحفة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على رجال الميرزا محمّد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نقد الرجال للتفريشي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التقريرات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تسمية أولاد الائمّة باسم الجائرين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بين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الحاشية الخفريّة على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حاشية الشيرواني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ديباجة مفاتيح الشرائع الردّ على مقدّمات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شرح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قوانين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كفاية المقتصد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مجمع الفائدة و البرهان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الحاشية على مدارك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مسالك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مقدّمة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الأدلّة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ظواهر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المفهوم بالأولويّة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عبادة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العصير التمري و الزبيبي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متعة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المشافهة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الدماء المعفوّة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الأشاعرة و نفي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شبهات الأخباريّين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الفوائد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يعرف الناجي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الجمع بين الفاطميّتين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استحبابها و نفي الوجوب العيني عنها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الطهارة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توقيفيّة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جواز تقليد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الحائريّة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الحائريّة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القرض بشرط المعاملة المحاباتيّة حيل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القياس إبطال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 و 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 النواصب و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bookmarkStart w:id="148" w:name="pg2470_12324"/>
    </w:p>
    <w:p>
      <w:pPr>
        <w:pStyle w:val="BookText"/>
        <w:rPr/>
      </w:pPr>
      <w:bookmarkEnd w:id="148"/>
      <w:r>
        <w:rPr>
          <w:rFonts w:ascii="Amiri" w:hAnsi="Amiri" w:eastAsia="Amiri" w:cs="Amiri"/>
          <w:color w:val="111111"/>
          <w:sz w:val="28"/>
          <w:sz w:val="28"/>
          <w:szCs w:val="28"/>
          <w:rtl w:val="true"/>
          <w:lang w:bidi="ar-SA"/>
        </w:rPr>
        <w:t xml:space="preserve">المتاجر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الظلام 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المناهج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النقد و الانتخاب و النقض و الإبرام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3601380_3804643083"/>
      <w:bookmarkStart w:id="150" w:name="_Toc58"/>
      <w:bookmarkEnd w:id="149"/>
      <w:r>
        <w:rPr>
          <w:rtl w:val="true"/>
        </w:rPr>
        <w:t>وفاته</w:t>
      </w:r>
      <w:r>
        <w:rPr>
          <w:rtl w:val="true"/>
        </w:rPr>
        <w:t>:</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يحدّثنا حفيد العلّامة الوحيد رحمه اللّه الآقا أحمد الكرمانشاهي عن تأريخ وفاة جدّه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بلغ عمره الشريف التسعين، في يوم التاسع و العشرين من شهر شوّال سنة ألف و مائتين و خمس من الهجرة النبويّة، حلّقت روحه الطاهرة إلى الجوار الربوبي، و تشرّف بالدفن على أعتاب أقدام شهداء الطفّ، اللهمّ احشره و إيّانا معهم بمحمّد و آله صلوات اللّه عليهم أجمعين، و بسبب الإصلاحات و التعمير الذي حدث في الروضة الحسينيّة المباركة تشرّف بأن اتّفق دخول قبره الشريف داخل حرم سيّد الشهداء عليه السّلام، و نصبت على جدار الرواق صخرة علامة لمرقده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الوالد الماجد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في تأريخ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رفتى ز دنيا باقر علم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العلّامة المامقاني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عمّر و جاوز التسعين، و استولى عليه الضعف أخيرا، و ترك البحث و أمر بحر العلوم بالانتقال إلى النجف الأشرف و الاشتغال بالتدريس فيه، و أمر 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بالتدريس في كربلاء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في كربلاء المشرّفة سنة ثمان و مائتين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بعد الألف و مائتين، و دفن في الرواق الشرقي المطهّر قريبا ممّا يلي أرجل الشهداء رضوان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يظهر من مجموع العبارتين المذكورتين قريبا أنّ الأقوال في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كما نقلناه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نقله المرحوم المامقاني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كما حدّثنا به المرحوم المحدّث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بخطّ السيّد صدر الدين العاملي و السيّد محمّد باقر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كلاهما تلميذا الوحيد البهبهاني رحمه اللّه أنّ وفاة ذلك العظيم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مائتين و ثمان كما نقله العلّامة النوري رحمه اللّه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حفيده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أهل الدار أدرى بما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أجاب الوحيد رحمه اللّه دعوة ربّه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أن أقرح جفون أوليائه، و أجرى دموع أحبّائه، فرثاه جمع من تلامذته و أعزّائه، منهم ما حكاه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جفون لا تجفّ من الدموع و لم تعلق بها سنة الهجوع لرزء شبّ في الأحشاء نارا توقّد بين أحناء الضلوع يكلّفني الخليّ له عزاء و ما أنا للعزا بالمستطيع قضى من كان للإسلام سورا فهدّم جانب السور المنيع و شيخ الكلّ مرجعهم جميعا إليه في الاصول و في الفروع خلت منه ربوع العلم حتّى بكته عين هاتيك الربوع بكاء كلّ تلميذ و حبر من العلماء ذي شرف رفيع بكوا استاذهم طرّا، فأرّخ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فات استاد الجميع</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bookmarkStart w:id="151" w:name="pg2470_12327"/>
    </w:p>
    <w:p>
      <w:pPr>
        <w:pStyle w:val="Heading4"/>
        <w:numPr>
          <w:ilvl w:val="3"/>
          <w:numId w:val="1"/>
        </w:numPr>
        <w:rPr/>
      </w:pPr>
      <w:bookmarkStart w:id="152" w:name="__RefHeading___Toc3601382_3804643083"/>
      <w:bookmarkStart w:id="153" w:name="_Toc59"/>
      <w:bookmarkEnd w:id="151"/>
      <w:bookmarkEnd w:id="152"/>
      <w:r>
        <w:rPr>
          <w:rtl w:val="true"/>
        </w:rPr>
        <w:t>ترجمة الفيض الكاشاني قدّس سرّه</w:t>
      </w:r>
      <w:bookmarkEnd w:id="153"/>
    </w:p>
    <w:p>
      <w:pPr>
        <w:pStyle w:val="Heading5"/>
        <w:numPr>
          <w:ilvl w:val="4"/>
          <w:numId w:val="1"/>
        </w:numPr>
        <w:rPr/>
      </w:pPr>
      <w:bookmarkStart w:id="154" w:name="__RefHeading___Toc3601384_3804643083"/>
      <w:bookmarkStart w:id="155" w:name="_Toc60"/>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ترجمة الفيض الكاشاني قدّس سرّه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هو المحدّث الخبير و العلّامة الكبير، المحقّق الفاضل، و العارف الكامل، الفقيه الجليل، المفسّر، و الفيلسوف، الأديب، الشاعر، السالك، المتفنّن في العلوم الإسلاميّة، العلّامة محمد بن مرتضى المعروف بالمولى محسن، و المشهور بالفيض الكاشانى، و هو من كبار العلماء، و اكابر الحكماء و اعيان المحدّثين و الفقهاء في القرن الحادي عشر الهجري</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601386_3804643083"/>
      <w:bookmarkStart w:id="157" w:name="_Toc61"/>
      <w:bookmarkEnd w:id="156"/>
      <w:r>
        <w:rPr>
          <w:rtl w:val="true"/>
        </w:rPr>
        <w:t>ولادته و نشأته و وفاته</w:t>
      </w:r>
      <w:r>
        <w:rPr>
          <w:rtl w:val="true"/>
        </w:rPr>
        <w:t>:</w:t>
      </w:r>
      <w:bookmarkEnd w:id="157"/>
    </w:p>
    <w:p>
      <w:pPr>
        <w:pStyle w:val="BookText"/>
        <w:rPr/>
      </w:pPr>
      <w:r>
        <w:rPr>
          <w:rFonts w:ascii="Amiri" w:hAnsi="Amiri" w:eastAsia="Amiri" w:cs="Amiri"/>
          <w:color w:val="111111"/>
          <w:sz w:val="28"/>
          <w:sz w:val="28"/>
          <w:szCs w:val="28"/>
          <w:rtl w:val="true"/>
          <w:lang w:bidi="ar-SA"/>
        </w:rPr>
        <w:t xml:space="preserve">ولد الفيض الكاشاني في رابع عشر شهر صفر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في الثاني و العشرين من ربيع الآخر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ما ذكره ولده علم الهدى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و ترعرع المحقّق الفيض في مدينة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 إلى شيراز للدراسة على السيد الأجلّ ماجد البحراني، و قرأ هناك على الآخوند المولى صدر الدين الشيرازي الحكيم و الفيلسوف الكبير، و استطاع بما يتمتّع به من مؤهّلات كبيرة</w:t>
      </w:r>
      <w:bookmarkStart w:id="158" w:name="pg2470_12328"/>
    </w:p>
    <w:p>
      <w:pPr>
        <w:pStyle w:val="BookText"/>
        <w:rPr/>
      </w:pPr>
      <w:bookmarkEnd w:id="158"/>
      <w:r>
        <w:rPr>
          <w:rFonts w:ascii="Amiri" w:hAnsi="Amiri" w:eastAsia="Amiri" w:cs="Amiri"/>
          <w:color w:val="111111"/>
          <w:sz w:val="28"/>
          <w:sz w:val="28"/>
          <w:szCs w:val="28"/>
          <w:rtl w:val="true"/>
          <w:lang w:bidi="ar-SA"/>
        </w:rPr>
        <w:t>و ذكاء وافر أن يصبح من خيرة تلامذة الحكيم، و أن يصبح صهرا له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فترة ترك شيراز إلى كاشان </w:t>
      </w:r>
      <w:r>
        <w:rPr>
          <w:rStyle w:val="FootnoteAnchor"/>
          <w:rtl w:val="true"/>
        </w:rPr>
        <w:footnoteReference w:id="136"/>
      </w:r>
      <w:r>
        <w:rPr>
          <w:rFonts w:ascii="Amiri" w:hAnsi="Amiri" w:eastAsia="Amiri" w:cs="Amiri"/>
          <w:color w:val="111111"/>
          <w:sz w:val="28"/>
          <w:sz w:val="28"/>
          <w:szCs w:val="28"/>
          <w:rtl w:val="true"/>
          <w:lang w:bidi="ar-SA"/>
        </w:rPr>
        <w:t xml:space="preserve">و هناك أصبح مرجعا للناس إلى أن ودّع الحياة و التحق بالرفيق الأعلى في مدينة كاشان، و قبره الآن مزار معروف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3601388_3804643083"/>
      <w:bookmarkStart w:id="160" w:name="_Toc62"/>
      <w:bookmarkEnd w:id="159"/>
      <w:r>
        <w:rPr>
          <w:rtl w:val="true"/>
        </w:rPr>
        <w:t>مكانته العلميّة</w:t>
      </w:r>
      <w:r>
        <w:rPr>
          <w:rtl w:val="true"/>
        </w:rPr>
        <w:t>:</w:t>
      </w:r>
      <w:bookmarkEnd w:id="160"/>
    </w:p>
    <w:p>
      <w:pPr>
        <w:pStyle w:val="BookText"/>
        <w:rPr/>
      </w:pPr>
      <w:r>
        <w:rPr>
          <w:rFonts w:ascii="Amiri" w:hAnsi="Amiri" w:eastAsia="Amiri" w:cs="Amiri"/>
          <w:color w:val="111111"/>
          <w:sz w:val="28"/>
          <w:sz w:val="28"/>
          <w:szCs w:val="28"/>
          <w:rtl w:val="true"/>
          <w:lang w:bidi="ar-SA"/>
        </w:rPr>
        <w:t>يعدّ الفيض الكاشاني من نوادر الدهر، و مشاهير علماء الشيعة، فله في جميع العلوم العقليّة و النقليّة مؤلّفات مفيدة و تصانيف ثمينة، و له في الموضوعات الدينيّة المختلفة آراء و نظريّات كما أنّ له في بعض المسائل الفقهيّة مواقف خاصّة يختلف فيها مع غيره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المتكلّمين، و الفلاسفة المشّائيين، و كان ذا حظّ وافر في العلوم الأخلاقيّة، و 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شاعرا أديبا أنشد أشعارا رائعة و لطيفة، و ما تركه من الآداب العرفانية، الغزل الرائع ممّا يأنس به أرباب الذوق الفنّيّ الرقيق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الطباطبائى رحمه اللّه عن شخصية المحدّث الكاشاني البارعة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الفيض الكاشاني شخصيّة جامعة للعلوم قلّ نظيرها في العالم الإسلامي في جامعيّته، و الملاحظ أنّه قد تناول كلّ علم من العلوم بصورة مستقلّة، و لم يخلط علما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الصافي و الأصفى و المصفّى سلك المنهج الروائي في التفسير فقط، فلم يدخل في الأبحاث الفلسفيّة و العرفانيّة، و الشهوديّة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راجع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رأى أنّه كان أخباريّا محضا و كأنّه لم يقرأ الفلسفة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الكتب و المؤلّفات العرفانيّة سلك نفس هذا المسلك أيضا و لم يتجاوزه، و لم يحد عن الموضوع قطّ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61" w:name="pg2470_12329"/>
    </w:p>
    <w:p>
      <w:pPr>
        <w:pStyle w:val="BookText"/>
        <w:rPr/>
      </w:pPr>
      <w:bookmarkEnd w:id="161"/>
      <w:r>
        <w:rPr>
          <w:rFonts w:ascii="Amiri" w:hAnsi="Amiri" w:eastAsia="Amiri" w:cs="Amiri"/>
          <w:color w:val="111111"/>
          <w:sz w:val="28"/>
          <w:sz w:val="28"/>
          <w:szCs w:val="28"/>
          <w:rtl w:val="true"/>
          <w:lang w:bidi="ar-SA"/>
        </w:rPr>
        <w:t>و لقد اتّخذ في تفسير القرآن الكريم منهاجا خاصّا، ففسّر القرآن وفق اسلوب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كتبه القيّمة المذكورة التي يهتمّ بها العلماء حسب طريقة قدماء المحدّثين، فهو يشتمل على دورة كاملة في اصول الدين و المذهب و فروعهما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 المؤلّفات المهمّة التي لفتت أنظار العلماء و أصحاب الرأى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 دورة كاملة للأخلاق و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هذا المؤلّف القيّم من الكنوز الشيعيّة الفكريّة، فالمحقّق الفيض مضافا إلى مناهضة أبي حامد الغزالي في بعض عقائده و ارائه جعل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يمكن الاطمئنان إليه بعد أن هذّبه و رتّبه و حذف منه و أضاف إليه</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3601390_3804643083"/>
      <w:bookmarkStart w:id="163" w:name="_Toc63"/>
      <w:bookmarkEnd w:id="162"/>
      <w:r>
        <w:rPr>
          <w:rtl w:val="true"/>
        </w:rPr>
        <w:t>عقائده و آراؤه</w:t>
      </w:r>
      <w:r>
        <w:rPr>
          <w:rtl w:val="true"/>
        </w:rPr>
        <w:t>:</w:t>
      </w:r>
      <w:bookmarkEnd w:id="163"/>
    </w:p>
    <w:p>
      <w:pPr>
        <w:pStyle w:val="BookText"/>
        <w:rPr/>
      </w:pPr>
      <w:r>
        <w:rPr>
          <w:rFonts w:ascii="Amiri" w:hAnsi="Amiri" w:eastAsia="Amiri" w:cs="Amiri"/>
          <w:color w:val="111111"/>
          <w:sz w:val="28"/>
          <w:sz w:val="28"/>
          <w:szCs w:val="28"/>
          <w:rtl w:val="true"/>
          <w:lang w:bidi="ar-SA"/>
        </w:rPr>
        <w:t>كان المحقّق الكاشاني يبدي آراءه و عقائده بمنتهى الحريّة و ينظر إلى جماعة ممن عاصروه بعين الازدراء، و يهاجم عقائدهم، ممّا أثار حفيظة معاصريه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له رأي خاصّ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جوّزه، مخالفا غيره من الفقهاء، و له في هذا المجال بيان خاصّ في الأحاديث المتعلّقة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اتّهمه مخالفوه بكونه ذا عقائد صوفيّة، و حمل في بعض مؤلّفاته على المجتهدين و طعن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ظنّي في نسبة التصوّف الباطل إليه رحمه اللّه أنّها فرية بلا مرية، و الباعث عليها اقتداره بأهل هذه الطريقة في الموالاة مع الغلاة و الملحدين و إظهار البراءة من أجلّائنا المجتهدين، و عدم اعتنائه بالمخالفة لإجماع المسلمين و الإنكار لبعض ضروريات هذا الدين المبين و إلّا فبين ما يقوله و يقولونه مع قطع النظر عن هذا القدر المشترك بون بعيد</w:t>
      </w:r>
    </w:p>
    <w:p>
      <w:pPr>
        <w:pStyle w:val="BookText"/>
        <w:rPr/>
      </w:pPr>
      <w:r>
        <w:rPr>
          <w:rFonts w:ascii="Amiri" w:hAnsi="Amiri" w:eastAsia="Amiri" w:cs="Amiri"/>
          <w:color w:val="111111"/>
          <w:sz w:val="28"/>
          <w:sz w:val="28"/>
          <w:szCs w:val="28"/>
          <w:rtl w:val="true"/>
          <w:lang w:bidi="ar-SA"/>
        </w:rPr>
        <w:t xml:space="preserve">و إنكاره على أطوار هذه الطائفة في حدود ذواتها إنكار بليغ شديد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خالف العلّامة الفيض، الملّا محمد طاهر القمي، فقد كان ينتقد الفيض على بعض عقائده و كان يسئ الظن فيه، و لا يحترم فضله، و كماله و علمه و أدبه، لكنّه أقلع في أواخر حياته عن هذا السلوك، و ترك هذا الموقف من الفيض، و سافر إلى كاشان و استرضى الفيض و اعتذر منه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أيضا أنّ بعض من اعتقد في حقّه الباطل رجع عنه بعد وفاته، لمّا راه في المنام على هيئة حسنة، يأمره بالرجوع إلى بعض ما كتبه في أواخر عمره، و هو في مكان كذا و كذا، فلمّا استيقظ و طلبه وجده كما نسبه، و كان فيه تبرئة نفسه من جميع ما نسب إليه من أقوال الضّلال، و اللّه العالم بسرائر الأحوال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ينسب إلى العلّامة المجلسي قدّس سرّه بأنّه كان لا يرى بالرجل بأسا من غاية ملائمة مشربه مع طريقة والده المولى محمّد تقي قدّس سرّه، و قد عدّه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مشايخ إجازاته الكبار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يمكن تلخيص أفكار الفيض في عدّة نقاط كلّية، هي أساس كل ارائه و عقائده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الاصوليّين، و يعتبر نفسه أخباريّا، و يبالغ فيه إلى درجة أنّه تعرّض لتهجّم بعض العلماء و الفقهاء عليه مثل الشيخ أحمد الأحسائي الذي كان يعدّ الفيض أخباريّا صرفا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آراؤه في الفلسفة و الكلام توافق عقائد استاذه الملا صدر الدين الشيرازي و لهذا يمكن عدّ الفيض أحد الفلاسفة الكبار و أحد رجال الرأي</w:t>
      </w:r>
      <w:bookmarkStart w:id="164" w:name="pg2470_12331"/>
    </w:p>
    <w:p>
      <w:pPr>
        <w:pStyle w:val="BookText"/>
        <w:rPr/>
      </w:pPr>
      <w:bookmarkEnd w:id="164"/>
      <w:r>
        <w:rPr>
          <w:rFonts w:ascii="Amiri" w:hAnsi="Amiri" w:eastAsia="Amiri" w:cs="Amiri"/>
          <w:color w:val="111111"/>
          <w:sz w:val="28"/>
          <w:sz w:val="28"/>
          <w:szCs w:val="28"/>
          <w:rtl w:val="true"/>
          <w:lang w:bidi="ar-SA"/>
        </w:rPr>
        <w:t>الإسلاميين المبرّزين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اتّباعه لآراء المولى صدر الدين الشيرازي و تأثّره بالفلسفة الإشراقيّة، فقد بذل الفيض جهدا كبيرا في مجال العرفان و في سلوك مراتب التصوّف، و لكنه مع ذلك كان يراعي اصول الدين و موازين الشريعة، و لا يغافل عن القيام بالواجبات الدينيّة و كان يوصي دائما بالزهد و التقوى و عدم التعلّق بالدنيا الفانية و الأخذ بالامور الموجبة للفلاح في 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يمكن عدّ الفيض من الزهّاد و الأتقياء المخلصين</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601392_3804643083"/>
      <w:bookmarkStart w:id="166" w:name="_Toc64"/>
      <w:bookmarkEnd w:id="165"/>
      <w:r>
        <w:rPr>
          <w:rtl w:val="true"/>
        </w:rPr>
        <w:t>تقريظه</w:t>
      </w:r>
      <w:r>
        <w:rPr>
          <w:rtl w:val="true"/>
        </w:rPr>
        <w:t>:</w:t>
      </w:r>
      <w:bookmarkEnd w:id="166"/>
    </w:p>
    <w:p>
      <w:pPr>
        <w:pStyle w:val="BookText"/>
        <w:rPr/>
      </w:pPr>
      <w:r>
        <w:rPr>
          <w:rFonts w:ascii="Amiri" w:hAnsi="Amiri" w:eastAsia="Amiri" w:cs="Amiri"/>
          <w:color w:val="111111"/>
          <w:sz w:val="28"/>
          <w:sz w:val="28"/>
          <w:szCs w:val="28"/>
          <w:rtl w:val="true"/>
          <w:lang w:bidi="ar-SA"/>
        </w:rPr>
        <w:t>اتّفاق العلماء من الأصحاب على فضله و تقدّمه و براعته في العلوم يغنينا عن سرد جمل الثناء عليه و تسطير الكلم في إطرائه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المحدّث المتبحّر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المدعوّ بمحسن الكاشاني كان فاضلا، عالما، ماهرا، حكيما، متكلّما، محدّثا، فقيها، محقّقا، شاعرا، أديبا، حسن التصنيف من المعاصرين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القاشاني كان فاضلا، محدّثا، أخباريا صلبا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أثنى عليه صاحب الروضات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 الفضل و الفهم و النبالة في الفروع و الاصول و الإحاطة بمراتب المعقول و المنقول و كثرة التأليف و التصنيف مع جودة التعبير و الترصيف أشهر من أن يخفي في هذه الطائفة على أحد إلى منتهى الأبد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الرجالي الكبير محمّد بن علي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المرتضى، العلّامة المحقّق المدقّق جليل القدر، عظيم الشأن، رفيع المنزلة فاضل كامل، أديب متبحّر في جميع العلوم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المحدّث الكاشاني من أرباب العلم و الفهم و المعرفة و المكاشفة و من العرفاء الشامخين و العلماء المحدّثين تفرّق الناس فرقا في مدحه و القدح فيه و التعصّب له أو عليه، و ذلك دليل على وفور فضله و تقدّمه على أقرانه، و الكامل من عدّت سقطاته و السعيد من حسبت هفواته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الأميني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علم الهدى ابن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المحقّق الفيض علم الفقه، و راية الحديث، و منار الفلسفة، و معدن العرفان، و طود الأخلاق، و عباب العلوم و المعارف، هو ابن ذلك الفذّ الذي قلّما أنتج شكل الدهر بمثيله، و عقمت الأيّام عن أن تأتي بمشبهه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 الميرزا محمّد عليّ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عامل ربّاني، فاضل كامل صمداني، عارف سبحاني، كان من أجلّاء علماء الاماميّة في القرن الحادي عشر الهجري في عهد الشاه عباس الثاني، فقيها محدّثا، و مفسّرا محقّقا مدقّقا، و حكيما متكلّما متألّها، و أديبا شاعرا ماهرا، جامعا للعلوم العقليّة و النقليّة، لا يجاري في فهم الأخبار و تأمّل معانيها، متفرّدا في تطبيق اصول الظواهر مع البواطن، و الجمع بين اصول الشريعة و الطريقة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67" w:name="pg2470_12333"/>
    </w:p>
    <w:p>
      <w:pPr>
        <w:pStyle w:val="Heading5"/>
        <w:numPr>
          <w:ilvl w:val="4"/>
          <w:numId w:val="1"/>
        </w:numPr>
        <w:rPr/>
      </w:pPr>
      <w:bookmarkStart w:id="168" w:name="__RefHeading___Toc3601394_3804643083"/>
      <w:bookmarkStart w:id="169" w:name="_Toc65"/>
      <w:bookmarkEnd w:id="167"/>
      <w:bookmarkEnd w:id="168"/>
      <w:r>
        <w:rPr>
          <w:rtl w:val="true"/>
        </w:rPr>
        <w:t>مشايخه</w:t>
      </w:r>
      <w:r>
        <w:rPr>
          <w:rtl w:val="true"/>
        </w:rPr>
        <w:t>:</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خليل القزويني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خصاله البارزة أنّه اختلف مع الفيض في مسألة، و أصرّ في اثبات حقّانيّة عقيدته و موقفه كثيرا، و لكن عاد بعد مدّة فصدّق الفيض، فسافر من قزوين إلى كاشان على القدم، و لمّا صار عند منزل الفيض،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قد أتاك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الفيض صوته، فخرج إليه و جامله و رحّب به، و طلب منه أن ينزل عنده و لو لغرض الاستراحة بعض الوقت، لكنّ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يشوب نيته الخالصة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دعوة الفيض، و عاد من فوره إلى قزوين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بن عبد الصمد العاملي،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طاهر بن محمد حسين الشيرازي القمي،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الشيخ حسن بن الشهيد الثاني،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صالح بن احمد السروي المازندراني،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ماجد بن السيد هاشم الحسيني البحراني،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المتألّه الفاضل محمد بن إبراهيم الشيرازي الشهير بمولى صدرا،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العلامة رضي الدين الشاه مرتضى الأوّل بن الشاه محمود،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 محمد باقر الداماد،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3601396_3804643083"/>
      <w:bookmarkStart w:id="171" w:name="_Toc66"/>
      <w:bookmarkEnd w:id="170"/>
      <w:r>
        <w:rPr>
          <w:rtl w:val="true"/>
        </w:rPr>
        <w:t>الراوون عنه</w:t>
      </w:r>
      <w:r>
        <w:rPr>
          <w:rtl w:val="true"/>
        </w:rPr>
        <w:t>:</w:t>
      </w:r>
      <w:bookmarkEnd w:id="1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سعيد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72" w:name="pg2470_12334"/>
    </w:p>
    <w:p>
      <w:pPr>
        <w:pStyle w:val="BookText"/>
        <w:rPr/>
      </w:pPr>
      <w:bookmarkEnd w:id="1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الزكيّ المعروف بعلم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601398_3804643083"/>
      <w:bookmarkStart w:id="174" w:name="_Toc67"/>
      <w:bookmarkEnd w:id="173"/>
      <w:r>
        <w:rPr>
          <w:rtl w:val="true"/>
        </w:rPr>
        <w:t>آثاره</w:t>
      </w:r>
      <w:r>
        <w:rPr>
          <w:rtl w:val="true"/>
        </w:rPr>
        <w:t>:</w:t>
      </w:r>
      <w:bookmarkEnd w:id="174"/>
    </w:p>
    <w:p>
      <w:pPr>
        <w:pStyle w:val="BookText"/>
        <w:rPr/>
      </w:pPr>
      <w:r>
        <w:rPr>
          <w:rFonts w:ascii="Amiri" w:hAnsi="Amiri" w:eastAsia="Amiri" w:cs="Amiri"/>
          <w:color w:val="111111"/>
          <w:sz w:val="28"/>
          <w:sz w:val="28"/>
          <w:szCs w:val="28"/>
          <w:rtl w:val="true"/>
          <w:lang w:bidi="ar-SA"/>
        </w:rPr>
        <w:t>تعتبر مؤلّفات الفيض كنزا أغنى مكتبة العلوم الإسلاميّة إلى حدّ ملفت للنّظر، و يقول المحدّث الجزائري و صاحب 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مؤلّفات المترجم بلغت ما يقارب مائتى مؤلّف، و لكن ما هو مذكور في كتب الرجال و تراجم العلماء لا يتجاوز المائة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أحصاها التنكابني في قصص العلماء مائة و سبعين </w:t>
      </w:r>
      <w:r>
        <w:rPr>
          <w:rStyle w:val="FootnoteAnchor"/>
          <w:rtl w:val="true"/>
        </w:rPr>
        <w:footnoteReference w:id="151"/>
      </w:r>
      <w:r>
        <w:rPr>
          <w:rFonts w:ascii="Amiri" w:hAnsi="Amiri" w:eastAsia="Amiri" w:cs="Amiri"/>
          <w:color w:val="111111"/>
          <w:sz w:val="28"/>
          <w:sz w:val="28"/>
          <w:szCs w:val="28"/>
          <w:rtl w:val="true"/>
          <w:lang w:bidi="ar-SA"/>
        </w:rPr>
        <w:t xml:space="preserve">و أحصاها المحقّق القمّي في الفوائد الرضويّة ما يقارب مائة كتاب، </w:t>
      </w:r>
      <w:r>
        <w:rPr>
          <w:rStyle w:val="FootnoteAnchor"/>
          <w:rtl w:val="true"/>
        </w:rPr>
        <w:footnoteReference w:id="152"/>
      </w:r>
      <w:r>
        <w:rPr>
          <w:rFonts w:ascii="Amiri" w:hAnsi="Amiri" w:eastAsia="Amiri" w:cs="Amiri"/>
          <w:color w:val="111111"/>
          <w:sz w:val="28"/>
          <w:sz w:val="28"/>
          <w:szCs w:val="28"/>
          <w:rtl w:val="true"/>
          <w:lang w:bidi="ar-SA"/>
        </w:rPr>
        <w:t xml:space="preserve">و أحصاها العلّامة المدرّسي التبريزي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مائتي كتاب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المترجم 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أحصاها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أعدّه بنفسه و ذكر مؤلّفاته في التفسير و الحديث و الفقه و الاصول و العرفان، و الأخلاق و علم الكلام و نظائرها بما يقارب المائة كتاب </w:t>
      </w:r>
      <w:r>
        <w:rPr>
          <w:rStyle w:val="FootnoteAnchor"/>
          <w:rtl w:val="true"/>
        </w:rPr>
        <w:footnoteReference w:id="153"/>
      </w:r>
      <w:r>
        <w:rPr>
          <w:rFonts w:ascii="Amiri" w:hAnsi="Amiri" w:eastAsia="Amiri" w:cs="Amiri"/>
          <w:color w:val="111111"/>
          <w:sz w:val="28"/>
          <w:sz w:val="28"/>
          <w:szCs w:val="28"/>
          <w:rtl w:val="true"/>
          <w:lang w:bidi="ar-SA"/>
        </w:rPr>
        <w:t>، فعلى الباحث الرجوع إلى كتب التراجم</w:t>
      </w:r>
      <w:r>
        <w:rPr>
          <w:rFonts w:eastAsia="Amiri" w:cs="Amiri" w:ascii="Amiri" w:hAnsi="Amiri"/>
          <w:color w:val="111111"/>
          <w:sz w:val="28"/>
          <w:szCs w:val="28"/>
          <w:rtl w:val="true"/>
          <w:lang w:bidi="ar-SA"/>
        </w:rPr>
        <w:t>.</w:t>
      </w:r>
      <w:bookmarkStart w:id="175" w:name="pg2470_12335"/>
    </w:p>
    <w:p>
      <w:pPr>
        <w:pStyle w:val="Heading4"/>
        <w:numPr>
          <w:ilvl w:val="3"/>
          <w:numId w:val="1"/>
        </w:numPr>
        <w:rPr/>
      </w:pPr>
      <w:bookmarkStart w:id="176" w:name="__RefHeading___Toc3601400_3804643083"/>
      <w:bookmarkStart w:id="177" w:name="_Toc68"/>
      <w:bookmarkEnd w:id="175"/>
      <w:bookmarkEnd w:id="176"/>
      <w:r>
        <w:rPr>
          <w:rtl w:val="true"/>
        </w:rPr>
        <w:t>بين يدي الكتاب</w:t>
      </w:r>
      <w:r>
        <w:rPr>
          <w:rtl w:val="true"/>
        </w:rPr>
        <w:t>:</w:t>
      </w:r>
      <w:bookmarkEnd w:id="177"/>
    </w:p>
    <w:p>
      <w:pPr>
        <w:pStyle w:val="Heading5"/>
        <w:numPr>
          <w:ilvl w:val="4"/>
          <w:numId w:val="1"/>
        </w:numPr>
        <w:rPr/>
      </w:pPr>
      <w:bookmarkStart w:id="178" w:name="__RefHeading___Toc3601402_3804643083"/>
      <w:bookmarkStart w:id="179" w:name="_Toc69"/>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كتابنا الحاضر هو حاشية كتبها علّامتنا المجدّد الوحيد البهبهانيّ رحمه اللّه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حقّقتها مؤسّستنا التي تتشرّف بالانتساب إلى العلّامة المجدّد رحمه اللّه، و التي تتبنّى تحقيق و نشر تراثه و إحياء آثاره مع من ينتسب إليه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خلال إحصائنا لهذا الكتاب من نسخ خطيّة أو قطع منسوخة و منشورة في مكتبات العالم، لم تحصل لنا إلّا نسخة واحدة منه و هي موجودة في مكتبة الوزيري في يزد، و ذلك بعد البحث و التفتيش في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عامّة و خاصّة، سواء في داخل إيران أو خارجها، إمّا مشاهدة أو اعتمادا على ما أوردته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النسخة المخطوطة المنحصرة كثيرة الأغلاط جدّا، كتبت بخطوط مختلفة و لم يعلم كتّابها و تاريخ كتابتها</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3601404_3804643083"/>
      <w:bookmarkStart w:id="181" w:name="_Toc70"/>
      <w:bookmarkEnd w:id="180"/>
      <w:r>
        <w:rPr>
          <w:rtl w:val="true"/>
        </w:rPr>
        <w:t>منهجنا في التحقيق</w:t>
      </w:r>
      <w:r>
        <w:rPr>
          <w:rtl w:val="true"/>
        </w:rPr>
        <w:t>:</w:t>
      </w:r>
      <w:bookmarkEnd w:id="18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اعتمدنا في تحقيق هذه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خطّة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الجماعي، و الإخوة الأفاضل و المحقّقون الكرام الذين بذلوا جهودا مباركة في</w:t>
      </w:r>
    </w:p>
    <w:p>
      <w:pPr>
        <w:pStyle w:val="BookText"/>
        <w:rPr/>
      </w:pPr>
      <w:r>
        <w:rPr>
          <w:rFonts w:ascii="Amiri" w:hAnsi="Amiri" w:eastAsia="Amiri" w:cs="Amiri"/>
          <w:color w:val="111111"/>
          <w:sz w:val="28"/>
          <w:sz w:val="28"/>
          <w:szCs w:val="28"/>
          <w:rtl w:val="true"/>
          <w:lang w:bidi="ar-SA"/>
        </w:rPr>
        <w:t>مراحل التحقيق لهذا السفر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العمل بشكل جماعي، حسب ما هو مقرّر في نظام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بحسب ترتيب الحروف الأبجديّة حجج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جعفر أحمدي، الشيخ يوسف تقي‌زاده، السيّد حسن اللطيفي و الشيخ محمّد النجفي الدارابي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الداراب‌كلائي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مهمّة الإشراف النهائي على تحقيق هذه الحاشية و الغور في زواياه و إبداء الملاحظات النهائيّة و تنظيم الهوامش، فكانت على عاتق سماحة حجّة الإسلام الشيخ محمّد النجفي الدارابي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الداراب‌كلائي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تعالى درّهم و للّه عزّ شأنه جزيل أجرهم؛ حيث بذلوا ما وسعهم و لم يألوا جهدا في هذا الشأن، و نرجوا من الباري عزّ و جلّ أن يجعله خالصا لوجهه الكريم، و أن يتقبّله بقبوله الحسن، و أن ينفع القائمين به يوم لا ينفع مال و 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مذعنين سلفا بوجود نواقص و زلّات لأجل واحدة النسخة و أغلاط كثيرة، 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يسعفونا أبناء الفضيلة العلماء الأعلام بإرشاداتهم و ملاحظاتهم، شاكرين لهم و للإخوة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منتسبين أو مرشدين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قدّموه لإخراج هذه الحاشية بهذه الحلّة القشيبة، فشكر الباري سبحانه تلك المجاهدات الشاقّة و المساعي الجميلة و الجهود الجهيدة، فجزاهم اللّه خير جزاء المحسنين، و اخر دعوانا أن الحمد للّه ربّ العالمين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مؤسّسة العلّامة المجدّد الوحيد البهبهاني رحمه اللّه قم المقدّسة</w:t>
      </w:r>
      <w:bookmarkStart w:id="182" w:name="pg2470_1233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3" w:name="__RefHeading___Toc3601406_3804643083"/>
      <w:bookmarkStart w:id="184" w:name="_Toc71"/>
      <w:bookmarkEnd w:id="182"/>
      <w:bookmarkEnd w:id="183"/>
      <w:r>
        <w:rPr>
          <w:rtl w:val="true"/>
        </w:rPr>
        <w:t>نموذج من صورة النسخة الخطّيّة لحاشية الوافي</w:t>
      </w:r>
      <w:bookmarkEnd w:id="1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الاولى من النسخة الخطيّة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الأخيرة من النسخة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الوافي</w:t>
      </w:r>
    </w:p>
    <w:p>
      <w:pPr>
        <w:pStyle w:val="BookText"/>
        <w:rPr/>
      </w:pPr>
      <w:r>
        <w:rPr>
          <w:rFonts w:ascii="Amiri" w:hAnsi="Amiri" w:eastAsia="Amiri" w:cs="Amiri"/>
          <w:color w:val="111111"/>
          <w:sz w:val="28"/>
          <w:sz w:val="28"/>
          <w:szCs w:val="28"/>
          <w:rtl w:val="true"/>
          <w:lang w:bidi="ar-SA"/>
        </w:rPr>
        <w:t xml:space="preserve">العلّامة المجدّد الوحيد البهبهاني قدّس سرّه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و نشر مؤسّسة العلّامة المجدّد الوحيد البهبهاني قدّس سرّه</w:t>
      </w:r>
      <w:bookmarkStart w:id="185" w:name="pg2470_12343"/>
    </w:p>
    <w:p>
      <w:pPr>
        <w:pStyle w:val="Heading2"/>
        <w:numPr>
          <w:ilvl w:val="1"/>
          <w:numId w:val="1"/>
        </w:numPr>
        <w:rPr/>
      </w:pPr>
      <w:bookmarkStart w:id="186" w:name="__RefHeading___Toc3601408_3804643083"/>
      <w:bookmarkStart w:id="187" w:name="_Toc72"/>
      <w:bookmarkEnd w:id="185"/>
      <w:bookmarkEnd w:id="186"/>
      <w:r>
        <w:rPr>
          <w:rtl w:val="true"/>
        </w:rPr>
        <w:t>كتاب الحجّة</w:t>
      </w:r>
      <w:bookmarkEnd w:id="1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3601410_3804643083"/>
      <w:bookmarkStart w:id="189" w:name="_Toc73"/>
      <w:bookmarkEnd w:id="188"/>
      <w:r>
        <w:rPr>
          <w:rtl w:val="true"/>
        </w:rPr>
        <w:t>اشارة</w:t>
      </w:r>
      <w:bookmarkStart w:id="190" w:name="pg2470_12345"/>
      <w:bookmarkEnd w:id="189"/>
    </w:p>
    <w:p>
      <w:pPr>
        <w:pStyle w:val="BookText"/>
        <w:rPr/>
      </w:pPr>
      <w:bookmarkEnd w:id="190"/>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نحمدك اللّهم على نعمك و آلائك المتكاثرة، و نصلّي و نسلّم على سادة أهل الدنيا و الآخرة، محمّد صلّى اللّه عليه و آله و سلم و عترته الطاهرة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601412_3804643083"/>
      <w:bookmarkStart w:id="192" w:name="_Toc74"/>
      <w:bookmarkEnd w:id="191"/>
      <w:r>
        <w:rPr>
          <w:rtl w:val="true"/>
        </w:rPr>
        <w:t>باب الاضطرار إلى الحجّة</w:t>
      </w:r>
      <w:bookmarkEnd w:id="192"/>
    </w:p>
    <w:p>
      <w:pPr>
        <w:pStyle w:val="Heading4"/>
        <w:numPr>
          <w:ilvl w:val="3"/>
          <w:numId w:val="1"/>
        </w:numPr>
        <w:rPr/>
      </w:pPr>
      <w:bookmarkStart w:id="193" w:name="__RefHeading___Toc3601414_3804643083"/>
      <w:bookmarkStart w:id="194" w:name="_Toc75"/>
      <w:bookmarkEnd w:id="193"/>
      <w:r>
        <w:rPr>
          <w:rtl w:val="true"/>
        </w:rPr>
        <w:t>[</w:t>
      </w:r>
      <w:r>
        <w:rPr>
          <w:rtl w:val="true"/>
        </w:rPr>
        <w:t>في تحقّق الفتنة بعد الرسول صلّى اللّه عليه و آله و سلم</w:t>
      </w:r>
      <w:r>
        <w:rPr>
          <w:rtl w:val="true"/>
        </w:rPr>
        <w:t>]</w:t>
      </w:r>
      <w:bookmarkEnd w:id="1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معنى اخر الحديث، و اللّه أعلم ثمّ قائله، إنّ الفتنة في هذه السورة فتنتان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الحديث على ما 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الآية، خطاب شفاهي، و الأمر للحاضرين من أصحاب الرسول صلّى اللّه عليه و آله و سلم باتّقائهم فِتْنَةً لٰا تُصِيبَنَّ الَّذِينَ ظَلَمُوا مِنْكُمْ خَاصَّةً </w:t>
      </w:r>
      <w:r>
        <w:rPr>
          <w:rStyle w:val="FootnoteAnchor"/>
          <w:rtl w:val="true"/>
        </w:rPr>
        <w:footnoteReference w:id="155"/>
      </w:r>
      <w:r>
        <w:rPr>
          <w:rFonts w:ascii="Amiri" w:hAnsi="Amiri" w:eastAsia="Amiri" w:cs="Amiri"/>
          <w:color w:val="111111"/>
          <w:sz w:val="28"/>
          <w:sz w:val="28"/>
          <w:szCs w:val="28"/>
          <w:rtl w:val="true"/>
          <w:lang w:bidi="ar-SA"/>
        </w:rPr>
        <w:t>، و ظاهر أنّ هذه الفتنة أشدّ و أدهى؛ لوقوعها بالنسبة إلى خصوص الظالمين بسبب ظلمهم، و هي الارتداد بعد</w:t>
      </w:r>
      <w:bookmarkStart w:id="195" w:name="pg2470_12346"/>
    </w:p>
    <w:p>
      <w:pPr>
        <w:pStyle w:val="BookText"/>
        <w:rPr/>
      </w:pPr>
      <w:bookmarkEnd w:id="195"/>
      <w:r>
        <w:rPr>
          <w:rFonts w:ascii="Amiri" w:hAnsi="Amiri" w:eastAsia="Amiri" w:cs="Amiri"/>
          <w:color w:val="111111"/>
          <w:sz w:val="28"/>
          <w:sz w:val="28"/>
          <w:szCs w:val="28"/>
          <w:rtl w:val="true"/>
          <w:lang w:bidi="ar-SA"/>
        </w:rPr>
        <w:t>موت الرسول صلّى اللّه عليه و آله و سلم، كما أشار إليه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w:t>
      </w:r>
      <w:r>
        <w:rPr>
          <w:rStyle w:val="FootnoteAnchor"/>
          <w:rtl w:val="true"/>
        </w:rPr>
        <w:footnoteReference w:id="156"/>
      </w:r>
      <w:r>
        <w:rPr>
          <w:rFonts w:ascii="Amiri" w:hAnsi="Amiri" w:eastAsia="Amiri" w:cs="Amiri"/>
          <w:color w:val="111111"/>
          <w:sz w:val="28"/>
          <w:sz w:val="28"/>
          <w:szCs w:val="28"/>
          <w:rtl w:val="true"/>
          <w:lang w:bidi="ar-SA"/>
        </w:rPr>
        <w:t>الآية؛ فإنّه إشارة واضحة على أنّه صلّى اللّه عليه و آله و سلم إن مات ينقلبون على أعقابهم، و يرتدّون، و هم الجماعة الظالمون الذين وردت هذه الآية في شأنهم و توبيخا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عليه السّلام إلى أنّ هذه الفتنة الخاصّة التي تظهر من مفهوم الآية و اشير إليها في الآية الثانية هي إنكارهم لليلة القدر، و أنّها تذهب بعد موت رسول اللّه صلّى اللّه عليه و آله و سلم، و أنّهم لو لم ينكروا هذه و لم يقولوا بالذهاب لم يقعوا في الفتنة الكبرى و الداهية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قريب ممّا ذكره المؤلّف، إلّا أنه ألصق و أظهر من حيث إنّه أخصّ، فتأمّل</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601416_3804643083"/>
      <w:bookmarkStart w:id="197" w:name="_Toc76"/>
      <w:bookmarkEnd w:id="196"/>
      <w:r>
        <w:rPr>
          <w:rtl w:val="true"/>
        </w:rPr>
        <w:t>[</w:t>
      </w:r>
      <w:r>
        <w:rPr>
          <w:rtl w:val="true"/>
        </w:rPr>
        <w:t>المراد من النذير في الآية</w:t>
      </w:r>
      <w:r>
        <w:rPr>
          <w:rtl w:val="true"/>
        </w:rPr>
        <w:t>]</w:t>
      </w:r>
      <w:bookmarkEnd w:id="1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جهة بعثته صلّى اللّه عليه و آله و سلم أصحابه إلى أقطار الأرض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في أنّه صلّى اللّه عليه و آله و سلم لم يبعث حال حياته إلى جميع أقطار الأرض، بل بعث إلى قليل منها، و ربّما لم يسمعوا البعيث أصلا، بل ربّما سمعوا دعوته و لم يسمعوا البعث، و مع ذلك ليس المراد من النذير في الآية </w:t>
      </w:r>
      <w:r>
        <w:rPr>
          <w:rStyle w:val="FootnoteAnchor"/>
          <w:rtl w:val="true"/>
        </w:rPr>
        <w:footnoteReference w:id="158"/>
      </w:r>
      <w:r>
        <w:rPr>
          <w:rFonts w:ascii="Amiri" w:hAnsi="Amiri" w:eastAsia="Amiri" w:cs="Amiri"/>
          <w:color w:val="111111"/>
          <w:sz w:val="28"/>
          <w:sz w:val="28"/>
          <w:szCs w:val="28"/>
          <w:rtl w:val="true"/>
          <w:lang w:bidi="ar-SA"/>
        </w:rPr>
        <w:t>مثل ذلك الصحابي، و إلّا لكان جميع أصحاب الرسول صلّى اللّه عليه و آله و سلم بعده يصلح لأن يكون بعيثه؛ لأنّهم الرواة و حملة الأحكام، بل روايتهم و حملهم للأحكام أزيد من ذلك الصحابي بمراتب شتّى، فيكون ما فهمه الراوي عين الصواب، و تخطئته ينافي غرضه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كيف نبّه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خطئه، مع أنّه عين</w:t>
      </w:r>
    </w:p>
    <w:p>
      <w:pPr>
        <w:pStyle w:val="BookText"/>
        <w:rPr/>
      </w:pPr>
      <w:r>
        <w:rPr>
          <w:rFonts w:ascii="Amiri" w:hAnsi="Amiri" w:eastAsia="Amiri" w:cs="Amiri"/>
          <w:color w:val="111111"/>
          <w:sz w:val="28"/>
          <w:sz w:val="28"/>
          <w:szCs w:val="28"/>
          <w:rtl w:val="true"/>
          <w:lang w:bidi="ar-SA"/>
        </w:rPr>
        <w:t>ما كان ينكره، ما زاد عليه شي‌ء، و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فكذلك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كيف يكون متفرّعا على ما ذكر؟ إذ مقتضاه أنّ من ثبت كونه بعيثا ثبت كونه نذيرا لا أزيد من ذلك، مع أنّه علّل بحكاية تضييع من في الأصلاب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كان نذير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أنّه هل كان نذير سوى محمّد صلّى اللّه عليه و آله و سلم في أقطار الأرض حال حياته من جهة بعثته إلى جميع الأقطار؟</w:t>
      </w:r>
    </w:p>
    <w:p>
      <w:pPr>
        <w:pStyle w:val="BookText"/>
        <w:rPr/>
      </w:pPr>
      <w:r>
        <w:rPr>
          <w:rFonts w:ascii="Amiri" w:hAnsi="Amiri" w:eastAsia="Amiri" w:cs="Amiri"/>
          <w:color w:val="111111"/>
          <w:sz w:val="28"/>
          <w:sz w:val="28"/>
          <w:szCs w:val="28"/>
          <w:rtl w:val="true"/>
          <w:lang w:bidi="ar-SA"/>
        </w:rPr>
        <w:t>لأنّه كان من المتواترات عنه صلّى اللّه عليه و آله و سلم أنّه مبعوث إلى جميع الأقطار، و السائل صدّق المعصوم عليه السّلام بأنّه لم يكن حال حياته نذير للجميع سواه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ابتداء تحقيق منه، و مراده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و سلم إذا بعث رجلا إلى أمّته أ ليس ذلك البعيث نذيره؟ كما أنّه صلّى اللّه عليه و آله و سلم حال بعثته من اللّه تعالى و من جهة بعثته منه نذير فصدّقه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على جميع ما ذكره، و صدّقه الراوي و اعترف به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لم يمت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صلّى اللّه عليه و آله و سلم في حال حياته كان نذيرا للجميع، مع أنّه لم يتحقّق فعليّة إنذاره بالنسبة إلى كلّ واحد واحد من أهل الأقطار حال حياته فكذلك لم يمت إلّا و له بعيث نذير، و إن لم يتحقّق فعليّة إنذاره بالنسبة إلى الجميع، لأن وجوده، و كونه معتدّا للإنذار يكفي و إن منع عن الفعليّة مانع، و صرّح بذلك في اخر 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يأتيهم في ليالي القدر، فيلزم ألا يعلم الرسول صلّى اللّه عليه و آله و سلم ذلك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خصوص الأمر و سهولته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bookmarkStart w:id="198" w:name="pg2470_12348"/>
    </w:p>
    <w:p>
      <w:pPr>
        <w:pStyle w:val="BookText"/>
        <w:rPr/>
      </w:pPr>
      <w:bookmarkEnd w:id="198"/>
      <w:r>
        <w:rPr>
          <w:rFonts w:ascii="Amiri" w:hAnsi="Amiri" w:eastAsia="Amiri" w:cs="Amiri"/>
          <w:color w:val="111111"/>
          <w:sz w:val="28"/>
          <w:sz w:val="28"/>
          <w:szCs w:val="28"/>
          <w:rtl w:val="true"/>
          <w:lang w:bidi="ar-SA"/>
        </w:rPr>
        <w:t>يمكن أن يكون حصول أمثال ذلك لهم لئلّا يشبّه علمهم علم الفقهاء و المجتهدين من أصحاب الرسول صلّى اللّه عليه و آله و سلم و أمّته، حيث كانوا متحمّلين للقواعد الكليّة و العمومات الصادرة عن الرسول صلّى اللّه عليه و آله و سلم، و يفرّعون عليها الجزئيّات، و علمهم حصل من الأدلّة التفصيليّة من الكتاب و سنّة الرسول صلّى اللّه عليه و آله و سلم و الأئمّة عليهم السّلام، و الإجماع الكاشف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سيجي‌ء فيما بعد أنّ الأئمة عليهم السّلام يزدادون كلّ 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 أنّهم عليهم السّلام ربّما كانوا مطّلعين على ما لم يطّلع الرسول صلّى اللّه عليه و آله و سلم حال حياته من جهة تحقّق البداء، و أنّه بعد ما يطّلعون يعرضون أوّلا على الرسول صلّى اللّه عليه و آله و سلم، ثمّ على الإمام الذي مات إلى أن يصل إلى الإمام الحيّ عليه السّلام حتّى لا يتحقّق المفضوليّة، بل الرسول صلّى اللّه عليه و آله و سلم أيضا ربّما كان غير مطّلع على ما وقع فيه البداء، و كذا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سيجي‌ء أنّهم عليهم السّلام إذا شاءوا أن يعلموا علّموا </w:t>
      </w:r>
      <w:r>
        <w:rPr>
          <w:rStyle w:val="FootnoteAnchor"/>
          <w:rtl w:val="true"/>
        </w:rPr>
        <w:footnoteReference w:id="164"/>
      </w:r>
      <w:r>
        <w:rPr>
          <w:rFonts w:ascii="Amiri" w:hAnsi="Amiri" w:eastAsia="Amiri" w:cs="Amiri"/>
          <w:color w:val="111111"/>
          <w:sz w:val="28"/>
          <w:sz w:val="28"/>
          <w:szCs w:val="28"/>
          <w:rtl w:val="true"/>
          <w:lang w:bidi="ar-SA"/>
        </w:rPr>
        <w:t>، و غير ذلك ممّا دلّ على عدم علمهم أوّلا، و حصول علمهم ثانيا، فلا مانع من أن يكون النازل في ليلة القدر أمثال ما أشرنا إليه، لكنّ الراوي ما كان متحمّلا لإظهار ذلك بعنوان واضح، أو مطلقا، أو لأجل التقيّة، أو لاتّقاء ما أظهروا، فتأمّل</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601418_3804643083"/>
      <w:bookmarkStart w:id="200" w:name="_Toc77"/>
      <w:bookmarkEnd w:id="199"/>
      <w:r>
        <w:rPr>
          <w:rtl w:val="true"/>
        </w:rPr>
        <w:t>في أنّ الكفّار مكلّفون بفروع الدين</w:t>
      </w:r>
      <w:bookmarkEnd w:id="20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دلالة على أنّ الكفّار ليسوا مكلّفين بشرائع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p>
    <w:p>
      <w:pPr>
        <w:pStyle w:val="BookText"/>
        <w:rPr/>
      </w:pPr>
      <w:r>
        <w:rPr>
          <w:rFonts w:ascii="Amiri" w:hAnsi="Amiri" w:eastAsia="Amiri" w:cs="Amiri"/>
          <w:color w:val="111111"/>
          <w:sz w:val="28"/>
          <w:sz w:val="28"/>
          <w:szCs w:val="28"/>
          <w:rtl w:val="true"/>
          <w:lang w:bidi="ar-SA"/>
        </w:rPr>
        <w:t xml:space="preserve">كما هو الحقّ، خلافا لما اشتهر بين متأخري أصحابنا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 المسلمين بأجمعهم يقولون بأنّ الكفّار مكلّفون باصول الدين و فروعه، سوى ما نقل عن أبي حنيفة بأنّهم غير مكلّفين بفروعه </w:t>
      </w:r>
      <w:r>
        <w:rPr>
          <w:rStyle w:val="FootnoteAnchor"/>
          <w:rtl w:val="true"/>
        </w:rPr>
        <w:footnoteReference w:id="166"/>
      </w:r>
      <w:r>
        <w:rPr>
          <w:rFonts w:ascii="Amiri" w:hAnsi="Amiri" w:eastAsia="Amiri" w:cs="Amiri"/>
          <w:color w:val="111111"/>
          <w:sz w:val="28"/>
          <w:sz w:val="28"/>
          <w:szCs w:val="28"/>
          <w:rtl w:val="true"/>
          <w:lang w:bidi="ar-SA"/>
        </w:rPr>
        <w:t>زعما منه أنّه تكليف ما لا يطاق لأنّها غير مقبولة منهم، فكيف يكلّفون بما لا يقبل منهم؟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مبنيّ على اشتباهه بين مقدّمة الواجب المطلق و الواجب المشروط، إذ معرفة اصول الدين من قبيل الأوّل لا الثاني، فما نسبه إلى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 سوى أبي حنيفة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المطّلع و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خالف في فروع الدين، و الإمامة من اصول الدين على ما يوجبه الأدلّة العقليّة و النقليّة، و متّفق عليه بين علماء الشيعة، و خالفهم في ذلك العامّة، على أنّ الأخبار الواردة في هذا الكتاب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في أنّ معرفتهم عليهم السّلام واجبة على جميع المكلّفين، بل و على جميع المخلوقين </w:t>
      </w:r>
      <w:r>
        <w:rPr>
          <w:rStyle w:val="FootnoteAnchor"/>
          <w:rtl w:val="true"/>
        </w:rPr>
        <w:footnoteReference w:id="167"/>
      </w:r>
      <w:r>
        <w:rPr>
          <w:rFonts w:ascii="Amiri" w:hAnsi="Amiri" w:eastAsia="Amiri" w:cs="Amiri"/>
          <w:color w:val="111111"/>
          <w:sz w:val="28"/>
          <w:sz w:val="28"/>
          <w:szCs w:val="28"/>
          <w:rtl w:val="true"/>
          <w:lang w:bidi="ar-SA"/>
        </w:rPr>
        <w:t xml:space="preserve">، و أنّه لا يعذر أحد في جهالتهم </w:t>
      </w:r>
      <w:r>
        <w:rPr>
          <w:rStyle w:val="FootnoteAnchor"/>
          <w:rtl w:val="true"/>
        </w:rPr>
        <w:footnoteReference w:id="168"/>
      </w:r>
      <w:r>
        <w:rPr>
          <w:rFonts w:ascii="Amiri" w:hAnsi="Amiri" w:eastAsia="Amiri" w:cs="Amiri"/>
          <w:color w:val="111111"/>
          <w:sz w:val="28"/>
          <w:sz w:val="28"/>
          <w:szCs w:val="28"/>
          <w:rtl w:val="true"/>
          <w:lang w:bidi="ar-SA"/>
        </w:rPr>
        <w:t xml:space="preserve">، و أنّ الجميع و الكلّ محتاجون إلى الرسل </w:t>
      </w:r>
      <w:r>
        <w:rPr>
          <w:rStyle w:val="FootnoteAnchor"/>
          <w:rtl w:val="true"/>
        </w:rPr>
        <w:footnoteReference w:id="169"/>
      </w:r>
      <w:r>
        <w:rPr>
          <w:rFonts w:ascii="Amiri" w:hAnsi="Amiri" w:eastAsia="Amiri" w:cs="Amiri"/>
          <w:color w:val="111111"/>
          <w:sz w:val="28"/>
          <w:sz w:val="28"/>
          <w:szCs w:val="28"/>
          <w:rtl w:val="true"/>
          <w:lang w:bidi="ar-SA"/>
        </w:rPr>
        <w:t xml:space="preserve">، و أنّ اللّه تعالى في عالم الذرّ أخذ الميثاق من الكلّ بأن يعترفوا و يقرّوا بإمامتهم و ولايتهم، كما أخذ الميثاق بالإقرار بربوبيّته تعالى من دون تفاوت </w:t>
      </w:r>
      <w:r>
        <w:rPr>
          <w:rStyle w:val="FootnoteAnchor"/>
          <w:rtl w:val="true"/>
        </w:rPr>
        <w:footnoteReference w:id="170"/>
      </w:r>
      <w:r>
        <w:rPr>
          <w:rFonts w:ascii="Amiri" w:hAnsi="Amiri" w:eastAsia="Amiri" w:cs="Amiri"/>
          <w:color w:val="111111"/>
          <w:sz w:val="28"/>
          <w:sz w:val="28"/>
          <w:szCs w:val="28"/>
          <w:rtl w:val="true"/>
          <w:lang w:bidi="ar-SA"/>
        </w:rPr>
        <w:t xml:space="preserve">، و أنّهم صلوات اللّه عليهم حجج على الناس أجمعين، بل و على أهل السماوات أيضا فضلا عن أهل الأرضين </w:t>
      </w:r>
      <w:r>
        <w:rPr>
          <w:rStyle w:val="FootnoteAnchor"/>
          <w:rtl w:val="true"/>
        </w:rPr>
        <w:footnoteReference w:id="171"/>
      </w:r>
      <w:r>
        <w:rPr>
          <w:rFonts w:ascii="Amiri" w:hAnsi="Amiri" w:eastAsia="Amiri" w:cs="Amiri"/>
          <w:color w:val="111111"/>
          <w:sz w:val="28"/>
          <w:sz w:val="28"/>
          <w:szCs w:val="28"/>
          <w:rtl w:val="true"/>
          <w:lang w:bidi="ar-SA"/>
        </w:rPr>
        <w:t>إلى غير ذلك من أمثال ما</w:t>
      </w:r>
    </w:p>
    <w:p>
      <w:pPr>
        <w:pStyle w:val="BookText"/>
        <w:rPr/>
      </w:pPr>
      <w:r>
        <w:rPr>
          <w:rFonts w:ascii="Amiri" w:hAnsi="Amiri" w:eastAsia="Amiri" w:cs="Amiri"/>
          <w:color w:val="111111"/>
          <w:sz w:val="28"/>
          <w:sz w:val="28"/>
          <w:szCs w:val="28"/>
          <w:rtl w:val="true"/>
          <w:lang w:bidi="ar-SA"/>
        </w:rPr>
        <w:t>ذكرنا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طاعتهم </w:t>
      </w:r>
      <w:r>
        <w:rPr>
          <w:rStyle w:val="FootnoteAnchor"/>
          <w:rtl w:val="true"/>
        </w:rPr>
        <w:footnoteReference w:id="172"/>
      </w:r>
      <w:r>
        <w:rPr>
          <w:rFonts w:ascii="IRNazanin" w:hAnsi="IRNazanin" w:eastAsia="IRNazanin"/>
          <w:color w:val="111111"/>
          <w:sz w:val="28"/>
          <w:sz w:val="28"/>
          <w:szCs w:val="28"/>
          <w:rtl w:val="true"/>
          <w:lang w:bidi="fa-IR"/>
        </w:rPr>
        <w:t xml:space="preserve">، و وجوب مودّتهم </w:t>
      </w:r>
      <w:r>
        <w:rPr>
          <w:rStyle w:val="FootnoteAnchor"/>
          <w:rtl w:val="true"/>
        </w:rPr>
        <w:footnoteReference w:id="173"/>
      </w:r>
      <w:r>
        <w:rPr>
          <w:rFonts w:ascii="Amiri" w:hAnsi="Amiri" w:eastAsia="Amiri" w:cs="Amiri"/>
          <w:color w:val="111111"/>
          <w:sz w:val="28"/>
          <w:sz w:val="28"/>
          <w:szCs w:val="28"/>
          <w:rtl w:val="true"/>
          <w:lang w:bidi="ar-SA"/>
        </w:rPr>
        <w:t>إلى غير ذلك ممّا ستعرف في هذا الكتاب فضلا عن غيره، فالسند قطعيّ و الدلالة في غاية الوضوح، بل كلّما يتعاضد بعضها ببعض يصير الدلالة قطعيّة، مضافا إلى إجماع الشيعة؛ بل المسلمين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في الكتب الكلاميّة مذكور أنّ الشيعة يقولون في 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واجب من اللّه تعالى، و أنّه يجب معرفته، و أنّ العقل حاكم بذلك بعنوان العلم و اليقين فجعل من اصول دينهم كمعرفة اللّه تعالى و معرفة الرسول صلّى اللّه عليه و آله و سلم من دون فرق بين أصناف المكلّفين على جميع الكفّار و المسلمين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فروع الدين فأكثرها ورد الخطاب بعنوان العموم أو يظهر العموم بملاحظة العلّة، و أمّا الباقي فثبت عمومه بما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التكليف على جميع المسلمين بملاحظة تنقيح 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إجماع بسيط أو مركّب، أو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ورد في القرآن و الأخبار ذمّ الكفّار في أفعالهم و تروكهم في فروع الدين صريحا، بل و لعنهم </w:t>
      </w:r>
      <w:r>
        <w:rPr>
          <w:rStyle w:val="FootnoteAnchor"/>
          <w:rtl w:val="true"/>
        </w:rPr>
        <w:footnoteReference w:id="175"/>
      </w:r>
      <w:r>
        <w:rPr>
          <w:rFonts w:ascii="Amiri" w:hAnsi="Amiri" w:eastAsia="Amiri" w:cs="Amiri"/>
          <w:color w:val="111111"/>
          <w:sz w:val="28"/>
          <w:sz w:val="28"/>
          <w:szCs w:val="28"/>
          <w:rtl w:val="true"/>
          <w:lang w:bidi="ar-SA"/>
        </w:rPr>
        <w:t>و أمثال ذلك، بل ورد ذلك كثيرا، مضافا إلى أنّهم لو لم يكونوا مكلّفين في الفروع لزم ألا يكون مانع شرعي في قتلهم المسلمين و أسرهم إيّاهم، و الفسق و الفجور بنسائهم و لواط أبنائهم، و تخريب ديارهم، و قطعهم الطريق، و سرقتهم الأموال و أمثال ذلك من الشرّ و الضرر و الفتنة، و ألا يجب عليهم ردّ ما استقرضوا، و عوض ما أبلغوا، و الوفاء بعهدهم مع المسلمين، و مطلق</w:t>
      </w:r>
    </w:p>
    <w:p>
      <w:pPr>
        <w:pStyle w:val="BookText"/>
        <w:rPr/>
      </w:pPr>
      <w:r>
        <w:rPr>
          <w:rFonts w:ascii="Amiri" w:hAnsi="Amiri" w:eastAsia="Amiri" w:cs="Amiri"/>
          <w:color w:val="111111"/>
          <w:sz w:val="28"/>
          <w:sz w:val="28"/>
          <w:szCs w:val="28"/>
          <w:rtl w:val="true"/>
          <w:lang w:bidi="ar-SA"/>
        </w:rPr>
        <w:t>الوفاء بشرائط الذمّة و غير ذلك؛ و أحد ليس كذلك فضلا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جميع ذلك؛ دلالة الحديث على ما ذكره محلّ تأمّل؛ لاحتمال أن يكون المراد أنّ الإمام لا يمكن معرفته إلّا بعد معرفة اللّه تعالى و رسوله صلّى اللّه عليه و آله و سلم، لأنّ الإمام نائب رسول اللّه تعالى فمعرفته مترتّبة على معرفة اللّه تعالى و الرسول صلّى اللّه عليه و آله و سلم و متأخّرة عنهما، و موقوفة عليهما فكيف يجب معرفته بدون معرفتهما؟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لأنّه دليل و تعليل و لا يناسب ما فهمه المؤلّف، لأنّ التعليل و الدليل لا معنى له في مقام الحكم بعدم وجوب المعرفة على الكافّة و إن أمكن حصولها منه، لأنّ معرفة اللّه تعالى و الرسول صلّى اللّه عليه و آله و سلم بالنسبة إلى معرفة الإمام مقدّمة الواجب المشروط، بل لا خفاء على من له أدنى تأمّل أنّهما مقدّمة الواجب المطلق بالنسبة إلى معرفة الإمام عليه السّلام، و أنّ المراد ما ذكرنا و لذا استدلّ و 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نظير ما ورد منهم عليه السّلام في وجوب معرفة الإمام عليه السّلام المتأخّر و المتقدّم جميعا أنّه كيف يعرف المتأخّر و هو جاهل بالمتقدّم؟ و تقدّم هذا الحديث فلاحظ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يدلّ على أنّهم مكلّفون بالفروع 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فتدبّر؛ و أنّه صلّى اللّه عليه و آله و سلم مبعوث على كافّة البشر و غير ذلك، ممّا لا تحصى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القلم مرفوع عن الصبيّ حتّى يحتلم، و المجنون حتّى يفيق </w:t>
      </w:r>
      <w:r>
        <w:rPr>
          <w:rStyle w:val="FootnoteAnchor"/>
          <w:rtl w:val="true"/>
        </w:rPr>
        <w:footnoteReference w:id="179"/>
      </w:r>
      <w:r>
        <w:rPr>
          <w:rFonts w:ascii="Amiri" w:hAnsi="Amiri" w:eastAsia="Amiri" w:cs="Amiri"/>
          <w:color w:val="111111"/>
          <w:sz w:val="28"/>
          <w:sz w:val="28"/>
          <w:szCs w:val="28"/>
          <w:rtl w:val="true"/>
          <w:lang w:bidi="ar-SA"/>
        </w:rPr>
        <w:t xml:space="preserve">و أمثال هذا، مضافا إلى الآيات الصريحة في ذمّ الكافر في ترك الصلاة و الإطعام و غيرها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الفساد فى الأرض </w:t>
      </w:r>
      <w:r>
        <w:rPr>
          <w:rStyle w:val="FootnoteAnchor"/>
          <w:rtl w:val="true"/>
        </w:rPr>
        <w:footnoteReference w:id="181"/>
      </w:r>
      <w:r>
        <w:rPr>
          <w:rFonts w:ascii="Amiri" w:hAnsi="Amiri" w:eastAsia="Amiri" w:cs="Amiri"/>
          <w:color w:val="111111"/>
          <w:sz w:val="28"/>
          <w:sz w:val="28"/>
          <w:szCs w:val="28"/>
          <w:rtl w:val="true"/>
          <w:lang w:bidi="ar-SA"/>
        </w:rPr>
        <w:t xml:space="preserve">، و الحكم بغير ما أنزل اللّه </w:t>
      </w:r>
      <w:r>
        <w:rPr>
          <w:rStyle w:val="FootnoteAnchor"/>
          <w:rtl w:val="true"/>
        </w:rPr>
        <w:footnoteReference w:id="182"/>
      </w:r>
      <w:r>
        <w:rPr>
          <w:rFonts w:ascii="Amiri" w:hAnsi="Amiri" w:eastAsia="Amiri" w:cs="Amiri"/>
          <w:color w:val="111111"/>
          <w:sz w:val="28"/>
          <w:sz w:val="28"/>
          <w:szCs w:val="28"/>
          <w:rtl w:val="true"/>
          <w:lang w:bidi="ar-SA"/>
        </w:rPr>
        <w:t xml:space="preserve">، و الكذب </w:t>
      </w:r>
      <w:r>
        <w:rPr>
          <w:rStyle w:val="FootnoteAnchor"/>
          <w:rtl w:val="true"/>
        </w:rPr>
        <w:footnoteReference w:id="183"/>
      </w:r>
      <w:r>
        <w:rPr>
          <w:rFonts w:ascii="Amiri" w:hAnsi="Amiri" w:eastAsia="Amiri" w:cs="Amiri"/>
          <w:color w:val="111111"/>
          <w:sz w:val="28"/>
          <w:sz w:val="28"/>
          <w:szCs w:val="28"/>
          <w:rtl w:val="true"/>
          <w:lang w:bidi="ar-SA"/>
        </w:rPr>
        <w:t xml:space="preserve">و تعليل الأحبار و الرهبان الأخبار في الحلال و الحرام و سائر الأحكام </w:t>
      </w:r>
      <w:r>
        <w:rPr>
          <w:rStyle w:val="FootnoteAnchor"/>
          <w:rtl w:val="true"/>
        </w:rPr>
        <w:footnoteReference w:id="184"/>
      </w:r>
      <w:r>
        <w:rPr>
          <w:rFonts w:ascii="Amiri" w:hAnsi="Amiri" w:eastAsia="Amiri" w:cs="Amiri"/>
          <w:color w:val="111111"/>
          <w:sz w:val="28"/>
          <w:sz w:val="28"/>
          <w:szCs w:val="28"/>
          <w:rtl w:val="true"/>
          <w:lang w:bidi="ar-SA"/>
        </w:rPr>
        <w:t xml:space="preserve">و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الأخبار أكثر </w:t>
      </w:r>
      <w:r>
        <w:rPr>
          <w:rStyle w:val="FootnoteAnchor"/>
          <w:rtl w:val="true"/>
        </w:rPr>
        <w:footnoteReference w:id="185"/>
      </w:r>
      <w:r>
        <w:rPr>
          <w:rFonts w:ascii="Amiri" w:hAnsi="Amiri" w:eastAsia="Amiri" w:cs="Amiri"/>
          <w:color w:val="111111"/>
          <w:sz w:val="28"/>
          <w:sz w:val="28"/>
          <w:szCs w:val="28"/>
          <w:rtl w:val="true"/>
          <w:lang w:bidi="ar-SA"/>
        </w:rPr>
        <w:t>، حتّى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يرفع عن هذه الامّة كثيرا ممّا لم يرفعه عن الامم السابقة </w:t>
      </w:r>
      <w:r>
        <w:rPr>
          <w:rStyle w:val="FootnoteAnchor"/>
          <w:rtl w:val="true"/>
        </w:rPr>
        <w:footnoteReference w:id="186"/>
      </w:r>
      <w:r>
        <w:rPr>
          <w:rFonts w:ascii="Amiri" w:hAnsi="Amiri" w:eastAsia="Amiri" w:cs="Amiri"/>
          <w:color w:val="111111"/>
          <w:sz w:val="28"/>
          <w:sz w:val="28"/>
          <w:szCs w:val="28"/>
          <w:rtl w:val="true"/>
          <w:lang w:bidi="ar-SA"/>
        </w:rPr>
        <w:t>فما ظنّك بما يرفع؟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شرائط الذمّة، و أخذ الذمّة عن أهل الذمّة، و كيفيّة السلوك معهم تنادي بكونهم مكلّفين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البراهين القاطعة على كون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كالمسلمين في غاية الكثرة و نهاية الوضوح، فكيف يعارضها الخبر الواحد 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مستبعد، و الظنّي مساو للظنّي دلالة، و الظنّي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التعارض، بل كلّ واحد من الظنون المذكورة، و الاختلالات كثيرة، كما حقّقناه في محلّه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مثل هذا الخبر يعارض اليقينيّات و يقاومها و يغلب عليها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 شرع و ملّة؛ يصير اللّه تعالى جسما ذا صورة، ظالما بل ظلّاما شغله الظلم بحيث لا يحصى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المفاسد،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الظالمون علوّا كبيرا، فتدبّر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يشهد عليه أنّ رسول اللّه صلّى اللّه عليه و آله و سلم ذمّ جماعة بأفعال خبيثة معروفة </w:t>
      </w:r>
      <w:r>
        <w:rPr>
          <w:rStyle w:val="FootnoteAnchor"/>
          <w:rtl w:val="true"/>
        </w:rPr>
        <w:footnoteReference w:id="188"/>
      </w:r>
      <w:r>
        <w:rPr>
          <w:rFonts w:ascii="IRNazanin" w:hAnsi="IRNazanin" w:eastAsia="IRNazanin"/>
          <w:color w:val="111111"/>
          <w:sz w:val="28"/>
          <w:sz w:val="28"/>
          <w:szCs w:val="28"/>
          <w:rtl w:val="true"/>
          <w:lang w:bidi="fa-IR"/>
        </w:rPr>
        <w:t>،</w:t>
      </w:r>
      <w:bookmarkStart w:id="201" w:name="pg2470_12353"/>
    </w:p>
    <w:p>
      <w:pPr>
        <w:pStyle w:val="BookText"/>
        <w:rPr/>
      </w:pPr>
      <w:bookmarkEnd w:id="201"/>
      <w:r>
        <w:rPr>
          <w:rFonts w:ascii="Amiri" w:hAnsi="Amiri" w:eastAsia="Amiri" w:cs="Amiri"/>
          <w:color w:val="111111"/>
          <w:sz w:val="28"/>
          <w:sz w:val="28"/>
          <w:szCs w:val="28"/>
          <w:rtl w:val="true"/>
          <w:lang w:bidi="ar-SA"/>
        </w:rPr>
        <w:t xml:space="preserve">و مدح جماعة بأفعال حسنة </w:t>
      </w:r>
      <w:r>
        <w:rPr>
          <w:rStyle w:val="FootnoteAnchor"/>
          <w:rtl w:val="true"/>
        </w:rPr>
        <w:footnoteReference w:id="189"/>
      </w:r>
      <w:r>
        <w:rPr>
          <w:rFonts w:ascii="Amiri" w:hAnsi="Amiri" w:eastAsia="Amiri" w:cs="Amiri"/>
          <w:color w:val="111111"/>
          <w:sz w:val="28"/>
          <w:sz w:val="28"/>
          <w:szCs w:val="28"/>
          <w:rtl w:val="true"/>
          <w:lang w:bidi="ar-SA"/>
        </w:rPr>
        <w:t>إلى غير ذلك ممّا صنع بالكفّار و المشركين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طريقة سلوك الأئمّة عليهم السّلام و الفقهاء و المسلمين في الأعصار و الأمصار، فتدبّر</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601420_3804643083"/>
      <w:bookmarkStart w:id="203" w:name="_Toc78"/>
      <w:bookmarkEnd w:id="202"/>
      <w:r>
        <w:rPr>
          <w:rtl w:val="true"/>
        </w:rPr>
        <w:t>في ردّ الشبهة الموردة على طريقة المجتهدين</w:t>
      </w:r>
      <w:bookmarkEnd w:id="2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تقولوا إذا قلنا، و أن تصمتوا إذا صمتنا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على نفي الاجتهاد و القول بالرأي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دلالة واضحة على بطلان التحقيقات الصادرة من المؤلّف في كتبه حتّى ما ذكره في بيانات هذا الكتاب أيضا، ممّا لم يقل به أحد من الأئمّة عليهم السّلام، فإنّ الذي قالوه ليس تحقيق المؤلّف، بل هو عين حديثهم، و تحقيقاته لا منشأ لها إلّا نفس رأيه و مجرّد ظنّه، بل ربّما كان محض توهّم منه، و تخريب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الاجتهاد فتعريفه على ما عرّفه الفقهاء منّا في كتبهم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الفقيه وسعه في تحصيل الحكم الشرعي من دليله </w:t>
      </w:r>
      <w:r>
        <w:rPr>
          <w:rStyle w:val="FootnoteAnchor"/>
          <w:rtl w:val="true"/>
        </w:rPr>
        <w:footnoteReference w:id="191"/>
      </w:r>
      <w:r>
        <w:rPr>
          <w:rFonts w:ascii="Amiri" w:hAnsi="Amiri" w:eastAsia="Amiri" w:cs="Amiri"/>
          <w:color w:val="111111"/>
          <w:sz w:val="28"/>
          <w:sz w:val="28"/>
          <w:szCs w:val="28"/>
          <w:rtl w:val="true"/>
          <w:lang w:bidi="ar-SA"/>
        </w:rPr>
        <w:t xml:space="preserve">، و ربّما قيّد بعضهم الدليل بالظنّي </w:t>
      </w:r>
      <w:r>
        <w:rPr>
          <w:rStyle w:val="FootnoteAnchor"/>
          <w:rtl w:val="true"/>
        </w:rPr>
        <w:footnoteReference w:id="192"/>
      </w:r>
      <w:r>
        <w:rPr>
          <w:rFonts w:ascii="Amiri" w:hAnsi="Amiri" w:eastAsia="Amiri" w:cs="Amiri"/>
          <w:color w:val="111111"/>
          <w:sz w:val="28"/>
          <w:sz w:val="28"/>
          <w:szCs w:val="28"/>
          <w:rtl w:val="true"/>
          <w:lang w:bidi="ar-SA"/>
        </w:rPr>
        <w:t xml:space="preserve">بناء على انسداد باب العلم و اليقين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الفقهيّة، لأنّ المدار غالبا على أخبار الآحاد و هي ظنيّة سندا و متنا و دلالة و علاجا للتعارض الحاصل بينها، أو بينها و بين غيرها من الأدلّة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القرآن فقطعيّ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 و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و أمّا الخبر المتواتر فلو 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و ظنّي الدلالة، و أمّا الإجماع المنقول بخبر الواحد فظنّي أيضا، و كذا الاصول و الإجماع القطعي لا يكاد في شخص حكم بدون الحاجة إلى ضمّ أحد الأدلّة الظنّية،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واقع على وجوب الركوع للصلاة، و أمّا حدّه و واجباته و مصحّحاته و مبطلاته فمن الأدلّة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الاستفراغ في معرفة الحكم من الدليل الظنّي يتوقّف على مراعاة جميع ما له دخل في معرفة الحكم منه، و في الوثوق به و رفع الاختلالات و هو الذي يعبّرون عنه بشرائط الاجتهاد </w:t>
      </w:r>
      <w:r>
        <w:rPr>
          <w:rStyle w:val="FootnoteAnchor"/>
          <w:rtl w:val="true"/>
        </w:rPr>
        <w:footnoteReference w:id="193"/>
      </w:r>
      <w:r>
        <w:rPr>
          <w:rFonts w:ascii="Amiri" w:hAnsi="Amiri" w:eastAsia="Amiri" w:cs="Amiri"/>
          <w:color w:val="111111"/>
          <w:sz w:val="28"/>
          <w:sz w:val="28"/>
          <w:szCs w:val="28"/>
          <w:rtl w:val="true"/>
          <w:lang w:bidi="ar-SA"/>
        </w:rPr>
        <w:t>و برهنوا على مدخليّة كلّ واحد واحد في موضعه، و لو لم يعرف أحد أحدا منها لوقع في الخطأ في الفهم و لم يصل أمره إلى حدّ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194"/>
      </w:r>
      <w:r>
        <w:rPr>
          <w:rFonts w:ascii="Amiri" w:hAnsi="Amiri" w:eastAsia="Amiri" w:cs="Amiri"/>
          <w:color w:val="111111"/>
          <w:sz w:val="28"/>
          <w:sz w:val="28"/>
          <w:szCs w:val="28"/>
          <w:rtl w:val="true"/>
          <w:lang w:bidi="ar-SA"/>
        </w:rPr>
        <w:t>و أمثاله ممّا هو العذر الثابت من الشرع على سبيل اليقين في اعتماد الفقيه على فهمه و حكمه من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ممّا ذكره من أنّ عدم القبول من الأئمّة عليهم السّلام يدلّ على بطلانه؟ مع أنّ مدار المؤلّف على الاجتهاد لا غير، بل ربّما كان اجتهاده اجتهادات عجيبة غريبة يعرفها من له من الفقه نصيب، فتأمّل جدّا و لا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فحوى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المسكر من الأشربة نهاهم عنه نهيا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القليل منه ليس بحرام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تكون الإضافة بيانيّة و إضافة الصفة إلى موصوفها و هي أيضا متعارفة، فتأمّل جدّا</w:t>
      </w:r>
      <w:r>
        <w:rPr>
          <w:rFonts w:eastAsia="Amiri" w:cs="Amiri" w:ascii="Amiri" w:hAnsi="Amiri"/>
          <w:color w:val="111111"/>
          <w:sz w:val="28"/>
          <w:szCs w:val="28"/>
          <w:rtl w:val="true"/>
          <w:lang w:bidi="ar-SA"/>
        </w:rPr>
        <w:t>!</w:t>
      </w:r>
      <w:bookmarkStart w:id="204" w:name="pg2470_12355"/>
    </w:p>
    <w:p>
      <w:pPr>
        <w:pStyle w:val="Heading2"/>
        <w:numPr>
          <w:ilvl w:val="1"/>
          <w:numId w:val="1"/>
        </w:numPr>
        <w:rPr/>
      </w:pPr>
      <w:bookmarkStart w:id="205" w:name="__RefHeading___Toc3601422_3804643083"/>
      <w:bookmarkStart w:id="206" w:name="_Toc79"/>
      <w:bookmarkEnd w:id="204"/>
      <w:bookmarkEnd w:id="205"/>
      <w:r>
        <w:rPr>
          <w:rtl w:val="true"/>
        </w:rPr>
        <w:t>كتاب الطهارة</w:t>
      </w:r>
      <w:bookmarkEnd w:id="20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3601424_3804643083"/>
      <w:bookmarkStart w:id="208" w:name="_Toc80"/>
      <w:bookmarkEnd w:id="207"/>
      <w:r>
        <w:rPr>
          <w:rtl w:val="true"/>
        </w:rPr>
        <w:t>اشارة</w:t>
      </w:r>
      <w:bookmarkStart w:id="209" w:name="pg2470_12357"/>
      <w:bookmarkEnd w:id="208"/>
    </w:p>
    <w:p>
      <w:pPr>
        <w:pStyle w:val="Heading3"/>
        <w:numPr>
          <w:ilvl w:val="2"/>
          <w:numId w:val="1"/>
        </w:numPr>
        <w:rPr/>
      </w:pPr>
      <w:bookmarkStart w:id="210" w:name="__RefHeading___Toc3601426_3804643083"/>
      <w:bookmarkStart w:id="211" w:name="_Toc81"/>
      <w:bookmarkEnd w:id="209"/>
      <w:bookmarkEnd w:id="210"/>
      <w:r>
        <w:rPr>
          <w:rtl w:val="true"/>
        </w:rPr>
        <w:t>[</w:t>
      </w:r>
      <w:r>
        <w:rPr>
          <w:rtl w:val="true"/>
        </w:rPr>
        <w:t>أبواب أحكام المياه</w:t>
      </w:r>
      <w:r>
        <w:rPr>
          <w:rtl w:val="true"/>
        </w:rPr>
        <w:t>]</w:t>
      </w:r>
      <w:bookmarkEnd w:id="211"/>
    </w:p>
    <w:p>
      <w:pPr>
        <w:pStyle w:val="Heading4"/>
        <w:numPr>
          <w:ilvl w:val="3"/>
          <w:numId w:val="1"/>
        </w:numPr>
        <w:rPr/>
      </w:pPr>
      <w:bookmarkStart w:id="212" w:name="__RefHeading___Toc3601428_3804643083"/>
      <w:bookmarkStart w:id="213" w:name="_Toc82"/>
      <w:bookmarkEnd w:id="212"/>
      <w:r>
        <w:rPr>
          <w:rtl w:val="true"/>
        </w:rPr>
        <w:t>باب طهارة الماء و طهوريّته و أنّه لا ينجس إلّا إذا تغيّر بالنجاسة</w:t>
      </w:r>
      <w:bookmarkEnd w:id="2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غيره عن محمّد بن أحمد عن اللؤلؤي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وافق ابن أبي عقيل </w:t>
      </w:r>
      <w:r>
        <w:rPr>
          <w:rStyle w:val="FootnoteAnchor"/>
          <w:rtl w:val="true"/>
        </w:rPr>
        <w:footnoteReference w:id="197"/>
      </w:r>
      <w:r>
        <w:rPr>
          <w:rFonts w:ascii="Amiri" w:hAnsi="Amiri" w:eastAsia="Amiri" w:cs="Amiri"/>
          <w:color w:val="111111"/>
          <w:sz w:val="28"/>
          <w:sz w:val="28"/>
          <w:szCs w:val="28"/>
          <w:rtl w:val="true"/>
          <w:lang w:bidi="ar-SA"/>
        </w:rPr>
        <w:t xml:space="preserve">و خالف المتقدّمين و المتأخّرين من فقهائنا، و ابن أبي عقيل خالف الإجماعات المتعدّدة و الأخبار المتواترة المتعدّدة الواردة في أبواب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العامّة؛ لأنّ المذهب المشهور من العامّة في زمان الصادقين عليهما السّلام كان عدم الانفعال مطلقا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مالكا، و أبا هريرة، و الحسن البصري، و الأوزاعي، و الثوري، و ابن أبي ليلى، و عكرمة، و سعيد بن المسيّب، و جابر بن زيد، و داود بن المنذر، و حذيفة، و ابن عبّاس كانوا يقولون بعدم الانفعال</w:t>
      </w:r>
    </w:p>
    <w:p>
      <w:pPr>
        <w:pStyle w:val="BookText"/>
        <w:rPr/>
      </w:pPr>
      <w:r>
        <w:rPr>
          <w:rFonts w:ascii="IRNazanin" w:hAnsi="IRNazanin" w:eastAsia="IRNazanin"/>
          <w:color w:val="111111"/>
          <w:sz w:val="28"/>
          <w:sz w:val="28"/>
          <w:szCs w:val="28"/>
          <w:rtl w:val="true"/>
          <w:lang w:bidi="fa-IR"/>
        </w:rPr>
        <w:t xml:space="preserve">مطلقا </w:t>
      </w:r>
      <w:r>
        <w:rPr>
          <w:rStyle w:val="FootnoteAnchor"/>
          <w:rtl w:val="true"/>
        </w:rPr>
        <w:footnoteReference w:id="198"/>
      </w:r>
      <w:r>
        <w:rPr>
          <w:rFonts w:ascii="Amiri" w:hAnsi="Amiri" w:eastAsia="Amiri" w:cs="Amiri"/>
          <w:color w:val="111111"/>
          <w:sz w:val="28"/>
          <w:sz w:val="28"/>
          <w:szCs w:val="28"/>
          <w:rtl w:val="true"/>
          <w:lang w:bidi="ar-SA"/>
        </w:rPr>
        <w:t>فيظهر منه أنّ مذهب علي عليه السّلام و أهل البيت عليهم السّلام كان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أيضا أنّ مذهب هؤلاء كان مشهورا و معروفا في زمان الصادقين عليهما السّلام فالتقيّة منهم، و أمّا الشافعي و أحمد كانا يقولان بالقلّتين، و أبو حنيفة بالكرّ الذي ليس كرّ الشيعة قطعا </w:t>
      </w:r>
      <w:r>
        <w:rPr>
          <w:rStyle w:val="FootnoteAnchor"/>
          <w:rtl w:val="true"/>
        </w:rPr>
        <w:footnoteReference w:id="199"/>
      </w:r>
      <w:r>
        <w:rPr>
          <w:rFonts w:ascii="Amiri" w:hAnsi="Amiri" w:eastAsia="Amiri" w:cs="Amiri"/>
          <w:color w:val="111111"/>
          <w:sz w:val="28"/>
          <w:sz w:val="28"/>
          <w:szCs w:val="28"/>
          <w:rtl w:val="true"/>
          <w:lang w:bidi="ar-SA"/>
        </w:rPr>
        <w:t>، و مذاهب هؤلاء اشتهرت بعد الصادقين عليهما السّلام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الداعي لابن أبي عقيل توهّمه تواتر الأخبار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لا ينجّسه شي‌ء إلّا ما غيّر لونه أو طعمه أو ريحه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 لم ينقل هذا الخبر أحد ممّن تقدّم عليه، أو تأخّر عنه، أو عاصره في موضع من المواضع بعنوان الآحاد، و لا بعنوان واحد ضعيف، أو مرسل أو مجهول، فضلا عن التواتر، بل بعض الفقهاء مع بذل جهده لم يأت إلّا عن النبي صلّى اللّه عليه و آله و سلم بطريق مجهول من العامّة </w:t>
      </w:r>
      <w:r>
        <w:rPr>
          <w:rStyle w:val="FootnoteAnchor"/>
          <w:rtl w:val="true"/>
        </w:rPr>
        <w:footnoteReference w:id="201"/>
      </w:r>
      <w:r>
        <w:rPr>
          <w:rFonts w:ascii="Amiri" w:hAnsi="Amiri" w:eastAsia="Amiri" w:cs="Amiri"/>
          <w:color w:val="111111"/>
          <w:sz w:val="28"/>
          <w:sz w:val="28"/>
          <w:szCs w:val="28"/>
          <w:rtl w:val="true"/>
          <w:lang w:bidi="ar-SA"/>
        </w:rPr>
        <w:t>، و الباقون مع بذل جهدهم لم يشيروا إليه أصلا، فعلى هذا لو كان حديث يدلّ على أصل عدم الانفعال فهو محمول على التقيّة و القرائن على التقيّة موجودة أيضا، كما ستعرف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يطهّر لأنّه إن غلب على النجاسة حتّى استهلكت فيه طهّرها و لم ينجّس حتّى يحتاج إلى التطهير، و إن غلبت عليه النجاسة حتّى استهلك فيها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ما في هذا البيان من الامور الفاسدة التي لا خفاء في فسادها، و مع ذلك يدّعيها ادّعاء يقين و عيان كأنّها من غاية الظهور و الوضوح لا يحتاج إلى</w:t>
      </w:r>
    </w:p>
    <w:p>
      <w:pPr>
        <w:pStyle w:val="BookText"/>
        <w:rPr/>
      </w:pPr>
      <w:r>
        <w:rPr>
          <w:rFonts w:ascii="Amiri" w:hAnsi="Amiri" w:eastAsia="Amiri" w:cs="Amiri"/>
          <w:color w:val="111111"/>
          <w:sz w:val="28"/>
          <w:sz w:val="28"/>
          <w:szCs w:val="28"/>
          <w:rtl w:val="true"/>
          <w:lang w:bidi="ar-SA"/>
        </w:rPr>
        <w:t>برهان، و لا يخفى على من له أدنى تأمّل أنّ الأمر بالعكس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غلب على النجاسة</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انحصار الأمر في الاستهلاك إمّا باستهلاك النجاسة في الماء، أو استهلاك الماء في النجاسة، و هذا بديهيّ الفساد، لأنّ ملاقاة النجاسة، و التغيّر بالنجاسة أمران لا دخل لهما في الاستهلاك أصلا، أمّا الأوّل فظاهر، و أمّا الثاني فلأنّ الماء المتغيّر لا شكّ في كونه ماء حقيقة داخلا في أفراد الماء المطلق، غير داخل في المائعات الاخر و المياه المضافة، كما أنّ الماء الآجن المتغيّر من قبل نفسه كذلك، و بمجرّد تغيّر صفة لا يخرج الشي‌ء عن حقيقته كما هو الحال في جميع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النجاسة و الطهارة حكمان شرعيّان لا دخل لهما في الاستهلاك و عدمه، فربّما لا يخرج الشي‌ء عن حقيقته و يصير نجسا، كما هو الحال في الأجسام المتنجّسة يقينا، و ربّما يخرج عن حقيقته و لا يصير نجسا، بل و ربّما يصير بذلك طاهرا كما أنّ الكلب يصير ملحا، و العذرة دودا، و الميتة ترابا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ينادي بأنّ التغيّر ليس استهلاكا؛ الفرق بين التغيّر بالملاقاة و التغيّر بالمجاورة، فإنّه بالأوّل يصير نجسا دون الثاني، مع عدم تفاوت بالتغيّر من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ينادي أيضا أنّ الماء لا ينجس بكلّ تغيّر يكون، بل بخصوص اللون أو الطعم أو الريح، فلو تغيّر بالحرارة و البرودة و الثقل و الخفّة و الغلظة و الرقّة و أمثال ذلك فلا ينجس إجماعا، مع أنّ هذه الصفات ربّما كان تغيّرها أدخل في الاستهلاك من أدنى تغيّر يحصل في أحد الصفات الثلاث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عين النجاسة موجودة في الماء الطاهر إجماعا كالكرّ الذي فيه العذرة التي لم تغيّر صفة الماء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يقبل التطهير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فيه ما فيه؛ لأنّ استهلاك النجاسة ليست منحصرة في الماء إذ يجوز تحقّقها بالأجسام الطاهرة، و تصفيق الرياح، و المكث مدّة، فإنّ نفس الماء لا ينفعل من النجاسة فلا يتوقّف زوال استهلاكه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قلناه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أنّه لا دلالة فيها على ما قاله بوجه لا مطابقة و لا تضمّنا و لا التزاما، بل يدلّ على خلافه، إذ يدلّ على أنّ المتغيّر ماء جزما، و أنّه بسبب تغيّره بأحد الأوصاف الخاصّة ينجس شرعا لا مطلق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 روي عن النبي صلّى اللّه عليه و آله و سلم ليس إلّا رواية واحدة رواها العامّة في كتبهم، و الخاصّة صرّحوا بأنّها من روايات العامّة و لم يروها أحد من الخاصّة </w:t>
      </w:r>
      <w:r>
        <w:rPr>
          <w:rStyle w:val="FootnoteAnchor"/>
          <w:rtl w:val="true"/>
        </w:rPr>
        <w:footnoteReference w:id="206"/>
      </w:r>
      <w:r>
        <w:rPr>
          <w:rFonts w:ascii="Amiri" w:hAnsi="Amiri" w:eastAsia="Amiri" w:cs="Amiri"/>
          <w:color w:val="111111"/>
          <w:sz w:val="28"/>
          <w:sz w:val="28"/>
          <w:szCs w:val="28"/>
          <w:rtl w:val="true"/>
          <w:lang w:bidi="ar-SA"/>
        </w:rPr>
        <w:t>، مضافا إلى أنّ أخبار الخاصّة متواترة بالمعنى في أنّ الماء القليل ينفعل بالملاقاة، صرّح بكونها متواترة غير واحد من المحقّقين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فيه </w:t>
      </w:r>
      <w:r>
        <w:rPr>
          <w:rStyle w:val="FootnoteAnchor"/>
          <w:rtl w:val="true"/>
        </w:rPr>
        <w:footnoteReference w:id="207"/>
      </w:r>
      <w:r>
        <w:rPr>
          <w:rFonts w:ascii="Amiri" w:hAnsi="Amiri" w:eastAsia="Amiri" w:cs="Amiri"/>
          <w:color w:val="111111"/>
          <w:sz w:val="28"/>
          <w:sz w:val="28"/>
          <w:szCs w:val="28"/>
          <w:rtl w:val="true"/>
          <w:lang w:bidi="ar-SA"/>
        </w:rPr>
        <w:t xml:space="preserve">، و جدّي العلّامة المجلسي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أنّا أشرنا إلى بعض مواضع ورود تلك الأخبار في حاشيتنا على المدارك </w:t>
      </w:r>
      <w:r>
        <w:rPr>
          <w:rStyle w:val="FootnoteAnchor"/>
          <w:rtl w:val="true"/>
        </w:rPr>
        <w:footnoteReference w:id="209"/>
      </w:r>
      <w:r>
        <w:rPr>
          <w:rFonts w:ascii="Amiri" w:hAnsi="Amiri" w:eastAsia="Amiri" w:cs="Amiri"/>
          <w:color w:val="111111"/>
          <w:sz w:val="28"/>
          <w:sz w:val="28"/>
          <w:szCs w:val="28"/>
          <w:rtl w:val="true"/>
          <w:lang w:bidi="ar-SA"/>
        </w:rPr>
        <w:t>، يظهر منه كونها متواترة، و المصنّف شتّت تلك الأخبار بحيث يعسر على من أراد الاطّلاع العثور عليها، بل و على أكثرها، بل و على كثير منها، مع أنّ تلك</w:t>
      </w:r>
    </w:p>
    <w:p>
      <w:pPr>
        <w:pStyle w:val="BookText"/>
        <w:rPr/>
      </w:pPr>
      <w:r>
        <w:rPr>
          <w:rFonts w:ascii="Amiri" w:hAnsi="Amiri" w:eastAsia="Amiri" w:cs="Amiri"/>
          <w:color w:val="111111"/>
          <w:sz w:val="28"/>
          <w:sz w:val="28"/>
          <w:szCs w:val="28"/>
          <w:rtl w:val="true"/>
          <w:lang w:bidi="ar-SA"/>
        </w:rPr>
        <w:t xml:space="preserve">الأخبار منها صحاح و غير الصحيح منجبر بعمل الأصحاب، مع أنّ كثيرا منها وقع الإجماع على العمل بها، مثل ما ورد في ولوغ الكلب </w:t>
      </w:r>
      <w:r>
        <w:rPr>
          <w:rStyle w:val="FootnoteAnchor"/>
          <w:rtl w:val="true"/>
        </w:rPr>
        <w:footnoteReference w:id="210"/>
      </w:r>
      <w:r>
        <w:rPr>
          <w:rFonts w:ascii="Amiri" w:hAnsi="Amiri" w:eastAsia="Amiri" w:cs="Amiri"/>
          <w:color w:val="111111"/>
          <w:sz w:val="28"/>
          <w:sz w:val="28"/>
          <w:szCs w:val="28"/>
          <w:rtl w:val="true"/>
          <w:lang w:bidi="ar-SA"/>
        </w:rPr>
        <w:t xml:space="preserve">، و ما ورد في الإنائين المشتبهين </w:t>
      </w:r>
      <w:r>
        <w:rPr>
          <w:rStyle w:val="FootnoteAnchor"/>
          <w:rtl w:val="true"/>
        </w:rPr>
        <w:footnoteReference w:id="211"/>
      </w:r>
      <w:r>
        <w:rPr>
          <w:rFonts w:ascii="Amiri" w:hAnsi="Amiri" w:eastAsia="Amiri" w:cs="Amiri"/>
          <w:color w:val="111111"/>
          <w:sz w:val="28"/>
          <w:sz w:val="28"/>
          <w:szCs w:val="28"/>
          <w:rtl w:val="true"/>
          <w:lang w:bidi="ar-SA"/>
        </w:rPr>
        <w:t xml:space="preserve">، و ما ورد في تحديد الكرّ بالأرطال </w:t>
      </w:r>
      <w:r>
        <w:rPr>
          <w:rStyle w:val="FootnoteAnchor"/>
          <w:rtl w:val="true"/>
        </w:rPr>
        <w:footnoteReference w:id="212"/>
      </w:r>
      <w:r>
        <w:rPr>
          <w:rFonts w:ascii="Amiri" w:hAnsi="Amiri" w:eastAsia="Amiri" w:cs="Amiri"/>
          <w:color w:val="111111"/>
          <w:sz w:val="28"/>
          <w:sz w:val="28"/>
          <w:szCs w:val="28"/>
          <w:rtl w:val="true"/>
          <w:lang w:bidi="ar-SA"/>
        </w:rPr>
        <w:t>، مع أنّه مخالف لمذهب جميع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الشيخ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بإجماع الشيعة على انفعال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بالملاقاة </w:t>
      </w:r>
      <w:r>
        <w:rPr>
          <w:rStyle w:val="FootnoteAnchor"/>
          <w:rtl w:val="true"/>
        </w:rPr>
        <w:footnoteReference w:id="213"/>
      </w:r>
      <w:r>
        <w:rPr>
          <w:rFonts w:ascii="Amiri" w:hAnsi="Amiri" w:eastAsia="Amiri" w:cs="Amiri"/>
          <w:color w:val="111111"/>
          <w:sz w:val="28"/>
          <w:sz w:val="28"/>
          <w:szCs w:val="28"/>
          <w:rtl w:val="true"/>
          <w:lang w:bidi="ar-SA"/>
        </w:rPr>
        <w:t xml:space="preserve">، و هو الظاهر من فتاويهم، و الصدوق رحمه اللّه في أماليه عدّ من جملة ما صرّح بأنّه من دين الإماميّة أنّ الماء ينجّسه ما له نفس سائلة دون ما لا نفس له سائلة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إدريس ادّعى الإجماع على نجاسة غسالة الحمّام </w:t>
      </w:r>
      <w:r>
        <w:rPr>
          <w:rStyle w:val="FootnoteAnchor"/>
          <w:rtl w:val="true"/>
        </w:rPr>
        <w:footnoteReference w:id="215"/>
      </w:r>
      <w:r>
        <w:rPr>
          <w:rFonts w:ascii="Amiri" w:hAnsi="Amiri" w:eastAsia="Amiri" w:cs="Amiri"/>
          <w:color w:val="111111"/>
          <w:sz w:val="28"/>
          <w:sz w:val="28"/>
          <w:szCs w:val="28"/>
          <w:rtl w:val="true"/>
          <w:lang w:bidi="ar-SA"/>
        </w:rPr>
        <w:t>، و غير ذلك من الإجماعات المتفرّعة على انفعال الماء بالملاقاة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إجماع الشيعة على انفعال القليل </w:t>
      </w:r>
      <w:r>
        <w:rPr>
          <w:rStyle w:val="FootnoteAnchor"/>
          <w:rtl w:val="true"/>
        </w:rPr>
        <w:footnoteReference w:id="216"/>
      </w:r>
      <w:r>
        <w:rPr>
          <w:rFonts w:ascii="Amiri" w:hAnsi="Amiri" w:eastAsia="Amiri" w:cs="Amiri"/>
          <w:color w:val="111111"/>
          <w:sz w:val="28"/>
          <w:sz w:val="28"/>
          <w:szCs w:val="28"/>
          <w:rtl w:val="true"/>
          <w:lang w:bidi="ar-SA"/>
        </w:rPr>
        <w:t xml:space="preserve">، و ابن أبي عقيل خالف إجماعهم </w:t>
      </w:r>
      <w:r>
        <w:rPr>
          <w:rStyle w:val="FootnoteAnchor"/>
          <w:rtl w:val="true"/>
        </w:rPr>
        <w:footnoteReference w:id="217"/>
      </w:r>
      <w:r>
        <w:rPr>
          <w:rFonts w:ascii="Amiri" w:hAnsi="Amiri" w:eastAsia="Amiri" w:cs="Amiri"/>
          <w:color w:val="111111"/>
          <w:sz w:val="28"/>
          <w:sz w:val="28"/>
          <w:szCs w:val="28"/>
          <w:rtl w:val="true"/>
          <w:lang w:bidi="ar-SA"/>
        </w:rPr>
        <w:t>و هو كذلك، كما لا يخفى على المتأمّل المنصف، فإنّ من تأخّر عنه و من تقدّم عليه، و من عاصره ممّن يشافه المعصوم عليه السّلام، و كان يصل إلى خدمته مكرّرا، كلّهم اتّفقوا على الانفعال، و ابن أبي عقيل ما لاقى المعصوم عليه السّلام، بل</w:t>
      </w:r>
    </w:p>
    <w:p>
      <w:pPr>
        <w:pStyle w:val="BookText"/>
        <w:rPr/>
      </w:pPr>
      <w:r>
        <w:rPr>
          <w:rFonts w:ascii="Amiri" w:hAnsi="Amiri" w:eastAsia="Amiri" w:cs="Amiri"/>
          <w:color w:val="111111"/>
          <w:sz w:val="28"/>
          <w:sz w:val="28"/>
          <w:szCs w:val="28"/>
          <w:rtl w:val="true"/>
          <w:lang w:bidi="ar-SA"/>
        </w:rPr>
        <w:t xml:space="preserve">و توهّم في الروايات حيث قال بعدم الانفعال، لأنّه ادّعى تواتر مضمون الحديث الذي نقله المصنّف عن الرسول صلّى اللّه عليه و آله و سلم </w:t>
      </w:r>
      <w:r>
        <w:rPr>
          <w:rStyle w:val="FootnoteAnchor"/>
          <w:rtl w:val="true"/>
        </w:rPr>
        <w:footnoteReference w:id="218"/>
      </w:r>
      <w:r>
        <w:rPr>
          <w:rFonts w:ascii="Amiri" w:hAnsi="Amiri" w:eastAsia="Amiri" w:cs="Amiri"/>
          <w:color w:val="111111"/>
          <w:sz w:val="28"/>
          <w:sz w:val="28"/>
          <w:szCs w:val="28"/>
          <w:rtl w:val="true"/>
          <w:lang w:bidi="ar-SA"/>
        </w:rPr>
        <w:t xml:space="preserve">، و عن الصادق عليه السّلام بطريق الخاصّة </w:t>
      </w:r>
      <w:r>
        <w:rPr>
          <w:rStyle w:val="FootnoteAnchor"/>
          <w:rtl w:val="true"/>
        </w:rPr>
        <w:footnoteReference w:id="219"/>
      </w:r>
      <w:r>
        <w:rPr>
          <w:rFonts w:ascii="Amiri" w:hAnsi="Amiri" w:eastAsia="Amiri" w:cs="Amiri"/>
          <w:color w:val="111111"/>
          <w:sz w:val="28"/>
          <w:sz w:val="28"/>
          <w:szCs w:val="28"/>
          <w:rtl w:val="true"/>
          <w:lang w:bidi="ar-SA"/>
        </w:rPr>
        <w:t>، مع أنّه لم يروه كذلك أحد من الخاصّة أصلا، و لا من المتأخّرين كما لا يخفى، فكيف يخفى المتواتر عمّن عاصر ابن أبي عقيل، و من تقدّم عليه، و من تأخّر عنه إلى أن لم يشر أحد منهم بطريق الآحاد، فضلا عن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أشرنا إليه من الإجماعات المتفرّعة على الانفعال، مضافا إلى ما ستعرف ممّا نقول في الأخبار الآتية، فكيف يبقى للمجتهد طريق إلى التأمّل في الحكم بالانفعال سيّما و أن يقول ما قاله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نسبة أصحابنا إلى الزعم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كيف تنسب فقهاء الشيعة و المؤسّسين لمذهبهم في الفروع و الاصول الماهرين، الأئمة في العلوم من المعقول و المنقول، مروّجي دين الرسول صلّى اللّه عليه و آله و سلم في كلّ مائة، متكفّلي أيتام الأئمّة عليهم السّلام بعد الاستتار و الغيبة، الذين عليهم المدار في الأخبار، و نقلها و ضبطها و البناء بها على فقههم في جميع الأعصار و الأمصار، فكيف تنسبهم إلى الزعم، و تستخفّ بهم هذا النوع من الاستخفاف؟ و أين أدب المتأدّب؟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أسوأ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انفعل لما جاز إزالة الخبث بالقليل</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لا يخفى فساده أيضا، بل و نهاية شناعته كما ذكره سابقا، و لم يدّع أحد من الشيعة أنّ القليل ينفعل مطلقا، بل الإجماع واقع منهم على عدم الانفعال كذلك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فلم يرد خبر يدلّ بمنطوقه على الانفعال على سبيل العموم، نعم</w:t>
      </w:r>
    </w:p>
    <w:p>
      <w:pPr>
        <w:pStyle w:val="BookText"/>
        <w:rPr/>
      </w:pPr>
      <w:r>
        <w:rPr>
          <w:rFonts w:ascii="Amiri" w:hAnsi="Amiri" w:eastAsia="Amiri" w:cs="Amiri"/>
          <w:color w:val="111111"/>
          <w:sz w:val="28"/>
          <w:sz w:val="28"/>
          <w:szCs w:val="28"/>
          <w:rtl w:val="true"/>
          <w:lang w:bidi="ar-SA"/>
        </w:rPr>
        <w:t xml:space="preserve">إن كان عموم فمن المفهوم، مع أنّ نفس المفهوم عند المصنّف لا يصلح لأن يصير معارضا للمنطوق </w:t>
      </w:r>
      <w:r>
        <w:rPr>
          <w:rStyle w:val="FootnoteAnchor"/>
          <w:rtl w:val="true"/>
        </w:rPr>
        <w:footnoteReference w:id="222"/>
      </w:r>
      <w:r>
        <w:rPr>
          <w:rFonts w:ascii="Amiri" w:hAnsi="Amiri" w:eastAsia="Amiri" w:cs="Amiri"/>
          <w:color w:val="111111"/>
          <w:sz w:val="28"/>
          <w:sz w:val="28"/>
          <w:szCs w:val="28"/>
          <w:rtl w:val="true"/>
          <w:lang w:bidi="ar-SA"/>
        </w:rPr>
        <w:t>فضلا عن عمومه، و سيّما إذا وقع الإجماع على جواز التطهير بالقليل، فإذا كان جواز التطهير مستلزما لعدم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أن يقاومه عموم المفهوم؟</w:t>
      </w:r>
    </w:p>
    <w:p>
      <w:pPr>
        <w:pStyle w:val="BookText"/>
        <w:rPr/>
      </w:pPr>
      <w:r>
        <w:rPr>
          <w:rFonts w:ascii="Amiri" w:hAnsi="Amiri" w:eastAsia="Amiri" w:cs="Amiri"/>
          <w:color w:val="111111"/>
          <w:sz w:val="28"/>
          <w:sz w:val="28"/>
          <w:szCs w:val="28"/>
          <w:rtl w:val="true"/>
          <w:lang w:bidi="ar-SA"/>
        </w:rPr>
        <w:t>مع أنّ عموم المنطوق قابل للتخصيص، بل خصّص كثيرا إلى أن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الفقه من أوّله إلى آخره على ذلك، فكيف لا يجوز تخصيص عموم المفهوم الذي هو أضعف من عموم المنطوق؟</w:t>
      </w:r>
    </w:p>
    <w:p>
      <w:pPr>
        <w:pStyle w:val="BookText"/>
        <w:rPr/>
      </w:pPr>
      <w:r>
        <w:rPr>
          <w:rFonts w:ascii="Amiri" w:hAnsi="Amiri" w:eastAsia="Amiri" w:cs="Amiri"/>
          <w:color w:val="111111"/>
          <w:sz w:val="28"/>
          <w:sz w:val="28"/>
          <w:szCs w:val="28"/>
          <w:rtl w:val="true"/>
          <w:lang w:bidi="ar-SA"/>
        </w:rPr>
        <w:t>بل المصنّف لا يقول بعموم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لما اختاره صاحب المدارك، و مشاركوه </w:t>
      </w:r>
      <w:r>
        <w:rPr>
          <w:rStyle w:val="FootnoteAnchor"/>
          <w:rtl w:val="true"/>
        </w:rPr>
        <w:footnoteReference w:id="223"/>
      </w:r>
      <w:r>
        <w:rPr>
          <w:rFonts w:ascii="Amiri" w:hAnsi="Amiri" w:eastAsia="Amiri" w:cs="Amiri"/>
          <w:color w:val="111111"/>
          <w:sz w:val="28"/>
          <w:sz w:val="28"/>
          <w:szCs w:val="28"/>
          <w:rtl w:val="true"/>
          <w:lang w:bidi="ar-SA"/>
        </w:rPr>
        <w:t>، و إذا لم ينفعل في صورة خاصّة لا يلزم من ذلك عدم الانفعال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الرضاع يحرّم في صورة مخصوصة و لا يحرّم في صورة مخصوصة، بل بناء الفقه من أوّله إلى آخره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وروده على النجاسة و ورودها عليه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غلط أيضا، إذ لم يرد نصّ يدلّ على انفعال القليل بوروده على النجاسة، و عموم المفهوم عرفت حاله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تدلّ المنطوقات على الانفعال بوروده على النجاسة كذا لا يدلّ على انفعاله في صورة غسل النجاسة مطلقا، سواء ورد على النجاسة أو وردت عليه، لكن هذا لا ينفعه، بل ضرره عليه أزيد، و مع ذلك المذاق حينئذ مختلف،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تكلّفه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أبعد التكلّفات</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أيضا ما فيه؛ فإنّ النجاسة و تطهيرها حكمان شرعيّان تعبّديان لا طريق للعقل إليهما أصلا كيف يصير الدم و المني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يكون الإنسان منهما و يشقّ عليه التحرّز عنهما، و كذا بول الصبيّ، و يكون القي‌ء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كيف يطهر المقعد من مدر أو خرقة مع بقاء الأثر و الأجزاء العالقة التي لا تزول إلّا بالماء و لا يطهر من ماء الورد، و الخلّ الحار و أمثالهما؟</w:t>
      </w:r>
    </w:p>
    <w:p>
      <w:pPr>
        <w:pStyle w:val="BookText"/>
        <w:rPr/>
      </w:pPr>
      <w:r>
        <w:rPr>
          <w:rFonts w:ascii="Amiri" w:hAnsi="Amiri" w:eastAsia="Amiri" w:cs="Amiri"/>
          <w:color w:val="111111"/>
          <w:sz w:val="28"/>
          <w:sz w:val="28"/>
          <w:szCs w:val="28"/>
          <w:rtl w:val="true"/>
          <w:lang w:bidi="ar-SA"/>
        </w:rPr>
        <w:t>و بالجملة؛ ما استبعده لا يدلّ عليه العقل كما عرفت، و لا النقل؛ إذ لا إجماع عليه، و لم يدلّ نصّ، و لا قاعدة من القواعد الشرعيّة عليه، بل 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محاكمة </w:t>
      </w:r>
      <w:r>
        <w:rPr>
          <w:rStyle w:val="FootnoteAnchor"/>
          <w:rtl w:val="true"/>
        </w:rPr>
        <w:footnoteReference w:id="226"/>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أنّ هذا قول الشيخ و من وافقه من القائلين بنجاسة الغسالة الاولى دون الثانية </w:t>
      </w:r>
      <w:r>
        <w:rPr>
          <w:rStyle w:val="FootnoteAnchor"/>
          <w:rtl w:val="true"/>
        </w:rPr>
        <w:footnoteReference w:id="227"/>
      </w:r>
      <w:r>
        <w:rPr>
          <w:rFonts w:ascii="Amiri" w:hAnsi="Amiri" w:eastAsia="Amiri" w:cs="Amiri"/>
          <w:color w:val="111111"/>
          <w:sz w:val="28"/>
          <w:sz w:val="28"/>
          <w:szCs w:val="28"/>
          <w:rtl w:val="true"/>
          <w:lang w:bidi="ar-SA"/>
        </w:rPr>
        <w:t xml:space="preserve">، و من أراد التحقيق كاملا فعليه بملاحظة الحاشية التي كتبناها على المدارك </w:t>
      </w:r>
      <w:r>
        <w:rPr>
          <w:rStyle w:val="FootnoteAnchor"/>
          <w:rtl w:val="true"/>
        </w:rPr>
        <w:footnoteReference w:id="2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فيها من التشنيعات الظاهرة على المصنّف،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ينقل واقعة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 الطهارة لها أحكام متعدّدة و شرائط فمن أين عرفت؟ و لم نجد فرقا بين الماء و المياه المضافة و الأجسام فيما ذكره من عدم السؤال عن كيفيّة الحفظ عن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اخر ما ذكره، بل النقل و السؤال في الماء ورد كثيرا أكثر ممّا ورد في المياه المضافة و الأجسام، كما لا يخفى على من له أدنى 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الأصل الطهارة في كلّ شي‌ء سيّما الماء إلى أن يحصل اليقين بنجاسته، و لذا يحكم بطهارة إناء المشركين و أمثال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 و السكّر و أمثالهما ممّا كان في عهد الرسول صلّى اللّه عليه و آله و سلم و من بعده معمولا به، مع أنّه في زمانه صلّى اللّه عليه و آله و سلم لم يكن إسلام في البلاد التي وجد فيها، بل و ربّما لم يوجد أهل الكتاب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من أنّ ما يستدلّون به على اشتراط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أنّ استدلالهم على انفعال القليل بالمنطوقات أزيد منه، و يجزم يقينا أنّه رأى ذلك، و يعلم أنّ الافتراء حرام، فاللّه أعلم بمقصوده، على أن المحقّقين نقلوا الإجماع على حجيّة المفهوم في المقام </w:t>
      </w:r>
      <w:r>
        <w:rPr>
          <w:rStyle w:val="FootnoteAnchor"/>
          <w:rtl w:val="true"/>
        </w:rPr>
        <w:footnoteReference w:id="231"/>
      </w:r>
      <w:r>
        <w:rPr>
          <w:rFonts w:ascii="Amiri" w:hAnsi="Amiri" w:eastAsia="Amiri" w:cs="Amiri"/>
          <w:color w:val="111111"/>
          <w:sz w:val="28"/>
          <w:sz w:val="28"/>
          <w:szCs w:val="28"/>
          <w:rtl w:val="true"/>
          <w:lang w:bidi="ar-SA"/>
        </w:rPr>
        <w:t>، فهذا أيضا إجماع خالفه، كالإجماعات السابقة، فهذه المفهومات أقوى من منطوقاته بمراتب، كما ستعرف حال منطوقاته، مضافا إلى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المرجّحات التي اجتمعت في هذه المسألة لم تجتمع في مسألة من مسائل الفقه، فمن كان بناؤه على الفقاهة و الترجيحات في الفقه فكيف يتيسّر له التأمّل هاهنا؟</w:t>
      </w:r>
    </w:p>
    <w:p>
      <w:pPr>
        <w:pStyle w:val="BookText"/>
        <w:rPr/>
      </w:pPr>
      <w:r>
        <w:rPr>
          <w:rFonts w:ascii="Amiri" w:hAnsi="Amiri" w:eastAsia="Amiri" w:cs="Amiri"/>
          <w:color w:val="111111"/>
          <w:sz w:val="28"/>
          <w:sz w:val="28"/>
          <w:szCs w:val="28"/>
          <w:rtl w:val="true"/>
          <w:lang w:bidi="ar-SA"/>
        </w:rPr>
        <w:t xml:space="preserve">و ما ذكره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مثار الوسواس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 المدار في الأعصار و الأمصار على مراعاته من دون تأمّل لأحد فيها حتّى المصنّف، فإنّه في النخبة رغب في عدم التعدّي عنها </w:t>
      </w:r>
      <w:r>
        <w:rPr>
          <w:rStyle w:val="FootnoteAnchor"/>
          <w:rtl w:val="true"/>
        </w:rPr>
        <w:footnoteReference w:id="233"/>
      </w:r>
      <w:r>
        <w:rPr>
          <w:rFonts w:ascii="Amiri" w:hAnsi="Amiri" w:eastAsia="Amiri" w:cs="Amiri"/>
          <w:color w:val="111111"/>
          <w:sz w:val="28"/>
          <w:sz w:val="28"/>
          <w:szCs w:val="28"/>
          <w:rtl w:val="true"/>
          <w:lang w:bidi="ar-SA"/>
        </w:rPr>
        <w:t xml:space="preserve">، و في هذا الكتاب سيذكر أنّ ماء الوضوء لا بدّ أن يكون له مزيد اختصاص، و يتنزّه عن القليل الملاقي للنجاسة </w:t>
      </w:r>
      <w:r>
        <w:rPr>
          <w:rStyle w:val="FootnoteAnchor"/>
          <w:rtl w:val="true"/>
        </w:rPr>
        <w:footnoteReference w:id="234"/>
      </w:r>
      <w:r>
        <w:rPr>
          <w:rFonts w:ascii="Amiri" w:hAnsi="Amiri" w:eastAsia="Amiri" w:cs="Amiri"/>
          <w:color w:val="111111"/>
          <w:sz w:val="28"/>
          <w:sz w:val="28"/>
          <w:szCs w:val="28"/>
          <w:rtl w:val="true"/>
          <w:lang w:bidi="ar-SA"/>
        </w:rPr>
        <w:t>، و لم يجد الوسواس إلّا من أهله، فالتكليف مثار الوسواس بل الحدّ الذي</w:t>
      </w:r>
    </w:p>
    <w:p>
      <w:pPr>
        <w:pStyle w:val="BookText"/>
        <w:rPr/>
      </w:pPr>
      <w:r>
        <w:rPr>
          <w:rFonts w:ascii="Amiri" w:hAnsi="Amiri" w:eastAsia="Amiri" w:cs="Amiri"/>
          <w:color w:val="111111"/>
          <w:sz w:val="28"/>
          <w:sz w:val="28"/>
          <w:szCs w:val="28"/>
          <w:rtl w:val="true"/>
          <w:lang w:bidi="ar-SA"/>
        </w:rPr>
        <w:t xml:space="preserve">سيذكره للكرّ </w:t>
      </w:r>
      <w:r>
        <w:rPr>
          <w:rStyle w:val="FootnoteAnchor"/>
          <w:rtl w:val="true"/>
        </w:rPr>
        <w:footnoteReference w:id="235"/>
      </w:r>
      <w:r>
        <w:rPr>
          <w:rFonts w:ascii="Amiri" w:hAnsi="Amiri" w:eastAsia="Amiri" w:cs="Amiri"/>
          <w:color w:val="111111"/>
          <w:sz w:val="28"/>
          <w:sz w:val="28"/>
          <w:szCs w:val="28"/>
          <w:rtl w:val="true"/>
          <w:lang w:bidi="ar-SA"/>
        </w:rPr>
        <w:t>هو مثاره البتّة، و لا يكاد ينفكّ عنه، بل هو حرج في الدين و تكليف بما لا يطاق بالنسبة إلى عامّة العاملين مضافا إلى بداهة فساده من وجوه ستعرفها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التطهير أصلا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غلط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الاستنجاء من الغائط ينجس و يطهر، و سنشير إليه مفصّلا،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القدم أيضا كذلك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مصادرة، بل مكابرة؛ لما سيذكر في باب الاستنجاء، فإنّ الحجر يلاقي موضع الغائط و مخرج النجو </w:t>
      </w:r>
      <w:r>
        <w:rPr>
          <w:rStyle w:val="FootnoteAnchor"/>
          <w:rtl w:val="true"/>
        </w:rPr>
        <w:footnoteReference w:id="237"/>
      </w:r>
      <w:r>
        <w:rPr>
          <w:rFonts w:ascii="Amiri" w:hAnsi="Amiri" w:eastAsia="Amiri" w:cs="Amiri"/>
          <w:color w:val="111111"/>
          <w:sz w:val="28"/>
          <w:sz w:val="28"/>
          <w:szCs w:val="28"/>
          <w:rtl w:val="true"/>
          <w:lang w:bidi="ar-SA"/>
        </w:rPr>
        <w:t>و يطهر، فلاحظ جميع ما سنذكره هناك و 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ابن قولويه، عن أبيه، عن سعد، عن أحمد، عن الحسين و التميمي عن حمّاد، عن حريز، عن أبي عبد اللّه عليه السّلام مثله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هذه متّحدة مع السابقة كما أخذه المصنّف و اعترف به، فالسند مرسل على الظاهر أو مضطرب فلا يقاوم الأخبار الصحيحة من حيث السند، بل و من حيث الدلالة أيضا، فإنّ الماء مفرد محلّى باللام و لا عموم فيه بحسب الوضع كما حقّق، و العموم الاستنباطي ليس فيه تلك القوّة فكيف يقاوم هذا الحديث مثل صحيحة البقباق في ولوغ الكلب في الماء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رجس نجس اصبب ذلك الماء و اغسله بالتراب أوّلا ثمّ بالماء </w:t>
      </w:r>
      <w:r>
        <w:rPr>
          <w:rStyle w:val="FootnoteAnchor"/>
          <w:rtl w:val="true"/>
        </w:rPr>
        <w:footnoteReference w:id="239"/>
      </w:r>
      <w:r>
        <w:rPr>
          <w:rFonts w:ascii="Amiri" w:hAnsi="Amiri" w:eastAsia="Amiri" w:cs="Amiri"/>
          <w:color w:val="111111"/>
          <w:sz w:val="28"/>
          <w:sz w:val="28"/>
          <w:szCs w:val="28"/>
          <w:rtl w:val="true"/>
          <w:lang w:bidi="ar-SA"/>
        </w:rPr>
        <w:t xml:space="preserve">و غيرها </w:t>
      </w:r>
      <w:r>
        <w:rPr>
          <w:rStyle w:val="FootnoteAnchor"/>
          <w:rtl w:val="true"/>
        </w:rPr>
        <w:footnoteReference w:id="240"/>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فيها من التأكيدات، و كون التعفير لأجل النجاسة يقينا و إجماعا،</w:t>
      </w:r>
    </w:p>
    <w:p>
      <w:pPr>
        <w:pStyle w:val="BookText"/>
        <w:rPr/>
      </w:pPr>
      <w:r>
        <w:rPr>
          <w:rFonts w:ascii="Amiri" w:hAnsi="Amiri" w:eastAsia="Amiri" w:cs="Amiri"/>
          <w:color w:val="111111"/>
          <w:sz w:val="28"/>
          <w:sz w:val="28"/>
          <w:szCs w:val="28"/>
          <w:rtl w:val="true"/>
          <w:lang w:bidi="ar-SA"/>
        </w:rPr>
        <w:t>و كون المضمون طريقة الشيعة و موافقا لغيرها من الأخبار الصحيحة و غير الصحيحة المعمول بها عند الفقهاء، بل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موافقا لطريقة الشيعة و إجماعهم في مقامات متعدّدة كما أشرت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هذه الرواية غايتها أنّها عامّ، و العامّ كثر استعماله في الخاصّ إلى أن اشتهر و تلقّى بالقبول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و البناء على ذلك من أوّل الفقه إلى آخره، سيّما و أن يكون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المرتبة من القوّة، و العامّ بتلك المرتبة من الضعف، و من مضعّفاته أنّ المصنّف سيذكر في كتاب المطاعم و المشارب أنّ الميتة لا تنجّس الأشياء </w:t>
      </w:r>
      <w:r>
        <w:rPr>
          <w:rStyle w:val="FootnoteAnchor"/>
          <w:rtl w:val="true"/>
        </w:rPr>
        <w:footnoteReference w:id="241"/>
      </w:r>
      <w:r>
        <w:rPr>
          <w:rFonts w:ascii="Amiri" w:hAnsi="Amiri" w:eastAsia="Amiri" w:cs="Amiri"/>
          <w:color w:val="111111"/>
          <w:sz w:val="28"/>
          <w:sz w:val="28"/>
          <w:szCs w:val="28"/>
          <w:rtl w:val="true"/>
          <w:lang w:bidi="ar-SA"/>
        </w:rPr>
        <w:t>فكيف يستدلّ بهذه الرواية على عدم الانفعال؟</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الميتة لكان في صورة التغيّر أيضا لا يضرّ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مرادي الردّ على المصنّف بحسب عقيدته في ذلك الكتاب، و في هذا الكتاب من حمله أخبار المنع عن الوضوء على الكراهة، أو أنّ ماء الوضوء لا بدّ أن يكون له مزيد 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مضعّفات هذه الرواية أنّها تحتاج إلى العنايات مثل ما ذكره في البيان، إذ لا شكّ في كونه عناية، بل عنايات، مضافا إلى أنّ جثّة الميتة المنتنة لا يلزم أن تكون نجسة، و الحمل على خصوص النجسة ليس بأولى من الحمل على الكرّ و ما فوقه، فتأمّل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العبيدي،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أتوه و فيه جيفة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قاهرا و لا يوجد فيه الريح فتوضّأ</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الغالب في الغدير و الظاهر منه كونه أكثر من الكرّ يشير إليه أيضا ملاحظة الأخبار، و كذا الظاهر من الماء الذي يمرّ به سيّما و أن يكون فيه دابّة ميتة مع أنّ الجيفة لغة جثّة الميت و الجثّة لغة لشخص الإنسان و كون مائه قابلا لأن يكون غالبا على نتنها،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الخاصّ مقدّم سيّما مثل هذه الخواصّ على مثل هذه العمومات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بالماء و فيه دابّة ميتة قد أنتنت؟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النتن الغالب على الماء فلا تتوضّأ و لا تشرب</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الدابّة بحسب اللغة و العرف صار اسما لذات القوائم الأربع و الفرس، بل أسفل من المعنى الأوّل و هو ما يدبّ </w:t>
      </w:r>
      <w:r>
        <w:rPr>
          <w:rStyle w:val="FootnoteAnchor"/>
          <w:rtl w:val="true"/>
        </w:rPr>
        <w:footnoteReference w:id="244"/>
      </w:r>
      <w:r>
        <w:rPr>
          <w:rFonts w:ascii="Amiri" w:hAnsi="Amiri" w:eastAsia="Amiri" w:cs="Amiri"/>
          <w:color w:val="111111"/>
          <w:sz w:val="28"/>
          <w:sz w:val="28"/>
          <w:szCs w:val="28"/>
          <w:rtl w:val="true"/>
          <w:lang w:bidi="ar-SA"/>
        </w:rPr>
        <w:t>، فلا دلالة فيه على انفعال القليل، لتبادر الكثير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المغيرة، عن ابن مسكان، عن محمّد بن المسير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الجنب ينتهي إلى الماء القليل في الطريق، و يريد أن يغتسل منه و ليس معه إناء يغرف به و يداه قذرتان؟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يده و يتوضّأ ثمّ يغتسل هذا ممّا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لفظ القذر ليس حقيقة في النجس لا لغة و لا عرفا، و لذا لا يتبادر</w:t>
      </w:r>
    </w:p>
    <w:p>
      <w:pPr>
        <w:pStyle w:val="BookText"/>
        <w:rPr/>
      </w:pPr>
      <w:r>
        <w:rPr>
          <w:rFonts w:ascii="Amiri" w:hAnsi="Amiri" w:eastAsia="Amiri" w:cs="Amiri"/>
          <w:color w:val="111111"/>
          <w:sz w:val="28"/>
          <w:sz w:val="28"/>
          <w:szCs w:val="28"/>
          <w:rtl w:val="true"/>
          <w:lang w:bidi="ar-SA"/>
        </w:rPr>
        <w:t>منه إلّا المعنى اللغوي في استعمالنا الآن، فزمان المعصوم عليه السّلام أولى بذلك، و لا في اصطلاح المتشرّعة، و كذا الكلام في القليل بالقياس إلى خصوص أقلّ الكرّ، نعم؛ الفقهاء بمعونة القرينة يستعملونه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الوضوء فلا شبهة في كونه حقيقة في الوضوء الاصطلاحي في كلام الصادقين عليهما السّلام و من بعدهما، كما حقّقه المحقّقون، و نقلوا الاتّفاق، فالظاهر أنّ الخبر مورده التقيّة، و عليه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48"/>
      </w:r>
      <w:r>
        <w:rPr>
          <w:rFonts w:ascii="Amiri" w:hAnsi="Amiri" w:eastAsia="Amiri" w:cs="Amiri"/>
          <w:color w:val="111111"/>
          <w:sz w:val="28"/>
          <w:sz w:val="28"/>
          <w:szCs w:val="28"/>
          <w:rtl w:val="true"/>
          <w:lang w:bidi="ar-SA"/>
        </w:rPr>
        <w:t>ليس بشي‌ء، لأنّ أولويّة الاجتناب لا حرج فيها، لأنّ الحرج ظاهر في الممنوعات، 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المستحبّات من الكثرة بحيث لا يفي بعشر معشارها أوقات المكلّف كما لا يخفى على من لاحظ مصباح الشيخ و غيره من كتب الأدعية مضافا إلى الكتب الفقهيّة و غيرها، و مع ذلك لا يمكن لعاقل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حرج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كلّها ليست مستحبّة، بل القدر الذي ليس بحرج أو تكليف ما لا يطاق، على أنّ أولويّة ترك الاستعمال لو كانت بحيث يصحّ استعمال لفظ بالقياس إليها فكيف يرخّص المعصوم عليه السّلام الاستعمال بلا مضايقة أصلا و لا حزازة مطلقا في رواية حريز </w:t>
      </w:r>
      <w:r>
        <w:rPr>
          <w:rStyle w:val="FootnoteAnchor"/>
          <w:rtl w:val="true"/>
        </w:rPr>
        <w:footnoteReference w:id="249"/>
      </w:r>
      <w:r>
        <w:rPr>
          <w:rFonts w:ascii="Amiri" w:hAnsi="Amiri" w:eastAsia="Amiri" w:cs="Amiri"/>
          <w:color w:val="111111"/>
          <w:sz w:val="28"/>
          <w:sz w:val="28"/>
          <w:szCs w:val="28"/>
          <w:rtl w:val="true"/>
          <w:lang w:bidi="ar-SA"/>
        </w:rPr>
        <w:t xml:space="preserve">و ما ماثلها و ينفى في بعض الأخبار البأس عنه مطلقا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أيّها العاقل أنّه في مقام الاستدلال يا بني على أنّ المراد من القذر النجس، و القليل أقلّ من الكرّ، مع أنّ المرادين ليسا معناهما قطعا، و في الوضوء يا بني على أنّ</w:t>
      </w:r>
    </w:p>
    <w:p>
      <w:pPr>
        <w:pStyle w:val="BookText"/>
        <w:rPr/>
      </w:pPr>
      <w:r>
        <w:rPr>
          <w:rFonts w:ascii="Amiri" w:hAnsi="Amiri" w:eastAsia="Amiri" w:cs="Amiri"/>
          <w:color w:val="111111"/>
          <w:sz w:val="28"/>
          <w:sz w:val="28"/>
          <w:szCs w:val="28"/>
          <w:rtl w:val="true"/>
          <w:lang w:bidi="ar-SA"/>
        </w:rPr>
        <w:t>المراد منه الغسل و ليس ذلك معناه قطعا، ثمّ يا بني على أنّ نفي الحرج من التوجيه و التأويل يصعب أن يرتكب ما ذكره فكيف في مقام الاستدلال؟</w:t>
      </w:r>
    </w:p>
    <w:p>
      <w:pPr>
        <w:pStyle w:val="BookText"/>
        <w:rPr/>
      </w:pPr>
      <w:r>
        <w:rPr>
          <w:rFonts w:ascii="Amiri" w:hAnsi="Amiri" w:eastAsia="Amiri" w:cs="Amiri"/>
          <w:color w:val="111111"/>
          <w:sz w:val="28"/>
          <w:sz w:val="28"/>
          <w:szCs w:val="28"/>
          <w:rtl w:val="true"/>
          <w:lang w:bidi="ar-SA"/>
        </w:rPr>
        <w:t>هذا مضافا إلى أنّ السند أيضا لا يقاوم ما دلّ على الانفعال، و كذا الحال في الأمارات الخارجة، مع أنّه من المسلّمات أنّ المطلق يحمل على المقيّد، و العامّ على الخاصّ، و هو الحقّ المحقّق في محلّه، سيّما التقيّة،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 محبس الماء و ما اجتمع في البئر منه يشمل القليل و الكثير،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 الماء إذا ثبت و اجتمع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استدلاله بهذه الأحاديث ما عرفت، مضافا إلى أنّ لفظ النقيع مشترك بين البئر الممتلئ من الماء و الماء المجتمع من أرض لا يقف فيها الماء </w:t>
      </w:r>
      <w:r>
        <w:rPr>
          <w:rStyle w:val="FootnoteAnchor"/>
          <w:rtl w:val="true"/>
        </w:rPr>
        <w:footnoteReference w:id="252"/>
      </w:r>
      <w:r>
        <w:rPr>
          <w:rFonts w:ascii="Amiri" w:hAnsi="Amiri" w:eastAsia="Amiri" w:cs="Amiri"/>
          <w:color w:val="111111"/>
          <w:sz w:val="28"/>
          <w:sz w:val="28"/>
          <w:szCs w:val="28"/>
          <w:rtl w:val="true"/>
          <w:lang w:bidi="ar-SA"/>
        </w:rPr>
        <w:t>، فمع الاشتراك كيف يستدلّ، و على كون المراد الثاني فالمتبادر منه أزيد من الكرّ أو يقاربه أقلّا، لأنّه الماء المجتمع في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تفسير النقع لا النقيع </w:t>
      </w:r>
      <w:r>
        <w:rPr>
          <w:rStyle w:val="FootnoteAnchor"/>
          <w:rtl w:val="true"/>
        </w:rPr>
        <w:footnoteReference w:id="25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استفصاله عليه السّلام لعلّه بناء على عدم إمكان استعلام البلوغ كرّا في الغدير إلّا من الماهرين في الهندسة، و الأصل في الماء الطهارة حتّى تعلم النجاسة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الذي يظهر من القاموس أنّ النقيع اسم للبئر الكثير الماء فقط </w:t>
      </w:r>
      <w:r>
        <w:rPr>
          <w:rStyle w:val="FootnoteAnchor"/>
          <w:rtl w:val="true"/>
        </w:rPr>
        <w:footnoteReference w:id="254"/>
      </w:r>
      <w:r>
        <w:rPr>
          <w:rFonts w:ascii="Amiri" w:hAnsi="Amiri" w:eastAsia="Amiri" w:cs="Amiri"/>
          <w:color w:val="111111"/>
          <w:sz w:val="28"/>
          <w:sz w:val="28"/>
          <w:szCs w:val="28"/>
          <w:rtl w:val="true"/>
          <w:lang w:bidi="ar-SA"/>
        </w:rPr>
        <w:t xml:space="preserve">، و كذا يظهر من الكنز </w:t>
      </w:r>
      <w:r>
        <w:rPr>
          <w:rStyle w:val="FootnoteAnchor"/>
          <w:rtl w:val="true"/>
        </w:rPr>
        <w:footnoteReference w:id="255"/>
      </w:r>
      <w:r>
        <w:rPr>
          <w:rFonts w:ascii="Amiri" w:hAnsi="Amiri" w:eastAsia="Amiri" w:cs="Amiri"/>
          <w:color w:val="111111"/>
          <w:sz w:val="28"/>
          <w:sz w:val="28"/>
          <w:szCs w:val="28"/>
          <w:rtl w:val="true"/>
          <w:lang w:bidi="ar-SA"/>
        </w:rPr>
        <w:t>، و لم يظهر من اللغة خلاف في ذلك فلاحظ</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الحياض يبال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 غلب</w:t>
      </w:r>
    </w:p>
    <w:p>
      <w:pPr>
        <w:pStyle w:val="BookText"/>
        <w:rPr/>
      </w:pPr>
      <w:r>
        <w:rPr>
          <w:rFonts w:ascii="IRNazanin" w:hAnsi="IRNazanin" w:eastAsia="IRNazanin"/>
          <w:color w:val="111111"/>
          <w:sz w:val="28"/>
          <w:sz w:val="28"/>
          <w:szCs w:val="28"/>
          <w:rtl w:val="true"/>
          <w:lang w:bidi="fa-IR"/>
        </w:rPr>
        <w:t>لون الماء لون البول</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أنّها التي كانت بين مكّة و المدينة، و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العلل في اخر هذا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لم صار لا بأس به؟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الماء المتغيّر بالنجاسة في الغالب يكون الماء أكثر من النجاسة بمراتب، سيّما التغيّر بالرائحة، فلعلّ لخصوصيّة المورد مدخليّة في العليّة فلا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يقع ثوبه على الماء الذي استنجى به أ ينجّس ذلك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مضمون هذه الأخبار لا نزاع فيه، فلا فائدة في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العلوي، عن العمركي، 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فامتخط فصار ذلك الدم قطعا صغارا فاصاب إناءه هل يصلح الوضوء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شي‌ء يستبين في الماء فلا بأس، و إن كان شيئا بيّنا فلا تتوضّأ منه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يدلّ على انفعال الماء القليل لأنّ النهي حقيقة في الحرمة و لم يثبت</w:t>
      </w:r>
    </w:p>
    <w:p>
      <w:pPr>
        <w:pStyle w:val="BookText"/>
        <w:rPr/>
      </w:pPr>
      <w:r>
        <w:rPr>
          <w:rFonts w:ascii="Amiri" w:hAnsi="Amiri" w:eastAsia="Amiri" w:cs="Amiri"/>
          <w:color w:val="111111"/>
          <w:sz w:val="28"/>
          <w:sz w:val="28"/>
          <w:szCs w:val="28"/>
          <w:rtl w:val="true"/>
          <w:lang w:bidi="ar-SA"/>
        </w:rPr>
        <w:t>مانع من طرف صدره، لأنّه سأل عن أنّ الدم أصاب إناءه و لم يسأل عن أنّه أصاب مائه، و استشكل له من جهة احتمال إصابة الماء فأجاب عليه السّلام بأنّه إن لم يستبن له شي‌ء في الماء فلا بأس، لعدم حصول اليقين المعتبر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يدلّ على عدم الانفعال من العذرة، و ولوغ الكلب و غيرهما لعدم ثبوت عدم جواز القول بالفصل لوجود القائل و هو الشيخ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النهي ما أشرنا إليه من أنّ ماء الوضوء و الغسل لا بدّ له من مزيد اختصاص كما يأتي بيانه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الظاهرة في عدم الانفعال مذكور فيها الوضوء و الغسل أيضا، كما أنّ الأخبار الدالّة على الانفعال مذكور فيها الشرب أيضا و غيره، فلا وجه لما ذكره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يعلم على التحقيق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الظاهر منه ذلك، و قد عرفت اشتراط حصول اليقين بالنجاسة، مع أنّ الاستدلال به موقوف على القول بنجاسة اليهودي، و المصنّف لا يقول به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الكوز الذي يغرف به من الحبّ في مكان قذر، ثمّ يدخله الحبّ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من الماء ثلاث أكفّ، ثمّ يدلّك الكوز</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القذر ليس معناه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الخابية ثلاث أكفّ و يدلّك به الكوز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يدلّ على انفعال القليل، و على الاحتمال الثاني لا ضرر، لأنّ القذر ليس معناه النجس، بل الظاهر إرادة اللغوي دون الشرعي، لأنّ الشرعي كان المتعارف المعبّر عنه بلفظ النجس كما هو الحال في أمثال هذه الأزمان، و المحقّقون متّفقون على اتّحاد حال زمان الصادقين عليهما السّلام و من بعدهما مع حال زمان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جانب الجيفة قلّما يخلو عن الانفعال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الظاهر أنّ الماء أكثر من الكرّ حيث يكون جانب منه نجسا و جانب اخر على خلافه، و يبعد أن يكون القليل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أتى الماء فأتاه أهل البادية،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حياضنا هذه تردها السباع و الكلاب و البهائم،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أخذت أفواهها و لكم سائر ذلك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المراد الحياض الواقعة بين الحرمين و أمثالها ممّا هو أكثر من الكرّ غالبا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تردها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المفيدة للاستمرار التجدّدي، هذا مع ضعف السند، و الأوفقيّة للتقيّة، و كون الراوي قاضيا للعامّة </w:t>
      </w:r>
      <w:r>
        <w:rPr>
          <w:rStyle w:val="FootnoteAnchor"/>
          <w:rtl w:val="true"/>
        </w:rPr>
        <w:footnoteReference w:id="268"/>
      </w:r>
      <w:r>
        <w:rPr>
          <w:rFonts w:ascii="Amiri" w:hAnsi="Amiri" w:eastAsia="Amiri" w:cs="Amiri"/>
          <w:color w:val="111111"/>
          <w:sz w:val="28"/>
          <w:sz w:val="28"/>
          <w:szCs w:val="28"/>
          <w:rtl w:val="true"/>
          <w:lang w:bidi="ar-SA"/>
        </w:rPr>
        <w:t>، و كون الخاصّ مقدّما إلى غير ذلك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ابن سنان، عن ابن مسكان، عن أبي عبد اللّه عليه السّلام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الوضوء ممّا ولغ فيه الكلب و السنّور، أو شرب منه جمل، أو دابّة أو غير</w:t>
      </w:r>
    </w:p>
    <w:p>
      <w:pPr>
        <w:pStyle w:val="BookText"/>
        <w:rPr/>
      </w:pPr>
      <w:r>
        <w:rPr>
          <w:rFonts w:ascii="Amiri" w:hAnsi="Amiri" w:eastAsia="Amiri" w:cs="Amiri"/>
          <w:color w:val="111111"/>
          <w:sz w:val="28"/>
          <w:sz w:val="28"/>
          <w:szCs w:val="28"/>
          <w:rtl w:val="true"/>
          <w:lang w:bidi="ar-SA"/>
        </w:rPr>
        <w:t>ذلك أ يتوضّأ منه أو يغتسل؟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أن يجد غيره فيتنزّه عنه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أيضا لا يقاوم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السند و لا بحسب الدلالة، و لا بحسب المرجّحات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الانفعال سيّما صحيحة البقباق </w:t>
      </w:r>
      <w:r>
        <w:rPr>
          <w:rStyle w:val="FootnoteAnchor"/>
          <w:rtl w:val="true"/>
        </w:rPr>
        <w:footnoteReference w:id="270"/>
      </w:r>
      <w:r>
        <w:rPr>
          <w:rFonts w:ascii="Amiri" w:hAnsi="Amiri" w:eastAsia="Amiri" w:cs="Amiri"/>
          <w:color w:val="111111"/>
          <w:sz w:val="28"/>
          <w:sz w:val="28"/>
          <w:szCs w:val="28"/>
          <w:rtl w:val="true"/>
          <w:lang w:bidi="ar-SA"/>
        </w:rPr>
        <w:t xml:space="preserve">و غيرها، خصوصا ما سيجي‌ء في باب أسئار الحيوانات، أمّا السند فضعيف، و أمّا الدلالة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أفادت العموم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المرجّحات ففي غاية الكثرة، منها الشهرة العظيمة، و الإجماعات المنقولة المتعدّدة في بحث بيان قدر الكرّ، و تطهير الإناء من ولوغ الكلب، و التجنّب عن الإنائين المشتبهين و غير ذلك ممّا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موافقة العامّة فقد عرفت و ستعرف أيضا، و أمّا كثرة المعارض، فوصل إلى حدّ التواتر، صرّح بذلك صاحب المعالم و جدّي العلّامة المجلسي قدّس سرّهما </w:t>
      </w:r>
      <w:r>
        <w:rPr>
          <w:rStyle w:val="FootnoteAnchor"/>
          <w:rtl w:val="true"/>
        </w:rPr>
        <w:footnoteReference w:id="271"/>
      </w:r>
      <w:r>
        <w:rPr>
          <w:rFonts w:ascii="Amiri" w:hAnsi="Amiri" w:eastAsia="Amiri" w:cs="Amiri"/>
          <w:color w:val="111111"/>
          <w:sz w:val="28"/>
          <w:sz w:val="28"/>
          <w:szCs w:val="28"/>
          <w:rtl w:val="true"/>
          <w:lang w:bidi="ar-SA"/>
        </w:rPr>
        <w:t xml:space="preserve">، بل و بعض الفقهاء ادّعى 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الحديث </w:t>
      </w:r>
      <w:r>
        <w:rPr>
          <w:rStyle w:val="FootnoteAnchor"/>
          <w:rtl w:val="true"/>
        </w:rPr>
        <w:footnoteReference w:id="27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نسافر فربّما بلينا بالغدير من المطر يكون إلى جانب القرية فتكون فيه العذرة و يبول فيه الصبيّ، و تبول فيه الدابّة و تروث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عرض في قلبك شي‌ء فقل هكذا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الظاهر منها كونه أكثر من الكرّ سيّما بملاحظة أنّ العذرة و غيرها</w:t>
      </w:r>
      <w:bookmarkStart w:id="214" w:name="pg2470_12375"/>
    </w:p>
    <w:p>
      <w:pPr>
        <w:pStyle w:val="BookText"/>
        <w:rPr/>
      </w:pPr>
      <w:bookmarkEnd w:id="214"/>
      <w:r>
        <w:rPr>
          <w:rFonts w:ascii="Amiri" w:hAnsi="Amiri" w:eastAsia="Amiri" w:cs="Amiri"/>
          <w:color w:val="111111"/>
          <w:sz w:val="28"/>
          <w:sz w:val="28"/>
          <w:szCs w:val="28"/>
          <w:rtl w:val="true"/>
          <w:lang w:bidi="ar-SA"/>
        </w:rPr>
        <w:t>تكون فيه و لم يتغيّر، و خصوصا بملاحظة الاستمرار التجدّدي في الأفعال المذكورة مع عدم المقاومة من حيث السند و غيره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الساباطي أبا عبد اللّه عليه السّلام عن الرجل يجد في إنائه فأرة و قد توضّأ من ذلك الإناء مرارا و اغتسل منه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يدلّ دلالة واضحة على انفعال القليل، و أنّ الحكم بالانفعال لا يمكن إلّا بعد اليقين بوقوع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 انسلاخ الفأرة يبعد ألا يكون قد انفعل الماء منها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فساده 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وقع تلك الساعة التي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بعد في عدم التغيّر حينئذ لو لم نقل ببعده، مع أنّ كلّ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تستيقن نجاسته، فالاستبعاد كيف يكفي؟ مع أنّه عليه السّلام لم يقل إن كان رآها و هي منسلخة قبل الغسل فتأمّل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ربّما كان بعض وضوئه و غسله قبل السلخ فتدبّر</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601430_3804643083"/>
      <w:bookmarkStart w:id="216" w:name="_Toc83"/>
      <w:bookmarkEnd w:id="215"/>
      <w:r>
        <w:rPr>
          <w:rtl w:val="true"/>
        </w:rPr>
        <w:t>[</w:t>
      </w:r>
      <w:r>
        <w:rPr>
          <w:rtl w:val="true"/>
        </w:rPr>
        <w:t>باب قدر الماء الذي لا يتغيّر بما يعتاد وروده من النجاسات</w:t>
      </w:r>
      <w:r>
        <w:rPr>
          <w:rtl w:val="true"/>
        </w:rPr>
        <w:t>]</w:t>
      </w:r>
      <w:bookmarkEnd w:id="2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قدر الماء الذي لا يتغيّر بما يعتاد وروده من النجاسات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يدّعي الاعتياد؟ مع أنّه لم يذكر الاستعمال، و مقدار ذلك زمان معيّن مع نهاية شدّة الاختلاف و التفاوت من جهتها، مع أنّا لم نجد بيتين يكون استعمال الماء لتطهير النجاسة فيهما على حدّ واحد، بل لم نجد شخصين متساويين في الاستعمال فضلا عن بيتين، و كذا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النجاسة للماء، فكيف يدّعي عادة فيها؟</w:t>
      </w:r>
    </w:p>
    <w:p>
      <w:pPr>
        <w:pStyle w:val="BookText"/>
        <w:rPr/>
      </w:pPr>
      <w:r>
        <w:rPr>
          <w:rFonts w:ascii="Amiri" w:hAnsi="Amiri" w:eastAsia="Amiri" w:cs="Amiri"/>
          <w:color w:val="111111"/>
          <w:sz w:val="28"/>
          <w:sz w:val="28"/>
          <w:szCs w:val="28"/>
          <w:rtl w:val="true"/>
          <w:lang w:bidi="ar-SA"/>
        </w:rPr>
        <w:t>فالعادة تقتضي عدم الاعتياد أصلا، لا في عدد استعمال الماء للتطهير، و لا في قدر النجاسة و لا في صفة النجاسة و كيفيّتها التي بها يحصل التغيّر، و لا في مقدار الماء، و لا في كيفيّة الماء حال الاستعمال، إذ ربّما كان صافيا، و ربّما كان كدرا، و ربّما كان متغيّرا، إمّا من الاستعمال قبل هذا في تطهير الأشياء من الكثافات و الوسخ و غيرها من الامور الطاهرة، و المتنجّسة، و المتغيّر من المتغيّر ليس بنجس على ما هو المشهور، و الظاهر من الأدلّة، و إمّا من طول المكث و إمّا من المجاورة و إمّا من وقوع الاجسام الطاهرة، و إمّا من كيفيّة من كيفيّات الأرض و الظرف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أسباب التفاوت و عدم الاستواء في غاية الكثرة، منها حرارة الهواء و برودته، و قرب الاستعمال للاستعمال و بعده، و ملاقاة الشمس و عدمها إلى غير ذلك ممّا لا يخفى على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الأسباب أنّه كثيرا ما يستعمل الماء من الإبريق و نحوه ممّا يخرج منه الماء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كثيرا ما يستعمل في الأواني الصغار، بل لا يكاد يستعمل في مثل الكرّ من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كيفيّة الإزالة إلى غير ذلك ممّا لا يخفى على المتفطّن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الأخبار التي يستدلّ بها لا تدلّ على ما ذكره بوجه من الوجوه، بل يدلّ على حكم الملاقاة للنجاسة، و أنّ عدم النجاسة بالملاقاة يحتاج إلى كون الماء مقدارا معيّنا كما فهم المتقدّمون و المتأخّرون ممّن له من الفهم نصيب، و سنشير إلى وجه الدلالة، فالأخبار الواردة في هذا الباب </w:t>
      </w:r>
      <w:r>
        <w:rPr>
          <w:rStyle w:val="FootnoteAnchor"/>
          <w:rtl w:val="true"/>
        </w:rPr>
        <w:footnoteReference w:id="278"/>
      </w:r>
      <w:r>
        <w:rPr>
          <w:rFonts w:ascii="Amiri" w:hAnsi="Amiri" w:eastAsia="Amiri" w:cs="Amiri"/>
          <w:color w:val="111111"/>
          <w:sz w:val="28"/>
          <w:sz w:val="28"/>
          <w:szCs w:val="28"/>
          <w:rtl w:val="true"/>
          <w:lang w:bidi="ar-SA"/>
        </w:rPr>
        <w:t>ظاهرة في انفعال القليل بالملاقاة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الحياض التي بين مكّة و المدينة تردها السباع و تلغ فيها الكلاب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يستدلّ بهذه الرواية على ما ذكره في عنوان الباب مع أنّها في غاية الظهور في أنّ المراد غير صورة التغيّر، لأنّ ورود السباع، و ولوغ الكلاب، و غسل الجنب لا مدخليّة لها في التغيّر بسبب النجاسة، مضافا إلى أنّ الراوي لم يشر أصلا إلى حكاية التغيّر و شكّه فيه و المعصوم عليه السّلام أيضا ما أشار إلى حكم التغيّر حال الشكّ بل السؤال ليس إلّا عن حال مجرّد ورود السباع و غيرها، و الجواب أيضا جوابه، مع أنّ التغيّر أمر حسّي لا يسأل عن مثله مثل المعصوم عليه السّلام، و إذا شكّ في التغيّر فالأصل طهارة الماء حتّى يستيقن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سأل عن ذلك ليعلم نسبة الماء إلى تلك النجاسات المذكورة حتّى يتبيّن انفعاله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أنّه لم يعلم بعد أنّ النجاسة و مقدارها بأىّ قدر حتّى يحتاج المعصوم عليه السّلام إلى استعلام قدر الماء ليعلم النسبة، بل قد عرفت أنّه لا يمكن عادة أن يكون لها قدر معيّن، بل العادة تقتضي عدم التعيّن، مع أنّك قد عرفت أنّ الأشياء التي ذكرها لا دخل لها في التغيّر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يشتبه التغيّر مع أنّ الماء قد يتغيّر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الاشتباه ليس إلّا أنّ السائل لا يدري أنّه تحقّق التغيّر أم لا؟ و التغيّر</w:t>
      </w:r>
    </w:p>
    <w:p>
      <w:pPr>
        <w:pStyle w:val="BookText"/>
        <w:rPr/>
      </w:pPr>
      <w:r>
        <w:rPr>
          <w:rFonts w:ascii="Amiri" w:hAnsi="Amiri" w:eastAsia="Amiri" w:cs="Amiri"/>
          <w:color w:val="111111"/>
          <w:sz w:val="28"/>
          <w:sz w:val="28"/>
          <w:szCs w:val="28"/>
          <w:rtl w:val="true"/>
          <w:lang w:bidi="ar-SA"/>
        </w:rPr>
        <w:t>حقيقة في الحسّي، و للسائل كان حاسّة، إذ صفوان ما كان أعمى فإذا لم يدر لم يتحقّق له التغيّر فليس بمتغيّر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الأصل الطهارة حتّى يستيقن التغيّر، و البناء على أنّه كان متغيّرا لكن لا يدري أنّ تغيّره لما ذا؟ فليس هذا إلّا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الماء</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فكيف جعله علاوة، مع أنّه إذا لم يدر أنّ تغيّره لما ذا فالأصل الطهارة حتّى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قد عرفت أنّ ما سأل عنه ليس منشأ للتغيّر أصلا، و على فرض أن يكون منشأ فإنّما هو بعد مقدار معيّن منها، و الراوي لم يظهر أصلا أنّ الماء كان متغيّرا فضلا أن يكون سأل عن شكّه الحاصل عن مقدارها، بل لم يسأل إلّا عن حال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معروف من الخارج أنّ المسلمين كان بينهم نزاع في الانفعال بالملاقاة إذا لم يكن كرّا، فهو أيضا قرينة على أنّ السؤال كان عنه، و الجواب جوابه و لم يعهد عن أحد من المسلمين في عصر و لا مصر كون الكرّ لأجل الشكّ في التغيّر، أو كانوا يسألون عن حال الشكّ فيه، أو كانوا يشكّون فيه فضلا عن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قد يستنجون في المياه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ما ذكره لم يكن في ثبوت القريب في ذلك الزمان فضلا عن اتّفاقهم على ذلك، بل لم يوجد في زمان من الأزمنة في طائفة فضلا عن كونه عادة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الماء تبول فيه الدوابّ، و تلغ فيه الكلاب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الرواية أيضا مثل ما سبق </w:t>
      </w:r>
      <w:r>
        <w:rPr>
          <w:rStyle w:val="FootnoteAnchor"/>
          <w:rtl w:val="true"/>
        </w:rPr>
        <w:footnoteReference w:id="285"/>
      </w:r>
      <w:r>
        <w:rPr>
          <w:rFonts w:ascii="Amiri" w:hAnsi="Amiri" w:eastAsia="Amiri" w:cs="Amiri"/>
          <w:color w:val="111111"/>
          <w:sz w:val="28"/>
          <w:sz w:val="28"/>
          <w:szCs w:val="28"/>
          <w:rtl w:val="true"/>
          <w:lang w:bidi="ar-SA"/>
        </w:rPr>
        <w:t>في عدم الدلالة و غيره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قلّتين لم ينجّسه شي‌ء و القلّتان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جرّتان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هذه الرواية ذكرت للخزّاز، أو رواها عنه عليه السّلام بمكّة، فلذا ذكر ستّمائة رطل </w:t>
      </w:r>
      <w:r>
        <w:rPr>
          <w:rStyle w:val="FootnoteAnchor"/>
          <w:rtl w:val="true"/>
        </w:rPr>
        <w:footnoteReference w:id="287"/>
      </w:r>
      <w:r>
        <w:rPr>
          <w:rFonts w:ascii="Amiri" w:hAnsi="Amiri" w:eastAsia="Amiri" w:cs="Amiri"/>
          <w:color w:val="111111"/>
          <w:sz w:val="28"/>
          <w:sz w:val="28"/>
          <w:szCs w:val="28"/>
          <w:rtl w:val="true"/>
          <w:lang w:bidi="ar-SA"/>
        </w:rPr>
        <w:t xml:space="preserve">لا من رطل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رطل مكّة </w:t>
      </w:r>
      <w:r>
        <w:rPr>
          <w:rStyle w:val="FootnoteAnchor"/>
          <w:rtl w:val="true"/>
        </w:rPr>
        <w:footnoteReference w:id="288"/>
      </w:r>
      <w:r>
        <w:rPr>
          <w:rFonts w:ascii="Amiri" w:hAnsi="Amiri" w:eastAsia="Amiri" w:cs="Amiri"/>
          <w:color w:val="111111"/>
          <w:sz w:val="28"/>
          <w:sz w:val="28"/>
          <w:szCs w:val="28"/>
          <w:rtl w:val="true"/>
          <w:lang w:bidi="ar-SA"/>
        </w:rPr>
        <w:t>، و الظاهر من الأخبار أنّ هذه السؤالات عن حال الحياض التي بين مكّة و المدينة،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عن زرارة و النيسابوريان، عن حمّاد، عن حريز،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تفسخ فيه أ و لم يتفسّخ فيه إلّا أن يجي‌ء له ريح تغلب على ريح الماء</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في غاية الظهور في أنّ اعتبار الأكثريّة من الراوية لأجل عدم الانفعال بالملاقاة لا عدم التغيّر بما اعتاد وروده عليه من النجاسة كما قال في عنوان الباب </w:t>
      </w:r>
      <w:r>
        <w:rPr>
          <w:rStyle w:val="FootnoteAnchor"/>
          <w:rtl w:val="true"/>
        </w:rPr>
        <w:footnoteReference w:id="290"/>
      </w:r>
      <w:r>
        <w:rPr>
          <w:rFonts w:ascii="Amiri" w:hAnsi="Amiri" w:eastAsia="Amiri" w:cs="Amiri"/>
          <w:color w:val="111111"/>
          <w:sz w:val="28"/>
          <w:sz w:val="28"/>
          <w:szCs w:val="28"/>
          <w:rtl w:val="true"/>
          <w:lang w:bidi="ar-SA"/>
        </w:rPr>
        <w:t>إذ لو كان لأجل التغيّر 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أكثر لم يتغيّر أصلا بوقوع أيّ</w:t>
      </w:r>
    </w:p>
    <w:p>
      <w:pPr>
        <w:pStyle w:val="BookText"/>
        <w:rPr/>
      </w:pPr>
      <w:r>
        <w:rPr>
          <w:rFonts w:ascii="Amiri" w:hAnsi="Amiri" w:eastAsia="Amiri" w:cs="Amiri"/>
          <w:color w:val="111111"/>
          <w:sz w:val="28"/>
          <w:sz w:val="28"/>
          <w:szCs w:val="28"/>
          <w:rtl w:val="true"/>
          <w:lang w:bidi="ar-SA"/>
        </w:rPr>
        <w:t>شي‌ء من النجاسة فيه إلّا أن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فساده من وجوه شتّى كما لا يخفى، و أشرنا إلى كثير منها، و الرواية تدلّ على انفعال الأقلّ من راوية، و مقدار الراوية بالملاقاة، و الأصحاب حملوا الأكثر على مقدار الكرّ </w:t>
      </w:r>
      <w:r>
        <w:rPr>
          <w:rStyle w:val="FootnoteAnchor"/>
          <w:rtl w:val="true"/>
        </w:rPr>
        <w:footnoteReference w:id="291"/>
      </w:r>
      <w:r>
        <w:rPr>
          <w:rFonts w:ascii="Amiri" w:hAnsi="Amiri" w:eastAsia="Amiri" w:cs="Amiri"/>
          <w:color w:val="111111"/>
          <w:sz w:val="28"/>
          <w:sz w:val="28"/>
          <w:szCs w:val="28"/>
          <w:rtl w:val="true"/>
          <w:lang w:bidi="ar-SA"/>
        </w:rPr>
        <w:t xml:space="preserve">و إن كان تعبدا إلّا أنّ الجمع بين الأخبار لا يمكن إلّا بارتكاب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يضرّ ابن أبي عقيل أيضا فيحتاج إلى ارتكاب التعدّد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الرواية وردت مورد التقيّة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موافق لرأي الشافعي </w:t>
      </w:r>
      <w:r>
        <w:rPr>
          <w:rStyle w:val="FootnoteAnchor"/>
          <w:rtl w:val="true"/>
        </w:rPr>
        <w:footnoteReference w:id="29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أنّها من تتمّة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محمّد بن الحسين، عن عليّ بن حديد،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من ماء سقطت فيها فأرة أو جرذ، أو صعوة 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تفسّخ فيها فلا تشرب منها، و لا تتوضّأ و صبّها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مع ضعف السند و تضمّنها لما لم يقل به أحد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الماء ينجس بمجرّد تفسّخ الميتة فيه إلّا أن يكون أكثر من راوية فلا ينجس حينئذ تفسّخ أ و لم يتفسّخ إلّا أن يتغيّر بالريح، فإنّه ينجس حينئذ، و إنّه بمجرّد الملاقاة لا ينجس إذا كان مثل قدر ما في الجرّة و القربة و حبّ الماء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دلالة على ما ذكره في العنوان </w:t>
      </w:r>
      <w:r>
        <w:rPr>
          <w:rStyle w:val="FootnoteAnchor"/>
          <w:rtl w:val="true"/>
        </w:rPr>
        <w:footnoteReference w:id="294"/>
      </w:r>
      <w:r>
        <w:rPr>
          <w:rFonts w:ascii="Amiri" w:hAnsi="Amiri" w:eastAsia="Amiri" w:cs="Amiri"/>
          <w:color w:val="111111"/>
          <w:sz w:val="28"/>
          <w:sz w:val="28"/>
          <w:szCs w:val="28"/>
          <w:rtl w:val="true"/>
          <w:lang w:bidi="ar-SA"/>
        </w:rPr>
        <w:t>أصلا كما عرفت، و عرفت أنّها تدلّ على خلافه، بل</w:t>
      </w:r>
      <w:bookmarkStart w:id="217" w:name="pg2470_12381"/>
    </w:p>
    <w:p>
      <w:pPr>
        <w:pStyle w:val="BookText"/>
        <w:rPr/>
      </w:pPr>
      <w:bookmarkEnd w:id="217"/>
      <w:r>
        <w:rPr>
          <w:rFonts w:ascii="Amiri" w:hAnsi="Amiri" w:eastAsia="Amiri" w:cs="Amiri"/>
          <w:color w:val="111111"/>
          <w:sz w:val="28"/>
          <w:sz w:val="28"/>
          <w:szCs w:val="28"/>
          <w:rtl w:val="true"/>
          <w:lang w:bidi="ar-SA"/>
        </w:rPr>
        <w:t>و صريحة فيه، و مع ذلك حملها على و هم الراوي و كذبه أو التقيّة، أو طرحها متعيّن، و عرفت أنّ المصنّف لا يقول بأنّ الميتة تنجّس فتدبّر</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601432_3804643083"/>
      <w:bookmarkStart w:id="219" w:name="_Toc84"/>
      <w:bookmarkEnd w:id="218"/>
      <w:r>
        <w:rPr>
          <w:rtl w:val="true"/>
        </w:rPr>
        <w:t>[</w:t>
      </w:r>
      <w:r>
        <w:rPr>
          <w:rtl w:val="true"/>
        </w:rPr>
        <w:t>بيان مقدار الكر</w:t>
      </w:r>
      <w:r>
        <w:rPr>
          <w:rtl w:val="true"/>
        </w:rPr>
        <w:t>]</w:t>
      </w:r>
      <w:bookmarkEnd w:id="2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الاختلاف الشديد في تقديره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إنّ هذا يناقض ما ذكره في العنوان من أنّ ورود النجاسات في الماء له قدر عادة يتغيّر الماء، و إن كان فاسدا بما ذكرناه من المفاسد، و مع ذلك هو في غاية الفساد الواضح، إذ لو لم يكن أمرا مضبوطا و حدّا محدودا كيف يقول المعصوم عليه السّلام في جواب الراوي المتحيّر الشاكّ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لأنّ قدر الكرّ أيضا ليس أمرا مضبوطا واحدا محدودا، و كيف يصحّ الحوالة إليه؟ فإنّ شكّ الراوي السائل و اشتباهه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من جهة أنّ هذا القدر من الماء هل تغيّر من هذا القدر من النجاسة أم لا؟ فالجواب بأنّ هذا القدر من الماء إن كان يتغيّر من هذا القدر من النجاسة فهذا الماء متغيّر، و إلّا فليس بمتغيّر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على الاستهزاء و السخريّة و المزاح،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أيضا خلاف مطلوبه، مع أنّه على ما ذكره لا يكون للكرّ حدّ محدود أصلا و رأسا، بل هو أمر إضافي، و شي‌ء مقايسي، فالمثقال من الماء أيضا كرّ و أقلّ من المثقال و هكذا يتزايد إلى أن يبلغ البحر أو النهر العظيم، بل الشطّ فأيّ معنى للتحديد بثلاثة أشبار، أو بثلاثة و نصف، أو بستّمائة، أو ألف و مأتين من الرطل؟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إجماع فقهائنا وقع على أنّ الكرّ هو هذا القدر، و الخلاف وقع في الأشبار على</w:t>
      </w:r>
    </w:p>
    <w:p>
      <w:pPr>
        <w:pStyle w:val="BookText"/>
        <w:rPr/>
      </w:pPr>
      <w:r>
        <w:rPr>
          <w:rFonts w:ascii="Amiri" w:hAnsi="Amiri" w:eastAsia="Amiri" w:cs="Amiri"/>
          <w:color w:val="111111"/>
          <w:sz w:val="28"/>
          <w:sz w:val="28"/>
          <w:szCs w:val="28"/>
          <w:rtl w:val="true"/>
          <w:lang w:bidi="ar-SA"/>
        </w:rPr>
        <w:t xml:space="preserve">قولين فقط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وقع خلاف نادر من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بلغ مكسّره مائة شبر أو قلّتين </w:t>
      </w:r>
      <w:r>
        <w:rPr>
          <w:rStyle w:val="FootnoteAnchor"/>
          <w:rtl w:val="true"/>
        </w:rPr>
        <w:footnoteReference w:id="298"/>
      </w:r>
      <w:r>
        <w:rPr>
          <w:rFonts w:ascii="Amiri" w:hAnsi="Amiri" w:eastAsia="Amiri" w:cs="Amiri"/>
          <w:color w:val="111111"/>
          <w:sz w:val="28"/>
          <w:sz w:val="28"/>
          <w:szCs w:val="28"/>
          <w:rtl w:val="true"/>
          <w:lang w:bidi="ar-SA"/>
        </w:rPr>
        <w:t xml:space="preserve">و هما أيضا حدّان محدودان، و نادر اخر و هو أنّ ما ورد في الرواية كرّ </w:t>
      </w:r>
      <w:r>
        <w:rPr>
          <w:rStyle w:val="FootnoteAnchor"/>
          <w:rtl w:val="true"/>
        </w:rPr>
        <w:footnoteReference w:id="299"/>
      </w:r>
      <w:r>
        <w:rPr>
          <w:rFonts w:ascii="Amiri" w:hAnsi="Amiri" w:eastAsia="Amiri" w:cs="Amiri"/>
          <w:color w:val="111111"/>
          <w:sz w:val="28"/>
          <w:sz w:val="28"/>
          <w:szCs w:val="28"/>
          <w:rtl w:val="true"/>
          <w:lang w:bidi="ar-SA"/>
        </w:rPr>
        <w:t xml:space="preserve">و هذا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لا حدّ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المفاسد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لبديهيّ الدين، مضافا إلى الأخبار المستفيضة </w:t>
      </w:r>
      <w:r>
        <w:rPr>
          <w:rStyle w:val="FootnoteAnchor"/>
          <w:rtl w:val="true"/>
        </w:rPr>
        <w:footnoteReference w:id="300"/>
      </w:r>
      <w:r>
        <w:rPr>
          <w:rFonts w:ascii="Amiri" w:hAnsi="Amiri" w:eastAsia="Amiri" w:cs="Amiri"/>
          <w:color w:val="111111"/>
          <w:sz w:val="28"/>
          <w:sz w:val="28"/>
          <w:szCs w:val="28"/>
          <w:rtl w:val="true"/>
          <w:lang w:bidi="ar-SA"/>
        </w:rPr>
        <w:t>أيضا، مضافا إلى بديهيّ العقل، لكونه جمعا بين نقيضين، و أنّ الطفل لا يقول به فضلا عمّن له عقل، فضلا 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الكرّ اسم لمكيال معروف عند العرب، فلا وجه لجعله اسما لما ذكره من الأمر الإضافي، و المكيال بحسب الوجدان شكله مستدير له طول، و لذا في غالب أخبار المساحة لم يذكر إلّا بعد العمق و السعة 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صالح بن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الثورى</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 ما وافق مضمونها، بل هو هو بعينه،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الصحيحة </w:t>
      </w:r>
      <w:r>
        <w:rPr>
          <w:rStyle w:val="FootnoteAnchor"/>
          <w:rtl w:val="true"/>
        </w:rPr>
        <w:footnoteReference w:id="303"/>
      </w:r>
      <w:r>
        <w:rPr>
          <w:rFonts w:ascii="Amiri" w:hAnsi="Amiri" w:eastAsia="Amiri" w:cs="Amiri"/>
          <w:color w:val="111111"/>
          <w:sz w:val="28"/>
          <w:sz w:val="28"/>
          <w:szCs w:val="28"/>
          <w:rtl w:val="true"/>
          <w:lang w:bidi="ar-SA"/>
        </w:rPr>
        <w:t xml:space="preserve">و الثانية بشكل المكعب و هي الضعيفة بابن سنان </w:t>
      </w:r>
      <w:r>
        <w:rPr>
          <w:rStyle w:val="FootnoteAnchor"/>
          <w:rtl w:val="true"/>
        </w:rPr>
        <w:footnoteReference w:id="304"/>
      </w:r>
      <w:r>
        <w:rPr>
          <w:rFonts w:ascii="Amiri" w:hAnsi="Amiri" w:eastAsia="Amiri" w:cs="Amiri"/>
          <w:color w:val="111111"/>
          <w:sz w:val="28"/>
          <w:sz w:val="28"/>
          <w:szCs w:val="28"/>
          <w:rtl w:val="true"/>
          <w:lang w:bidi="ar-SA"/>
        </w:rPr>
        <w:t>و هما متوافقان جدّا، بل التفاوت في التكسير ليس إلّا شبر تخمينا، و التفاوت بينهما و بين روايتي أبي بصير، و ابن حيّ أيضا قليل، و لعلّ هذا القليل اعتبر احتياطا، لأنّ</w:t>
      </w:r>
      <w:bookmarkStart w:id="220" w:name="pg2470_12383"/>
    </w:p>
    <w:p>
      <w:pPr>
        <w:pStyle w:val="BookText"/>
        <w:rPr/>
      </w:pPr>
      <w:bookmarkEnd w:id="220"/>
      <w:r>
        <w:rPr>
          <w:rFonts w:ascii="Amiri" w:hAnsi="Amiri" w:eastAsia="Amiri" w:cs="Amiri"/>
          <w:color w:val="111111"/>
          <w:sz w:val="28"/>
          <w:sz w:val="28"/>
          <w:szCs w:val="28"/>
          <w:rtl w:val="true"/>
          <w:lang w:bidi="ar-SA"/>
        </w:rPr>
        <w:t xml:space="preserve">الأشبار متفاوتة من مستوى الخلقة أيضا عادة، و كذا كيفيّة المساحة، و المياه خفّة و ثقلا، و الوزن هو الأصل المضبوط، مع أنّ الشيخ حمل رواية ابن حيّ على التقيّة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الكيل ربّما يضبط بالوزن كالصاع بالأرطال و أوزانها الستّمائة على رطل مكّة و هو ضعف العراقي فالاختلاف في حدّ أقلّ من الاختلافات الواقعة في جلّ المسائل الفقهيّة و لم يصر ذلك سببا لعدم الانضباط، و أمّا الجرّة و ما ماثلها فليس حدّ الكرّ مع أنّه لم يعمل به أحد كما عرفت</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601434_3804643083"/>
      <w:bookmarkStart w:id="222" w:name="_Toc85"/>
      <w:bookmarkEnd w:id="221"/>
      <w:r>
        <w:rPr>
          <w:rtl w:val="true"/>
        </w:rPr>
        <w:t>[</w:t>
      </w:r>
      <w:r>
        <w:rPr>
          <w:rtl w:val="true"/>
        </w:rPr>
        <w:t>باب ماء البئر و أنّه لا ينجس إلّا إذا تغيّر بالنجاسة</w:t>
      </w:r>
      <w:r>
        <w:rPr>
          <w:rtl w:val="true"/>
        </w:rPr>
        <w:t>]</w:t>
      </w:r>
      <w:bookmarkEnd w:id="2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ابن بزيع،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الصحيحة ظاهرة في انفعال القليل من جهة التعليل المذكور، و يؤيّده إضافة الماء إلى البئر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السرّاد، عن ابن رئاب،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البأس من جهة عدم حصول اليقين بوصول الحبل الماء، إذ لا بدّ في الحكم بنجاسة الماء من حصول العلم و اليقين بها، و لا يكفى فيه الظنّ و إن كان</w:t>
      </w:r>
    </w:p>
    <w:p>
      <w:pPr>
        <w:pStyle w:val="BookText"/>
        <w:rPr/>
      </w:pPr>
      <w:r>
        <w:rPr>
          <w:rFonts w:ascii="Amiri" w:hAnsi="Amiri" w:eastAsia="Amiri" w:cs="Amiri"/>
          <w:color w:val="111111"/>
          <w:sz w:val="28"/>
          <w:sz w:val="28"/>
          <w:szCs w:val="28"/>
          <w:rtl w:val="true"/>
          <w:lang w:bidi="ar-SA"/>
        </w:rPr>
        <w:t>متاخما للعلم، بل و من العلماء من لم يكتف بالعلم العادي للحكم بطهارة إناء المشركين 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الأحكام، و طهارة الثوب الذي يحكيه المجوس و مثلهم، و ظنّ المجتهد إنّما يعتبر في نفس الأحكام و الألفاظ التي يثبت بها الأحكام و الترجيحات و أمثالها ممّا يتوقّف عليه ثبوت نفس الحكم لا ثبوت كون الفرد داخلا في أيّ موضع يكون حكمه معلوما من الشرع، مع أنّ ما نحن فيه ليس من الظنون الاجتهاديّة، بل من ظنون المكلّفين التي جميع المكلّفين فيها على السواء، المجتهدين و العامّيين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يحتمل أن يكون الماء إشارة إلى ماء البئر كما يظهر من رواية الحسين بن زرارة </w:t>
      </w:r>
      <w:r>
        <w:rPr>
          <w:rStyle w:val="FootnoteAnchor"/>
          <w:rtl w:val="true"/>
        </w:rPr>
        <w:footnoteReference w:id="308"/>
      </w:r>
      <w:r>
        <w:rPr>
          <w:rFonts w:ascii="Amiri" w:hAnsi="Amiri" w:eastAsia="Amiri" w:cs="Amiri"/>
          <w:color w:val="111111"/>
          <w:sz w:val="28"/>
          <w:sz w:val="28"/>
          <w:szCs w:val="28"/>
          <w:rtl w:val="true"/>
          <w:lang w:bidi="ar-SA"/>
        </w:rPr>
        <w:t xml:space="preserve">و الذي يحتمل في النظر كون الواقعة فيها، و في رواية أبيه </w:t>
      </w:r>
      <w:r>
        <w:rPr>
          <w:rStyle w:val="FootnoteAnchor"/>
          <w:rtl w:val="true"/>
        </w:rPr>
        <w:footnoteReference w:id="309"/>
      </w:r>
      <w:r>
        <w:rPr>
          <w:rFonts w:ascii="Amiri" w:hAnsi="Amiri" w:eastAsia="Amiri" w:cs="Amiri"/>
          <w:color w:val="111111"/>
          <w:sz w:val="28"/>
          <w:sz w:val="28"/>
          <w:szCs w:val="28"/>
          <w:rtl w:val="true"/>
          <w:lang w:bidi="ar-SA"/>
        </w:rPr>
        <w:t xml:space="preserve">واحدة و السؤال أيضا كذلك و هو الظاهر من طريقة المؤلّف، مع أنّه و إن كان مرجوحا إلّا أنّه في مقام الجمع، هذا الخبر مع ما دلّ على الانفعال ليس ببعيد للزوم ارتكاب بعيد، و هذا قريب ممّا يرتكب فيما دلّ على الانفعال، بل لا يكاد يقبل التأويل أصلا، بل الظاهر أنّه كذلك، مع أنّ نجاسة شعر الخنزير محلّ خلاف </w:t>
      </w:r>
      <w:r>
        <w:rPr>
          <w:rStyle w:val="FootnoteAnchor"/>
          <w:rtl w:val="true"/>
        </w:rPr>
        <w:footnoteReference w:id="310"/>
      </w:r>
      <w:r>
        <w:rPr>
          <w:rFonts w:ascii="Amiri" w:hAnsi="Amiri" w:eastAsia="Amiri" w:cs="Amiri"/>
          <w:color w:val="111111"/>
          <w:sz w:val="28"/>
          <w:sz w:val="28"/>
          <w:szCs w:val="28"/>
          <w:rtl w:val="true"/>
          <w:lang w:bidi="ar-SA"/>
        </w:rPr>
        <w:t>، و يظهر من أخبار متعدّدة طهارته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التجارة و البيع </w:t>
      </w:r>
      <w:r>
        <w:rPr>
          <w:rStyle w:val="FootnoteAnchor"/>
          <w:rtl w:val="true"/>
        </w:rPr>
        <w:footnoteReference w:id="311"/>
      </w:r>
      <w:r>
        <w:rPr>
          <w:rFonts w:ascii="Amiri" w:hAnsi="Amiri" w:eastAsia="Amiri" w:cs="Amiri"/>
          <w:color w:val="111111"/>
          <w:sz w:val="28"/>
          <w:sz w:val="28"/>
          <w:szCs w:val="28"/>
          <w:rtl w:val="true"/>
          <w:lang w:bidi="ar-SA"/>
        </w:rPr>
        <w:t>، و الجواب عنها هو الجواب عن هذه الرواية، فتأمّل جدّا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يعقوب بن يزيد، عن ابن أبي عمير، عن النهدي،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جلد الخنزير يجعل دلوا يستقى به الماء؟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السؤال عن حال الانتفاع بجلده و جوازه، و الجواب جوابه و إلّا فنجس العين إذا كان رطبا ينجّس كلّ ما لاقاه مثل يد من أمسك الدلو و الموضع الذي ينصبّ فيه الماء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السؤال ليس إلّا عن حال جعل جلده دلوا، و لم يسأل عن حال مائه فعدم البأس بالنسبة إلى اليد و غيرها، كما أشرنا،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في حائط له فحضرت الصلاة فنزح دلوا للوضوء من ركيّ له فخرج عليه قطعة عذرة يابسة فأكفأ رأسه و توضّأ بالباقي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في غاية الضعف، و الدلالة أيضا مشكلة لما ظهر لك من أنّ المصنّف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ماء الوضوء لا بدّ أن يكون له مزيد اختصاص </w:t>
      </w:r>
      <w:r>
        <w:rPr>
          <w:rStyle w:val="FootnoteAnchor"/>
          <w:rtl w:val="true"/>
        </w:rPr>
        <w:footnoteReference w:id="314"/>
      </w:r>
      <w:r>
        <w:rPr>
          <w:rFonts w:ascii="Amiri" w:hAnsi="Amiri" w:eastAsia="Amiri" w:cs="Amiri"/>
          <w:color w:val="111111"/>
          <w:sz w:val="28"/>
          <w:sz w:val="28"/>
          <w:szCs w:val="28"/>
          <w:rtl w:val="true"/>
          <w:lang w:bidi="ar-SA"/>
        </w:rPr>
        <w:t>، و أمّا الأخبار فقد ظهر لك و سيظهر لك من أنّهم عليهم السّلام ما كانوا يرضون بالوضوء بل و الشرب أيضا، و كانوا يأمرون بالتنزّه و صبّ الما، و غسل الظرف و العدول إلى التيمّم و أمثال ذلك و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315"/>
      </w:r>
      <w:r>
        <w:rPr>
          <w:rFonts w:ascii="Amiri" w:hAnsi="Amiri" w:eastAsia="Amiri" w:cs="Amiri"/>
          <w:color w:val="111111"/>
          <w:sz w:val="28"/>
          <w:sz w:val="28"/>
          <w:szCs w:val="28"/>
          <w:rtl w:val="true"/>
          <w:lang w:bidi="ar-SA"/>
        </w:rPr>
        <w:t>و ورد في الأخبار أشدّ من ذلك بمراتب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عرفت من قوّة المعارض سندا و دلالة و غير ذلك، ممّا مرّ، سيّما الحاشية التي كتبناها في أوّل الكتاب، فلعلّ العذرة كانت على الدلو، و الإكفاء</w:t>
      </w:r>
      <w:bookmarkStart w:id="223" w:name="pg2470_12386"/>
    </w:p>
    <w:p>
      <w:pPr>
        <w:pStyle w:val="BookText"/>
        <w:rPr/>
      </w:pPr>
      <w:bookmarkEnd w:id="223"/>
      <w:r>
        <w:rPr>
          <w:rFonts w:ascii="Amiri" w:hAnsi="Amiri" w:eastAsia="Amiri" w:cs="Amiri"/>
          <w:color w:val="111111"/>
          <w:sz w:val="28"/>
          <w:sz w:val="28"/>
          <w:szCs w:val="28"/>
          <w:rtl w:val="true"/>
          <w:lang w:bidi="ar-SA"/>
        </w:rPr>
        <w:t xml:space="preserve">لأجل طرحها أو اشتبه على الراوي فتوهّم، أو أطلق عليه لفظ العذرة مجازا، أو كان افتراء من الرواة، أو توهّما منهم، و مع جميع ذلك لا يدلّ على عدم انفعال القليل مطلقا كما قلناه في رواية الجرّة و القربة </w:t>
      </w:r>
      <w:r>
        <w:rPr>
          <w:rStyle w:val="FootnoteAnchor"/>
          <w:rtl w:val="true"/>
        </w:rPr>
        <w:footnoteReference w:id="316"/>
      </w:r>
      <w:r>
        <w:rPr>
          <w:rFonts w:ascii="Amiri" w:hAnsi="Amiri" w:eastAsia="Amiri" w:cs="Amiri"/>
          <w:color w:val="111111"/>
          <w:sz w:val="28"/>
          <w:sz w:val="28"/>
          <w:szCs w:val="28"/>
          <w:rtl w:val="true"/>
          <w:lang w:bidi="ar-SA"/>
        </w:rPr>
        <w:t>، بل على عدم انفعال قدر خاصّ إلّا بضميمة عدم قائل بالفصل، و القائل موجود، نعم يضرّ أنّ المشهور في تعيين قدر الكرّ لا الانفعال و لا ضرر في ذلك أيضا كما ذكرناه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601436_3804643083"/>
      <w:bookmarkStart w:id="225" w:name="_Toc86"/>
      <w:bookmarkEnd w:id="224"/>
      <w:r>
        <w:rPr>
          <w:rtl w:val="true"/>
        </w:rPr>
        <w:t>[</w:t>
      </w:r>
      <w:r>
        <w:rPr>
          <w:rtl w:val="true"/>
        </w:rPr>
        <w:t>باب ماء المطر و أنّه لا ينجس إلّا إذا تغيّر بالنجاسة</w:t>
      </w:r>
      <w:r>
        <w:rPr>
          <w:rtl w:val="true"/>
        </w:rPr>
        <w:t>]</w:t>
      </w:r>
      <w:bookmarkEnd w:id="2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عن هشام بن الحكم، عن أبي عبد اللّه عليه السّلام في ميزابين سالا أحدهما بول و الآخر ماء المطر فاختلطا فأصاب ثوب رجل لم يضرّه ذلك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الضرر لعلّه من جهة الخلط و الاشتباه و عدم معلوميّة وصول البول و إلّا فنجس العين لا يطهّر بمجرّد ملاقاة الماء إلّا مع الاستهلاك و هو أيضا محتمل على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الحسن موسى بن جعفر عليه السّلام في طين المطر أنّه لا بأس به أن يصيب الثوب ثلاثة أيّام إلّا أن يعلم أنّه قد نجّسه شي‌ء بعد المطر فإن أصابه بعد ثلاثة أيّام فاغسله و إن كان الطريق نظيفا فلا تغسله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الاستحباب للإجماع 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w:t>
      </w:r>
      <w:bookmarkStart w:id="226" w:name="pg2470_12387"/>
    </w:p>
    <w:p>
      <w:pPr>
        <w:pStyle w:val="BookText"/>
        <w:rPr/>
      </w:pPr>
      <w:bookmarkEnd w:id="226"/>
      <w:r>
        <w:rPr>
          <w:rFonts w:ascii="Amiri" w:hAnsi="Amiri" w:eastAsia="Amiri" w:cs="Amiri"/>
          <w:color w:val="111111"/>
          <w:sz w:val="28"/>
          <w:sz w:val="28"/>
          <w:szCs w:val="28"/>
          <w:rtl w:val="true"/>
          <w:lang w:bidi="ar-SA"/>
        </w:rPr>
        <w:t>أنّه قذر</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 للاستصحاب و للخبر الآتي و غير ذلك مع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البيت يبال على ظهره و يغتسل من الجنابة ثمّ يصيبه المطر أ يؤخذ من مائه فيتوضّأ به للصلاة؟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جرى فلا بأس به</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الخبر شرط الجريان كما قال به بعض </w:t>
      </w:r>
      <w:r>
        <w:rPr>
          <w:rStyle w:val="FootnoteAnchor"/>
          <w:rtl w:val="true"/>
        </w:rPr>
        <w:footnoteReference w:id="321"/>
      </w:r>
      <w:r>
        <w:rPr>
          <w:rFonts w:ascii="Amiri" w:hAnsi="Amiri" w:eastAsia="Amiri" w:cs="Amiri"/>
          <w:color w:val="111111"/>
          <w:sz w:val="28"/>
          <w:sz w:val="28"/>
          <w:szCs w:val="28"/>
          <w:rtl w:val="true"/>
          <w:lang w:bidi="ar-SA"/>
        </w:rPr>
        <w:t xml:space="preserve">، و في المرسلة السابقة </w:t>
      </w:r>
      <w:r>
        <w:rPr>
          <w:rStyle w:val="FootnoteAnchor"/>
          <w:rtl w:val="true"/>
        </w:rPr>
        <w:footnoteReference w:id="322"/>
      </w:r>
      <w:r>
        <w:rPr>
          <w:rFonts w:ascii="Amiri" w:hAnsi="Amiri" w:eastAsia="Amiri" w:cs="Amiri"/>
          <w:color w:val="111111"/>
          <w:sz w:val="28"/>
          <w:sz w:val="28"/>
          <w:szCs w:val="28"/>
          <w:rtl w:val="true"/>
          <w:lang w:bidi="ar-SA"/>
        </w:rPr>
        <w:t xml:space="preserve">اكتفي بمجرّد الرؤية كما قال به بعض </w:t>
      </w:r>
      <w:r>
        <w:rPr>
          <w:rStyle w:val="FootnoteAnchor"/>
          <w:rtl w:val="true"/>
        </w:rPr>
        <w:footnoteReference w:id="323"/>
      </w:r>
      <w:r>
        <w:rPr>
          <w:rFonts w:ascii="Amiri" w:hAnsi="Amiri" w:eastAsia="Amiri" w:cs="Amiri"/>
          <w:color w:val="111111"/>
          <w:sz w:val="28"/>
          <w:sz w:val="28"/>
          <w:szCs w:val="28"/>
          <w:rtl w:val="true"/>
          <w:lang w:bidi="ar-SA"/>
        </w:rPr>
        <w:t>، و يمكن الحمل على الرؤية الكاملة و هو أولى من حمل الثانية؛ للاستصحاب و قوّة الدلالة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601438_3804643083"/>
      <w:bookmarkStart w:id="228" w:name="_Toc87"/>
      <w:bookmarkEnd w:id="227"/>
      <w:r>
        <w:rPr>
          <w:rtl w:val="true"/>
        </w:rPr>
        <w:t>[</w:t>
      </w:r>
      <w:r>
        <w:rPr>
          <w:rtl w:val="true"/>
        </w:rPr>
        <w:t>باب ماء الحمّام و أنّه لا ينجس إلّا إذا تغيّر بالنجاسة</w:t>
      </w:r>
      <w:r>
        <w:rPr>
          <w:rtl w:val="true"/>
        </w:rPr>
        <w:t>]</w:t>
      </w:r>
      <w:bookmarkEnd w:id="2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صفوان، عن منصور بن حازم، عن بكر بن حبيب،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 له مادّة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أيضا تدلّ على انفعال القليل لاشتراط المادّة و التقييد بالحمّام، بل كلّ أخبار هذا الباب يدلّ على الانفعال إلّا خبر واحد، و يدلّ أيضا على أنّ الجاري أيضا مثل الحمّام لا ينفعل القليل و لا الكثير منه مع الاتّصال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المادّة يشمل ما إذا لم يكن كرّا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بعيد لأنّ الإطلاق ينصرف إلى الأفراد المتعارفة كما هو المسلّم و المحقّق، و تحقّق مادّة أقلّ من الكرّ يكذّبه الوجدان و المشاهدة بالعيان، و لا شكّ في أنّ الأزمنة السابقة أيضا كانت كذلك، مضافا إلى أصالة عدم التغيّر، فمع ضعف السند و الدلالة لا يمكن الخروج عن مقتضى الأدلّة و القاعدة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عليّ بن جعفر أخاه موسى عليه السّلام عن النصراني يغتسل مع المسلم في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أنّه نصراني اغتسل بغير ماء الحمّام إلّا أن يغتسل واحده على الحوض فيغسله ثمّ يغتسل</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دلالة واضحة على نجاسة النصراني و انفعال الماء القليل، لأنّه محمول على صورة الانقطاع عن المادّة بل ظاهر فيه، و الخبر الآتي </w:t>
      </w:r>
      <w:r>
        <w:rPr>
          <w:rStyle w:val="FootnoteAnchor"/>
          <w:rtl w:val="true"/>
        </w:rPr>
        <w:footnoteReference w:id="327"/>
      </w:r>
      <w:r>
        <w:rPr>
          <w:rFonts w:ascii="Amiri" w:hAnsi="Amiri" w:eastAsia="Amiri" w:cs="Amiri"/>
          <w:color w:val="111111"/>
          <w:sz w:val="28"/>
          <w:sz w:val="28"/>
          <w:szCs w:val="28"/>
          <w:rtl w:val="true"/>
          <w:lang w:bidi="ar-SA"/>
        </w:rPr>
        <w:t xml:space="preserve">على ضعفه محمول على عدم معلوميّة الانقطاع، أو عدم معلوميّة اليهود أو النصراني، و عدم معروفيّتهم بعنوان اليقين، بل إن كان فبالمظنّة، بناء على أنّ الحمّام كان يدخله اليهودي و النصراني و الحدّ على سبيل التعارف من دون منع مانع و هذا هو الأظهر، أو بناء على كلا الأمرين معا، لأنّ الماء طاهر حتّى تيقّن نجاسته، و لا يحصل اليقين بمباشرة خصوص اليهودي و النصراني الماء القليل في خصوص حال الانقطاع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اليقين كذلك خلاف العادة بلا 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مائهم جار على أبدانهم فلا بأس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bookmarkStart w:id="229" w:name="pg2470_12389"/>
    </w:p>
    <w:p>
      <w:pPr>
        <w:pStyle w:val="BookText"/>
        <w:rPr/>
      </w:pPr>
      <w:bookmarkEnd w:id="229"/>
      <w:r>
        <w:rPr>
          <w:rFonts w:ascii="Amiri" w:hAnsi="Amiri" w:eastAsia="Amiri" w:cs="Amiri"/>
          <w:color w:val="111111"/>
          <w:sz w:val="28"/>
          <w:sz w:val="28"/>
          <w:szCs w:val="28"/>
          <w:rtl w:val="true"/>
          <w:lang w:bidi="ar-SA"/>
        </w:rPr>
        <w:t>بعيد، بل الظاهر جريان الماء من المادّة و الحوض، و في أمثال هذه الأخبار إشعار بانفعال القليل، بل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كلّما يغرف منه يجري إليه مكانه من مادّته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كذلك، بل الظاهر أنّ حكمه بحسب الشرع حكم الجاري كما فهم الأصحاب، بل لا معنى لما ذكره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فيه جنب</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فيه إشعارا بخروج غسالة الجنب عن الطهوريّة، كما كان مشهورا بين القدماء</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601440_3804643083"/>
      <w:bookmarkStart w:id="231" w:name="_Toc88"/>
      <w:bookmarkEnd w:id="230"/>
      <w:r>
        <w:rPr>
          <w:rtl w:val="true"/>
        </w:rPr>
        <w:t>[</w:t>
      </w:r>
      <w:r>
        <w:rPr>
          <w:rtl w:val="true"/>
        </w:rPr>
        <w:t>باب ما يستحبّ التنزّه عنه في رفع الحدث و الشرب و ما لا بأس به</w:t>
      </w:r>
      <w:r>
        <w:rPr>
          <w:rtl w:val="true"/>
        </w:rPr>
        <w:t>]</w:t>
      </w:r>
      <w:bookmarkEnd w:id="2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التنزّه عنه في رفع الحدث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 من أخبار هذا الباب يدلّ على انفعال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لما عرفت أنّ الماء الذي يرفع به الحدث لا بدّ له من مزيد اختصاص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المستفاد من الأخبار التي في غاية الكثرة عدم التفاوت بين الوضوء و الشرب، و غسل الثياب و الغسل كما مرّ في الأبواب الماضية و سيجي‌ء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يظهر من بعض الأخبار استحباب مزيد اختصاص في الجملة،</w:t>
      </w:r>
    </w:p>
    <w:p>
      <w:pPr>
        <w:pStyle w:val="BookText"/>
        <w:rPr/>
      </w:pPr>
      <w:r>
        <w:rPr>
          <w:rFonts w:ascii="IRNazanin" w:hAnsi="IRNazanin" w:eastAsia="IRNazanin"/>
          <w:color w:val="111111"/>
          <w:sz w:val="28"/>
          <w:sz w:val="28"/>
          <w:szCs w:val="28"/>
          <w:rtl w:val="true"/>
          <w:lang w:bidi="fa-IR"/>
        </w:rPr>
        <w:t xml:space="preserve">و ظاهر هذا الخبر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كصريح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التطهير و النزح للوضوء و الغسل؛ و لا يظهر من أخبار اخر أيضا، فالأجود التعميم في الحكم كما عليه الفقهاء جميعا القائلون بالانفعال، و القائلون بعدمه المستحبّون للنزح و الموجبون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ذلك إطلاق الدلاء في كثير من الأخبار </w:t>
      </w:r>
      <w:r>
        <w:rPr>
          <w:rStyle w:val="FootnoteAnchor"/>
          <w:rtl w:val="true"/>
        </w:rPr>
        <w:footnoteReference w:id="334"/>
      </w:r>
      <w:r>
        <w:rPr>
          <w:rFonts w:ascii="Amiri" w:hAnsi="Amiri" w:eastAsia="Amiri" w:cs="Amiri"/>
          <w:color w:val="111111"/>
          <w:sz w:val="28"/>
          <w:sz w:val="28"/>
          <w:szCs w:val="28"/>
          <w:rtl w:val="true"/>
          <w:lang w:bidi="ar-SA"/>
        </w:rPr>
        <w:t>كهذا الخبر، فإنّه في قوّة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انزح مقدار ما تزول به النفرة و يطيب معه الماء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فساده، فإنّ نفرة الطبع لا خصوصيّة لها بالنجس الشرعي، و لا دوران لها مع كلّ نجس، و لا مدخليّة لها بخصوصيّات مقادير النزح لخصوص الحالة بنجاسته و كذا لا معيار عند الطبع في إزالة نفرته بمقدار خاصّ من النزح حتّى يجعل المعصوم عليه السّلام الحوالة في النزح على ذلك المعيار و المقدار، بل لا شكّ في كون الأمر بالنزح حكما شرعيّا مرجعه إليه كسائر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سؤر الحائض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منه و توضّأ من سؤر الجنب</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سقوط كلمة لا، و أنّه كما في الكافي </w:t>
      </w:r>
      <w:r>
        <w:rPr>
          <w:rStyle w:val="FootnoteAnchor"/>
          <w:rtl w:val="true"/>
        </w:rPr>
        <w:footnoteReference w:id="337"/>
      </w:r>
      <w:r>
        <w:rPr>
          <w:rFonts w:ascii="Amiri" w:hAnsi="Amiri" w:eastAsia="Amiri" w:cs="Amiri"/>
          <w:color w:val="111111"/>
          <w:sz w:val="28"/>
          <w:sz w:val="28"/>
          <w:szCs w:val="28"/>
          <w:rtl w:val="true"/>
          <w:lang w:bidi="ar-SA"/>
        </w:rPr>
        <w:t>، و لا يخفى أنّ الخبرين واحد قطع صدره في الثاني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الطامث اشرب من</w:t>
      </w:r>
    </w:p>
    <w:p>
      <w:pPr>
        <w:pStyle w:val="BookText"/>
        <w:rPr/>
      </w:pPr>
      <w:r>
        <w:rPr>
          <w:rFonts w:ascii="IRNazanin" w:hAnsi="IRNazanin" w:eastAsia="IRNazanin"/>
          <w:color w:val="111111"/>
          <w:sz w:val="28"/>
          <w:sz w:val="28"/>
          <w:szCs w:val="28"/>
          <w:rtl w:val="true"/>
          <w:lang w:bidi="fa-IR"/>
        </w:rPr>
        <w:t>فضل شرابها و لا احبّ أن تتوضّأ منه</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 الأخبار متّفقة في كراهة الطهارة بسؤر الحائض مطلقا </w:t>
      </w:r>
      <w:r>
        <w:rPr>
          <w:rStyle w:val="FootnoteAnchor"/>
          <w:rtl w:val="true"/>
        </w:rPr>
        <w:footnoteReference w:id="339"/>
      </w:r>
      <w:r>
        <w:rPr>
          <w:rFonts w:ascii="Amiri" w:hAnsi="Amiri" w:eastAsia="Amiri" w:cs="Amiri"/>
          <w:color w:val="111111"/>
          <w:sz w:val="28"/>
          <w:sz w:val="28"/>
          <w:szCs w:val="28"/>
          <w:rtl w:val="true"/>
          <w:lang w:bidi="ar-SA"/>
        </w:rPr>
        <w:t xml:space="preserve">كما هو أحد القولين في المسألة </w:t>
      </w:r>
      <w:r>
        <w:rPr>
          <w:rStyle w:val="FootnoteAnchor"/>
          <w:rtl w:val="true"/>
        </w:rPr>
        <w:footnoteReference w:id="340"/>
      </w:r>
      <w:r>
        <w:rPr>
          <w:rFonts w:ascii="Amiri" w:hAnsi="Amiri" w:eastAsia="Amiri" w:cs="Amiri"/>
          <w:color w:val="111111"/>
          <w:sz w:val="28"/>
          <w:sz w:val="28"/>
          <w:szCs w:val="28"/>
          <w:rtl w:val="true"/>
          <w:lang w:bidi="ar-SA"/>
        </w:rPr>
        <w:t xml:space="preserve">، و التقييد بما إذا كانت متّهمة باعتبار رواية ابن يقطين </w:t>
      </w:r>
      <w:r>
        <w:rPr>
          <w:rStyle w:val="FootnoteAnchor"/>
          <w:rtl w:val="true"/>
        </w:rPr>
        <w:footnoteReference w:id="341"/>
      </w:r>
      <w:r>
        <w:rPr>
          <w:rFonts w:ascii="Amiri" w:hAnsi="Amiri" w:eastAsia="Amiri" w:cs="Amiri"/>
          <w:color w:val="111111"/>
          <w:sz w:val="28"/>
          <w:sz w:val="28"/>
          <w:szCs w:val="28"/>
          <w:rtl w:val="true"/>
          <w:lang w:bidi="ar-SA"/>
        </w:rPr>
        <w:t>بعيد، لأنّ الأصل في المسلم عدم الشبهة، و صحّة الأفعال فكيف يحمل الإطلاقات الكثيرة على الفرض النادر؟ مع أنّ الفضل يكون هو السؤر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بفضل وضوء الحائض</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الحديث، على أنه كون المراد السؤر، أو أنّ المراد من السؤر ما باشره جسم حيوان كما عرّفه بعض الفقهاء </w:t>
      </w:r>
      <w:r>
        <w:rPr>
          <w:rStyle w:val="FootnoteAnchor"/>
          <w:rtl w:val="true"/>
        </w:rPr>
        <w:footnoteReference w:id="343"/>
      </w:r>
      <w:r>
        <w:rPr>
          <w:rFonts w:ascii="Amiri" w:hAnsi="Amiri" w:eastAsia="Amiri" w:cs="Amiri"/>
          <w:color w:val="111111"/>
          <w:sz w:val="28"/>
          <w:sz w:val="28"/>
          <w:szCs w:val="28"/>
          <w:rtl w:val="true"/>
          <w:lang w:bidi="ar-SA"/>
        </w:rPr>
        <w:t xml:space="preserve">، و يظهر من رواية العيص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الحمل على تفاوت مراتب الاستحباب،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سؤر اليهودي و النصراني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نجاسة اليهودي و النصراني، و انفعال الماء القليل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 ولد الزنا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اليهودي</w:t>
      </w:r>
    </w:p>
    <w:p>
      <w:pPr>
        <w:pStyle w:val="BookText"/>
        <w:rPr/>
      </w:pPr>
      <w:r>
        <w:rPr>
          <w:rFonts w:ascii="Amiri" w:hAnsi="Amiri" w:eastAsia="Amiri" w:cs="Amiri"/>
          <w:color w:val="111111"/>
          <w:sz w:val="28"/>
          <w:sz w:val="28"/>
          <w:szCs w:val="28"/>
          <w:rtl w:val="true"/>
          <w:lang w:bidi="ar-SA"/>
        </w:rPr>
        <w:t>و النصراني، و المشرك و كلّ ما خالف الإسلام، و كان أشدّ عنده سؤر الناصب</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الكراهة بالمعنى اللغوي، لعدم ثبوت الحقيقة الشرعيّة فيها، بل كلام القدماء أيضا لم يظهر النقل عندهم، و الأخبار تشير أيضا إلى عدم النقل </w:t>
      </w:r>
      <w:r>
        <w:rPr>
          <w:rStyle w:val="FootnoteAnchor"/>
          <w:rtl w:val="true"/>
        </w:rPr>
        <w:footnoteReference w:id="347"/>
      </w:r>
      <w:r>
        <w:rPr>
          <w:rFonts w:ascii="Amiri" w:hAnsi="Amiri" w:eastAsia="Amiri" w:cs="Amiri"/>
          <w:color w:val="111111"/>
          <w:sz w:val="28"/>
          <w:sz w:val="28"/>
          <w:szCs w:val="28"/>
          <w:rtl w:val="true"/>
          <w:lang w:bidi="ar-SA"/>
        </w:rPr>
        <w:t xml:space="preserve">مع أنّ المراد هاهنا الأعمّ، أو النجاسة جزما بقرينة المشرك و الناصب للإجماع </w:t>
      </w:r>
      <w:r>
        <w:rPr>
          <w:rStyle w:val="FootnoteAnchor"/>
          <w:rtl w:val="true"/>
        </w:rPr>
        <w:footnoteReference w:id="348"/>
      </w:r>
      <w:r>
        <w:rPr>
          <w:rFonts w:ascii="IRNazanin" w:hAnsi="IRNazanin" w:eastAsia="IRNazanin"/>
          <w:color w:val="111111"/>
          <w:sz w:val="28"/>
          <w:sz w:val="28"/>
          <w:szCs w:val="28"/>
          <w:rtl w:val="true"/>
          <w:lang w:bidi="fa-IR"/>
        </w:rPr>
        <w:t xml:space="preserve">و الأخبار على نجاستهما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بن جعفر أخاه موسى عليه السّلام عن اليهودي و النصراني يدخل يده في الماء أ 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تضطرّ إليه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من الاضطرار حالة التقيّة و الابتلاء، أو أنّ المراد الماء الكثير، أو بناء على طهارة اليهودي و النصراني كما يقول المصنّف </w:t>
      </w:r>
      <w:r>
        <w:rPr>
          <w:rStyle w:val="FootnoteAnchor"/>
          <w:rtl w:val="true"/>
        </w:rPr>
        <w:footnoteReference w:id="351"/>
      </w:r>
      <w:r>
        <w:rPr>
          <w:rFonts w:ascii="Amiri" w:hAnsi="Amiri" w:eastAsia="Amiri" w:cs="Amiri"/>
          <w:color w:val="111111"/>
          <w:sz w:val="28"/>
          <w:sz w:val="28"/>
          <w:szCs w:val="28"/>
          <w:rtl w:val="true"/>
          <w:lang w:bidi="ar-SA"/>
        </w:rPr>
        <w:t xml:space="preserve">، لكنّ الظاهر و المشهور عندنا النجاسة </w:t>
      </w:r>
      <w:r>
        <w:rPr>
          <w:rStyle w:val="FootnoteAnchor"/>
          <w:rtl w:val="true"/>
        </w:rPr>
        <w:footnoteReference w:id="352"/>
      </w:r>
      <w:r>
        <w:rPr>
          <w:rFonts w:ascii="Amiri" w:hAnsi="Amiri" w:eastAsia="Amiri" w:cs="Amiri"/>
          <w:color w:val="111111"/>
          <w:sz w:val="28"/>
          <w:sz w:val="28"/>
          <w:szCs w:val="28"/>
          <w:rtl w:val="true"/>
          <w:lang w:bidi="ar-SA"/>
        </w:rPr>
        <w:t xml:space="preserve">فيكون الكلام فيه هو الكلام في الأخبار الكثيرة الظاهرة في طهارتهم </w:t>
      </w:r>
      <w:r>
        <w:rPr>
          <w:rStyle w:val="FootnoteAnchor"/>
          <w:rtl w:val="true"/>
        </w:rPr>
        <w:footnoteReference w:id="353"/>
      </w:r>
      <w:r>
        <w:rPr>
          <w:rFonts w:ascii="Amiri" w:hAnsi="Amiri" w:eastAsia="Amiri" w:cs="Amiri"/>
          <w:color w:val="111111"/>
          <w:sz w:val="28"/>
          <w:sz w:val="28"/>
          <w:szCs w:val="28"/>
          <w:rtl w:val="true"/>
          <w:lang w:bidi="ar-SA"/>
        </w:rPr>
        <w:t>و ستعرف، مضافا إلى ضعف السند و المخالفة للمتواتر و الاجماعات و غير ذلك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في التهذيبين على ما إذا تغيّر أحد أوصافه الثلاثة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قدر الكرّ من الماء إذا بال فيه انسان يتغيّر قدر منه عادة، لأنّ البول صفاته متغايرة لصفة الماء، فلا شكّ في أنّ الماء بدخول بول الإنسان الظاهر في مجموع القدر الذي يبول عادة فيه يتغيّر مقدار معتدّ به منه فنقص الباقي عن الكرّ فتنجّس الجميع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بول الحمار و البغل، و مع القول بنجاستهما يكون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القول بكراهتهما فإمّا محمول على الاتّقاء كما ستعرف، أو النهي على مجرّد الترك أي القدر المشترك بين الحرمة و الكراهة، أو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و لعلّه المناسب في المقام فتأمّل، و الجواب عن بول الإنسان و سكت عن بول غيره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تسخّنه الشمس لا توضّئوا به، و لا تغتسلوا به، و لا تعجنوا به فإنّه يورث البرص</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يدلّ على الكراهة، أعمّ من أن يكون في الأواني المنطبعة أو لا، قليلا أو لا، قصد التسخين بها أو لا، و لا يعارضه الرواية الآتية </w:t>
      </w:r>
      <w:r>
        <w:rPr>
          <w:rStyle w:val="FootnoteAnchor"/>
          <w:rtl w:val="true"/>
        </w:rPr>
        <w:footnoteReference w:id="356"/>
      </w:r>
      <w:r>
        <w:rPr>
          <w:rFonts w:ascii="Amiri" w:hAnsi="Amiri" w:eastAsia="Amiri" w:cs="Amiri"/>
          <w:color w:val="111111"/>
          <w:sz w:val="28"/>
          <w:sz w:val="28"/>
          <w:szCs w:val="28"/>
          <w:rtl w:val="true"/>
          <w:lang w:bidi="ar-SA"/>
        </w:rPr>
        <w:t>لأنّ إثبات الشي‌ء لا ينفي ما عداه، و الرواية الآتية في غاية الظهور في الكراهة، بل صريحة فيها، سواء كان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الواو أو تشديده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على عائشة و قد</w:t>
      </w:r>
    </w:p>
    <w:p>
      <w:pPr>
        <w:pStyle w:val="BookText"/>
        <w:rPr/>
      </w:pPr>
      <w:r>
        <w:rPr>
          <w:rFonts w:ascii="Amiri" w:hAnsi="Amiri" w:eastAsia="Amiri" w:cs="Amiri"/>
          <w:color w:val="111111"/>
          <w:sz w:val="28"/>
          <w:sz w:val="28"/>
          <w:szCs w:val="28"/>
          <w:rtl w:val="true"/>
          <w:lang w:bidi="ar-SA"/>
        </w:rPr>
        <w:t>وضعت قمقمتها في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رأسي و جسدي،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تعودى فإنّه يورث البرص</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الواو أو تشديدها من العود أو الاعتياد، و على التقديرين يكون الحديث دالّا على عدم حرمة الاستعمال، بل كراهته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يهريق الإنائين لأنّ مع وجود الماء الطاهر لا يجوز التيمّم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مع وجود الطاهر لا يجوز التيمّم و يكون عندك أنّه طاهر فيجب الوضوء منه و يحرم إهراقه، فكيف يجب إهراقه لأن يتيمّم بالتراب؟ و إن كان مع طهارته لا يجوز الوضوء منه فلا حاجة إلى الإهراق، مع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Style w:val="FootnoteAnchor"/>
          <w:rtl w:val="true"/>
        </w:rPr>
        <w:footnoteReference w:id="359"/>
      </w:r>
      <w:r>
        <w:rPr>
          <w:rFonts w:ascii="Amiri" w:hAnsi="Amiri" w:eastAsia="Amiri" w:cs="Amiri"/>
          <w:color w:val="111111"/>
          <w:sz w:val="28"/>
          <w:sz w:val="28"/>
          <w:szCs w:val="28"/>
          <w:rtl w:val="true"/>
          <w:lang w:bidi="ar-SA"/>
        </w:rPr>
        <w:t xml:space="preserve">مطلق، و كذا الأخبار </w:t>
      </w:r>
      <w:r>
        <w:rPr>
          <w:rStyle w:val="FootnoteAnchor"/>
          <w:rtl w:val="true"/>
        </w:rPr>
        <w:footnoteReference w:id="360"/>
      </w:r>
      <w:r>
        <w:rPr>
          <w:rFonts w:ascii="Amiri" w:hAnsi="Amiri" w:eastAsia="Amiri" w:cs="Amiri"/>
          <w:color w:val="111111"/>
          <w:sz w:val="28"/>
          <w:sz w:val="28"/>
          <w:szCs w:val="28"/>
          <w:rtl w:val="true"/>
          <w:lang w:bidi="ar-SA"/>
        </w:rPr>
        <w:t>مضافا إلى ما ستعرف، و بالجملة أمثال ما ذكره لا يخرج من فم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يحمل على المتغيّرين اللذين يكون سبب التغيّر في أحدهما القذر و في الآخر غيره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أيضا فاسد لما عرفت من عدم الإشارة إلى حكاية التغيّر أصلا، بل التصريح بأنّ السؤال من نفس وقوع القذر في أحدهما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صدر الرواية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فيها خنفساء</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أيضا عدم استفصال من المعصوم عليه السّلام في الجواب أصلا، مضافا إلى أنّ الفرض الذي ذكر يبعد تحقّقه غاية البعد، بل لعلّه مجرّد فرض عقلي، و حمل الأخبار على خصوص الفروض البعيدة في غاية البعد، بل و مجرّد فرض العقل،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القدماء الذين هم الشهود و قريبو العهد فهموا الحديث على ما هو الظاهر منه، و بنوا عليه الاختلافات في أنّ وجوب الصبّ لأيّ شي‌ء؟</w:t>
      </w:r>
    </w:p>
    <w:p>
      <w:pPr>
        <w:pStyle w:val="BookText"/>
        <w:rPr/>
      </w:pPr>
      <w:r>
        <w:rPr>
          <w:rFonts w:ascii="Amiri" w:hAnsi="Amiri" w:eastAsia="Amiri" w:cs="Amiri"/>
          <w:color w:val="111111"/>
          <w:sz w:val="28"/>
          <w:sz w:val="28"/>
          <w:szCs w:val="28"/>
          <w:rtl w:val="true"/>
          <w:lang w:bidi="ar-SA"/>
        </w:rPr>
        <w:t xml:space="preserve">و غير ذلك، و كذا المتأخّرون اتّفقوا في الفهم و اختلفوا فيما ذكر </w:t>
      </w:r>
      <w:r>
        <w:rPr>
          <w:rStyle w:val="FootnoteAnchor"/>
          <w:rtl w:val="true"/>
        </w:rPr>
        <w:footnoteReference w:id="363"/>
      </w:r>
      <w:r>
        <w:rPr>
          <w:rFonts w:ascii="Amiri" w:hAnsi="Amiri" w:eastAsia="Amiri" w:cs="Amiri"/>
          <w:color w:val="111111"/>
          <w:sz w:val="28"/>
          <w:sz w:val="28"/>
          <w:szCs w:val="28"/>
          <w:rtl w:val="true"/>
          <w:lang w:bidi="ar-SA"/>
        </w:rPr>
        <w:t xml:space="preserve">، فأفهام الكلّ توافقت و تراكمت، و يظهر أنّ الحكم عندهم من المسلّمات و لا تأمّل لأحد منهم فيه، بل و يظهر أنّ المسلمين أيضا اتّفقوا في ذلك إلّا قليل منهم </w:t>
      </w:r>
      <w:r>
        <w:rPr>
          <w:rStyle w:val="FootnoteAnchor"/>
          <w:rtl w:val="true"/>
        </w:rPr>
        <w:footnoteReference w:id="364"/>
      </w:r>
      <w:r>
        <w:rPr>
          <w:rFonts w:ascii="Amiri" w:hAnsi="Amiri" w:eastAsia="Amiri" w:cs="Amiri"/>
          <w:color w:val="111111"/>
          <w:sz w:val="28"/>
          <w:sz w:val="28"/>
          <w:szCs w:val="28"/>
          <w:rtl w:val="true"/>
          <w:lang w:bidi="ar-SA"/>
        </w:rPr>
        <w:t xml:space="preserve">، و إن اردت توضيح الحال فانظر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أمثالهما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أوّلا من الحمل على الاستحباب فيهما </w:t>
      </w:r>
      <w:r>
        <w:rPr>
          <w:rStyle w:val="FootnoteAnchor"/>
          <w:rtl w:val="true"/>
        </w:rPr>
        <w:footnoteReference w:id="366"/>
      </w:r>
      <w:r>
        <w:rPr>
          <w:rFonts w:ascii="Amiri" w:hAnsi="Amiri" w:eastAsia="Amiri" w:cs="Amiri"/>
          <w:color w:val="111111"/>
          <w:sz w:val="28"/>
          <w:sz w:val="28"/>
          <w:szCs w:val="28"/>
          <w:rtl w:val="true"/>
          <w:lang w:bidi="ar-SA"/>
        </w:rPr>
        <w:t xml:space="preserve">لا يجوز أن يتفوّه به عاقل، لأنّ العدول إلى التيمّم مع التمكّن من الماء فاسد بالضرورة من الدين، و الظاهر من الأخبار المتواترة </w:t>
      </w:r>
      <w:r>
        <w:rPr>
          <w:rStyle w:val="FootnoteAnchor"/>
          <w:rtl w:val="true"/>
        </w:rPr>
        <w:footnoteReference w:id="367"/>
      </w:r>
      <w:r>
        <w:rPr>
          <w:rFonts w:ascii="IRNazanin" w:hAnsi="IRNazanin" w:eastAsia="IRNazanin"/>
          <w:color w:val="111111"/>
          <w:sz w:val="28"/>
          <w:sz w:val="28"/>
          <w:szCs w:val="28"/>
          <w:rtl w:val="true"/>
          <w:lang w:bidi="fa-IR"/>
        </w:rPr>
        <w:t xml:space="preserve">بعد القرآن </w:t>
      </w:r>
      <w:r>
        <w:rPr>
          <w:rStyle w:val="FootnoteAnchor"/>
          <w:rtl w:val="true"/>
        </w:rPr>
        <w:footnoteReference w:id="368"/>
      </w:r>
      <w:r>
        <w:rPr>
          <w:rFonts w:ascii="Amiri" w:hAnsi="Amiri" w:eastAsia="Amiri" w:cs="Amiri"/>
          <w:color w:val="111111"/>
          <w:sz w:val="28"/>
          <w:sz w:val="28"/>
          <w:szCs w:val="28"/>
          <w:rtl w:val="true"/>
          <w:lang w:bidi="ar-SA"/>
        </w:rPr>
        <w:t xml:space="preserve">، بل أوجبوا عليهم السّلام شراء الماء بالقيمة الغالية أضعافا مضاعفة </w:t>
      </w:r>
      <w:r>
        <w:rPr>
          <w:rStyle w:val="FootnoteAnchor"/>
          <w:rtl w:val="true"/>
        </w:rPr>
        <w:footnoteReference w:id="369"/>
      </w:r>
      <w:r>
        <w:rPr>
          <w:rFonts w:ascii="Amiri" w:hAnsi="Amiri" w:eastAsia="Amiri" w:cs="Amiri"/>
          <w:color w:val="111111"/>
          <w:sz w:val="28"/>
          <w:sz w:val="28"/>
          <w:szCs w:val="28"/>
          <w:rtl w:val="true"/>
          <w:lang w:bidi="ar-SA"/>
        </w:rPr>
        <w:t>، و حرّموا عليهم السّلام السفر إلى البلاد التي ربّما يحتاج فيها إلى التيمّم و إن كان لطلب الرزق الواجب، و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تسافروا إلى الأرض التي</w:t>
      </w:r>
    </w:p>
    <w:p>
      <w:pPr>
        <w:pStyle w:val="BookText"/>
        <w:rPr/>
      </w:pPr>
      <w:r>
        <w:rPr>
          <w:rFonts w:ascii="Amiri" w:hAnsi="Amiri" w:eastAsia="Amiri" w:cs="Amiri"/>
          <w:color w:val="111111"/>
          <w:sz w:val="28"/>
          <w:sz w:val="28"/>
          <w:szCs w:val="28"/>
          <w:rtl w:val="true"/>
          <w:lang w:bidi="ar-SA"/>
        </w:rPr>
        <w:t xml:space="preserve">موبق فيها دينك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لرفع الحدث حالة الاختيار دون المشكوك فيه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الأخبار التي استدلّ بها على عدم انفعال القليل بالملاقاة مقتضاها الصلاحيّة لذلك من دون مضايقة، و مع عدم بأس أصلا و رأسا، و أمر بالوضوء من دون شائبة تنزّه من جهة الملاقاة فإن كانت باقية على حالها فالأمر كما ذكرت، و إلّا فلا وجه للاستدلال بها و الاستناد إليها في حكمه بعدم الانفعال، و ارتكاب المفاسد التي عرفت من الحواشي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الصلاحيّة للوضوء مع طهارته خلاف الآية و الأخبار و الإجماع، بل و ضروريّ الدين إن أراد الحرمة، و إن اراد الكراهة فأشدّ و أشدّ بالقياس إلى الإهراق و التيمّم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إنّما منع من التوضّؤ فيها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التوضّؤ فيها غير التوضّؤ منها، و لعلّ الظاهر الاستنجاء و أمثاله، و على تقدير كون المراد الوضوء منها فالأظهر أنّ المنع لأجل حرمة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الجرّة تسع مائة رطل يقع فيها أوقية من دم أشرب منه و أتوضّأ؟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دلالة على انفعال القليل و لا يلزم تغيّر كلّ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 الحمامة و اشباههما تطأ العذرة ثمّ تدخل في الماء أ 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صحّة السند واضح الدلالة على انفعال أقلّ الكرّ من ملاقات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عنهم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يدك في الإناء قبل أن تغسلها فلا بأس إلّا أن يكون أصابها قذر بول، أو جنابة، فإذا أدخلت يدك في الإناء و فيها شي‌ء من ذلك فأهرق الماء</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 و أمثاله من الأخبار الكثيرة غاية الكثرة الآتية بعد ذلك واضحة الدلالة على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Style w:val="FootnoteAnchor"/>
          <w:rtl w:val="true"/>
        </w:rPr>
        <w:footnoteReference w:id="376"/>
      </w:r>
      <w:r>
        <w:rPr>
          <w:rFonts w:ascii="Amiri" w:hAnsi="Amiri" w:eastAsia="Amiri" w:cs="Amiri"/>
          <w:color w:val="111111"/>
          <w:sz w:val="28"/>
          <w:sz w:val="28"/>
          <w:szCs w:val="28"/>
          <w:rtl w:val="true"/>
          <w:lang w:bidi="ar-SA"/>
        </w:rPr>
        <w:t>عن الرجل يدخل يده في الإناء و هي قذرة؟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غاية صحّة السند و علوّه في غاية المبالغة في انفعال القليل كما لا يخفى على الفطن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في مغتسل يبال فيه، و يغتسل من الجنابة فيقع في الإناء ما ينزو من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محلّ توهّم النجاسة لا حصولها على سبيل اليقين، مع أنّ المتنجّس عند المؤلّف غير منجّس، و إن كان هذا فاسدا لما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المستعمل،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 يجوز أن يتوضّأ منه و أشباهه، و أمّا الماء الذي يتوضّأ الرجل به فيغسل به وجهه و يده في شي‌ء نظيف فلا بأس أن يأخذه غيره و يتوضّأ به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 منع الغسل من الأحداث و غيرها أيضا، و إمّا على الجرّ بناء على جواز العطف على الضمير المجرور بدون إعادة الجارّ، و إمّا على النصب، و على التقديرين يظهر أنّ المستعمل في رفع الحدث الأكبر مطلقا ممنوع منه كما أفتى به المفيد و غيره </w:t>
      </w:r>
      <w:r>
        <w:rPr>
          <w:rStyle w:val="FootnoteAnchor"/>
          <w:rtl w:val="true"/>
        </w:rPr>
        <w:footnoteReference w:id="380"/>
      </w:r>
      <w:r>
        <w:rPr>
          <w:rFonts w:ascii="Amiri" w:hAnsi="Amiri" w:eastAsia="Amiri" w:cs="Amiri"/>
          <w:color w:val="111111"/>
          <w:sz w:val="28"/>
          <w:sz w:val="28"/>
          <w:szCs w:val="28"/>
          <w:rtl w:val="true"/>
          <w:lang w:bidi="ar-SA"/>
        </w:rPr>
        <w:t>، و يؤيّدهما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الماء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فتأمّل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المنع على سبيل الكراهة على ما هو المشهور عند المتأخّرين </w:t>
      </w:r>
      <w:r>
        <w:rPr>
          <w:rStyle w:val="FootnoteAnchor"/>
          <w:rtl w:val="true"/>
        </w:rPr>
        <w:footnoteReference w:id="381"/>
      </w:r>
      <w:r>
        <w:rPr>
          <w:rFonts w:ascii="Amiri" w:hAnsi="Amiri" w:eastAsia="Amiri" w:cs="Amiri"/>
          <w:color w:val="111111"/>
          <w:sz w:val="28"/>
          <w:sz w:val="28"/>
          <w:szCs w:val="28"/>
          <w:rtl w:val="true"/>
          <w:lang w:bidi="ar-SA"/>
        </w:rPr>
        <w:t xml:space="preserve">، لضعف السند و حصول المؤيّدات من الأخبار التي مرّت </w:t>
      </w:r>
      <w:r>
        <w:rPr>
          <w:rStyle w:val="FootnoteAnchor"/>
          <w:rtl w:val="true"/>
        </w:rPr>
        <w:footnoteReference w:id="382"/>
      </w:r>
      <w:r>
        <w:rPr>
          <w:rFonts w:ascii="Amiri" w:hAnsi="Amiri" w:eastAsia="Amiri" w:cs="Amiri"/>
          <w:color w:val="111111"/>
          <w:sz w:val="28"/>
          <w:sz w:val="28"/>
          <w:szCs w:val="28"/>
          <w:rtl w:val="true"/>
          <w:lang w:bidi="ar-SA"/>
        </w:rPr>
        <w:t xml:space="preserve">، و على سبيل الحرمة عند كثير من القدماء </w:t>
      </w:r>
      <w:r>
        <w:rPr>
          <w:rStyle w:val="FootnoteAnchor"/>
          <w:rtl w:val="true"/>
        </w:rPr>
        <w:footnoteReference w:id="383"/>
      </w:r>
      <w:r>
        <w:rPr>
          <w:rFonts w:ascii="Amiri" w:hAnsi="Amiri" w:eastAsia="Amiri" w:cs="Amiri"/>
          <w:color w:val="111111"/>
          <w:sz w:val="28"/>
          <w:sz w:val="28"/>
          <w:szCs w:val="28"/>
          <w:rtl w:val="true"/>
          <w:lang w:bidi="ar-SA"/>
        </w:rPr>
        <w:t xml:space="preserve">لأنّ رواية ابن هلال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معتبرة عندهم مع مؤيّدات من الأخبار التي مرّت </w:t>
      </w:r>
      <w:r>
        <w:rPr>
          <w:rStyle w:val="FootnoteAnchor"/>
          <w:rtl w:val="true"/>
        </w:rPr>
        <w:footnoteReference w:id="385"/>
      </w:r>
      <w:r>
        <w:rPr>
          <w:rFonts w:ascii="Amiri" w:hAnsi="Amiri" w:eastAsia="Amiri" w:cs="Amiri"/>
          <w:color w:val="111111"/>
          <w:sz w:val="28"/>
          <w:sz w:val="28"/>
          <w:szCs w:val="28"/>
          <w:rtl w:val="true"/>
          <w:lang w:bidi="ar-SA"/>
        </w:rPr>
        <w:t>، و الاحتياط البتّة</w:t>
      </w:r>
      <w:r>
        <w:rPr>
          <w:rFonts w:eastAsia="Amiri" w:cs="Amiri" w:ascii="Amiri" w:hAnsi="Amiri"/>
          <w:color w:val="111111"/>
          <w:sz w:val="28"/>
          <w:szCs w:val="28"/>
          <w:rtl w:val="true"/>
          <w:lang w:bidi="ar-SA"/>
        </w:rPr>
        <w:t>.</w:t>
      </w:r>
      <w:bookmarkStart w:id="232" w:name="pg2470_12399"/>
    </w:p>
    <w:p>
      <w:pPr>
        <w:pStyle w:val="Heading4"/>
        <w:numPr>
          <w:ilvl w:val="3"/>
          <w:numId w:val="1"/>
        </w:numPr>
        <w:rPr/>
      </w:pPr>
      <w:bookmarkStart w:id="233" w:name="__RefHeading___Toc3601442_3804643083"/>
      <w:bookmarkStart w:id="234" w:name="_Toc89"/>
      <w:bookmarkEnd w:id="232"/>
      <w:bookmarkEnd w:id="233"/>
      <w:r>
        <w:rPr>
          <w:rtl w:val="true"/>
        </w:rPr>
        <w:t>[</w:t>
      </w:r>
      <w:r>
        <w:rPr>
          <w:rtl w:val="true"/>
        </w:rPr>
        <w:t>باب أسئار الحيوانات و التوضّؤ بها و الشرب منها</w:t>
      </w:r>
      <w:r>
        <w:rPr>
          <w:rtl w:val="true"/>
        </w:rPr>
        <w:t>]</w:t>
      </w:r>
      <w:bookmarkEnd w:id="2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أسئار الحيوانات و التوضّؤ بها و الشرب منها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من أخبار هذا الباب يدلّ على انفعال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ماء يشرب منه الحمامة؟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أكل لحمه يتوضّأ من سؤره و يشرب</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الخبر يدلّ على </w:t>
      </w:r>
      <w:r>
        <w:rPr>
          <w:rStyle w:val="FootnoteAnchor"/>
          <w:rtl w:val="true"/>
        </w:rPr>
        <w:footnoteReference w:id="388"/>
      </w:r>
      <w:r>
        <w:rPr>
          <w:rFonts w:ascii="Amiri" w:hAnsi="Amiri" w:eastAsia="Amiri" w:cs="Amiri"/>
          <w:color w:val="111111"/>
          <w:sz w:val="28"/>
          <w:sz w:val="28"/>
          <w:szCs w:val="28"/>
          <w:rtl w:val="true"/>
          <w:lang w:bidi="ar-SA"/>
        </w:rPr>
        <w:t>أنّ زوال عين النجاسة في الحيوان مطهّر له، أو سبب لعدم تأثيره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فضل الهرّة، و الشاة، و البقرة، و الإبل، و الحمار، و الخيل، و البغال، و الوحش، و السباع فلم أترك شيئا إلّا 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مع صحّة السند نصّ في انفعال القليل، و كون التعفير بتطهير الإناء من ولوغ الكلب من ضروريّات مذهب الشيعة، أو إجماعاته بلا شبهة، و المستند هذه الصحيحة، و القدماء و المتأخّرون فرّعوا عليها تفريعات كثيرة </w:t>
      </w:r>
      <w:r>
        <w:rPr>
          <w:rStyle w:val="FootnoteAnchor"/>
          <w:rtl w:val="true"/>
        </w:rPr>
        <w:footnoteReference w:id="390"/>
      </w:r>
      <w:r>
        <w:rPr>
          <w:rFonts w:ascii="Amiri" w:hAnsi="Amiri" w:eastAsia="Amiri" w:cs="Amiri"/>
          <w:color w:val="111111"/>
          <w:sz w:val="28"/>
          <w:sz w:val="28"/>
          <w:szCs w:val="28"/>
          <w:rtl w:val="true"/>
          <w:lang w:bidi="ar-SA"/>
        </w:rPr>
        <w:t>، و من ذلك أيضا ظهر اتّفاقهم جميعا على العمل بها بعنوان الوجوب، و كذا اتّفقوا في النقل على سبيل الاعتماد بذكر قوله عليه السّلام مرّتين و عدم ذكره كما ستعرف</w:t>
      </w:r>
      <w:r>
        <w:rPr>
          <w:rFonts w:eastAsia="Amiri" w:cs="Amiri" w:ascii="Amiri" w:hAnsi="Amiri"/>
          <w:color w:val="111111"/>
          <w:sz w:val="28"/>
          <w:szCs w:val="28"/>
          <w:rtl w:val="true"/>
          <w:lang w:bidi="ar-SA"/>
        </w:rPr>
        <w:t>.</w:t>
      </w:r>
      <w:bookmarkStart w:id="235" w:name="pg2470_12400"/>
    </w:p>
    <w:p>
      <w:pPr>
        <w:pStyle w:val="BookText"/>
        <w:rPr/>
      </w:pPr>
      <w:bookmarkEnd w:id="235"/>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إلى الكلب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رجس نجس لا تتوضّأ بفضله، و اصبب ذلك الماء و اغسله بالتراب أوّل مرّة ثمّ بالماء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الأصحاب نقلوا قيد مرّتين في كتب الاستدلال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بالماء</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موجود هذا القيد </w:t>
      </w:r>
      <w:r>
        <w:rPr>
          <w:rStyle w:val="FootnoteAnchor"/>
          <w:rtl w:val="true"/>
        </w:rPr>
        <w:footnoteReference w:id="393"/>
      </w:r>
      <w:r>
        <w:rPr>
          <w:rFonts w:ascii="Amiri" w:hAnsi="Amiri" w:eastAsia="Amiri" w:cs="Amiri"/>
          <w:color w:val="111111"/>
          <w:sz w:val="28"/>
          <w:sz w:val="28"/>
          <w:szCs w:val="28"/>
          <w:rtl w:val="true"/>
          <w:lang w:bidi="ar-SA"/>
        </w:rPr>
        <w:t xml:space="preserve">على ما هو ببالي، و الأصحاب أطبقوا على الغسل مرّتين بالماء، و نقلوا الإجماع عليه </w:t>
      </w:r>
      <w:r>
        <w:rPr>
          <w:rStyle w:val="FootnoteAnchor"/>
          <w:rtl w:val="true"/>
        </w:rPr>
        <w:footnoteReference w:id="394"/>
      </w:r>
      <w:r>
        <w:rPr>
          <w:rFonts w:ascii="Amiri" w:hAnsi="Amiri" w:eastAsia="Amiri" w:cs="Amiri"/>
          <w:color w:val="111111"/>
          <w:sz w:val="28"/>
          <w:sz w:val="28"/>
          <w:szCs w:val="28"/>
          <w:rtl w:val="true"/>
          <w:lang w:bidi="ar-SA"/>
        </w:rPr>
        <w:t xml:space="preserve">أيضا،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نقل هذا الحديث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و أيضا ورد في غسل الإناء عن سائر النجاسات أنّه يغتسل ثلاث مرّات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المعصوم عليه السّلام في هذا المقام في مقام إظهار نهاية غلظة نجاسة ولوغ الكلب و شدّتها، فكيف يكتفى فيه بغسل واحد أو مرّتين؟</w:t>
      </w:r>
    </w:p>
    <w:p>
      <w:pPr>
        <w:pStyle w:val="BookText"/>
        <w:rPr/>
      </w:pPr>
      <w:r>
        <w:rPr>
          <w:rFonts w:ascii="Amiri" w:hAnsi="Amiri" w:eastAsia="Amiri" w:cs="Amiri"/>
          <w:color w:val="111111"/>
          <w:sz w:val="28"/>
          <w:sz w:val="28"/>
          <w:szCs w:val="28"/>
          <w:rtl w:val="true"/>
          <w:lang w:bidi="ar-SA"/>
        </w:rPr>
        <w:t xml:space="preserve">و أيضا في الأخبار الكثيرة أنّ غسل النجاسة مرّتان </w:t>
      </w:r>
      <w:r>
        <w:rPr>
          <w:rStyle w:val="FootnoteAnchor"/>
          <w:rtl w:val="true"/>
        </w:rPr>
        <w:footnoteReference w:id="397"/>
      </w:r>
      <w:r>
        <w:rPr>
          <w:rFonts w:ascii="Amiri" w:hAnsi="Amiri" w:eastAsia="Amiri" w:cs="Amiri"/>
          <w:color w:val="111111"/>
          <w:sz w:val="28"/>
          <w:sz w:val="28"/>
          <w:szCs w:val="28"/>
          <w:rtl w:val="true"/>
          <w:lang w:bidi="ar-SA"/>
        </w:rPr>
        <w:t>، فلعلّ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المعهود في غسل النجاسات نبّه على ذلك بعد الغسل بالتراب بكونه مرّة، و عدم التعرّض لذكر المرّة في غسل الماء بالمرّة، مع أنّه لو كان المراد فيه أيضا المرّة، لكان أولى بالتقييد، فتأمّل</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3601444_3804643083"/>
      <w:bookmarkStart w:id="237" w:name="_Toc90"/>
      <w:bookmarkEnd w:id="236"/>
      <w:r>
        <w:rPr>
          <w:rtl w:val="true"/>
        </w:rPr>
        <w:t>[</w:t>
      </w:r>
      <w:r>
        <w:rPr>
          <w:rtl w:val="true"/>
        </w:rPr>
        <w:t>باب الماء القليل المشتبه و رفع الحدث به</w:t>
      </w:r>
      <w:r>
        <w:rPr>
          <w:rtl w:val="true"/>
        </w:rPr>
        <w:t>]</w:t>
      </w:r>
      <w:bookmarkEnd w:id="23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ينزح من البئر التي وقع فيها شي‌ء من النجاسات دلاء لتطيب</w:t>
      </w:r>
    </w:p>
    <w:p>
      <w:pPr>
        <w:pStyle w:val="BookText"/>
        <w:rPr/>
      </w:pPr>
      <w:r>
        <w:rPr>
          <w:rFonts w:ascii="Amiri" w:hAnsi="Amiri" w:eastAsia="Amiri" w:cs="Amiri"/>
          <w:color w:val="111111"/>
          <w:sz w:val="28"/>
          <w:sz w:val="28"/>
          <w:szCs w:val="28"/>
          <w:rtl w:val="true"/>
          <w:lang w:bidi="ar-SA"/>
        </w:rPr>
        <w:t xml:space="preserve">و يطيب به القلب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ورد الأمر بالنضح للنجاسة المتوهّمة المحتملة في مواضع متعدّدة كما سيجي‌ء، فالظاهر أنّ الأمر به في المقام، من هذا القبيل، لأنّ حول الماء محلّ توهّم النجاسة و احتمالها فإذا توضّأ المتوضئ يقطر من وضوئه قطرات فتقع في الماء و ترجع إليه، فأمر بالنضح لحصول الطيبة كما أمروا في نظائرها من المواضع الكثيرة </w:t>
      </w:r>
      <w:r>
        <w:rPr>
          <w:rStyle w:val="FootnoteAnchor"/>
          <w:rtl w:val="true"/>
        </w:rPr>
        <w:footnoteReference w:id="399"/>
      </w:r>
      <w:r>
        <w:rPr>
          <w:rFonts w:ascii="Amiri" w:hAnsi="Amiri" w:eastAsia="Amiri" w:cs="Amiri"/>
          <w:color w:val="111111"/>
          <w:sz w:val="28"/>
          <w:sz w:val="28"/>
          <w:szCs w:val="28"/>
          <w:rtl w:val="true"/>
          <w:lang w:bidi="ar-SA"/>
        </w:rPr>
        <w:t>و لذا أمروا بالنضح من الجهات الثلاث دون الخلف لعدم وقوع القطرة و رجوعها من طرف الخلف، فهذا الحديث أيضا يشير إلى انفعال القليل فإنّه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صحّة الغسل مع قلّته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ما فيه؛ لأنّه مخالف للقرآن </w:t>
      </w:r>
      <w:r>
        <w:rPr>
          <w:rStyle w:val="FootnoteAnchor"/>
          <w:rtl w:val="true"/>
        </w:rPr>
        <w:footnoteReference w:id="401"/>
      </w:r>
      <w:r>
        <w:rPr>
          <w:rFonts w:ascii="Amiri" w:hAnsi="Amiri" w:eastAsia="Amiri" w:cs="Amiri"/>
          <w:color w:val="111111"/>
          <w:sz w:val="28"/>
          <w:sz w:val="28"/>
          <w:szCs w:val="28"/>
          <w:rtl w:val="true"/>
          <w:lang w:bidi="ar-SA"/>
        </w:rPr>
        <w:t xml:space="preserve">و الأخبار المتواترة </w:t>
      </w:r>
      <w:r>
        <w:rPr>
          <w:rStyle w:val="FootnoteAnchor"/>
          <w:rtl w:val="true"/>
        </w:rPr>
        <w:footnoteReference w:id="402"/>
      </w:r>
      <w:r>
        <w:rPr>
          <w:rFonts w:ascii="Amiri" w:hAnsi="Amiri" w:eastAsia="Amiri" w:cs="Amiri"/>
          <w:color w:val="111111"/>
          <w:sz w:val="28"/>
          <w:sz w:val="28"/>
          <w:szCs w:val="28"/>
          <w:rtl w:val="true"/>
          <w:lang w:bidi="ar-SA"/>
        </w:rPr>
        <w:t>، و إجماع المسلمين، بل و ضروري الدين فالإشكال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غسله في الماء</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الأظهر نضح الأرض لما ذكرنا، و في رواية الكاهلي </w:t>
      </w:r>
      <w:r>
        <w:rPr>
          <w:rStyle w:val="FootnoteAnchor"/>
          <w:rtl w:val="true"/>
        </w:rPr>
        <w:footnoteReference w:id="404"/>
      </w:r>
      <w:r>
        <w:rPr>
          <w:rFonts w:ascii="Amiri" w:hAnsi="Amiri" w:eastAsia="Amiri" w:cs="Amiri"/>
          <w:color w:val="111111"/>
          <w:sz w:val="28"/>
          <w:sz w:val="28"/>
          <w:szCs w:val="28"/>
          <w:rtl w:val="true"/>
          <w:lang w:bidi="ar-SA"/>
        </w:rPr>
        <w:t>، و نضح الخلف هنا لأنّ الماء حال الغسل ينضح من طرف الخلف أيضا و يرجع إلى الماء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من يسأله عن الغدير يجتمع فيه ماء</w:t>
      </w:r>
      <w:bookmarkStart w:id="238" w:name="pg2470_12402"/>
    </w:p>
    <w:p>
      <w:pPr>
        <w:pStyle w:val="BookText"/>
        <w:rPr/>
      </w:pPr>
      <w:bookmarkEnd w:id="238"/>
      <w:r>
        <w:rPr>
          <w:rFonts w:ascii="Amiri" w:hAnsi="Amiri" w:eastAsia="Amiri" w:cs="Amiri"/>
          <w:color w:val="111111"/>
          <w:sz w:val="28"/>
          <w:sz w:val="28"/>
          <w:szCs w:val="28"/>
          <w:rtl w:val="true"/>
          <w:lang w:bidi="ar-SA"/>
        </w:rPr>
        <w:t xml:space="preserve">السماء أو يستقى فيه من بئر فيستنجي فيه الإنسان من بول أو يغتسل فيه الجنب ما حدّه الذي لا يجوز؟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تتوضّأ من مثل هذا إلّا من ضرورة إليه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الذي يجتمع فيه الماء على سبيل التدريج و الاستمرار التجدّدي، و كذا يستقى فيه من بئر، الغالب فيه كونه أكثر من الكرّ، و لذا كانوا يستنجون فيه نفسه، و يغتسل الجنب كذلك، و ليس من عموم لغوي، و الإطلاق ينصرف إلى ما هو الغالب، و على تقدير العموم فالخاصّ مقدّم، سيّما إنّه أقوى بمراتب شتّى من جميع الجهات كما عرفت سابقا، مع أنّ غسالة الاستنجاء طاهرة إجماعا </w:t>
      </w:r>
      <w:r>
        <w:rPr>
          <w:rStyle w:val="FootnoteAnchor"/>
          <w:rtl w:val="true"/>
        </w:rPr>
        <w:footnoteReference w:id="406"/>
      </w:r>
      <w:r>
        <w:rPr>
          <w:rFonts w:ascii="Amiri" w:hAnsi="Amiri" w:eastAsia="Amiri" w:cs="Amiri"/>
          <w:color w:val="111111"/>
          <w:sz w:val="28"/>
          <w:sz w:val="28"/>
          <w:szCs w:val="28"/>
          <w:rtl w:val="true"/>
          <w:lang w:bidi="ar-SA"/>
        </w:rPr>
        <w:t xml:space="preserve">و اغتسال الجنب ليس بمنجّس للماء، و كون جسده متلوّثا بالمنيّ ليس بطاهر، و الأصل عدمه، و الراوي لهذه لم يسأل عن حاله؛ إذ لو كان متلوّثا لكان أحرى بالتصريح حال السؤال من نفس اغتسال الجنب، و لذا اتّفق الأصحاب على نزح سبع دلاء فيه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الوارد في الأخبار 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في البئر مع أنّهم يقولون بنزح الجميع للمني، و مع جميع ذلك يمكن حمل الضرورة على التقيّة كما عرفت سابقا فتأمّل فيه،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المكاتيب كثيرا ما يقع فيه أمثال هذه الاختلالات كما صرّح به جدّي المجلسي رحمه اللّه و صرّح بعلّته أيضا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3601446_3804643083"/>
      <w:bookmarkStart w:id="240" w:name="_Toc91"/>
      <w:bookmarkEnd w:id="239"/>
      <w:r>
        <w:rPr>
          <w:rtl w:val="true"/>
        </w:rPr>
        <w:t>[</w:t>
      </w:r>
      <w:r>
        <w:rPr>
          <w:rtl w:val="true"/>
        </w:rPr>
        <w:t>باب مقادير ما ينزح من البئر إذا وقع فيها ما أفسدها لتطيب</w:t>
      </w:r>
      <w:r>
        <w:rPr>
          <w:rtl w:val="true"/>
        </w:rPr>
        <w:t>]</w:t>
      </w:r>
      <w:bookmarkEnd w:id="2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w:t>
      </w:r>
    </w:p>
    <w:p>
      <w:pPr>
        <w:pStyle w:val="BookText"/>
        <w:rPr/>
      </w:pPr>
      <w:r>
        <w:rPr>
          <w:rFonts w:ascii="Amiri" w:hAnsi="Amiri" w:eastAsia="Amiri" w:cs="Amiri"/>
          <w:color w:val="111111"/>
          <w:sz w:val="28"/>
          <w:sz w:val="28"/>
          <w:szCs w:val="28"/>
          <w:rtl w:val="true"/>
          <w:lang w:bidi="ar-SA"/>
        </w:rPr>
        <w:t>الفطيم يقع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أربعون دلوا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بالدلو الواحد في الرضيع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كما هو ببالي، و للجمع بين هذا الخبر و ما دلّ على السبع في الصبي </w:t>
      </w:r>
      <w:r>
        <w:rPr>
          <w:rStyle w:val="FootnoteAnchor"/>
          <w:rtl w:val="true"/>
        </w:rPr>
        <w:footnoteReference w:id="41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الفطحيّة،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بئر يقع فيها كلب أو فأرة أو 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 عليها الماء فلينزف يوما إلى الليل، ثمّ يقام عليها قوم يتراوحون اثنين اثنين فينزفون، يوما إلى اللّيل و قد طهرت</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بفتح الثاء،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زائدة فإنّ الرواية عن عمّار، ربّما يكون قوله أمثالها،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 مقدّرة، و ربّما كانت في بعض النسخ موجودة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باختلاف الآبار كبرا و صغرا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الاختلاف باختلاف الآبار و غيرها بعيد جدّا، و البناء على تفاوت مراتب الاستحباب لا يحتاج إلى ما ارتكبه من التقييد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يجري إلى يمين</w:t>
      </w:r>
    </w:p>
    <w:p>
      <w:pPr>
        <w:pStyle w:val="BookText"/>
        <w:rPr/>
      </w:pPr>
      <w:r>
        <w:rPr>
          <w:rFonts w:ascii="Amiri" w:hAnsi="Amiri" w:eastAsia="Amiri" w:cs="Amiri"/>
          <w:color w:val="111111"/>
          <w:sz w:val="28"/>
          <w:sz w:val="28"/>
          <w:szCs w:val="28"/>
          <w:rtl w:val="true"/>
          <w:lang w:bidi="ar-SA"/>
        </w:rPr>
        <w:t xml:space="preserve">القبلة من دبرها مائلا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لمّا كان ميله إلى المركز، و المركز سمت الجنوب، لأنّ الأرض واقعة في البحر </w:t>
      </w:r>
      <w:r>
        <w:rPr>
          <w:rStyle w:val="FootnoteAnchor"/>
          <w:rtl w:val="true"/>
        </w:rPr>
        <w:footnoteReference w:id="416"/>
      </w:r>
      <w:r>
        <w:rPr>
          <w:rFonts w:ascii="Amiri" w:hAnsi="Amiri" w:eastAsia="Amiri" w:cs="Amiri"/>
          <w:color w:val="111111"/>
          <w:sz w:val="28"/>
          <w:sz w:val="28"/>
          <w:szCs w:val="28"/>
          <w:rtl w:val="true"/>
          <w:lang w:bidi="ar-SA"/>
        </w:rPr>
        <w:t>و ثلثاها في الماء و ثلثها خارج، و هي مدوّرة كرويّة فرأس قبة الأرض و وسطها بمسامت القطب الشمالي، فالماء الذي فوق الأرض أو في أعماقها يميل إلى الجنوب بالطبع فحين ميله إلى الجنوب يجري إلى الجنوب و إلى القبلة التي هي يمين الجنوب و هي قبلة العراق، و إنّما لم يذكر نفس الجنوب، بل ذكر موضعه القبلة لأنّها المعروفة عند عامّة الناس لا نفس الجنوب، و ليس بينهما فرق معتدّ به، و لذا اختار القبلة و اكتفى بها إلى اخر الحديث، لكن نبّه عليه السّلام على أنّ القبلة في الواقع و حقيقته يمين الجنوب فمراده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بحسب ميله الطبيعي يميل إلى سمت الجنوب أعمّ من أن يكون إلى نفس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بسمت يمينه بشي‌ء قليل غاية القلّة حتّى صارت كأنّها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يسار القبلة، فحينئذ يكون مبدؤه و منشؤه يمين القبلة و إلى يمين القبلة فحينئذ يكون المبدأ و المنشأ يسار القبلة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تباعد البالوعة عن البئر لئلّا يجري الماء منها إليها، و هي إن كانت طرف القبلة و البئر خلف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 الإنسان المتوجّه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يجرى الماء من القبلة إلى دبرها، أي من الجنوب إلى الشمال، و لكن إذا كان بالعكس و البالوعة عن يمين القبلة و البئر عن يسارها أو بالعكس يجرى من كلّ منهما الماء إلى الآخر لأنّ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إلى فوق صاحبه و أمّا إلى الأسفل أو إلى المساوي فيجري فاعتبر التباعد من هذه الجهة</w:t>
      </w:r>
      <w:r>
        <w:rPr>
          <w:rFonts w:eastAsia="Amiri" w:cs="Amiri" w:ascii="Amiri" w:hAnsi="Amiri"/>
          <w:color w:val="111111"/>
          <w:sz w:val="28"/>
          <w:szCs w:val="28"/>
          <w:rtl w:val="true"/>
          <w:lang w:bidi="ar-SA"/>
        </w:rPr>
        <w:t>.</w:t>
      </w:r>
      <w:bookmarkStart w:id="241" w:name="pg2470_12405"/>
    </w:p>
    <w:p>
      <w:pPr>
        <w:pStyle w:val="BookText"/>
        <w:rPr/>
      </w:pPr>
      <w:bookmarkEnd w:id="24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محمّد و أبي بصير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يتوضّأ منها يجري البول قريبا منها أ ينجّسها؟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البئر في أعلى الوادي، و الوادي يجري فيه البول من تحتها و كان بينهما قدر ثلاثة أذرع أو أربعة أذرع لم ينجّس ذلك شي‌ء</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الظاهر أنّ السؤال وقع في مكّة المشرّفة كما لا يخفى، و هذه الرواية أقوى أدلّة القائل بانفعال البئر بالملاقاة، و يمكن حملها على صورة تغيّر الماء كلّه أو بعضه عادة بدخول البول من طول الزمان و المدّة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601448_3804643083"/>
      <w:bookmarkStart w:id="243" w:name="_Toc92"/>
      <w:bookmarkEnd w:id="242"/>
      <w:r>
        <w:rPr>
          <w:rtl w:val="true"/>
        </w:rPr>
        <w:t>[</w:t>
      </w:r>
      <w:r>
        <w:rPr>
          <w:rtl w:val="true"/>
        </w:rPr>
        <w:t>باب آداب التخلّي</w:t>
      </w:r>
      <w:r>
        <w:rPr>
          <w:rtl w:val="true"/>
        </w:rPr>
        <w:t>]</w:t>
      </w:r>
      <w:bookmarkEnd w:id="243"/>
    </w:p>
    <w:p>
      <w:pPr>
        <w:pStyle w:val="Heading5"/>
        <w:numPr>
          <w:ilvl w:val="4"/>
          <w:numId w:val="1"/>
        </w:numPr>
        <w:rPr/>
      </w:pPr>
      <w:bookmarkStart w:id="244" w:name="__RefHeading___Toc3601450_3804643083"/>
      <w:bookmarkStart w:id="245" w:name="_Toc93"/>
      <w:bookmarkEnd w:id="244"/>
      <w:r>
        <w:rPr>
          <w:rtl w:val="true"/>
        </w:rPr>
        <w:t>[</w:t>
      </w:r>
      <w:r>
        <w:rPr>
          <w:rtl w:val="true"/>
        </w:rPr>
        <w:t>حرمة استقبال القبلة و استدبارها</w:t>
      </w:r>
      <w:r>
        <w:rPr>
          <w:rtl w:val="true"/>
        </w:rPr>
        <w:t>]</w:t>
      </w:r>
      <w:bookmarkEnd w:id="24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طمّح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رماه في الهواء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المرتفع الزائد مثل السطح و ما قاربه أو شابهه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بالمنتاب المباح الذي يعتوره المارّة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الماء الذي يقسّم على سبيل النوبة كلّ نوبة بشخص أو أشخاص كما هو المتعارف في البلاد التي ماؤها مشاع، و في غاية الاحتياج إليه، و شدّة المنفعة له، و كثرة القيامة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فلا تستقبل</w:t>
      </w:r>
      <w:bookmarkStart w:id="246" w:name="pg2470_12406"/>
    </w:p>
    <w:p>
      <w:pPr>
        <w:pStyle w:val="BookText"/>
        <w:rPr/>
      </w:pPr>
      <w:bookmarkEnd w:id="246"/>
      <w:r>
        <w:rPr>
          <w:rFonts w:ascii="Amiri" w:hAnsi="Amiri" w:eastAsia="Amiri" w:cs="Amiri"/>
          <w:color w:val="111111"/>
          <w:sz w:val="28"/>
          <w:sz w:val="28"/>
          <w:szCs w:val="28"/>
          <w:rtl w:val="true"/>
          <w:lang w:bidi="ar-SA"/>
        </w:rPr>
        <w:t>القبلة و لا تستدبرها، و لكن شرّقوا أو غرّبوا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يكون البناء على توسعة سمت القبلة إلى ربع الدار فيصير المشرق و المغرب أيضا كذلك، و يمكن البناء على أنّه واجب اخر أو مستحبّ كما قيل </w:t>
      </w:r>
      <w:r>
        <w:rPr>
          <w:rStyle w:val="FootnoteAnchor"/>
          <w:rtl w:val="true"/>
        </w:rPr>
        <w:footnoteReference w:id="421"/>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الكنيف مستقبل القبلة لا يستلزم جواز الاستقبال لإمكان الانحراف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المنزل لم يكن ملكه عليه السّلام، بل كان نازلا فيه من منازل خراسان، يشير إليه التعبير بلفظ المنزل، و الحمل من وهم محمّد، و إلّا فبعيد غاية البعد أن يكون عليه السّلام يا بني الكنيف مستقبل القبلة فيه الخدم و الحشم و بعيد أيضا أن يكونوا يجلسون مستقبل القبلة، إذ كيف كانوا يأمرون بالبرّ و ينسون أنفسهم حاشاهم عليهم 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حذاء القبلة ثمّ ذكر فانحرف عنها إجلالا للقبلة و تعظيما لها، لم يقم من مقعده ذلك حتّى يغفر اللّه له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هذا أنّ علّة المنع عن الاستقبال هو التعظيم مضافا إلى ظهوره في نفسه فلا بدّ من الاحتراز عن استقبال خصوص الفرج أيضا</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601452_3804643083"/>
      <w:bookmarkStart w:id="248" w:name="_Toc94"/>
      <w:bookmarkEnd w:id="247"/>
      <w:r>
        <w:rPr>
          <w:rtl w:val="true"/>
        </w:rPr>
        <w:t>[</w:t>
      </w:r>
      <w:r>
        <w:rPr>
          <w:rtl w:val="true"/>
        </w:rPr>
        <w:t>المناقشة في كلام صاحب الوافي</w:t>
      </w:r>
      <w:r>
        <w:rPr>
          <w:rtl w:val="true"/>
        </w:rPr>
        <w:t>]</w:t>
      </w:r>
      <w:bookmarkEnd w:id="2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ابيه عن ابن المغيرة،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ينقى ما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ينقى ما ثمّة و يبقي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إليها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على المصنّف أنّ أمثال هذا الحديث يدلّ على عدم انفعال الحجر و المدر و أمثالها بملاقاة النجاسة، لأنّها لو انفعلت بملاقاتها لزم عدم تطهّر موضع بها أصلا، و هو باطل إجماعا، لأنّها تطهّره إجماعا و نصّا بل و نصوصا </w:t>
      </w:r>
      <w:r>
        <w:rPr>
          <w:rStyle w:val="FootnoteAnchor"/>
          <w:rtl w:val="true"/>
        </w:rPr>
        <w:footnoteReference w:id="425"/>
      </w:r>
      <w:r>
        <w:rPr>
          <w:rFonts w:ascii="Amiri" w:hAnsi="Amiri" w:eastAsia="Amiri" w:cs="Amiri"/>
          <w:color w:val="111111"/>
          <w:sz w:val="28"/>
          <w:sz w:val="28"/>
          <w:szCs w:val="28"/>
          <w:rtl w:val="true"/>
          <w:lang w:bidi="ar-SA"/>
        </w:rPr>
        <w:t xml:space="preserve">إمّا بمجرّد النقاء كما هو رأي بعض، و منهم المصنّف في كتاب فتواه </w:t>
      </w:r>
      <w:r>
        <w:rPr>
          <w:rStyle w:val="FootnoteAnchor"/>
          <w:rtl w:val="true"/>
        </w:rPr>
        <w:footnoteReference w:id="426"/>
      </w:r>
      <w:r>
        <w:rPr>
          <w:rFonts w:ascii="Amiri" w:hAnsi="Amiri" w:eastAsia="Amiri" w:cs="Amiri"/>
          <w:color w:val="111111"/>
          <w:sz w:val="28"/>
          <w:sz w:val="28"/>
          <w:szCs w:val="28"/>
          <w:rtl w:val="true"/>
          <w:lang w:bidi="ar-SA"/>
        </w:rPr>
        <w:t xml:space="preserve">أو النقاء الحاصل بمسح الحجر الثالث، أو قبل الحجر الثالث إلّا أنّه لا بدّ من الثلاث كما هو رأي آخرين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أنّ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يلاق المحلّ فلا يطهّر، و إذا لاقاه نجس، و من المحال أن يكون النجس مطهّرا على طريقة ما مرّ منه في عدم انفعال الماء القليل، فما هو جوابه هنا فهو جوابنا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الشنائع الكثيرة الواردة على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قاس الملاقاة حال التطهير بالملاقاة حال عدم التطهير، مع ما بينهما من الفارق الواضح، و لذا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شغلهم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عملوا بهذا و ما استدلّوا و قالوا بالفرق، و المصنّف دائما شغله الطعن على الفقهاء بأنّهم كثيرا ما يقيسون، قاس هنا هذا القياس الشنيع مع ما فيه من الشنائع التي لا تحصى عند من أمعن النظر، و كان عالما بمدارك الأحكام كما هي هي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أنّه سدّ لباب تخصيص العام، و الاستثناء، و النسخ، و تقييد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سدّ لباب التعبّديات الشرعيّة، أو أنّ الطهارة و النجاسة ليس فيهما شي‌ء من التعبّد أصلا، مع أنّه فاسد بالبديهة، بل هما مجرّد التعبّد لا طريق لدرك العقل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التمسّك بالدليل الذي لا يدلّ إلّا على القدر الذي هو محلّ وفاق الجميع على ما هو عين نزاع العلماء، بل المعظم على خلافه، بل الإجماع عليه، بل الإجماعات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اشتراط التعفير في ولوغ الكلب في ماء الإناء، و الإجماع على إهراق الإنائين المشتبهين الذين وقع في أحدهما نجاسة حيث وقع النصّ و الإجماع على مجرّد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الإجماعات التي أشرنا إلى تفسير كثير منها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الاستدلال من الجزئي على قاعدة كليّة، و دعوى ثبوتها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ألا يصير الشي‌ء الرطب بالماء قابلا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تطهير محلّ البول أيضا بالحجر و مثله، لعدم تعقّل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تطهير سائر النجاسات عن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التطهير بماء الورد و الخلّ لعدم تعقّل فرق، بل هما أولى من الماء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فتأمّل جدّا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يلزمه أيضا وجوب إدخال مثل البول في الماء القليل الذي لا يفي للطهارة من الحدث و الخبث إلى قدر لا يخرجه عن الإطلاق عرفا و لا يتغيّر الماء، بل إلى حدّ لا يتغيّر الماء باللون أو الطعم أو الريح، فلو كان البول مسلوب الصفات لا يضرّ أيّ قدر يكون ما لم يتحقّق الاستهلاك و كذا إن كان فيه الصفات الاخر غير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بعض شنائعه في باب طهارة الماء، و بعض اخر في باب قدر الماء الذي لا يتغيّر، و ذكرنا شنائع كثيرة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اعتراضات اخر في الأبواب الماضية و الآتية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بأنّه لا بدّ من الاحجار الثلاثة، لعلّه يقول بأنّ الطهارة تحصل بمسح الحجر اليابس على الموضع إذا كان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بل هو قائل بأنّ النقاء إذا حصل بالحجر الثالث يطهّر الموضع جزما مع أنّ الغالب عدم حصول النقاء بأقلّ من الثلاثة و مسلّم ذلك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الشنائع أيضا أنّه مع وجدان الماء المضاف و عدم وفاء القليل للطهارة مخيّر أن يبول في الماء أو يتمّه بالمضاف على حسب ما ذكرناه، بل مع وجود الماء أيضا له أن يبول في الماء و يتطهّر به على حسب ما ذكرنا، بل له أن يشرب منه، بل الشرب أولى، و كذا له أن يدخله في المداد الذي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يتطهّر به المصاحف و الضرائح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الشنائع أنّه لم خصّص استدلاله بصورة يطهّر الثوب؟ فإنّ ماء الاستنجاء أيضا يرد ما ذكره عليه، مع أنّه لم يجعله أحد من العقلاء محالا، بل الشيخ قال بعدم الانفعال ممّا لا يدركه الطرف من الدم </w:t>
      </w:r>
      <w:r>
        <w:rPr>
          <w:rStyle w:val="FootnoteAnchor"/>
          <w:rtl w:val="true"/>
        </w:rPr>
        <w:footnoteReference w:id="430"/>
      </w:r>
      <w:r>
        <w:rPr>
          <w:rFonts w:ascii="Amiri" w:hAnsi="Amiri" w:eastAsia="Amiri" w:cs="Amiri"/>
          <w:color w:val="111111"/>
          <w:sz w:val="28"/>
          <w:sz w:val="28"/>
          <w:szCs w:val="28"/>
          <w:rtl w:val="true"/>
          <w:lang w:bidi="ar-SA"/>
        </w:rPr>
        <w:t xml:space="preserve">و السيّد بعدم الانفعال بالورود على النجاسة </w:t>
      </w:r>
      <w:r>
        <w:rPr>
          <w:rStyle w:val="FootnoteAnchor"/>
          <w:rtl w:val="true"/>
        </w:rPr>
        <w:footnoteReference w:id="431"/>
      </w:r>
      <w:r>
        <w:rPr>
          <w:rFonts w:ascii="Amiri" w:hAnsi="Amiri" w:eastAsia="Amiri" w:cs="Amiri"/>
          <w:color w:val="111111"/>
          <w:sz w:val="28"/>
          <w:sz w:val="28"/>
          <w:szCs w:val="28"/>
          <w:rtl w:val="true"/>
          <w:lang w:bidi="ar-SA"/>
        </w:rPr>
        <w:t>، و لم يطعن هو و لا غيره عليها بارتكاب المحال، و أيضا لم يطعن أحد على المشهور بارتكاب المحال في قولهم بانفعال القليل دون الكثير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جميع المسلمين عقلاء، و مع ذلك لم يعدّوا انفعال الماء في صورة دون صورة من المحالات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مع وجود الماء؛ له أن يتطهّر بماء تمضمض به مشرك، أو مجوس من شربه المسكر و الدم و أكله الخنزير إذا مسحه مرقه، و كذا يتطهّر بما يخرج من حلق الخنزير، أو الكلب من الماء، و كذا ما يخرج من شعرهما إذا خرجا من الماء و لو بأن يعصر شعرهما حتّى يخرج و ما يرسب فيه، و مع ذلك يده تصير نجسة و يتطهّر و لو بذلك الماء المعصور، و سيجي‌ء في باب ما يطهّر بغير الماء و ما لا يحتاج إلى التطهير نجاسة الماء الذي يخرج من شعر الخنزير </w:t>
      </w:r>
      <w:r>
        <w:rPr>
          <w:rStyle w:val="FootnoteAnchor"/>
          <w:rtl w:val="true"/>
        </w:rPr>
        <w:footnoteReference w:id="43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أشنع من ذلك أن يأخذ هذا الماء المعصور و الخارج من حلق الخنزير أو بطنه ثمّ يبول و هو إلى قدر لا يخرج عن اسم الماء أو يأمر كافرا أن يبول فيه كذلك ثمّ يشرب أو يتوضّأ مع وجود الماء و وفوره، بل و أن يطرح فيه عذرة الكلب و الخنزير و يأخذ بعضا منه من شعر الخنزير و غيره ممّا ذكر، و الكافر و جميع النجاسات ما لم يتغيّر، و يكون هذا الماء و الخالص الصافي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الفصّ يتّخذ من حجارة زمزم؟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لكن إذا أراد الاستنجاء نزعه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الأصوب هو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لنزع خصوص زمرّد دون غيره من اليواقيت، فتأمّل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يكون المراد في هذه الأخبار نفي ما كان يفعله العامّة من زيادة المكث و المشي </w:t>
      </w:r>
      <w:r>
        <w:rPr>
          <w:rStyle w:val="FootnoteAnchor"/>
          <w:rtl w:val="true"/>
        </w:rPr>
        <w:footnoteReference w:id="435"/>
      </w:r>
      <w:r>
        <w:rPr>
          <w:rFonts w:ascii="Amiri" w:hAnsi="Amiri" w:eastAsia="Amiri" w:cs="Amiri"/>
          <w:color w:val="111111"/>
          <w:sz w:val="28"/>
          <w:sz w:val="28"/>
          <w:szCs w:val="28"/>
          <w:rtl w:val="true"/>
          <w:lang w:bidi="ar-SA"/>
        </w:rPr>
        <w:t>و غير ذلك لأجل إخراج البقيّة، أو كان مزاجهم قويّا لا يخرج منهم رطوبة بعد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 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نساء المؤمنين أن يستنجين بالماء و يبالغن؛ فإنّه مطهرة للحواشي و مذهبة للبواسير</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هذا الخبر أنّ الأحجار و الكرسف لا يطهّران المقعد مثل ما يطهّر الماء، مضافا إلى ظهور ذلك بالوجدان بأنّه و إن بولغ في المسح إلّا أنّه بعد ما يغسل بالماء بعد هذا المسح يوجد لزوجة ما و أجزاء لطيفة عالقة يزيلها الماء، و مع ذلك يكون المسح مطهّرا من غير حاجة إلى الماء بالنصوص </w:t>
      </w:r>
      <w:r>
        <w:rPr>
          <w:rStyle w:val="FootnoteAnchor"/>
          <w:rtl w:val="true"/>
        </w:rPr>
        <w:footnoteReference w:id="437"/>
      </w:r>
      <w:r>
        <w:rPr>
          <w:rFonts w:ascii="IRNazanin" w:hAnsi="IRNazanin" w:eastAsia="IRNazanin"/>
          <w:color w:val="111111"/>
          <w:sz w:val="28"/>
          <w:sz w:val="28"/>
          <w:szCs w:val="28"/>
          <w:rtl w:val="true"/>
          <w:lang w:bidi="fa-IR"/>
        </w:rPr>
        <w:t xml:space="preserve">و الإجماع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هذا يظهر حقّية ما ذكره الفقهاء من أنّ الواجب في المسح هو إزالة العين دون الأثر </w:t>
      </w:r>
      <w:r>
        <w:rPr>
          <w:rStyle w:val="FootnoteAnchor"/>
          <w:rtl w:val="true"/>
        </w:rPr>
        <w:footnoteReference w:id="439"/>
      </w:r>
      <w:r>
        <w:rPr>
          <w:rFonts w:ascii="Amiri" w:hAnsi="Amiri" w:eastAsia="Amiri" w:cs="Amiri"/>
          <w:color w:val="111111"/>
          <w:sz w:val="28"/>
          <w:sz w:val="28"/>
          <w:szCs w:val="28"/>
          <w:rtl w:val="true"/>
          <w:lang w:bidi="ar-SA"/>
        </w:rPr>
        <w:t>بخلاف الماء، و لا شبهة في ذلك، لأنّه إذا اختار المكلّف الغسل لا يجوز أن يكتفي حتّى يزول اللزوجة و الأجزاء العالقة بالمرّة و يتحقّق النقاء، و ظهر أنّ مرادهم بالأثر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 الاستنجاء بالماء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استنجيت الشجر إذا قطعته من اصله، و أنّ الاستنجاء بالحجر و المدر مأخوذ من قولهم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استنجيت النخلة إذا التقطت رطبها، لأنّ المسح لا يقطع النجاسة، بل يبقى</w:t>
      </w:r>
      <w:bookmarkStart w:id="249" w:name="pg2470_12412"/>
    </w:p>
    <w:p>
      <w:pPr>
        <w:pStyle w:val="BookText"/>
        <w:rPr/>
      </w:pPr>
      <w:bookmarkEnd w:id="249"/>
      <w:r>
        <w:rPr>
          <w:rFonts w:ascii="IRNazanin" w:hAnsi="IRNazanin" w:eastAsia="IRNazanin"/>
          <w:color w:val="111111"/>
          <w:sz w:val="28"/>
          <w:sz w:val="28"/>
          <w:szCs w:val="28"/>
          <w:rtl w:val="true"/>
          <w:lang w:bidi="fa-IR"/>
        </w:rPr>
        <w:t xml:space="preserve">أثرها </w:t>
      </w:r>
      <w:r>
        <w:rPr>
          <w:rStyle w:val="FootnoteAnchor"/>
          <w:rtl w:val="true"/>
        </w:rPr>
        <w:footnoteReference w:id="4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250" w:name="__RefHeading___Toc3601454_3804643083"/>
      <w:bookmarkStart w:id="251" w:name="_Toc95"/>
      <w:bookmarkEnd w:id="250"/>
      <w:r>
        <w:rPr>
          <w:rtl w:val="true"/>
        </w:rPr>
        <w:t>[</w:t>
      </w:r>
      <w:r>
        <w:rPr>
          <w:rtl w:val="true"/>
        </w:rPr>
        <w:t>باب الاستنجاء</w:t>
      </w:r>
      <w:r>
        <w:rPr>
          <w:rtl w:val="true"/>
        </w:rPr>
        <w:t>]</w:t>
      </w:r>
      <w:bookmarkEnd w:id="251"/>
    </w:p>
    <w:p>
      <w:pPr>
        <w:pStyle w:val="Heading5"/>
        <w:numPr>
          <w:ilvl w:val="4"/>
          <w:numId w:val="1"/>
        </w:numPr>
        <w:rPr/>
      </w:pPr>
      <w:bookmarkStart w:id="252" w:name="__RefHeading___Toc3601456_3804643083"/>
      <w:bookmarkStart w:id="253" w:name="_Toc96"/>
      <w:bookmarkEnd w:id="252"/>
      <w:r>
        <w:rPr>
          <w:rtl w:val="true"/>
        </w:rPr>
        <w:t>[</w:t>
      </w:r>
      <w:r>
        <w:rPr>
          <w:rtl w:val="true"/>
        </w:rPr>
        <w:t>عدم معذورية الجاهل بالحكم</w:t>
      </w:r>
      <w:r>
        <w:rPr>
          <w:rtl w:val="true"/>
        </w:rPr>
        <w:t>]</w:t>
      </w:r>
      <w:bookmarkEnd w:id="2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يستنجون بالأحجار فأكل رجل من الأنصار طعاما فلان بطنه فاستنجى بالماء فأنزل اللّه تبارك و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441"/>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بهذا الخبر على معذوريّة الجاهل بنفس الحكم، و أنّ بمجرّد الإصابة للحقّ يكفي و لا يحتاج إلى المعرفة </w:t>
      </w:r>
      <w:r>
        <w:rPr>
          <w:rStyle w:val="FootnoteAnchor"/>
          <w:rtl w:val="true"/>
        </w:rPr>
        <w:footnoteReference w:id="443"/>
      </w:r>
      <w:r>
        <w:rPr>
          <w:rFonts w:ascii="Amiri" w:hAnsi="Amiri" w:eastAsia="Amiri" w:cs="Amiri"/>
          <w:color w:val="111111"/>
          <w:sz w:val="28"/>
          <w:sz w:val="28"/>
          <w:szCs w:val="28"/>
          <w:rtl w:val="true"/>
          <w:lang w:bidi="ar-SA"/>
        </w:rPr>
        <w:t>، و لا يخفى فساد الاستدلال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مخالفا للأخبار التي تكاد تبلغ التواتر من أنّه لا بدّ من المعرفة و البصيرة بأحكام الدين، و فرض طلب العلم على كلّ مسلم </w:t>
      </w:r>
      <w:r>
        <w:rPr>
          <w:rStyle w:val="FootnoteAnchor"/>
          <w:rtl w:val="true"/>
        </w:rPr>
        <w:footnoteReference w:id="444"/>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لاقتضى حليّة البدعة في الدين، و تغيير الشريعة و مخالفة طريقة الشرع، بل و حسن جميع ذلك، و لم يقل بذلك أحد ممّن له من الفهم نصيب، فظهر أنّ ذلك قضيّة في واقعة؛ أخبر بها اللّه تعالى و أمضاها كما أجزى الوصية بالدفن مواجها إلى الكعبة من حيث إنّ رسول اللّه صلّى اللّه عليه و آله و سلم كان عندها </w:t>
      </w:r>
      <w:r>
        <w:rPr>
          <w:rStyle w:val="FootnoteAnchor"/>
          <w:rtl w:val="true"/>
        </w:rPr>
        <w:footnoteReference w:id="445"/>
      </w:r>
      <w:r>
        <w:rPr>
          <w:rFonts w:ascii="Amiri" w:hAnsi="Amiri" w:eastAsia="Amiri" w:cs="Amiri"/>
          <w:color w:val="111111"/>
          <w:sz w:val="28"/>
          <w:sz w:val="28"/>
          <w:szCs w:val="28"/>
          <w:rtl w:val="true"/>
          <w:lang w:bidi="ar-SA"/>
        </w:rPr>
        <w:t>، و لا شكّ في أنّه لا يجوز لنا الآن، بل و من زمان</w:t>
      </w:r>
    </w:p>
    <w:p>
      <w:pPr>
        <w:pStyle w:val="BookText"/>
        <w:rPr/>
      </w:pPr>
      <w:r>
        <w:rPr>
          <w:rFonts w:ascii="Amiri" w:hAnsi="Amiri" w:eastAsia="Amiri" w:cs="Amiri"/>
          <w:color w:val="111111"/>
          <w:sz w:val="28"/>
          <w:sz w:val="28"/>
          <w:szCs w:val="28"/>
          <w:rtl w:val="true"/>
          <w:lang w:bidi="ar-SA"/>
        </w:rPr>
        <w:t>الرسول صلّى اللّه عليه و آله و سلم إلى يوم القيامة أن يفعل أمثال ما ذكر بأن يغيّر طريقة الشرع و يبدّلها و يحدث في الدين و يبدع البدعة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 عقله ذلك، و تبع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مدحه اللّه تعالى و أمضاه في الشرع و أدخله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مشكل، مع أنّه لا ينفع المستدلّ أصلا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الاستنجاء بالعظم أو البعر أو العود؟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العظم و الروث فطعام الجنّ و ذلك ممّا اشترطوا على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يدلّ على طهارة الروث كما هو المشهور عند الأصحاب </w:t>
      </w:r>
      <w:r>
        <w:rPr>
          <w:rStyle w:val="FootnoteAnchor"/>
          <w:rtl w:val="true"/>
        </w:rPr>
        <w:footnoteReference w:id="447"/>
      </w:r>
      <w:r>
        <w:rPr>
          <w:rFonts w:ascii="Amiri" w:hAnsi="Amiri" w:eastAsia="Amiri" w:cs="Amiri"/>
          <w:color w:val="111111"/>
          <w:sz w:val="28"/>
          <w:sz w:val="28"/>
          <w:szCs w:val="28"/>
          <w:rtl w:val="true"/>
          <w:lang w:bidi="ar-SA"/>
        </w:rPr>
        <w:t>، فلعلّ البول أيضا كذلك لعدم القول بالفصل،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الاستنجاء بالروث و العظم لأنّ وفد الجانّ جاءوا إلى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فاعطاهم الروث و العظم، فلذلك لا ينبغي أن يستنجي بهما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الخبرين حصول الطهارة بهما كما عليه بعض الأصحاب </w:t>
      </w:r>
      <w:r>
        <w:rPr>
          <w:rStyle w:val="FootnoteAnchor"/>
          <w:rtl w:val="true"/>
        </w:rPr>
        <w:footnoteReference w:id="449"/>
      </w:r>
      <w:r>
        <w:rPr>
          <w:rFonts w:ascii="Amiri" w:hAnsi="Amiri" w:eastAsia="Amiri" w:cs="Amiri"/>
          <w:color w:val="111111"/>
          <w:sz w:val="28"/>
          <w:sz w:val="28"/>
          <w:szCs w:val="28"/>
          <w:rtl w:val="true"/>
          <w:lang w:bidi="ar-SA"/>
        </w:rPr>
        <w:t>و أنّ المنع إنّما هو للمعاهدة المذكورة، فلو كانا لا يطهّران لكان المناسب ذكر عدم التطهير، فتأمّل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بن</w:t>
      </w:r>
      <w:bookmarkStart w:id="254" w:name="pg2470_12414"/>
    </w:p>
    <w:p>
      <w:pPr>
        <w:pStyle w:val="BookText"/>
        <w:rPr/>
      </w:pPr>
      <w:bookmarkEnd w:id="254"/>
      <w:r>
        <w:rPr>
          <w:rFonts w:ascii="Amiri" w:hAnsi="Amiri" w:eastAsia="Amiri" w:cs="Amiri"/>
          <w:color w:val="111111"/>
          <w:sz w:val="28"/>
          <w:sz w:val="28"/>
          <w:szCs w:val="28"/>
          <w:rtl w:val="true"/>
          <w:lang w:bidi="ar-SA"/>
        </w:rPr>
        <w:t>علي عليهما السّلام يتمسّح من الغائط بالكرسف و لا يغسل</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 عليه السّلام حين الاستنجاء ما كان يغسل إلّا أنّه عند الوضوء كان يغسل، و ربّما يشير بعض الأخبار إلى ذلك على ما هو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تنشّف ما بطن بغيره يعني في البول لموضع الضرورة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لأنّه لا يجب غسل البواطن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ليتوضّأ لما يستقبل من الصلاة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ظاهر في كون الوضوء واجبا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رواياتهم من الخلل و القصور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باعتبار لفظ الإعادة، مضافا إلى أنّ الوضوء كان في زمان الصادقين عليهما السّلام و من بعدهما حقيقة في المعنى الاصطلاحي البتّة كما لا يخفى، و هو مسلّم عند الفقهاء جميعا، فتأمّل</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601458_3804643083"/>
      <w:bookmarkStart w:id="256" w:name="_Toc97"/>
      <w:bookmarkEnd w:id="255"/>
      <w:r>
        <w:rPr>
          <w:rtl w:val="true"/>
        </w:rPr>
        <w:t>[</w:t>
      </w:r>
      <w:r>
        <w:rPr>
          <w:rtl w:val="true"/>
        </w:rPr>
        <w:t>باب التطهير من البول إذا أصاب الجسد أو الثوب</w:t>
      </w:r>
      <w:r>
        <w:rPr>
          <w:rtl w:val="true"/>
        </w:rPr>
        <w:t>]</w:t>
      </w:r>
      <w:bookmarkEnd w:id="2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البول يصيب الجسد؟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الصبيّ يبول على الثوب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 عليه الماء قليلا، ثمّ يعصره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الأمر بالعصر من حيث كون الصبّ بقليل من الماء بناء على لزوم إخراج عين النجاسة، و أنّه لو كان الصبّ بكثير منه يخرج فلا يحتاج إلى العصر، و على احتمال عدم وجوب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غاية البعد بسبب كون البول نجسا فلا معنى لإبقائه في الثوب و الصلاة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العصر محمولا على الاستحباب أو لأجل يبس الثوب إرشادا،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الماء على الجسد تعدّد وروده على المحلّ كلّه و لا يشترط فيه تخلّل الانقطاع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الجسد جسما صيقليّا و البول ماء، كفى الصبّ في تحقّق الغسل، و لذا لا يكفي الصبّ في الثوب إلّا أن يكون بول الرضيع، و ما حقّقه المصنّف هنا لم نجد له منشأ أصلا، و لا فرق بحسب الظاهر بين الثوب و الجسد في حكاية التعدّد، و الصبّ واجب مرّتين و إن لم يكن عين البول باقية بالنصّ </w:t>
      </w:r>
      <w:r>
        <w:rPr>
          <w:rStyle w:val="FootnoteAnchor"/>
          <w:rtl w:val="true"/>
        </w:rPr>
        <w:footnoteReference w:id="456"/>
      </w:r>
      <w:r>
        <w:rPr>
          <w:rFonts w:ascii="IRNazanin" w:hAnsi="IRNazanin" w:eastAsia="IRNazanin"/>
          <w:color w:val="111111"/>
          <w:sz w:val="28"/>
          <w:sz w:val="28"/>
          <w:szCs w:val="28"/>
          <w:rtl w:val="true"/>
          <w:lang w:bidi="fa-IR"/>
        </w:rPr>
        <w:t xml:space="preserve">و الفتوى </w:t>
      </w:r>
      <w:r>
        <w:rPr>
          <w:rStyle w:val="FootnoteAnchor"/>
          <w:rtl w:val="true"/>
        </w:rPr>
        <w:footnoteReference w:id="457"/>
      </w:r>
      <w:r>
        <w:rPr>
          <w:rFonts w:ascii="Amiri" w:hAnsi="Amiri" w:eastAsia="Amiri" w:cs="Amiri"/>
          <w:color w:val="111111"/>
          <w:sz w:val="28"/>
          <w:sz w:val="28"/>
          <w:szCs w:val="28"/>
          <w:rtl w:val="true"/>
          <w:lang w:bidi="ar-SA"/>
        </w:rPr>
        <w:t>، و كذلك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حكاية التغيّر في الغسلة الاولى ففي غاية الغرابة، و المخالفة للوجدان سيّما بالنسبة إلى كلّ جسد أصابه بول، و ذهب العين بالهواء و الريح و غيرهما، بل الثوب أيضا، و كذا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بالثانية</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غسالتها طاهرة</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أيضا غريب من جهة التعليل الذي علّل، إذ لا</w:t>
      </w:r>
    </w:p>
    <w:p>
      <w:pPr>
        <w:pStyle w:val="BookText"/>
        <w:rPr/>
      </w:pPr>
      <w:r>
        <w:rPr>
          <w:rFonts w:ascii="Amiri" w:hAnsi="Amiri" w:eastAsia="Amiri" w:cs="Amiri"/>
          <w:color w:val="111111"/>
          <w:sz w:val="28"/>
          <w:sz w:val="28"/>
          <w:szCs w:val="28"/>
          <w:rtl w:val="true"/>
          <w:lang w:bidi="ar-SA"/>
        </w:rPr>
        <w:t>فرق بين الماء المتغيّر بالنجاسة و بين البول في كونهما نجسين البتّة،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يكتفى</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عجيب، إذ لم نجد زيادة ألزمه سيّما بالنسبة إلى كلّ بول صبيّ و كلّ بول غير صبيّ، سيّما إذا كان الشرط كونه رضيعا، إذ لم نجد الفرق في حكاية الرقّة بين من فطم و بين من لم يفطم، مع أنّ كون الرقّة منشأ لعدم تغيّر الماء و الغسالة أيضا عجيب، لأنّ التغيّر إنّما هو من اللون و الطعم و الرائحة لا الرقّة و الثخونة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الكلّ؛ الفرق بين البول إذا كان على رأس الحشفة و بينه إذا كان في موضع، و إن كان قريبا من رأسها أو متّصلا بها في أنّ الأوّل لا يغيّر الماء دون الثاني، و في حكاية الكفاية من تلك الجهة، و كذا حكاية التراكم، و الدلك و وجوب التعدّد حينئذ، و أنّه ما لم يتعدّد لم يزل العين، أو أنّه بالأوّل يتغيّر فتدبّر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صيغة الأمر الوجوب لنفسه، و إجماع جميع العلماء في أمثال المقام على كون الغسل غير واجب لنفسه، بل واجبا لغيره </w:t>
      </w:r>
      <w:r>
        <w:rPr>
          <w:rStyle w:val="FootnoteAnchor"/>
          <w:rtl w:val="true"/>
        </w:rPr>
        <w:footnoteReference w:id="461"/>
      </w:r>
      <w:r>
        <w:rPr>
          <w:rFonts w:ascii="Amiri" w:hAnsi="Amiri" w:eastAsia="Amiri" w:cs="Amiri"/>
          <w:color w:val="111111"/>
          <w:sz w:val="28"/>
          <w:sz w:val="28"/>
          <w:szCs w:val="28"/>
          <w:rtl w:val="true"/>
          <w:lang w:bidi="ar-SA"/>
        </w:rPr>
        <w:t xml:space="preserve">مثل الصلاة و الطواف أو الأكل و الشرب، بل أجمعوا على أنّ وجوبه للغير ليس وجوبا شرعيّا، بل وجوبه وجوب شرطي </w:t>
      </w:r>
      <w:r>
        <w:rPr>
          <w:rStyle w:val="FootnoteAnchor"/>
          <w:rtl w:val="true"/>
        </w:rPr>
        <w:footnoteReference w:id="462"/>
      </w:r>
      <w:r>
        <w:rPr>
          <w:rFonts w:ascii="Amiri" w:hAnsi="Amiri" w:eastAsia="Amiri" w:cs="Amiri"/>
          <w:color w:val="111111"/>
          <w:sz w:val="28"/>
          <w:sz w:val="28"/>
          <w:szCs w:val="28"/>
          <w:rtl w:val="true"/>
          <w:lang w:bidi="ar-SA"/>
        </w:rPr>
        <w:t>و لذا يجوز أن يغسل غير صاحب الثوب و صاحب الجسد سواء كان بالنيابة أو بغير الإذن، أو غصبا أو غسل بغير اختياره غصبا، أو في حال النوم، أو وقع هو في الماء، أو ثوبه أو مطر السماء عليه، أو يكون الماء مغصوبا، أو غير ذلك فإنّ الثوب و الجسد في جميع الصور يطهران و يصحّ الصلاة معهما، و ليس مكلّفا بالمباشرة و لا النيابة، و لا غير ذلك بخلاف غسل الأعضاء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أن يباشر بنفسه بلا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الصبّ هنا الغسل بالإجماع و الأخبار </w:t>
      </w:r>
      <w:r>
        <w:rPr>
          <w:rStyle w:val="FootnoteAnchor"/>
          <w:rtl w:val="true"/>
        </w:rPr>
        <w:footnoteReference w:id="463"/>
      </w:r>
      <w:r>
        <w:rPr>
          <w:rFonts w:ascii="Amiri" w:hAnsi="Amiri" w:eastAsia="Amiri" w:cs="Amiri"/>
          <w:color w:val="111111"/>
          <w:sz w:val="28"/>
          <w:sz w:val="28"/>
          <w:szCs w:val="28"/>
          <w:rtl w:val="true"/>
          <w:lang w:bidi="ar-SA"/>
        </w:rPr>
        <w:t xml:space="preserve">، و قرينة التعليل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الفرق بينهما أخذ قيد الإزالة في الغسل دون الصبّ، و على القول بوجوب إخراج بول الصبيّ يشكل الفرق،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الفرك مثلا و الدلك في إزالة الغسل فيما يرسب فيه النجاسة، فتأمّل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وجوب إخراج الغسالة في بول الصبيّ،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البول أن يغسله بمثله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المماثلة في الميعان لا المقدار،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ما بقي على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بول الصبيّ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 عليه الماء و إن كان قد أكل فاغسله بالماء غسلا، و الغلام و الجارية في ذلك شرع سواء</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دليل علي بن بابويه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بمساواة الصبيّ و الصبيّة في الحكم بوجوب غسل بولهما بعد الأكل و الاكتفاء بالصبّ قبله </w:t>
      </w:r>
      <w:r>
        <w:rPr>
          <w:rStyle w:val="FootnoteAnchor"/>
          <w:rtl w:val="true"/>
        </w:rPr>
        <w:footnoteReference w:id="466"/>
      </w:r>
      <w:r>
        <w:rPr>
          <w:rFonts w:ascii="Amiri" w:hAnsi="Amiri" w:eastAsia="Amiri" w:cs="Amiri"/>
          <w:color w:val="111111"/>
          <w:sz w:val="28"/>
          <w:sz w:val="28"/>
          <w:szCs w:val="28"/>
          <w:rtl w:val="true"/>
          <w:lang w:bidi="ar-SA"/>
        </w:rPr>
        <w:t>، و المشهور يقولون بالاكتفاء به قبل الأكل في بول الصبي خاصّة و يجعلون المشار إليه في قوله عليه 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الأخير خاصّة، و لعلّ مستندهم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 السّلام جاء فبال على الرسول صلّى اللّه عليه و آله و سلم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بذلك </w:t>
      </w:r>
      <w:r>
        <w:rPr>
          <w:rStyle w:val="FootnoteAnchor"/>
          <w:rtl w:val="true"/>
        </w:rPr>
        <w:footnoteReference w:id="468"/>
      </w:r>
      <w:r>
        <w:rPr>
          <w:rFonts w:ascii="Amiri" w:hAnsi="Amiri" w:eastAsia="Amiri" w:cs="Amiri"/>
          <w:color w:val="111111"/>
          <w:sz w:val="28"/>
          <w:sz w:val="28"/>
          <w:szCs w:val="28"/>
          <w:rtl w:val="true"/>
          <w:lang w:bidi="ar-SA"/>
        </w:rPr>
        <w:t>، و هو أيضا مستند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فصبّه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على بول الغلام و يغسل بول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الجارية </w:t>
      </w:r>
      <w:r>
        <w:rPr>
          <w:rStyle w:val="FootnoteAnchor"/>
          <w:rtl w:val="true"/>
        </w:rPr>
        <w:footnoteReference w:id="469"/>
      </w:r>
      <w:r>
        <w:rPr>
          <w:rFonts w:ascii="Amiri" w:hAnsi="Amiri" w:eastAsia="Amiri" w:cs="Amiri"/>
          <w:color w:val="111111"/>
          <w:sz w:val="28"/>
          <w:sz w:val="28"/>
          <w:szCs w:val="28"/>
          <w:rtl w:val="true"/>
          <w:lang w:bidi="ar-SA"/>
        </w:rPr>
        <w:t xml:space="preserve">، ما أفتوا بالنجاسة إلّا شاذّ منهم </w:t>
      </w:r>
      <w:r>
        <w:rPr>
          <w:rStyle w:val="FootnoteAnchor"/>
          <w:rtl w:val="true"/>
        </w:rPr>
        <w:footnoteReference w:id="470"/>
      </w:r>
      <w:r>
        <w:rPr>
          <w:rFonts w:ascii="Amiri" w:hAnsi="Amiri" w:eastAsia="Amiri" w:cs="Amiri"/>
          <w:color w:val="111111"/>
          <w:sz w:val="28"/>
          <w:sz w:val="28"/>
          <w:szCs w:val="28"/>
          <w:rtl w:val="true"/>
          <w:lang w:bidi="ar-SA"/>
        </w:rPr>
        <w:t xml:space="preserve">، و ربّما أفتوا بالكراهة و استحباب الغسل </w:t>
      </w:r>
      <w:r>
        <w:rPr>
          <w:rStyle w:val="FootnoteAnchor"/>
          <w:rtl w:val="true"/>
        </w:rPr>
        <w:footnoteReference w:id="471"/>
      </w:r>
      <w:r>
        <w:rPr>
          <w:rFonts w:ascii="Amiri" w:hAnsi="Amiri" w:eastAsia="Amiri" w:cs="Amiri"/>
          <w:color w:val="111111"/>
          <w:sz w:val="28"/>
          <w:sz w:val="28"/>
          <w:szCs w:val="28"/>
          <w:rtl w:val="true"/>
          <w:lang w:bidi="ar-SA"/>
        </w:rPr>
        <w:t>للإجماع و طريقة المسلمين في الأعصار و الأمصار، و أنّه لو كان نجسا لزم الحرج، و اشتهر حكمه اشتهار الشمس لعموم البلوى و شدّة الحاجة مع أنّ الأمر صار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لبن الغلام لا يغسل منه الثوب</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المفتي بمضمونها شاذّ من الأصحاب </w:t>
      </w:r>
      <w:r>
        <w:rPr>
          <w:rStyle w:val="FootnoteAnchor"/>
          <w:rtl w:val="true"/>
        </w:rPr>
        <w:footnoteReference w:id="473"/>
      </w:r>
      <w:r>
        <w:rPr>
          <w:rFonts w:ascii="Amiri" w:hAnsi="Amiri" w:eastAsia="Amiri" w:cs="Amiri"/>
          <w:color w:val="111111"/>
          <w:sz w:val="28"/>
          <w:sz w:val="28"/>
          <w:szCs w:val="28"/>
          <w:rtl w:val="true"/>
          <w:lang w:bidi="ar-SA"/>
        </w:rPr>
        <w:t>، و مرّ الكلام في ذلك في الحاشية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إنّ بالمسح بالحائط و التراب زال العين و لم يبق من البول شي‌ء فما يلاقيه برطوبة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 غلط لما ستعرف، و الثاني له وجه لما سيجي‌ء في باب التطهير من المني و غير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من أنّ النجاسة لا تحصل باليقين الواقع</w:t>
      </w:r>
      <w:r>
        <w:rPr>
          <w:rFonts w:eastAsia="Amiri" w:cs="Amiri" w:ascii="Amiri" w:hAnsi="Amiri"/>
          <w:color w:val="111111"/>
          <w:sz w:val="28"/>
          <w:szCs w:val="28"/>
          <w:rtl w:val="true"/>
          <w:lang w:bidi="ar-SA"/>
        </w:rPr>
        <w:t>.</w:t>
      </w:r>
      <w:bookmarkStart w:id="257" w:name="pg2470_12419"/>
    </w:p>
    <w:p>
      <w:pPr>
        <w:pStyle w:val="BookText"/>
        <w:rPr/>
      </w:pPr>
      <w:bookmarkEnd w:id="257"/>
      <w:r>
        <w:rPr>
          <w:rFonts w:ascii="Amiri" w:hAnsi="Amiri" w:eastAsia="Amiri" w:cs="Amiri"/>
          <w:color w:val="111111"/>
          <w:sz w:val="28"/>
          <w:sz w:val="28"/>
          <w:szCs w:val="28"/>
          <w:rtl w:val="true"/>
          <w:lang w:bidi="ar-SA"/>
        </w:rPr>
        <w:t xml:space="preserve">و لعلّ سؤاله من أنّ اليد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نجسا ثمّ تعرق لعلّ النجاسة تسري إلى الجميع بواسطة العرق كما هو رأي العامّة </w:t>
      </w:r>
      <w:r>
        <w:rPr>
          <w:rStyle w:val="FootnoteAnchor"/>
          <w:rtl w:val="true"/>
        </w:rPr>
        <w:footnoteReference w:id="475"/>
      </w:r>
      <w:r>
        <w:rPr>
          <w:rFonts w:ascii="Amiri" w:hAnsi="Amiri" w:eastAsia="Amiri" w:cs="Amiri"/>
          <w:color w:val="111111"/>
          <w:sz w:val="28"/>
          <w:sz w:val="28"/>
          <w:szCs w:val="28"/>
          <w:rtl w:val="true"/>
          <w:lang w:bidi="ar-SA"/>
        </w:rPr>
        <w:t>، لأنّهم يقولون بالسراية، و الخاصة ينكرونها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مبنيّ على عدم السراية و الطهارة كما هو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أصابه المني و أصابه المطر حتّى يبتلّ على الرجل و غير ذلك، كما سيجي‌ء، و يمكن أن يكون المراد عدم البأس من الصلاة و غيرها حال عدم الماء</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3601460_3804643083"/>
      <w:bookmarkStart w:id="259" w:name="_Toc98"/>
      <w:bookmarkEnd w:id="258"/>
      <w:r>
        <w:rPr>
          <w:rtl w:val="true"/>
        </w:rPr>
        <w:t>[</w:t>
      </w:r>
      <w:r>
        <w:rPr>
          <w:rtl w:val="true"/>
        </w:rPr>
        <w:t>استحباب الاستبراء من البول</w:t>
      </w:r>
      <w:r>
        <w:rPr>
          <w:rtl w:val="true"/>
        </w:rPr>
        <w:t>]</w:t>
      </w:r>
      <w:bookmarkEnd w:id="2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 لم يكن معه 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يعصر أصل ذكره إلى طرفه ثلاث عصرات، و ينتر طرفه، فإن خرج بعد ذلك شي‌ء فليس من البول، و لكنّه من الحبائل</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المراد من أصل الذكر هو المدوّر المتّصل بالذكر الممتد إلى المقعدة، و المراد من طرفه رأسه بقرينة ما سيجي‌ء في رواية ابن عمرو </w:t>
      </w:r>
      <w:r>
        <w:rPr>
          <w:rStyle w:val="FootnoteAnchor"/>
          <w:rtl w:val="true"/>
        </w:rPr>
        <w:footnoteReference w:id="477"/>
      </w:r>
      <w:r>
        <w:rPr>
          <w:rFonts w:ascii="Amiri" w:hAnsi="Amiri" w:eastAsia="Amiri" w:cs="Amiri"/>
          <w:color w:val="111111"/>
          <w:sz w:val="28"/>
          <w:sz w:val="28"/>
          <w:szCs w:val="28"/>
          <w:rtl w:val="true"/>
          <w:lang w:bidi="ar-SA"/>
        </w:rPr>
        <w:t>، و أخبارهم عليهم السّلام يفسّر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ظاهر أنّ الغرض إخراج ما عسى أن يبقى في الممرّ؛ البول، و الموضع الذي يبقى فيه غالبا و يخرج بالقيام و الحركة هو ما بين المقعدة و الانثيين، و إلّا ففي نفس الذكر قلّما يبقى أو يبقى أقلّ، 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عمرو، عن أبي عبد اللّه عليه السّلام في الرجل يبول، ثمّ يستنجي، ثمّ يجد بعد ذلك بللا،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فخرط ما بين المقعدة و الانثيين</w:t>
      </w:r>
    </w:p>
    <w:p>
      <w:pPr>
        <w:pStyle w:val="BookText"/>
        <w:rPr/>
      </w:pPr>
      <w:r>
        <w:rPr>
          <w:rFonts w:ascii="Amiri" w:hAnsi="Amiri" w:eastAsia="Amiri" w:cs="Amiri"/>
          <w:color w:val="111111"/>
          <w:sz w:val="28"/>
          <w:sz w:val="28"/>
          <w:szCs w:val="28"/>
          <w:rtl w:val="true"/>
          <w:lang w:bidi="ar-SA"/>
        </w:rPr>
        <w:t>ثلاث مرّات و غمز ما بينهما، ثمّ استنجى فإن سال حتّى يبلغ السوق فلا يبالي</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ضمير بينهما راجع إلى الانثيين و يراد من كلمة ما نفس الإحليل و الذكر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باسمه للقباحة، فيكون المراد أنّه يغمز الذكر بعد ذلك حتّى لا يخرج بعد الغسل من البول شي‌ء أصلا، و لو لم يغمز لكان يخرج إليه، فإن عدم الخرط كان أولى من الخرط، لأنّ الخرط لاخراج بقيّة البول، و لو لم يغمز الذكر لكان البول مجتمعا في الذكر و يخرج بسرعة بعد الغسل البتّة، مع أنّ التأكيد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ذكر العجز في حديث محمّد السابق في الاستبراء، و على هذا لا يحتاج إلى تكلّف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استنجاؤه بالأحجار من جهة عدم التمكّن من الماء و بعد الاستبراء فالجواب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الطهارة، إذ عدم البأس في هذه الحالة ممّا لا تأمّل فيه لأحد من الفقهاء، لأنّ الحال حال اضطرار لأنّه ملوّث جسده، أمّا الذكر فظاهر و أمّا غيره من الفخذين فبحسب العادة، إذ خروج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السراويل لا ينفكّ عادة مساورته، مع أنّه لم يذكر أنّ هذا كان على سبيل الاضطرار و بذل الجهد في الاستبراء، و المعصوم عليه السّلام ما استفصل في الجواب أصلا، فظاهر أنّ الخبر محمول على التقيّة بلا تأمّل، و البناء على أنّ المراد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الخبر عن الحجيّة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تماميّة الدلالة فالسند ضعيف، و على فرض الصحّة فهو شاذّ، و الشاذّ ليس بحجّة بالأخبار و الإجماع و الاعتبار، و على تسليم الكلّ لا يعارض و لا يقاوم ما دلّ على المنجسيّة من الأخبار الصحاح و المعتبرة الكثيرة غاية الكثرة الموافقة لإجماع الشيعة بل الضرورة</w:t>
      </w:r>
      <w:r>
        <w:rPr>
          <w:rFonts w:eastAsia="Amiri" w:cs="Amiri" w:ascii="Amiri" w:hAnsi="Amiri"/>
          <w:color w:val="111111"/>
          <w:sz w:val="28"/>
          <w:szCs w:val="28"/>
          <w:rtl w:val="true"/>
          <w:lang w:bidi="ar-SA"/>
        </w:rPr>
        <w:t>.</w:t>
      </w:r>
      <w:bookmarkStart w:id="260" w:name="pg2470_12421"/>
    </w:p>
    <w:p>
      <w:pPr>
        <w:pStyle w:val="Heading4"/>
        <w:numPr>
          <w:ilvl w:val="3"/>
          <w:numId w:val="1"/>
        </w:numPr>
        <w:rPr/>
      </w:pPr>
      <w:bookmarkStart w:id="261" w:name="__RefHeading___Toc3601462_3804643083"/>
      <w:bookmarkStart w:id="262" w:name="_Toc99"/>
      <w:bookmarkEnd w:id="260"/>
      <w:bookmarkEnd w:id="261"/>
      <w:r>
        <w:rPr>
          <w:rtl w:val="true"/>
        </w:rPr>
        <w:t>[</w:t>
      </w:r>
      <w:r>
        <w:rPr>
          <w:rtl w:val="true"/>
        </w:rPr>
        <w:t>أحكام النجاسات</w:t>
      </w:r>
      <w:r>
        <w:rPr>
          <w:rtl w:val="true"/>
        </w:rPr>
        <w:t>]</w:t>
      </w:r>
      <w:bookmarkEnd w:id="262"/>
    </w:p>
    <w:p>
      <w:pPr>
        <w:pStyle w:val="Heading5"/>
        <w:numPr>
          <w:ilvl w:val="4"/>
          <w:numId w:val="1"/>
        </w:numPr>
        <w:rPr/>
      </w:pPr>
      <w:bookmarkStart w:id="263" w:name="__RefHeading___Toc3601464_3804643083"/>
      <w:bookmarkStart w:id="264" w:name="_Toc100"/>
      <w:bookmarkEnd w:id="263"/>
      <w:r>
        <w:rPr>
          <w:rtl w:val="true"/>
        </w:rPr>
        <w:t>[</w:t>
      </w:r>
      <w:r>
        <w:rPr>
          <w:rtl w:val="true"/>
        </w:rPr>
        <w:t>حكم تعدّي النجاسة من المتنجس</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الأمران أعني عدم الحكم بالنجاسة إلّا بعد التيقّن، و عدم تعدّي النجاسة من المتنجّس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 الحكم بعدم تعدّي النجاسة من المتنجّس خلاف إجماع المسلمين، بل و ضروري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 أذهان العوام و الأطفال و النساء فضلا عن غيرهم، و لذا لو بال أحد في ظرف لا يكتفون بنشف البول لأكل المائعات و شربها فيه إلى غير ذلك من الأحكام الضروريّة عندهم، و مع ذلك تدلّ عليه الأخبار المتواترة كما لا يخفى على المتتبّع المتأمّل المتفطّن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العيص بن القاسم المتقدّمة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مرّ في باب أسئار الحيوان و الأمر بغسل الإناء من ولوغ الكلب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ورد من الأمر بغسل الإناء من ولوغ الخنزير </w:t>
      </w:r>
      <w:r>
        <w:rPr>
          <w:rStyle w:val="FootnoteAnchor"/>
          <w:rtl w:val="true"/>
        </w:rPr>
        <w:footnoteReference w:id="483"/>
      </w:r>
      <w:r>
        <w:rPr>
          <w:rFonts w:ascii="Amiri" w:hAnsi="Amiri" w:eastAsia="Amiri" w:cs="Amiri"/>
          <w:color w:val="111111"/>
          <w:sz w:val="28"/>
          <w:sz w:val="28"/>
          <w:szCs w:val="28"/>
          <w:rtl w:val="true"/>
          <w:lang w:bidi="ar-SA"/>
        </w:rPr>
        <w:t xml:space="preserve">و موت الفأرة </w:t>
      </w:r>
      <w:r>
        <w:rPr>
          <w:rStyle w:val="FootnoteAnchor"/>
          <w:rtl w:val="true"/>
        </w:rPr>
        <w:footnoteReference w:id="484"/>
      </w:r>
      <w:r>
        <w:rPr>
          <w:rFonts w:ascii="IRNazanin" w:hAnsi="IRNazanin" w:eastAsia="IRNazanin"/>
          <w:color w:val="111111"/>
          <w:sz w:val="28"/>
          <w:sz w:val="28"/>
          <w:szCs w:val="28"/>
          <w:rtl w:val="true"/>
          <w:lang w:bidi="fa-IR"/>
        </w:rPr>
        <w:t xml:space="preserve">، و الخمر </w:t>
      </w:r>
      <w:r>
        <w:rPr>
          <w:rStyle w:val="FootnoteAnchor"/>
          <w:rtl w:val="true"/>
        </w:rPr>
        <w:footnoteReference w:id="485"/>
      </w:r>
      <w:r>
        <w:rPr>
          <w:rFonts w:ascii="Amiri" w:hAnsi="Amiri" w:eastAsia="Amiri" w:cs="Amiri"/>
          <w:color w:val="111111"/>
          <w:sz w:val="28"/>
          <w:sz w:val="28"/>
          <w:szCs w:val="28"/>
          <w:rtl w:val="true"/>
          <w:lang w:bidi="ar-SA"/>
        </w:rPr>
        <w:t xml:space="preserve">و النبيذ </w:t>
      </w:r>
      <w:r>
        <w:rPr>
          <w:rStyle w:val="FootnoteAnchor"/>
          <w:rtl w:val="true"/>
        </w:rPr>
        <w:footnoteReference w:id="486"/>
      </w:r>
      <w:r>
        <w:rPr>
          <w:rFonts w:ascii="Amiri" w:hAnsi="Amiri" w:eastAsia="Amiri" w:cs="Amiri"/>
          <w:color w:val="111111"/>
          <w:sz w:val="28"/>
          <w:sz w:val="28"/>
          <w:szCs w:val="28"/>
          <w:rtl w:val="true"/>
          <w:lang w:bidi="ar-SA"/>
        </w:rPr>
        <w:t xml:space="preserve">و غير ذلك من النجاسات </w:t>
      </w:r>
      <w:r>
        <w:rPr>
          <w:rStyle w:val="FootnoteAnchor"/>
          <w:rtl w:val="true"/>
        </w:rPr>
        <w:footnoteReference w:id="487"/>
      </w:r>
      <w:r>
        <w:rPr>
          <w:rFonts w:ascii="Amiri" w:hAnsi="Amiri" w:eastAsia="Amiri" w:cs="Amiri"/>
          <w:color w:val="111111"/>
          <w:sz w:val="28"/>
          <w:sz w:val="28"/>
          <w:szCs w:val="28"/>
          <w:rtl w:val="true"/>
          <w:lang w:bidi="ar-SA"/>
        </w:rPr>
        <w:t>لأنّ الظاهر منها تعيين التطهير في الغسل و انحصاره فيه و التطهير ليس إلّا لجهة الأكل و الشرب بالضرورة، لأنّ</w:t>
      </w:r>
    </w:p>
    <w:p>
      <w:pPr>
        <w:pStyle w:val="BookText"/>
        <w:rPr/>
      </w:pPr>
      <w:r>
        <w:rPr>
          <w:rFonts w:ascii="Amiri" w:hAnsi="Amiri" w:eastAsia="Amiri" w:cs="Amiri"/>
          <w:color w:val="111111"/>
          <w:sz w:val="28"/>
          <w:sz w:val="28"/>
          <w:szCs w:val="28"/>
          <w:rtl w:val="true"/>
          <w:lang w:bidi="ar-SA"/>
        </w:rPr>
        <w:t>الظروف لا تصلّى و لا تفعل عبادة شرطها الطهارة بالبديهة، فإذا كان المتنجّس لا ينجّس لم يكن حاجة إلى التطهير، بل مجرّد زوال العين يكون كافيا، فالأمر بالغسل يكون لغوا محضا صدر عن الحكيم تعالى عن ذلك سيّما و أن يأمر عليه السّلام ثلاث مرّات و سبع مرّات، و مع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ورد المنع عن الأكل في انية أهل الذمّة و المجوس </w:t>
      </w:r>
      <w:r>
        <w:rPr>
          <w:rStyle w:val="FootnoteAnchor"/>
          <w:rtl w:val="true"/>
        </w:rPr>
        <w:footnoteReference w:id="488"/>
      </w:r>
      <w:r>
        <w:rPr>
          <w:rFonts w:ascii="Amiri" w:hAnsi="Amiri" w:eastAsia="Amiri" w:cs="Amiri"/>
          <w:color w:val="111111"/>
          <w:sz w:val="28"/>
          <w:sz w:val="28"/>
          <w:szCs w:val="28"/>
          <w:rtl w:val="true"/>
          <w:lang w:bidi="ar-SA"/>
        </w:rPr>
        <w:t>من غير تقييد وجود نجس العين بعينه فيها، بل و ظهور عدمه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الأمر بإراقة الماء الذي أدخل اليد فيه و هي نجسة </w:t>
      </w:r>
      <w:r>
        <w:rPr>
          <w:rStyle w:val="FootnoteAnchor"/>
          <w:rtl w:val="true"/>
        </w:rPr>
        <w:footnoteReference w:id="489"/>
      </w:r>
      <w:r>
        <w:rPr>
          <w:rFonts w:ascii="Amiri" w:hAnsi="Amiri" w:eastAsia="Amiri" w:cs="Amiri"/>
          <w:color w:val="111111"/>
          <w:sz w:val="28"/>
          <w:sz w:val="28"/>
          <w:szCs w:val="28"/>
          <w:rtl w:val="true"/>
          <w:lang w:bidi="ar-SA"/>
        </w:rPr>
        <w:t>من دون تقييده بوجود عين النجس فيها، و هذه الأخبار أيضا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ورد الحكم ببطلان الوضوء الذي أصاب كفّ المتوضّئ نقطة بول و مسحه بخرقة و نشفه ثم نسي أن يغسله و يمسح بدهن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و رأسه </w:t>
      </w:r>
      <w:r>
        <w:rPr>
          <w:rStyle w:val="FootnoteAnchor"/>
          <w:rtl w:val="true"/>
        </w:rPr>
        <w:footnoteReference w:id="490"/>
      </w:r>
      <w:r>
        <w:rPr>
          <w:rFonts w:ascii="Amiri" w:hAnsi="Amiri" w:eastAsia="Amiri" w:cs="Amiri"/>
          <w:color w:val="111111"/>
          <w:sz w:val="28"/>
          <w:sz w:val="28"/>
          <w:szCs w:val="28"/>
          <w:rtl w:val="true"/>
          <w:lang w:bidi="ar-SA"/>
        </w:rPr>
        <w:t>من غير استفصال أنّه هل غسل كفّه من النوم أو البول أو الغائط أو غير ذلك ثمّ ادخل يده الإناء أم لا؟ و هل تمضمض و استنشق أم لا؟ فإنّ اليد في الصورتين تصير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الماء القليل عنده لا ينفعل بالملاقاة فتحقّق الغسلة الاولى بغسل الوجه، و الثانية بغسل اليد، بل مجرّد أخذ الماء لغسل اليد فلا وجه في الحكم ببطلان الوضوء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من تتبّع أمثال ما ذكرناه يظهر له حقّيّة ما اتّفق عليه المسلمون، و من ذلك موثّقة عمّار </w:t>
      </w:r>
      <w:r>
        <w:rPr>
          <w:rStyle w:val="FootnoteAnchor"/>
          <w:rtl w:val="true"/>
        </w:rPr>
        <w:footnoteReference w:id="491"/>
      </w:r>
      <w:r>
        <w:rPr>
          <w:rFonts w:ascii="Amiri" w:hAnsi="Amiri" w:eastAsia="Amiri" w:cs="Amiri"/>
          <w:color w:val="111111"/>
          <w:sz w:val="28"/>
          <w:sz w:val="28"/>
          <w:szCs w:val="28"/>
          <w:rtl w:val="true"/>
          <w:lang w:bidi="ar-SA"/>
        </w:rPr>
        <w:t>الآتية في بحث تطهير الشمس فإنّها صريحة في أنّ</w:t>
      </w:r>
    </w:p>
    <w:p>
      <w:pPr>
        <w:pStyle w:val="BookText"/>
        <w:rPr/>
      </w:pPr>
      <w:r>
        <w:rPr>
          <w:rFonts w:ascii="Amiri" w:hAnsi="Amiri" w:eastAsia="Amiri" w:cs="Amiri"/>
          <w:color w:val="111111"/>
          <w:sz w:val="28"/>
          <w:sz w:val="28"/>
          <w:szCs w:val="28"/>
          <w:rtl w:val="true"/>
          <w:lang w:bidi="ar-SA"/>
        </w:rPr>
        <w:t>المتنجّس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النهي عنهم عليهم السّلام عن جعل ظرف الخمر ظرف الخلّ، أو ظرف الماء حتّى يغسل بالماء </w:t>
      </w:r>
      <w:r>
        <w:rPr>
          <w:rStyle w:val="FootnoteAnchor"/>
          <w:rtl w:val="true"/>
        </w:rPr>
        <w:footnoteReference w:id="492"/>
      </w:r>
      <w:r>
        <w:rPr>
          <w:rFonts w:ascii="Amiri" w:hAnsi="Amiri" w:eastAsia="Amiri" w:cs="Amiri"/>
          <w:color w:val="111111"/>
          <w:sz w:val="28"/>
          <w:sz w:val="28"/>
          <w:szCs w:val="28"/>
          <w:rtl w:val="true"/>
          <w:lang w:bidi="ar-SA"/>
        </w:rPr>
        <w:t>فلو لم يكن المتنجّس منجّسا لما حصروا في الغسل بالماء، بل كان زوال العين كافيا بأيّ طور يزول، بل ربّما كان الزوال ببعض الأنحاء أبلغ و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الواردة في أنّ اليد تدخل في إناء الماء إذا كانت طاهرة و إلّا فلا تدخل، و لو أدخلت يصبّ ذلك الماء و مرّت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الواردة في السطح الذي أصابه البول أنّ المطر إذا جرى عليه فلا بأس </w:t>
      </w:r>
      <w:r>
        <w:rPr>
          <w:rStyle w:val="FootnoteAnchor"/>
          <w:rtl w:val="true"/>
        </w:rPr>
        <w:footnoteReference w:id="494"/>
      </w:r>
      <w:r>
        <w:rPr>
          <w:rFonts w:ascii="Amiri" w:hAnsi="Amiri" w:eastAsia="Amiri" w:cs="Amiri"/>
          <w:color w:val="111111"/>
          <w:sz w:val="28"/>
          <w:sz w:val="28"/>
          <w:szCs w:val="28"/>
          <w:rtl w:val="true"/>
          <w:lang w:bidi="ar-SA"/>
        </w:rPr>
        <w:t xml:space="preserve">، و أنّه يصلّى عليه إذا جفّفته الشمس، و أنّه طاهر حينئذ </w:t>
      </w:r>
      <w:r>
        <w:rPr>
          <w:rStyle w:val="FootnoteAnchor"/>
          <w:rtl w:val="true"/>
        </w:rPr>
        <w:footnoteReference w:id="495"/>
      </w:r>
      <w:r>
        <w:rPr>
          <w:rFonts w:ascii="Amiri" w:hAnsi="Amiri" w:eastAsia="Amiri" w:cs="Amiri"/>
          <w:color w:val="111111"/>
          <w:sz w:val="28"/>
          <w:sz w:val="28"/>
          <w:szCs w:val="28"/>
          <w:rtl w:val="true"/>
          <w:lang w:bidi="ar-SA"/>
        </w:rPr>
        <w:t xml:space="preserve">، و مرّ بعضها في مبحث المياه </w:t>
      </w:r>
      <w:r>
        <w:rPr>
          <w:rStyle w:val="FootnoteAnchor"/>
          <w:rtl w:val="true"/>
        </w:rPr>
        <w:footnoteReference w:id="496"/>
      </w:r>
      <w:r>
        <w:rPr>
          <w:rFonts w:ascii="Amiri" w:hAnsi="Amiri" w:eastAsia="Amiri" w:cs="Amiri"/>
          <w:color w:val="111111"/>
          <w:sz w:val="28"/>
          <w:sz w:val="28"/>
          <w:szCs w:val="28"/>
          <w:rtl w:val="true"/>
          <w:lang w:bidi="ar-SA"/>
        </w:rPr>
        <w:t>و سيجي‌ء بعضها في مطهّريّة الشمس، و توجيه المصنّف معنى الطهارة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السابقة في المقام </w:t>
      </w:r>
      <w:r>
        <w:rPr>
          <w:rStyle w:val="FootnoteAnchor"/>
          <w:rtl w:val="true"/>
        </w:rPr>
        <w:footnoteReference w:id="497"/>
      </w:r>
      <w:r>
        <w:rPr>
          <w:rFonts w:ascii="Amiri" w:hAnsi="Amiri" w:eastAsia="Amiri" w:cs="Amiri"/>
          <w:color w:val="111111"/>
          <w:sz w:val="28"/>
          <w:sz w:val="28"/>
          <w:szCs w:val="28"/>
          <w:rtl w:val="true"/>
          <w:lang w:bidi="ar-SA"/>
        </w:rPr>
        <w:t xml:space="preserve">، لأنّها تنادي بأنّ الذكر إذا مسح يصير حاله حال اليابس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حال الملاقاة باليبوسة خاصّة، و الملاقاة بالرطوبة يوجب التنجّس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مؤمن الطاق الآتية في مطهّريّة الأرض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ما ورد في الاحتراز عن سؤر المتّهمين بالنجاسة </w:t>
      </w:r>
      <w:r>
        <w:rPr>
          <w:rStyle w:val="FootnoteAnchor"/>
          <w:rtl w:val="true"/>
        </w:rPr>
        <w:footnoteReference w:id="499"/>
      </w:r>
      <w:r>
        <w:rPr>
          <w:rFonts w:ascii="Amiri" w:hAnsi="Amiri" w:eastAsia="Amiri" w:cs="Amiri"/>
          <w:color w:val="111111"/>
          <w:sz w:val="28"/>
          <w:sz w:val="28"/>
          <w:szCs w:val="28"/>
          <w:rtl w:val="true"/>
          <w:lang w:bidi="ar-SA"/>
        </w:rPr>
        <w:t xml:space="preserve">، بل سيجي‌ء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اليهودي و النصراني و المجوسي محمول على الأمر بغسل ما باشروه برطوبة من جهة تنجّسهم بالبول و الخمر و الخنزير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تتبّع تضاعيف الأخبار يكشف عن تواترها في الدلالة على ما ذكرنا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الخبر أيضا يدلّ، إذ لو كان المتنجّس لا ينجّس لما كان الأمر يشتدّ على الراوي، و لا كان عليه السّلام يقول بعد التمسّح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ذكرك بريقك، فإن وجدت شيئا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كان يأمره بالاستبراء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طريقتهم عليهم السّلام في غير واحد من المواضع، بل لا شبهة على المنصف أنّ الراوي كان يستبرأ بعد البول البتّة كما هي الطريقة المقرّرة المتداولة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لم يكن ماء و مطهّر، و خصوصا إذا لم يكن المتنجّس منجّسا، إذ العلاج منحصر حينئذ في أمر سهل لازم الحصول في أيّ تقدير، أو مستحبّ الحصول على أيّ حال، بل الاهتمام حينئذ في غاية الشدّة، و مع ذلك فلا وجه بعد ذلك إلى تعليم الحيلة لعدم الحاجة إليها في دفع المحنة و الشدّة كما قال الراوي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إن كان الراوي لم يستبرئ فمتى قام أو تحرّك يخرج الرطوبة من الذكر بحكم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فينجس البدن و الثوب على أيّ تقدير فيلزم الاكتفاء بمسح الذكر بالريق تقريرا للراوي، مع أنّه إن كان مجرّد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لكان في صورة الغسل أيضا كافيا، لأنّه أيضا رطوبة، و خصوصا أنّ المسح بالريق، فلم يحكم المعصوم عليه السّلام بإعادة الوضوء و غسل الرطوبة إن لم يستبرأ مطلقا و عدمهما إن</w:t>
      </w:r>
      <w:bookmarkStart w:id="265" w:name="pg2470_12425"/>
    </w:p>
    <w:p>
      <w:pPr>
        <w:pStyle w:val="BookText"/>
        <w:rPr/>
      </w:pPr>
      <w:bookmarkEnd w:id="265"/>
      <w:r>
        <w:rPr>
          <w:rFonts w:ascii="Amiri" w:hAnsi="Amiri" w:eastAsia="Amiri" w:cs="Amiri"/>
          <w:color w:val="111111"/>
          <w:sz w:val="28"/>
          <w:sz w:val="28"/>
          <w:szCs w:val="28"/>
          <w:rtl w:val="true"/>
          <w:lang w:bidi="ar-SA"/>
        </w:rPr>
        <w:t xml:space="preserve">استبرء مطلقا، كما أفتى به المصنّف </w:t>
      </w:r>
      <w:r>
        <w:rPr>
          <w:rStyle w:val="FootnoteAnchor"/>
          <w:rtl w:val="true"/>
        </w:rPr>
        <w:footnoteReference w:id="501"/>
      </w:r>
      <w:r>
        <w:rPr>
          <w:rFonts w:ascii="Amiri" w:hAnsi="Amiri" w:eastAsia="Amiri" w:cs="Amiri"/>
          <w:color w:val="111111"/>
          <w:sz w:val="28"/>
          <w:sz w:val="28"/>
          <w:szCs w:val="28"/>
          <w:rtl w:val="true"/>
          <w:lang w:bidi="ar-SA"/>
        </w:rPr>
        <w:t xml:space="preserve">و غيره من الفقهاء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3601466_3804643083"/>
      <w:bookmarkStart w:id="267" w:name="_Toc101"/>
      <w:bookmarkEnd w:id="266"/>
      <w:r>
        <w:rPr>
          <w:rtl w:val="true"/>
        </w:rPr>
        <w:t>[</w:t>
      </w:r>
      <w:r>
        <w:rPr>
          <w:rtl w:val="true"/>
        </w:rPr>
        <w:t>الردّ على ما ذكره صاحب الوافي من الطعن على الفقهاء</w:t>
      </w:r>
      <w:r>
        <w:rPr>
          <w:rtl w:val="true"/>
        </w:rPr>
        <w:t>]</w:t>
      </w:r>
      <w:bookmarkEnd w:id="2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فينتقم اللّه منهم بابتلائهم بالوسواس و اتّباعهم للخنّاس الذي يوسوس في صدور الناس من الجنّة و الناس </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أسوأ أدبه بالنسبة إلى الفقهاء العظام المتديّنين العارفين الماهرين الذين هم متكفّلو أيتام الأئمّة عليهم السّلام و مروّجو دين النبي صلّى اللّه عليه و آله و سلم في كلّ قرن و مائة، و بشرعهم و فقههم اهتدى العالمون من زمان غيبة إمامهم إلى الآن، و هم الذين ورد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حجج اللّه على الناس بعد الأئمّة</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 غير ذلك ممّا لا يمكن إحصاؤه من الفضائل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عليهم كالرادّ علينا، و الرادّ علينا كالرادّ على اللّه</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ما أدري لم أنكر المصنّف نجاسة النجاسات بالمرّة؟ و ظنّ أنّه لم يرد في كثير منها حديث مثل أرواث ما لا يؤكل لحمه و غيرها، و ما ورد فيها فإنّما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الثوب منه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يقتضي غسل البدن فضلا عن غيره من الأجسام، و مع ذلك لم يرد غسل الثوب لأجل الصلاة أو مثلها و الأمر حقيقة في الوجوب لنفسه فلا ربط له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أن يكون المراد الوجوب للغير فلا يدلّ على النجاسة، فإنّ وجوب غسل أعضاء الوضوء أو الغسل للصلاة لا يقتضي نجاستها، مع أنّ غسل فضلات ما لا يؤكل لحمه واجب للصلاة جزما، و إن كانت طاهرة، كما سيجي‌ء في باب لباس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تسليم دلالته على النجاسة فربّما كان نجسا بالنسبة إلى الصلاة خاصّه، و من أين ثبت كونه بالنسبة إلى الأكل و الشرب، و أكل ما يلاقيه رطبا و غير ذلك أيضا يكون نجسا واجب الغسل؟</w:t>
      </w:r>
    </w:p>
    <w:p>
      <w:pPr>
        <w:pStyle w:val="BookText"/>
        <w:rPr/>
      </w:pPr>
      <w:r>
        <w:rPr>
          <w:rFonts w:ascii="Amiri" w:hAnsi="Amiri" w:eastAsia="Amiri" w:cs="Amiri"/>
          <w:color w:val="111111"/>
          <w:sz w:val="28"/>
          <w:sz w:val="28"/>
          <w:szCs w:val="28"/>
          <w:rtl w:val="true"/>
          <w:lang w:bidi="ar-SA"/>
        </w:rPr>
        <w:t>و بالجملة إن كان المصنّف لا يعتمد على إجماع الفقهاء و طريقة الشيعة في هذه الأعصار فاللازم عليه إنكار نجاسة البول و الغائط و المني و غيرها لما عرفت، و إن كان يعتمد على الإجماع فلا فرق في كلام المجمعين بين وجوب غسل الملاقي، و وجوب غسل ملاقي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الكلّ 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الحديد أيضا أنّه نجس </w:t>
      </w:r>
      <w:r>
        <w:rPr>
          <w:rStyle w:val="FootnoteAnchor"/>
          <w:rtl w:val="true"/>
        </w:rPr>
        <w:footnoteReference w:id="507"/>
      </w:r>
      <w:r>
        <w:rPr>
          <w:rFonts w:ascii="Amiri" w:hAnsi="Amiri" w:eastAsia="Amiri" w:cs="Amiri"/>
          <w:color w:val="111111"/>
          <w:sz w:val="28"/>
          <w:sz w:val="28"/>
          <w:szCs w:val="28"/>
          <w:rtl w:val="true"/>
          <w:lang w:bidi="ar-SA"/>
        </w:rPr>
        <w:t>، و مع ذلك لفظ النجس في لغة العرب بمعنى القذر و إن كان في اصطلاح المتشرّعة بمعنى اخر فموقوف على ثبوت الحقيقة الشرعيّة، و مع ذلك لم يثبت من حديث أنّ النجاسة الشرعيّة ما هي؟ و أمّا المتشرّعة، فلا شبهة في أنّ نجاسة ما يلاقي الملاقي مأخوذة في نجاستهم الاصطلاحيّة كما لا يخفى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ما دلّ على أنّ الكلب نجس دلّ على نجاسة الماء القليل الذي ولغ فيه، و المصنّف لا يقول بها، و مع ذلك ورد الأمر بصبّ ذلك الماء القليل و وجوب غسل ذلك الظرف بالتراب و الماء جميعا فنجس العين هنا ليس إلّا الكلب و لسانه الذي هو</w:t>
      </w:r>
    </w:p>
    <w:p>
      <w:pPr>
        <w:pStyle w:val="BookText"/>
        <w:rPr/>
      </w:pPr>
      <w:r>
        <w:rPr>
          <w:rFonts w:ascii="Amiri" w:hAnsi="Amiri" w:eastAsia="Amiri" w:cs="Amiri"/>
          <w:color w:val="111111"/>
          <w:sz w:val="28"/>
          <w:sz w:val="28"/>
          <w:szCs w:val="28"/>
          <w:rtl w:val="true"/>
          <w:lang w:bidi="ar-SA"/>
        </w:rPr>
        <w:t xml:space="preserve">معه لم يلاق الإناء أصلا، و ليس لسانه في الإناء حتّى يكون غسل الإناء إزالة نجس العين منه كما زعمه المصنّف، مع أنّ المعصوم عليه السّلام أمر بغسل الإناء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كون الواجب هو الغسل لا التخيير بينه و بين التمسّح و غيره كما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كيف يرضى مسلم أن يكون الإناء المملوء من البول أو الدم الرطب، أو العذرة الرطبة و أمثال ذلك يصبّ البول و غيره منه و يمسحه بخرقة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يزول عينها، ثمّ يصبّ فيه الماء لوضوئه أو شربه أو غير ذلك من الاستعمالات من دون أن يغسل ذلك الإناء أصلا و رأسا، سيّما بعد ملاحظة الأخبار الكثيرة الواردة في وجوب غسله بالوجوب العيني لا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الغسل كذلك ليس إلّا للاستعمال و إلّا فالإناء لا يصلّى و النجس أيضا لا يصلّى فيه، و على فرض أن يصلّى فيه أو معه و هو نجس لا يكون فيه مانع أصلا عند المصنّف و غيره لأنّ ما يجب طهارته للصلاة هو الجسد و الثوب الذي يتمّ الصلاة فيه لا مطلقا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ظهر أنّ تمسّح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يبقى فيه من العين شي‌ء يكون مطهّرا للإناء عند المصنّف، و اللازم عليه القول به، لأنّ النجاسة الشرعيّة لا معنى لها إلّا وجوب الاجتناب بوجه من الوجوه،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الشرعيّة عدم وجوب الاجتناب أصلا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الإناء المذكور بعد التمسّح أو غيره لا يجب الاجتناب منه أصلا و رأسا، و هو معنى الطهارة الشرعيّة كما لا يخفى</w:t>
      </w:r>
      <w:r>
        <w:rPr>
          <w:rFonts w:eastAsia="Amiri" w:cs="Amiri" w:ascii="Amiri" w:hAnsi="Amiri"/>
          <w:color w:val="111111"/>
          <w:sz w:val="28"/>
          <w:szCs w:val="28"/>
          <w:rtl w:val="true"/>
          <w:lang w:bidi="ar-SA"/>
        </w:rPr>
        <w:t>.</w:t>
      </w:r>
      <w:bookmarkStart w:id="268" w:name="pg2470_12428"/>
    </w:p>
    <w:p>
      <w:pPr>
        <w:pStyle w:val="Heading5"/>
        <w:numPr>
          <w:ilvl w:val="4"/>
          <w:numId w:val="1"/>
        </w:numPr>
        <w:rPr/>
      </w:pPr>
      <w:bookmarkStart w:id="269" w:name="__RefHeading___Toc3601468_3804643083"/>
      <w:bookmarkStart w:id="270" w:name="_Toc102"/>
      <w:bookmarkEnd w:id="268"/>
      <w:bookmarkEnd w:id="269"/>
      <w:r>
        <w:rPr>
          <w:rtl w:val="true"/>
        </w:rPr>
        <w:t>[</w:t>
      </w:r>
      <w:r>
        <w:rPr>
          <w:rtl w:val="true"/>
        </w:rPr>
        <w:t>باب ما إذا شكّ في إصابة البول أو نسى غسله أو تعمّد الترك</w:t>
      </w:r>
      <w:r>
        <w:rPr>
          <w:rtl w:val="true"/>
        </w:rPr>
        <w:t>]</w:t>
      </w:r>
      <w:bookmarkEnd w:id="2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الحديث غير واضح، و ربّما يوجّه بتكلّفات لا فائدة في إيرادها، و يشبه أن يكون قد وقع فيه غلط من النسّاخ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يجعل الباء سببيّة و الظرف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أنّه يجب إعادة الصلاة ما كان في وقتها، و كذا ما خرج وقتها بسبب ذلك الوضوء بعينه أي من غير مدخليّة نجاسة ثوبه التي وقعت من التمسّح، و كذا بدنه لأنّ حكمه حكم الثوب، و لذا في بحث النجاسات لا يذكر غالبا سوى الثوب و إن كان المقام في غاية الخصوصيّة لذكر البدن و كان الأصل في الاعتبار هو الثوب و البدن متفرّع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أنّ إشكالك من جهة الثوب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الحدث 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إعادة الجميع من جهة الحدث لا الخبث فلا إعادة عليك بالنحو الذي ذكر من قبل أنّ ثوبك نجس، فإنّ الثوب لا يعاد منه إلّا ما كان في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إعادة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كلام و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و 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جهة ذلك الوضوء بعينه بناء على أنّ الظاهر أنّ الراوي تفطّن بالحال في قرب من الزمان كما هو الغالب عادة، و أنّه بعد ما تفطّن طهّر مواضع النجاسة و غيّر ثوبه، و إشكاله من الصلوات التي صلّاها كذلك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بهذا النحو من الوضوء فيكون الإشارة إلى نوعه و ضربه و قسمه يعني ما كان بهذا النحو من الوضوء يجب إعادته في الوقت و خارجه دون غيره من الوضوء، و أمّا من جهة نجاسة الثوب فيعاد ما كان في الوقت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محذوف الاضافة أي من قبل أن يتحقّق و يجزم به فيكون مرتبطا بما تقدّم، أي ما توهّمت ليس بشي‌ء إلّا أن يحصل لك اليقين فقبله لا إعادة أصلا و بعده يعيد في الوقت و خارجه ما كان بذلك الوضوء بعينه، كما ذكرنا، أو ما كان بذلك الوضوء الذي يحصل اليقين بأنّ موضعه نجس لا ما توهّم كون موضعه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على هذا ابتداء كلام و تحقيق في الفرق بين الثوب و الجسد أي الخبث و الحدث، أو الثوب النجس و الجسد النجس في الوضوء و أمثاله، فإنّ الثاني يوجب بطلان الطهارة من الحدث فيوجب الإعادة في الوقت و الخارج معا، فتأمّل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يبول فلا يغسل ذكره حتّى يتوضّأ وضوء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 لا يعيد وضوئه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الظنّ أنّ هذه الرواية و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الراوي و المرويّ عنه و الحكاية و المسألة و المتن إلّا الكلام، فالظاهر صحّة هذا و أنّ إتيان الاولى و هم من النسّاخ أو من أحد الرواة عن عليّ بن يقطين، و يشهد أيضا ملاحظة الأخبار الأخيرة لكثرتها غاية الكثرة و الشهرة العظيمة التي كادت تكون إجماعا لو لم نقل إنّها إجماع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نسي أن يستنجي من الغائط حتّى يصلّي لم يعد الصلاة</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فيها هو الكلام في رواية عليّ بن يقطين، و قد مرّ فلاحظ، بل مرّ عن عمرو بن أبي نصر روايتان عن الصادق عليه السّلام في هذا الحكم و المسألة، و المعصوم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وضوئه و يعيد الصلاة</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ففي الظنّ أنّ المراد هنا أيضا عدم إعادة الوضوء إلّا أنّه وقع قصور ما في العبارة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التهذيبين حمل هذين الخبرين على ما إذا لم يستنج بالماء و إن كان قد استنجى بالأحجار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يظهر من صحيحة زرارة الماضية في باب الاستنجاء كون الاستنجاء شائعا في ذلك الزمان إطلاقه على الاستنجاء بالماء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الاستنجاء ثلاثة أحجار</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يظهر من الأخبار أنّهم في ذلك الزمان من جهة عدم تيسّر الماء في كلّ وقت كانوا يبولون و يتغوّطون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يستنجون بالأحجار و ما ماثلها إلى وقت الوضوء للصلاة فكانوا يستنجون بالماء ذلك الوقت فليلاحظ و ليتأمّل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الاحتياط واضح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مع ما عرفت و كثرة الأخبار و شهرة الفتوى إلى حدّ لعلّه إجماع حتّى أنّ الشيخ و أمثاله اضطرّوا في حمل هذه الأخبار و اضطرّوا إلى أن يكون غاية البعد، و خصوصا بعد ملاحظة ما سيجي‌ء في صلاة الناسي للنجاسة</w:t>
      </w:r>
      <w:r>
        <w:rPr>
          <w:rFonts w:eastAsia="Amiri" w:cs="Amiri" w:ascii="Amiri" w:hAnsi="Amiri"/>
          <w:color w:val="111111"/>
          <w:sz w:val="28"/>
          <w:szCs w:val="28"/>
          <w:rtl w:val="true"/>
          <w:lang w:bidi="ar-SA"/>
        </w:rPr>
        <w:t>.</w:t>
      </w:r>
      <w:bookmarkStart w:id="271" w:name="pg2470_12431"/>
    </w:p>
    <w:p>
      <w:pPr>
        <w:pStyle w:val="Heading5"/>
        <w:numPr>
          <w:ilvl w:val="4"/>
          <w:numId w:val="1"/>
        </w:numPr>
        <w:rPr/>
      </w:pPr>
      <w:bookmarkStart w:id="272" w:name="__RefHeading___Toc3601470_3804643083"/>
      <w:bookmarkStart w:id="273" w:name="_Toc103"/>
      <w:bookmarkEnd w:id="271"/>
      <w:bookmarkEnd w:id="272"/>
      <w:r>
        <w:rPr>
          <w:rtl w:val="true"/>
        </w:rPr>
        <w:t>[</w:t>
      </w:r>
      <w:r>
        <w:rPr>
          <w:rtl w:val="true"/>
        </w:rPr>
        <w:t>باب التطهير من المني</w:t>
      </w:r>
      <w:r>
        <w:rPr>
          <w:rtl w:val="true"/>
        </w:rPr>
        <w:t>]</w:t>
      </w:r>
      <w:bookmarkEnd w:id="2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سقط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 يعيد من قلم النسّاخ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الاستفهام إنكاريّا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يصيب ثوبه الشي‌ء فينجّسه فينسى أن يغسله فيصلّي فيه، ثمّ يذكر أنّه لم يكن غسله أ يعيد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قد مضت صلاته و كتبت له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معارض لأخبار لا تكاد تخفى، منها في هذا الباب، و منها في الباب السابق، و منها في باب التطهير من الدم </w:t>
      </w:r>
      <w:r>
        <w:rPr>
          <w:rStyle w:val="FootnoteAnchor"/>
          <w:rtl w:val="true"/>
        </w:rPr>
        <w:footnoteReference w:id="519"/>
      </w:r>
      <w:r>
        <w:rPr>
          <w:rFonts w:ascii="Amiri" w:hAnsi="Amiri" w:eastAsia="Amiri" w:cs="Amiri"/>
          <w:color w:val="111111"/>
          <w:sz w:val="28"/>
          <w:sz w:val="28"/>
          <w:szCs w:val="28"/>
          <w:rtl w:val="true"/>
          <w:lang w:bidi="ar-SA"/>
        </w:rPr>
        <w:t xml:space="preserve">و غير ذلك من الأبواب جملتها صحاح و معتبرة، و قليل منها إن كان ضعيفا فالضعف منجبر بموافقته لها و بفتوى القدماء و المتأخّرين إلّا من شذّ </w:t>
      </w:r>
      <w:r>
        <w:rPr>
          <w:rStyle w:val="FootnoteAnchor"/>
          <w:rtl w:val="true"/>
        </w:rPr>
        <w:footnoteReference w:id="520"/>
      </w:r>
      <w:r>
        <w:rPr>
          <w:rFonts w:ascii="IRNazanin" w:hAnsi="IRNazanin" w:eastAsia="IRNazanin"/>
          <w:color w:val="111111"/>
          <w:sz w:val="28"/>
          <w:sz w:val="28"/>
          <w:szCs w:val="28"/>
          <w:rtl w:val="true"/>
          <w:lang w:bidi="fa-IR"/>
        </w:rPr>
        <w:t xml:space="preserve">، و للإجماع المنقول </w:t>
      </w:r>
      <w:r>
        <w:rPr>
          <w:rStyle w:val="FootnoteAnchor"/>
          <w:rtl w:val="true"/>
        </w:rPr>
        <w:footnoteReference w:id="521"/>
      </w:r>
      <w:r>
        <w:rPr>
          <w:rFonts w:ascii="IRNazanin" w:hAnsi="IRNazanin" w:eastAsia="IRNazanin"/>
          <w:color w:val="111111"/>
          <w:sz w:val="28"/>
          <w:sz w:val="28"/>
          <w:szCs w:val="28"/>
          <w:rtl w:val="true"/>
          <w:lang w:bidi="fa-IR"/>
        </w:rPr>
        <w:t xml:space="preserve">، و لذا نسبه إلى الشذوذ </w:t>
      </w:r>
      <w:r>
        <w:rPr>
          <w:rStyle w:val="FootnoteAnchor"/>
          <w:rtl w:val="true"/>
        </w:rPr>
        <w:footnoteReference w:id="522"/>
      </w:r>
      <w:r>
        <w:rPr>
          <w:rFonts w:ascii="Amiri" w:hAnsi="Amiri" w:eastAsia="Amiri" w:cs="Amiri"/>
          <w:color w:val="111111"/>
          <w:sz w:val="28"/>
          <w:sz w:val="28"/>
          <w:szCs w:val="28"/>
          <w:rtl w:val="true"/>
          <w:lang w:bidi="ar-SA"/>
        </w:rPr>
        <w:t>، و هو كذلك كما لا يخفى، و كيف كان لا يقاوم، و ممّا يؤيّدها و يضعّفه إطلاقات الغسل و غيرها</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601472_3804643083"/>
      <w:bookmarkStart w:id="275" w:name="_Toc104"/>
      <w:bookmarkEnd w:id="274"/>
      <w:r>
        <w:rPr>
          <w:rtl w:val="true"/>
        </w:rPr>
        <w:t>[</w:t>
      </w:r>
      <w:r>
        <w:rPr>
          <w:rtl w:val="true"/>
        </w:rPr>
        <w:t>باب عرق الجنب و الحائض و إصابتهما برطوبة</w:t>
      </w:r>
      <w:r>
        <w:rPr>
          <w:rtl w:val="true"/>
        </w:rPr>
        <w:t>]</w:t>
      </w:r>
      <w:bookmarkEnd w:id="27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الجنب يعرق في ثوبه أو</w:t>
      </w:r>
    </w:p>
    <w:p>
      <w:pPr>
        <w:pStyle w:val="BookText"/>
        <w:rPr/>
      </w:pPr>
      <w:r>
        <w:rPr>
          <w:rFonts w:ascii="Amiri" w:hAnsi="Amiri" w:eastAsia="Amiri" w:cs="Amiri"/>
          <w:color w:val="111111"/>
          <w:sz w:val="28"/>
          <w:sz w:val="28"/>
          <w:szCs w:val="28"/>
          <w:rtl w:val="true"/>
          <w:lang w:bidi="ar-SA"/>
        </w:rPr>
        <w:t>يغتسل فيعانق امرأته و يضاجعها و هي حائض أو جنب فيصيب جسده من عرقها،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ليس بشي‌ء</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 و أمثاله يدلّ على أنّ فضلات الإنسان ليست داخلة في فضلات ما لا يؤكل لحمه من الحيوان التي منع عن الصلاة فيها، بل ربّما يدلّ أيضا على عدم السراية في النجاسة كما هو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عرق في ثوبه و هو جنب فليتنشّف فيه إذا اغتسل، و إن كانت الجنابة من حلال فحلال الصلاة فيه، و إن كانت من حرام فحرام الصلاة فيه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في الفقيه عبارة الفقه الرضوي بعينها </w:t>
      </w:r>
      <w:r>
        <w:rPr>
          <w:rStyle w:val="FootnoteAnchor"/>
          <w:rtl w:val="true"/>
        </w:rPr>
        <w:footnoteReference w:id="525"/>
      </w:r>
      <w:r>
        <w:rPr>
          <w:rFonts w:ascii="Amiri" w:hAnsi="Amiri" w:eastAsia="Amiri" w:cs="Amiri"/>
          <w:color w:val="111111"/>
          <w:sz w:val="28"/>
          <w:sz w:val="28"/>
          <w:szCs w:val="28"/>
          <w:rtl w:val="true"/>
          <w:lang w:bidi="ar-SA"/>
        </w:rPr>
        <w:t xml:space="preserve">، و عدّ الصدوق في أماليه هذا الحكم من جملة دين الإماميّة الذي يجب عليهم الإقرار به </w:t>
      </w:r>
      <w:r>
        <w:rPr>
          <w:rStyle w:val="FootnoteAnchor"/>
          <w:rtl w:val="true"/>
        </w:rPr>
        <w:footnoteReference w:id="526"/>
      </w:r>
      <w:r>
        <w:rPr>
          <w:rFonts w:ascii="Amiri" w:hAnsi="Amiri" w:eastAsia="Amiri" w:cs="Amiri"/>
          <w:color w:val="111111"/>
          <w:sz w:val="28"/>
          <w:sz w:val="28"/>
          <w:szCs w:val="28"/>
          <w:rtl w:val="true"/>
          <w:lang w:bidi="ar-SA"/>
        </w:rPr>
        <w:t xml:space="preserve">، و رواية إدريس بن زياد </w:t>
      </w:r>
      <w:r>
        <w:rPr>
          <w:rStyle w:val="FootnoteAnchor"/>
          <w:rtl w:val="true"/>
        </w:rPr>
        <w:footnoteReference w:id="527"/>
      </w:r>
      <w:r>
        <w:rPr>
          <w:rFonts w:ascii="Amiri" w:hAnsi="Amiri" w:eastAsia="Amiri" w:cs="Amiri"/>
          <w:color w:val="111111"/>
          <w:sz w:val="28"/>
          <w:sz w:val="28"/>
          <w:szCs w:val="28"/>
          <w:rtl w:val="true"/>
          <w:lang w:bidi="ar-SA"/>
        </w:rPr>
        <w:t xml:space="preserve">، و الفقه الرضوي منجبران بعمل الأصحاب و الأخبار المانعة عن غسالة الحمّام </w:t>
      </w:r>
      <w:r>
        <w:rPr>
          <w:rStyle w:val="FootnoteAnchor"/>
          <w:rtl w:val="true"/>
        </w:rPr>
        <w:footnoteReference w:id="528"/>
      </w:r>
      <w:r>
        <w:rPr>
          <w:rFonts w:ascii="Amiri" w:hAnsi="Amiri" w:eastAsia="Amiri" w:cs="Amiri"/>
          <w:color w:val="111111"/>
          <w:sz w:val="28"/>
          <w:sz w:val="28"/>
          <w:szCs w:val="28"/>
          <w:rtl w:val="true"/>
          <w:lang w:bidi="ar-SA"/>
        </w:rPr>
        <w:t>بسبب أنّه يغتسل فيه من حرام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الفقه الرضوي كان في غاية الاعتبار عند الصدوق و المفيد، بل و غيرهما أيضا، لأنّ كثيرا من فتاويهم منه، بل عين عبارته، و روايته مرويّة في الكتب المعتمدة المصنّفة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فتأمّل</w:t>
      </w:r>
      <w:r>
        <w:rPr>
          <w:rFonts w:eastAsia="Amiri" w:cs="Amiri" w:ascii="Amiri" w:hAnsi="Amiri"/>
          <w:color w:val="111111"/>
          <w:sz w:val="28"/>
          <w:szCs w:val="28"/>
          <w:rtl w:val="true"/>
          <w:lang w:bidi="ar-SA"/>
        </w:rPr>
        <w:t>!</w:t>
      </w:r>
      <w:bookmarkStart w:id="276" w:name="pg2470_12433"/>
    </w:p>
    <w:p>
      <w:pPr>
        <w:pStyle w:val="BookText"/>
        <w:rPr/>
      </w:pPr>
      <w:bookmarkEnd w:id="27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تصلّي في ثوبها ما لم يصبه دم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الأخبار ظاهرة في وجوب إزالة دم الحيض مطلقا قليلا و كثيرا كما أفتى به الأصحاب </w:t>
      </w:r>
      <w:r>
        <w:rPr>
          <w:rStyle w:val="FootnoteAnchor"/>
          <w:rtl w:val="true"/>
        </w:rPr>
        <w:footnoteReference w:id="530"/>
      </w:r>
      <w:r>
        <w:rPr>
          <w:rFonts w:ascii="Amiri" w:hAnsi="Amiri" w:eastAsia="Amiri" w:cs="Amiri"/>
          <w:color w:val="111111"/>
          <w:sz w:val="28"/>
          <w:sz w:val="28"/>
          <w:szCs w:val="28"/>
          <w:rtl w:val="true"/>
          <w:lang w:bidi="ar-SA"/>
        </w:rPr>
        <w:t>، و سيجي‌ء في الباب الآتي ما مرّ</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3601474_3804643083"/>
      <w:bookmarkStart w:id="278" w:name="_Toc105"/>
      <w:bookmarkEnd w:id="277"/>
      <w:r>
        <w:rPr>
          <w:rtl w:val="true"/>
        </w:rPr>
        <w:t>[</w:t>
      </w:r>
      <w:r>
        <w:rPr>
          <w:rtl w:val="true"/>
        </w:rPr>
        <w:t>باب المذي و أخويه</w:t>
      </w:r>
      <w:r>
        <w:rPr>
          <w:rtl w:val="true"/>
        </w:rPr>
        <w:t>]</w:t>
      </w:r>
      <w:bookmarkEnd w:id="2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المذي يصيب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رددنا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ينضحه بالماء</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الحمل على التقيّة، لما سيجي‌ء في باب الأحداث التي توجب الوضوء</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3601476_3804643083"/>
      <w:bookmarkStart w:id="280" w:name="_Toc106"/>
      <w:bookmarkEnd w:id="279"/>
      <w:r>
        <w:rPr>
          <w:rtl w:val="true"/>
        </w:rPr>
        <w:t>[</w:t>
      </w:r>
      <w:r>
        <w:rPr>
          <w:rtl w:val="true"/>
        </w:rPr>
        <w:t>باب التطهير من الدم</w:t>
      </w:r>
      <w:r>
        <w:rPr>
          <w:rtl w:val="true"/>
        </w:rPr>
        <w:t>]</w:t>
      </w:r>
      <w:bookmarkEnd w:id="2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عليك ثوب غيره فامض في صلاتك</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تقدير شمول هذه الأخبار لدماء ما لا يؤكل لحمه تكون دالّة على استثناء الدم من فضلاته في عدم جواز الصلاة فيها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يرى بثوبه الدم</w:t>
      </w:r>
    </w:p>
    <w:p>
      <w:pPr>
        <w:pStyle w:val="BookText"/>
        <w:rPr/>
      </w:pPr>
      <w:r>
        <w:rPr>
          <w:rFonts w:ascii="Amiri" w:hAnsi="Amiri" w:eastAsia="Amiri" w:cs="Amiri"/>
          <w:color w:val="111111"/>
          <w:sz w:val="28"/>
          <w:sz w:val="28"/>
          <w:szCs w:val="28"/>
          <w:rtl w:val="true"/>
          <w:lang w:bidi="ar-SA"/>
        </w:rPr>
        <w:t>فنسي أن يغسله حتّى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أخبار هذا الباب تدلّ على وجوب إعادة الصلاة إذا وقعت في الثوب النجس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الجعفي،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 يكون في الثوب إن كان أقلّ من قدر الدرهم فلا يعيد الصلاة</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لم يتوجّه إلى مقدار نفس الدرهم لندرة تحقّقه في الثوب غاية الندرة، بل لعلّه لا يكاد يتحقّق بحيث لا يزيد فيه أصلا، و لا ينقص كذلك، سيّما و قدر الدرهم بحسب السعة أيضا ممّا لا يكاد ينضبط بحيث لا يزيد و لا ينقص أصلا و عدم انضباط نفس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المشهور عند القدماء أنّه الوافي وزن ثمان حبّات، بل الظاهر عدم الخلاف بينهم، بل و بين المتأخّرين أيضا في ذلك، و الدليل عبارة الفقه الرضوي </w:t>
      </w:r>
      <w:r>
        <w:rPr>
          <w:rStyle w:val="FootnoteAnchor"/>
          <w:rtl w:val="true"/>
        </w:rPr>
        <w:footnoteReference w:id="535"/>
      </w:r>
      <w:r>
        <w:rPr>
          <w:rFonts w:ascii="Amiri" w:hAnsi="Amiri" w:eastAsia="Amiri" w:cs="Amiri"/>
          <w:color w:val="111111"/>
          <w:sz w:val="28"/>
          <w:sz w:val="28"/>
          <w:szCs w:val="28"/>
          <w:rtl w:val="true"/>
          <w:lang w:bidi="ar-SA"/>
        </w:rPr>
        <w:t xml:space="preserve">، و أنّ هذا الحكم صدر عن الرسول صلّى اللّه عليه و آله و سلم، و الأئمّة عليهم السّلام حكموا به على وفق حكمه صلّى اللّه عليه و آله و سلم، و كان في زمانه صلّى اللّه عليه و آله و سلم هذا الدرهم مسكوكا، فلا وجه لما ذكره بعض المتأخّرين من أنّه ستّة دوانيق لما ذكره بعض اللغويين أنّه في زمان عبد الملك بن مروان صار الدرهم هكذا </w:t>
      </w:r>
      <w:r>
        <w:rPr>
          <w:rStyle w:val="FootnoteAnchor"/>
          <w:rtl w:val="true"/>
        </w:rPr>
        <w:footnoteReference w:id="536"/>
      </w:r>
      <w:r>
        <w:rPr>
          <w:rFonts w:ascii="Amiri" w:hAnsi="Amiri" w:eastAsia="Amiri" w:cs="Amiri"/>
          <w:color w:val="111111"/>
          <w:sz w:val="28"/>
          <w:sz w:val="28"/>
          <w:szCs w:val="28"/>
          <w:rtl w:val="true"/>
          <w:lang w:bidi="ar-SA"/>
        </w:rPr>
        <w:t>،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أنّه لا وجه في أنّ قدر نفس الدرهم هل يجب إزالته أم 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اختلاف الأخبار، و ما ورد في بعض الأخبار من اعتبار قدر الدرهم أو</w:t>
      </w:r>
    </w:p>
    <w:p>
      <w:pPr>
        <w:pStyle w:val="BookText"/>
        <w:rPr/>
      </w:pPr>
      <w:r>
        <w:rPr>
          <w:rFonts w:ascii="Amiri" w:hAnsi="Amiri" w:eastAsia="Amiri" w:cs="Amiri"/>
          <w:color w:val="111111"/>
          <w:sz w:val="28"/>
          <w:sz w:val="28"/>
          <w:szCs w:val="28"/>
          <w:rtl w:val="true"/>
          <w:lang w:bidi="ar-SA"/>
        </w:rPr>
        <w:t xml:space="preserve">ذكره </w:t>
      </w:r>
      <w:r>
        <w:rPr>
          <w:rStyle w:val="FootnoteAnchor"/>
          <w:rtl w:val="true"/>
        </w:rPr>
        <w:footnoteReference w:id="537"/>
      </w:r>
      <w:r>
        <w:rPr>
          <w:rFonts w:ascii="Amiri" w:hAnsi="Amiri" w:eastAsia="Amiri" w:cs="Amiri"/>
          <w:color w:val="111111"/>
          <w:sz w:val="28"/>
          <w:sz w:val="28"/>
          <w:szCs w:val="28"/>
          <w:rtl w:val="true"/>
          <w:lang w:bidi="ar-SA"/>
        </w:rPr>
        <w:t>لا يدلّ على الحقيقة بخصوصه، بل المتحقّق غالبا أزيد منه أو أنقص إلّا أنّه المعيار و المعتبر،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أو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دم لم تبصره إلّا دم الحيض، فإنّ قليله و كثيره في الثوب إن راه و إن لم يره سواء</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باب عرق الجنب و الحائض أخبار ظاهرة في وجوب الإزالة مطلقا، قليل الدم يكون أم كثير </w:t>
      </w:r>
      <w:r>
        <w:rPr>
          <w:rStyle w:val="FootnoteAnchor"/>
          <w:rtl w:val="true"/>
        </w:rPr>
        <w:footnoteReference w:id="539"/>
      </w:r>
      <w:r>
        <w:rPr>
          <w:rFonts w:ascii="Amiri" w:hAnsi="Amiri" w:eastAsia="Amiri" w:cs="Amiri"/>
          <w:color w:val="111111"/>
          <w:sz w:val="28"/>
          <w:sz w:val="28"/>
          <w:szCs w:val="28"/>
          <w:rtl w:val="true"/>
          <w:lang w:bidi="ar-SA"/>
        </w:rPr>
        <w:t xml:space="preserve">، و ورد في الفقه الرضوي أيضا الحكم بوجوب غسل قليله و كثيره </w:t>
      </w:r>
      <w:r>
        <w:rPr>
          <w:rStyle w:val="FootnoteAnchor"/>
          <w:rtl w:val="true"/>
        </w:rPr>
        <w:footnoteReference w:id="540"/>
      </w:r>
      <w:r>
        <w:rPr>
          <w:rFonts w:ascii="Amiri" w:hAnsi="Amiri" w:eastAsia="Amiri" w:cs="Amiri"/>
          <w:color w:val="111111"/>
          <w:sz w:val="28"/>
          <w:sz w:val="28"/>
          <w:szCs w:val="28"/>
          <w:rtl w:val="true"/>
          <w:lang w:bidi="ar-SA"/>
        </w:rPr>
        <w:t xml:space="preserve">، و الأصحاب أيضا حكموا، و ألحق به الاستحاضة لما سيجي‌ء في مبحث الاستحاضة من وجوب غسل الخرقة إذا أصابها دمها مطلقا، و كذا تغيير القطنة، و ادّعي الإجماع على ذلك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ألحق النفاس لما يظهر من بعض أنّ حكمه حكم الحيض، و الأصحاب أيضا أفتوا كذلك إلّا في امور استثنوها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بها دم نجس العين لأنّ الذهن لا ينصرف إليه من الإطلاقات، سيّما بعد أنّه بملاقاة الكلب ينجس نجاسة لا عفو فيها، و الإجماع واقع على عدم العفو لو ينجس بمثل هذه النجاسة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العبيدي، عن محمّد بن أحمد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امرأة أنّ بثوبي</w:t>
      </w:r>
    </w:p>
    <w:p>
      <w:pPr>
        <w:pStyle w:val="BookText"/>
        <w:rPr/>
      </w:pPr>
      <w:r>
        <w:rPr>
          <w:rFonts w:ascii="Amiri" w:hAnsi="Amiri" w:eastAsia="Amiri" w:cs="Amiri"/>
          <w:color w:val="111111"/>
          <w:sz w:val="28"/>
          <w:sz w:val="28"/>
          <w:szCs w:val="28"/>
          <w:rtl w:val="true"/>
          <w:lang w:bidi="ar-SA"/>
        </w:rPr>
        <w:t>دم الحيض و غسلته و لم يذهب أثره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اصبغيه بمشق</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إشارة إلى أنّ الصبغ بمشق لإزالته و إمحائه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تأثيرا في الإزالة، و يؤيّده تعيين كون الصبغ بمشق لا بشي‌ء اخر أحمر، و ربّما احتمل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خلط اللون باللون لإذهاب الأثر </w:t>
      </w:r>
      <w:r>
        <w:rPr>
          <w:rStyle w:val="FootnoteAnchor"/>
          <w:rtl w:val="true"/>
        </w:rPr>
        <w:footnoteReference w:id="543"/>
      </w:r>
      <w:r>
        <w:rPr>
          <w:rFonts w:ascii="Amiri" w:hAnsi="Amiri" w:eastAsia="Amiri" w:cs="Amiri"/>
          <w:color w:val="111111"/>
          <w:sz w:val="28"/>
          <w:sz w:val="28"/>
          <w:szCs w:val="28"/>
          <w:rtl w:val="true"/>
          <w:lang w:bidi="ar-SA"/>
        </w:rPr>
        <w:t xml:space="preserve">كما يشعر به الخبر الآتي </w:t>
      </w:r>
      <w:r>
        <w:rPr>
          <w:rStyle w:val="FootnoteAnchor"/>
          <w:rtl w:val="true"/>
        </w:rPr>
        <w:footnoteReference w:id="544"/>
      </w:r>
      <w:r>
        <w:rPr>
          <w:rFonts w:ascii="Amiri" w:hAnsi="Amiri" w:eastAsia="Amiri" w:cs="Amiri"/>
          <w:color w:val="111111"/>
          <w:sz w:val="28"/>
          <w:sz w:val="28"/>
          <w:szCs w:val="28"/>
          <w:rtl w:val="true"/>
          <w:lang w:bidi="ar-SA"/>
        </w:rPr>
        <w:t>،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يعيد صلاته إلّا أن يكون مقدار الدرهم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نقط الدم فيصير المعنى؛ إلّا أن يكون نقط الدم مقدار الدرهم حال الاجتماع أي على تقدير الاجتماع فيكون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على تقدير كونه حال الاجتماع قدر الدرهم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الأوفق بالإطلاقات في الدم الذي يجب غسله، و قدر الدرهم الوارد في الأخبار و العمومات الدالّة على وجوب طهارة الثوب للصلاة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ثِيٰابَكَ فَطَهِّرْ </w:t>
      </w:r>
      <w:r>
        <w:rPr>
          <w:rStyle w:val="FootnoteAnchor"/>
          <w:rtl w:val="true"/>
        </w:rPr>
        <w:footnoteReference w:id="546"/>
      </w:r>
      <w:r>
        <w:rPr>
          <w:rFonts w:ascii="Amiri" w:hAnsi="Amiri" w:eastAsia="Amiri" w:cs="Amiri"/>
          <w:color w:val="111111"/>
          <w:sz w:val="28"/>
          <w:sz w:val="28"/>
          <w:szCs w:val="28"/>
          <w:rtl w:val="true"/>
          <w:lang w:bidi="ar-SA"/>
        </w:rPr>
        <w:t xml:space="preserve">فبان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من تتبّع تضاعيف أحكام النجاسات أنّه لا فرق بين المجتمع و المتفرّق في الشي‌ء النجس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صحّة السند و ظهور الدلالة فلا يعارضها رواية جميل المتقدّمة </w:t>
      </w:r>
      <w:r>
        <w:rPr>
          <w:rStyle w:val="FootnoteAnchor"/>
          <w:rtl w:val="true"/>
        </w:rPr>
        <w:footnoteReference w:id="547"/>
      </w:r>
      <w:r>
        <w:rPr>
          <w:rFonts w:ascii="Amiri" w:hAnsi="Amiri" w:eastAsia="Amiri" w:cs="Amiri"/>
          <w:color w:val="111111"/>
          <w:sz w:val="28"/>
          <w:sz w:val="28"/>
          <w:szCs w:val="28"/>
          <w:rtl w:val="true"/>
          <w:lang w:bidi="ar-SA"/>
        </w:rPr>
        <w:t>على تقدير ظهورها في خلاف ذلك، لأنّ هذه مع كونها أقوى سندا تكون أظهر دلالة</w:t>
      </w:r>
    </w:p>
    <w:p>
      <w:pPr>
        <w:pStyle w:val="BookText"/>
        <w:rPr/>
      </w:pPr>
      <w:r>
        <w:rPr>
          <w:rFonts w:ascii="Amiri" w:hAnsi="Amiri" w:eastAsia="Amiri" w:cs="Amiri"/>
          <w:color w:val="111111"/>
          <w:sz w:val="28"/>
          <w:sz w:val="28"/>
          <w:szCs w:val="28"/>
          <w:rtl w:val="true"/>
          <w:lang w:bidi="ar-SA"/>
        </w:rPr>
        <w:t>أيضا مع الموافقة لجميع ما ذكر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لما دلّ على عدم وجوب الإعادة حالة النسيان و سيجي‌ء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كان أقلّ من الدرهم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على أنّ الأصل الطهارة حتّى تستيقن النجاسة أولى، بل هو ليس بحمل يشهد عليه تنكير لفظ الدم،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المتبادر من هذا الخبر أنّ الموضع يطهر بمجرّد إزالة الدم عنه من غير ماء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يكون من الأخبار الشاذّة المخالفة لفتاوى الأصحاب و عملهم و عمل الشيعة، و مخالفة لما يظهر من كثير من الأخبار من أنّ موضع الدم يغسل، و لعدم القول بالفصل، و الخبر الشاذّ ليس بحجّة نصّا و إجماعا، مع أنّ الخبر الواحد ليس بعلميّ فيحتاج حجيّته و جواز التمسّك به إلى دليل علمي، لأنّ العمل بغير العلم لا يجوز بالآيات و الأخبار و الإجماع، و ظنّ المجتهد يرجع إلى العلم، لأنّ عليه دليل علمي، فالاستناد إنّما يكون على العلم، و ليس فيما نحن فيه دليل علمي و لا ظنيّ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قبل تنظيف الحجّام يكون الموضع نجسا قطعا، و يظهر من هذه الرواية أيضا، و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إلّا بيقين مثله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مع أنّ الاستصحاب حجّة كما حقّق في محلّه و كتبنا رسالة في حجّيته </w:t>
      </w:r>
      <w:r>
        <w:rPr>
          <w:rStyle w:val="FootnoteAnchor"/>
          <w:rtl w:val="true"/>
        </w:rPr>
        <w:footnoteReference w:id="551"/>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 فاعرضوه على سائر أحكامنا</w:t>
      </w:r>
    </w:p>
    <w:p>
      <w:pPr>
        <w:pStyle w:val="BookText"/>
        <w:rPr/>
      </w:pPr>
      <w:r>
        <w:rPr>
          <w:rFonts w:ascii="Amiri" w:hAnsi="Amiri" w:eastAsia="Amiri" w:cs="Amiri"/>
          <w:color w:val="111111"/>
          <w:sz w:val="28"/>
          <w:sz w:val="28"/>
          <w:szCs w:val="28"/>
          <w:rtl w:val="true"/>
          <w:lang w:bidi="ar-SA"/>
        </w:rPr>
        <w:t>فإن كان لا يشبهها فاطرحوه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مع أنّ نظافة الموضع بحيث يزول عنه الدم بالمرّة ممّا لا يمكن و لا يتحقّق عادة، و الدم نجس بالإجماع و الأخبار،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تأويل الخبر بأنّه لا يجب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أن يكون المراد حين الفراغ من الحجامة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فيها</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إبراهيم، عن أبي عبد اللّه عليه السّلام،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في الخبرين غياث، بل الظاهر أنّ الثلاثة </w:t>
      </w:r>
      <w:r>
        <w:rPr>
          <w:rStyle w:val="FootnoteAnchor"/>
          <w:rtl w:val="true"/>
        </w:rPr>
        <w:footnoteReference w:id="555"/>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 فلعلّه محمول على التقيّة، أو أنّ المراد من الغسل هو الإزالة لا التطهير أيضا، لأنّ الغسل لغة هو الإزالة لا غير، و الطهارة الشرعيّة إنّما تفهم من الإجماعات و ليست مدلول لفظ العرب، و هنا لا إجماع فيه، بل القائل شاذّ منّا </w:t>
      </w:r>
      <w:r>
        <w:rPr>
          <w:rStyle w:val="FootnoteAnchor"/>
          <w:rtl w:val="true"/>
        </w:rPr>
        <w:footnoteReference w:id="556"/>
      </w:r>
      <w:r>
        <w:rPr>
          <w:rFonts w:ascii="Amiri" w:hAnsi="Amiri" w:eastAsia="Amiri" w:cs="Amiri"/>
          <w:color w:val="111111"/>
          <w:sz w:val="28"/>
          <w:sz w:val="28"/>
          <w:szCs w:val="28"/>
          <w:rtl w:val="true"/>
          <w:lang w:bidi="ar-SA"/>
        </w:rPr>
        <w:t>و الكلّ على خلافه و لو كان يطهّر واقعا لاشتهر اشتهار الشمس لعموم البلوى، و كثرة الدواعي، مع أنّ الأمر بالعكس صار عدم التطهير باشتهار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البصاق يزيل الدم و لونه من الثوب، و لذا ورد لا يغسل به سوى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البرقي،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دمك أنظف من دم غيرك إذا كان في ثوبك شبه النضح من دمك فلا بأس، و إن</w:t>
      </w:r>
      <w:bookmarkStart w:id="281" w:name="pg2470_12439"/>
    </w:p>
    <w:p>
      <w:pPr>
        <w:pStyle w:val="BookText"/>
        <w:rPr/>
      </w:pPr>
      <w:bookmarkEnd w:id="281"/>
      <w:r>
        <w:rPr>
          <w:rFonts w:ascii="Amiri" w:hAnsi="Amiri" w:eastAsia="Amiri" w:cs="Amiri"/>
          <w:color w:val="111111"/>
          <w:sz w:val="28"/>
          <w:sz w:val="28"/>
          <w:szCs w:val="28"/>
          <w:rtl w:val="true"/>
          <w:lang w:bidi="ar-SA"/>
        </w:rPr>
        <w:t>كان دم غيرك قليلا و كثيرا فاغسله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مع ضعفها معارضة لأخبار كثيرة غاية الكثرة صحيحة و معتبرة و مقبولة عند الأصحاب و المفتى بها عندهم، فلا شبهة في كونها من الشواذّ فلا تكون حجّة إلّا أن تأوّل بالاستحباب و لا بأس به، فتأمّل</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3601478_3804643083"/>
      <w:bookmarkStart w:id="283" w:name="_Toc107"/>
      <w:bookmarkEnd w:id="282"/>
      <w:r>
        <w:rPr>
          <w:rtl w:val="true"/>
        </w:rPr>
        <w:t>[</w:t>
      </w:r>
      <w:r>
        <w:rPr>
          <w:rtl w:val="true"/>
        </w:rPr>
        <w:t>باب التطهير من فضلات الحيوانات</w:t>
      </w:r>
      <w:r>
        <w:rPr>
          <w:rtl w:val="true"/>
        </w:rPr>
        <w:t>]</w:t>
      </w:r>
      <w:bookmarkEnd w:id="2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غسل أبوال الدوابّ الثلاثة على الاستحباب، و يأتي ما يؤيّده، و في رواية القاسم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ينضح بول البعير و الشاة</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أيضا، فإنّ رواية زرارة </w:t>
      </w:r>
      <w:r>
        <w:rPr>
          <w:rStyle w:val="FootnoteAnchor"/>
          <w:rtl w:val="true"/>
        </w:rPr>
        <w:footnoteReference w:id="559"/>
      </w:r>
      <w:r>
        <w:rPr>
          <w:rFonts w:ascii="Amiri" w:hAnsi="Amiri" w:eastAsia="Amiri" w:cs="Amiri"/>
          <w:color w:val="111111"/>
          <w:sz w:val="28"/>
          <w:sz w:val="28"/>
          <w:szCs w:val="28"/>
          <w:rtl w:val="true"/>
          <w:lang w:bidi="ar-SA"/>
        </w:rPr>
        <w:t xml:space="preserve">ظاهرة في الكراهة على القول بعدم ثبوت الحقيقة الشرعيّة، لأنّ الحرام و ما يجب اجتنابه لا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العبارة، و أمّا على ثبوتها فصريحة فيها، و منها يظهر وجه الجمع بين الأخبار المتعارضة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طريقتهم أنّ مجرّد المعارض يكفي للحمل على الكراهة، مع أنّ الأخبار الثلاثة منجبرة بعمل الأصحاب، و الشهرة العظيمة التي كادت أن تكون إجماعا، بل لا يوجد مخالف سوى ابن الجنيد </w:t>
      </w:r>
      <w:r>
        <w:rPr>
          <w:rStyle w:val="FootnoteAnchor"/>
          <w:rtl w:val="true"/>
        </w:rPr>
        <w:footnoteReference w:id="560"/>
      </w:r>
      <w:r>
        <w:rPr>
          <w:rFonts w:ascii="Amiri" w:hAnsi="Amiri" w:eastAsia="Amiri" w:cs="Amiri"/>
          <w:color w:val="111111"/>
          <w:sz w:val="28"/>
          <w:sz w:val="28"/>
          <w:szCs w:val="28"/>
          <w:rtl w:val="true"/>
          <w:lang w:bidi="ar-SA"/>
        </w:rPr>
        <w:t xml:space="preserve">الذي طريقته طريقة العامّة في كثير من المسائل، و الشيخ نسب إليه المخالفة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و معلوم أنّه رجع عنها لأنّ</w:t>
      </w:r>
    </w:p>
    <w:p>
      <w:pPr>
        <w:pStyle w:val="BookText"/>
        <w:rPr/>
      </w:pPr>
      <w:r>
        <w:rPr>
          <w:rFonts w:ascii="Amiri" w:hAnsi="Amiri" w:eastAsia="Amiri" w:cs="Amiri"/>
          <w:color w:val="111111"/>
          <w:sz w:val="28"/>
          <w:sz w:val="28"/>
          <w:szCs w:val="28"/>
          <w:rtl w:val="true"/>
          <w:lang w:bidi="ar-SA"/>
        </w:rPr>
        <w:t xml:space="preserve">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الروايات الدالّة على الطهارة مخالفة لمذهب العامّة، و المعارض محمول على التقيّة لأنّ مذهبهم على ما وجد نجاسة أبوال الدوابّ الثلاثة </w:t>
      </w:r>
      <w:r>
        <w:rPr>
          <w:rStyle w:val="FootnoteAnchor"/>
          <w:rtl w:val="true"/>
        </w:rPr>
        <w:footnoteReference w:id="563"/>
      </w:r>
      <w:r>
        <w:rPr>
          <w:rFonts w:ascii="Amiri" w:hAnsi="Amiri" w:eastAsia="Amiri" w:cs="Amiri"/>
          <w:color w:val="111111"/>
          <w:sz w:val="28"/>
          <w:sz w:val="28"/>
          <w:szCs w:val="28"/>
          <w:rtl w:val="true"/>
          <w:lang w:bidi="ar-SA"/>
        </w:rPr>
        <w:t>كنجاسة الصغيرة،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الطهارة أسناده معتبر من وجه اخر فإنّ القاسم بن عروة قويّ كما حقّق في محلّه </w:t>
      </w:r>
      <w:r>
        <w:rPr>
          <w:rStyle w:val="FootnoteAnchor"/>
          <w:rtl w:val="true"/>
        </w:rPr>
        <w:footnoteReference w:id="564"/>
      </w:r>
      <w:r>
        <w:rPr>
          <w:rFonts w:ascii="Amiri" w:hAnsi="Amiri" w:eastAsia="Amiri" w:cs="Amiri"/>
          <w:color w:val="111111"/>
          <w:sz w:val="28"/>
          <w:sz w:val="28"/>
          <w:szCs w:val="28"/>
          <w:rtl w:val="true"/>
          <w:lang w:bidi="ar-SA"/>
        </w:rPr>
        <w:t xml:space="preserve">،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Style w:val="FootnoteAnchor"/>
          <w:rtl w:val="true"/>
        </w:rPr>
        <w:footnoteReference w:id="565"/>
      </w:r>
      <w:r>
        <w:rPr>
          <w:rFonts w:ascii="Amiri" w:hAnsi="Amiri" w:eastAsia="Amiri" w:cs="Amiri"/>
          <w:color w:val="111111"/>
          <w:sz w:val="28"/>
          <w:sz w:val="28"/>
          <w:szCs w:val="28"/>
          <w:rtl w:val="true"/>
          <w:lang w:bidi="ar-SA"/>
        </w:rPr>
        <w:t xml:space="preserve">، و قال في أوّله ما قال </w:t>
      </w:r>
      <w:r>
        <w:rPr>
          <w:rStyle w:val="FootnoteAnchor"/>
          <w:rtl w:val="true"/>
        </w:rPr>
        <w:footnoteReference w:id="566"/>
      </w:r>
      <w:r>
        <w:rPr>
          <w:rFonts w:ascii="Amiri" w:hAnsi="Amiri" w:eastAsia="Amiri" w:cs="Amiri"/>
          <w:color w:val="111111"/>
          <w:sz w:val="28"/>
          <w:sz w:val="28"/>
          <w:szCs w:val="28"/>
          <w:rtl w:val="true"/>
          <w:lang w:bidi="ar-SA"/>
        </w:rPr>
        <w:t xml:space="preserve">، و أبو الأغرّ ممّن يروي عنه صفوان و ابن أبي عمير، و هما ممّن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لا يرويان إلّا عن الثقات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قد حكم المحقّق بكون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مطابقا للأصل و كونه أرجح</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أبي الأغرّ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أيضا، مع أنّه قال في أوّله ما قال </w:t>
      </w:r>
      <w:r>
        <w:rPr>
          <w:rStyle w:val="FootnoteAnchor"/>
          <w:rtl w:val="true"/>
        </w:rPr>
        <w:footnoteReference w:id="570"/>
      </w:r>
      <w:r>
        <w:rPr>
          <w:rFonts w:ascii="Amiri" w:hAnsi="Amiri" w:eastAsia="Amiri" w:cs="Amiri"/>
          <w:color w:val="111111"/>
          <w:sz w:val="28"/>
          <w:sz w:val="28"/>
          <w:szCs w:val="28"/>
          <w:rtl w:val="true"/>
          <w:lang w:bidi="ar-SA"/>
        </w:rPr>
        <w:t>، مع أنّه لم يرد المعارض فيه أصلا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ابن سنان </w:t>
      </w:r>
      <w:r>
        <w:rPr>
          <w:rStyle w:val="FootnoteAnchor"/>
          <w:rtl w:val="true"/>
        </w:rPr>
        <w:footnoteReference w:id="571"/>
      </w:r>
      <w:r>
        <w:rPr>
          <w:rFonts w:ascii="Amiri" w:hAnsi="Amiri" w:eastAsia="Amiri" w:cs="Amiri"/>
          <w:color w:val="111111"/>
          <w:sz w:val="28"/>
          <w:sz w:val="28"/>
          <w:szCs w:val="28"/>
          <w:rtl w:val="true"/>
          <w:lang w:bidi="ar-SA"/>
        </w:rPr>
        <w:t>لأنّ الروث طاهر على ما يظهر من غير واحد من الأخبار، مضافا إلى أصالة طهارة الأشياء و أصالة البراءة عن التكليف،</w:t>
      </w:r>
    </w:p>
    <w:p>
      <w:pPr>
        <w:pStyle w:val="BookText"/>
        <w:rPr/>
      </w:pPr>
      <w:r>
        <w:rPr>
          <w:rFonts w:ascii="Amiri" w:hAnsi="Amiri" w:eastAsia="Amiri" w:cs="Amiri"/>
          <w:color w:val="111111"/>
          <w:sz w:val="28"/>
          <w:sz w:val="28"/>
          <w:szCs w:val="28"/>
          <w:rtl w:val="true"/>
          <w:lang w:bidi="ar-SA"/>
        </w:rPr>
        <w:t>و أصالة استصحاب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خرئه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التعارض بين هذه و بين رواية ابن سنان المتقدّمة تعارض العمومين من وجه فيصحّ تخصيص كلّ واحدة منهما بالاخرى لو لم يكن مرجّح، و المشهور رجّحوا رواية ابن سنان؛ لما سيجي‌ء في باب المطاعم و المشارب من النصّ على أنّ ذرق الخطّاف طاهر لأنّه يؤكل و يحلّ أكله؛ و رجّحها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السند؛ فإنّ أبا بصير مشترك </w:t>
      </w:r>
      <w:r>
        <w:rPr>
          <w:rStyle w:val="FootnoteAnchor"/>
          <w:rtl w:val="true"/>
        </w:rPr>
        <w:footnoteReference w:id="573"/>
      </w:r>
      <w:r>
        <w:rPr>
          <w:rFonts w:ascii="Amiri" w:hAnsi="Amiri" w:eastAsia="Amiri" w:cs="Amiri"/>
          <w:color w:val="111111"/>
          <w:sz w:val="28"/>
          <w:sz w:val="28"/>
          <w:szCs w:val="28"/>
          <w:rtl w:val="true"/>
          <w:lang w:bidi="ar-SA"/>
        </w:rPr>
        <w:t xml:space="preserve">، و ابن سنان في غاية الوثاقة و العظم و الجلالة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مستند العمل، و ترجيحها بحيث لا يتحقّق مخالف إلّا قليل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مستند جميع الفقهاء في نجاسة أبوال ما لا يؤكل و أرواثه، و لا مستند لهم في هذا التعميم سواها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يعضدها أخبار كثيرة صحاح أو كالصحاح؛ مثل رواية زرارة </w:t>
      </w:r>
      <w:r>
        <w:rPr>
          <w:rStyle w:val="FootnoteAnchor"/>
          <w:rtl w:val="true"/>
        </w:rPr>
        <w:footnoteReference w:id="575"/>
      </w:r>
      <w:r>
        <w:rPr>
          <w:rFonts w:ascii="Amiri" w:hAnsi="Amiri" w:eastAsia="Amiri" w:cs="Amiri"/>
          <w:color w:val="111111"/>
          <w:sz w:val="28"/>
          <w:sz w:val="28"/>
          <w:szCs w:val="28"/>
          <w:rtl w:val="true"/>
          <w:lang w:bidi="ar-SA"/>
        </w:rPr>
        <w:t>المذكورة في أوّل الباب، و الموثّق كالصحيح عن ابن بكير،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حرام أكله فالصلاة في كلّ شي‌ء منه حرام، حتّى البول و الروث</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 سيجي‌ء في كتاب الصلاة، و هي ما أجمع علماؤنا على العمل بها </w:t>
      </w:r>
      <w:r>
        <w:rPr>
          <w:rStyle w:val="FootnoteAnchor"/>
          <w:rtl w:val="true"/>
        </w:rPr>
        <w:footnoteReference w:id="577"/>
      </w:r>
      <w:r>
        <w:rPr>
          <w:rFonts w:ascii="Amiri" w:hAnsi="Amiri" w:eastAsia="Amiri" w:cs="Amiri"/>
          <w:color w:val="111111"/>
          <w:sz w:val="28"/>
          <w:sz w:val="28"/>
          <w:szCs w:val="28"/>
          <w:rtl w:val="true"/>
          <w:lang w:bidi="ar-SA"/>
        </w:rPr>
        <w:t>، بل شعار الشيعة، كما أنّ</w:t>
      </w:r>
    </w:p>
    <w:p>
      <w:pPr>
        <w:pStyle w:val="BookText"/>
        <w:rPr/>
      </w:pPr>
      <w:r>
        <w:rPr>
          <w:rFonts w:ascii="Amiri" w:hAnsi="Amiri" w:eastAsia="Amiri" w:cs="Amiri"/>
          <w:color w:val="111111"/>
          <w:sz w:val="28"/>
          <w:sz w:val="28"/>
          <w:szCs w:val="28"/>
          <w:rtl w:val="true"/>
          <w:lang w:bidi="ar-SA"/>
        </w:rPr>
        <w:t xml:space="preserve">خلافها شعار العامّة </w:t>
      </w:r>
      <w:r>
        <w:rPr>
          <w:rStyle w:val="FootnoteAnchor"/>
          <w:rtl w:val="true"/>
        </w:rPr>
        <w:footnoteReference w:id="578"/>
      </w:r>
      <w:r>
        <w:rPr>
          <w:rFonts w:ascii="Amiri" w:hAnsi="Amiri" w:eastAsia="Amiri" w:cs="Amiri"/>
          <w:color w:val="111111"/>
          <w:sz w:val="28"/>
          <w:sz w:val="28"/>
          <w:szCs w:val="28"/>
          <w:rtl w:val="true"/>
          <w:lang w:bidi="ar-SA"/>
        </w:rPr>
        <w:t xml:space="preserve">، فكيف ينفي </w:t>
      </w:r>
      <w:r>
        <w:rPr>
          <w:rStyle w:val="FootnoteAnchor"/>
          <w:rtl w:val="true"/>
        </w:rPr>
        <w:footnoteReference w:id="579"/>
      </w:r>
      <w:r>
        <w:rPr>
          <w:rFonts w:ascii="Amiri" w:hAnsi="Amiri" w:eastAsia="Amiri" w:cs="Amiri"/>
          <w:color w:val="111111"/>
          <w:sz w:val="28"/>
          <w:sz w:val="28"/>
          <w:szCs w:val="28"/>
          <w:rtl w:val="true"/>
          <w:lang w:bidi="ar-SA"/>
        </w:rPr>
        <w:t>المعصوم عليه السّلام جميع أفراد البأس عن بول ما لا يؤكل لحمه و خرئه من الطيور، مع أنّه خلاف إجماع علمائنا، و خلاف شعار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معظم الامور في المقام هو جواز الصلاة، بل جميع ما ورد ممّا تضمّن الغسل فالمراد لأجل الصلاة، و جميع ما ورد ممّا تضمّن عدم وجوب الغسل فهو أيضا بالنسبة إلى الصلاة، كما عرفت ممّا ذكرناه في باب تطهير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من المذهب، و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و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الخشّاف من هذه الرواية؛ لإجماع علمائنا على نجاسة بوله، على ما نقله العلّامة </w:t>
      </w:r>
      <w:r>
        <w:rPr>
          <w:rStyle w:val="FootnoteAnchor"/>
          <w:rtl w:val="true"/>
        </w:rPr>
        <w:footnoteReference w:id="581"/>
      </w:r>
      <w:r>
        <w:rPr>
          <w:rFonts w:ascii="Amiri" w:hAnsi="Amiri" w:eastAsia="Amiri" w:cs="Amiri"/>
          <w:color w:val="111111"/>
          <w:sz w:val="28"/>
          <w:sz w:val="28"/>
          <w:szCs w:val="28"/>
          <w:rtl w:val="true"/>
          <w:lang w:bidi="ar-SA"/>
        </w:rPr>
        <w:t xml:space="preserve">، و ربّما يظهر من كلام الشيخ أيضا </w:t>
      </w:r>
      <w:r>
        <w:rPr>
          <w:rStyle w:val="FootnoteAnchor"/>
          <w:rtl w:val="true"/>
        </w:rPr>
        <w:footnoteReference w:id="582"/>
      </w:r>
      <w:r>
        <w:rPr>
          <w:rFonts w:ascii="Amiri" w:hAnsi="Amiri" w:eastAsia="Amiri" w:cs="Amiri"/>
          <w:color w:val="111111"/>
          <w:sz w:val="28"/>
          <w:sz w:val="28"/>
          <w:szCs w:val="28"/>
          <w:rtl w:val="true"/>
          <w:lang w:bidi="ar-SA"/>
        </w:rPr>
        <w:t xml:space="preserve">، فلا يضرّ مخالفة معروف النسب </w:t>
      </w:r>
      <w:r>
        <w:rPr>
          <w:rStyle w:val="FootnoteAnchor"/>
          <w:rtl w:val="true"/>
        </w:rPr>
        <w:footnoteReference w:id="583"/>
      </w:r>
      <w:r>
        <w:rPr>
          <w:rFonts w:ascii="Amiri" w:hAnsi="Amiri" w:eastAsia="Amiri" w:cs="Amiri"/>
          <w:color w:val="111111"/>
          <w:sz w:val="28"/>
          <w:sz w:val="28"/>
          <w:szCs w:val="28"/>
          <w:rtl w:val="true"/>
          <w:lang w:bidi="ar-SA"/>
        </w:rPr>
        <w:t>على فرض تحقّقها، سيّما و أن يكون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ستجي‌ء الرواية الدالّة على النجاسة، و حمل الشيخ معارضها على الشذوذ و التقيّة </w:t>
      </w:r>
      <w:r>
        <w:rPr>
          <w:rStyle w:val="FootnoteAnchor"/>
          <w:rtl w:val="true"/>
        </w:rPr>
        <w:footnoteReference w:id="584"/>
      </w:r>
      <w:r>
        <w:rPr>
          <w:rFonts w:ascii="Amiri" w:hAnsi="Amiri" w:eastAsia="Amiri" w:cs="Amiri"/>
          <w:color w:val="111111"/>
          <w:sz w:val="28"/>
          <w:sz w:val="28"/>
          <w:szCs w:val="28"/>
          <w:rtl w:val="true"/>
          <w:lang w:bidi="ar-SA"/>
        </w:rPr>
        <w:t xml:space="preserve">، و منه يظهر تأييد تام لرواية ابن سنان، و وهن في هذه الرواية لو كان المراد منها العموم، أو بملاحظة ما ذكرنا،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يترجّح أنّ جميع ما هو مثل الخشّاف يكون داخلا في رواية ابن سنان، و خارجا من هذه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فارس </w:t>
      </w:r>
      <w:r>
        <w:rPr>
          <w:rStyle w:val="FootnoteAnchor"/>
          <w:rtl w:val="true"/>
        </w:rPr>
        <w:footnoteReference w:id="585"/>
      </w:r>
      <w:r>
        <w:rPr>
          <w:rFonts w:ascii="Amiri" w:hAnsi="Amiri" w:eastAsia="Amiri" w:cs="Amiri"/>
          <w:color w:val="111111"/>
          <w:sz w:val="28"/>
          <w:sz w:val="28"/>
          <w:szCs w:val="28"/>
          <w:rtl w:val="true"/>
          <w:lang w:bidi="ar-SA"/>
        </w:rPr>
        <w:t xml:space="preserve">، و قد عمل بها المفيد و غيره من القدماء </w:t>
      </w:r>
      <w:r>
        <w:rPr>
          <w:rStyle w:val="FootnoteAnchor"/>
          <w:rtl w:val="true"/>
        </w:rPr>
        <w:footnoteReference w:id="586"/>
      </w:r>
      <w:r>
        <w:rPr>
          <w:rFonts w:ascii="IRNazanin" w:hAnsi="IRNazanin" w:eastAsia="IRNazanin"/>
          <w:color w:val="111111"/>
          <w:sz w:val="28"/>
          <w:sz w:val="28"/>
          <w:szCs w:val="28"/>
          <w:rtl w:val="true"/>
          <w:lang w:bidi="fa-IR"/>
        </w:rPr>
        <w:t>،</w:t>
      </w:r>
      <w:bookmarkStart w:id="284" w:name="pg2470_12443"/>
    </w:p>
    <w:p>
      <w:pPr>
        <w:pStyle w:val="BookText"/>
        <w:rPr/>
      </w:pPr>
      <w:bookmarkEnd w:id="284"/>
      <w:r>
        <w:rPr>
          <w:rFonts w:ascii="Amiri" w:hAnsi="Amiri" w:eastAsia="Amiri" w:cs="Amiri"/>
          <w:color w:val="111111"/>
          <w:sz w:val="28"/>
          <w:sz w:val="28"/>
          <w:szCs w:val="28"/>
          <w:rtl w:val="true"/>
          <w:lang w:bidi="ar-SA"/>
        </w:rPr>
        <w:t>و رجّح بعض المتأخّرين هذه الرواية، لمطابقتها لمقتضى الأصل، و لأنّ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تناولا لما لا يؤكل لحمه من الطير من رواية ابن سنان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من نظر؛ لأنّ الأصل لا يعارض الدليل، و المرجّحات الاجتهاديّة و الخبريّة دليل، و الرواية باشتراكها لا تكون حجّة عنده، فكيف تكون مقاومة لما هو الحجّة، سيّما مع ما فيه من المرجّحات و ما في المشترك من الموهنات؟ فأظهر التناول كيف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 البق، و بول الخشاشيف</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حملها الشيخ على الشذوذ و التقيّة </w:t>
      </w:r>
      <w:r>
        <w:rPr>
          <w:rStyle w:val="FootnoteAnchor"/>
          <w:rtl w:val="true"/>
        </w:rPr>
        <w:footnoteReference w:id="589"/>
      </w:r>
      <w:r>
        <w:rPr>
          <w:rFonts w:ascii="Amiri" w:hAnsi="Amiri" w:eastAsia="Amiri" w:cs="Amiri"/>
          <w:color w:val="111111"/>
          <w:sz w:val="28"/>
          <w:sz w:val="28"/>
          <w:szCs w:val="28"/>
          <w:rtl w:val="true"/>
          <w:lang w:bidi="ar-SA"/>
        </w:rPr>
        <w:t xml:space="preserve">، و يعضد الأوّل نقل العلّامة الإجماع على النجاسة </w:t>
      </w:r>
      <w:r>
        <w:rPr>
          <w:rStyle w:val="FootnoteAnchor"/>
          <w:rtl w:val="true"/>
        </w:rPr>
        <w:footnoteReference w:id="590"/>
      </w:r>
      <w:r>
        <w:rPr>
          <w:rFonts w:ascii="Amiri" w:hAnsi="Amiri" w:eastAsia="Amiri" w:cs="Amiri"/>
          <w:color w:val="111111"/>
          <w:sz w:val="28"/>
          <w:sz w:val="28"/>
          <w:szCs w:val="28"/>
          <w:rtl w:val="true"/>
          <w:lang w:bidi="ar-SA"/>
        </w:rPr>
        <w:t xml:space="preserve">، و ما مرّ في الحاشية السابقة، و الثاني كون الراوي من العامّة، و كيفيّة روايته، و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السابقة من كون شعار الشيعة عدم جواز الصلاة في كلّ شي‌ء ممّا لا يؤكل لحمه، و الرواية الواردة فيه، و كون خلافه شعار العامّة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601480_3804643083"/>
      <w:bookmarkStart w:id="286" w:name="_Toc108"/>
      <w:bookmarkEnd w:id="285"/>
      <w:r>
        <w:rPr>
          <w:rtl w:val="true"/>
        </w:rPr>
        <w:t>[</w:t>
      </w:r>
      <w:r>
        <w:rPr>
          <w:rtl w:val="true"/>
        </w:rPr>
        <w:t>باب التطهير من مسّ الحيوانات</w:t>
      </w:r>
      <w:r>
        <w:rPr>
          <w:rtl w:val="true"/>
        </w:rPr>
        <w:t>]</w:t>
      </w:r>
      <w:bookmarkEnd w:id="2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عمّن أخبره، عن أبي عبد اللّه عليه السّلام،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w:t>
      </w:r>
    </w:p>
    <w:p>
      <w:pPr>
        <w:pStyle w:val="BookText"/>
        <w:rPr/>
      </w:pPr>
      <w:r>
        <w:rPr>
          <w:rFonts w:ascii="Amiri" w:hAnsi="Amiri" w:eastAsia="Amiri" w:cs="Amiri"/>
          <w:color w:val="111111"/>
          <w:sz w:val="28"/>
          <w:sz w:val="28"/>
          <w:szCs w:val="28"/>
          <w:rtl w:val="true"/>
          <w:lang w:bidi="ar-SA"/>
        </w:rPr>
        <w:t xml:space="preserve">ثوبك الكلب،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يابسا فانضحه، و إن كان رطبا فاغسله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الروايات وجوب 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استحبابه؛ لما ورد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يابس ذكيّ</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الظاهر في عدم وجوب شي‌ء من الغسل و النضح، و يؤيّده نقل الإجماع على عدم تعدّي النجاسة في حال اليبوسة </w:t>
      </w:r>
      <w:r>
        <w:rPr>
          <w:rStyle w:val="FootnoteAnchor"/>
          <w:rtl w:val="true"/>
        </w:rPr>
        <w:footnoteReference w:id="594"/>
      </w:r>
      <w:r>
        <w:rPr>
          <w:rFonts w:ascii="Amiri" w:hAnsi="Amiri" w:eastAsia="Amiri" w:cs="Amiri"/>
          <w:color w:val="111111"/>
          <w:sz w:val="28"/>
          <w:sz w:val="28"/>
          <w:szCs w:val="28"/>
          <w:rtl w:val="true"/>
          <w:lang w:bidi="ar-SA"/>
        </w:rPr>
        <w:t>، و أنّ النضح قابل للدرجات زيادة و نقصا، و أنّه في بعض الأخبار قالوا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أصبب</w:t>
      </w:r>
      <w:r>
        <w:rPr>
          <w:rFonts w:eastAsia="IRNazanin" w:cs="IRNazanin"/>
          <w:color w:val="111111"/>
          <w:sz w:val="28"/>
          <w:szCs w:val="28"/>
          <w:rtl w:val="true"/>
          <w:lang w:bidi="fa-IR"/>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التوضّي </w:t>
      </w:r>
      <w:r>
        <w:rPr>
          <w:rStyle w:val="FootnoteAnchor"/>
          <w:rtl w:val="true"/>
        </w:rPr>
        <w:footnoteReference w:id="596"/>
      </w:r>
      <w:r>
        <w:rPr>
          <w:rFonts w:ascii="IRNazanin" w:hAnsi="IRNazanin" w:eastAsia="IRNazanin"/>
          <w:color w:val="111111"/>
          <w:sz w:val="28"/>
          <w:sz w:val="28"/>
          <w:szCs w:val="28"/>
          <w:rtl w:val="true"/>
          <w:lang w:bidi="fa-IR"/>
        </w:rPr>
        <w:t xml:space="preserve">و الغسل </w:t>
      </w:r>
      <w:r>
        <w:rPr>
          <w:rStyle w:val="FootnoteAnchor"/>
          <w:rtl w:val="true"/>
        </w:rPr>
        <w:footnoteReference w:id="597"/>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الشهرة العظيمة، بل و طريقة المسلمين في الأعصار و الأمصار، و مع ذلك الأحوط عدم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البقباق أنّ أبا عبد اللّه عليه السّلام قال في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رجس نجس؛ لا تتوضّأ بفضله، و أصبب ذلك الماء و اغسله بالتراب أوّل مرّة، ثمّ بالماء</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فقهاؤنا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المتقدّمون منهم و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كفاية الغسل الواحد بالماء، و المشهور المرّتين بعد التراب، و نقل عليه الإجماع </w:t>
      </w:r>
      <w:r>
        <w:rPr>
          <w:rStyle w:val="FootnoteAnchor"/>
          <w:rtl w:val="true"/>
        </w:rPr>
        <w:footnoteReference w:id="599"/>
      </w:r>
      <w:r>
        <w:rPr>
          <w:rFonts w:ascii="Amiri" w:hAnsi="Amiri" w:eastAsia="Amiri" w:cs="Amiri"/>
          <w:color w:val="111111"/>
          <w:sz w:val="28"/>
          <w:sz w:val="28"/>
          <w:szCs w:val="28"/>
          <w:rtl w:val="true"/>
          <w:lang w:bidi="ar-SA"/>
        </w:rPr>
        <w:t>، و وقع التصريح بذلك</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يحصل العلم بالإجماع من اتّفاق الجميع سوى ابن الجنيد، فإنّه حكم بوجوب غسل السبع </w:t>
      </w:r>
      <w:r>
        <w:rPr>
          <w:rStyle w:val="FootnoteAnchor"/>
          <w:rtl w:val="true"/>
        </w:rPr>
        <w:footnoteReference w:id="601"/>
      </w:r>
      <w:r>
        <w:rPr>
          <w:rFonts w:ascii="Amiri" w:hAnsi="Amiri" w:eastAsia="Amiri" w:cs="Amiri"/>
          <w:color w:val="111111"/>
          <w:sz w:val="28"/>
          <w:sz w:val="28"/>
          <w:szCs w:val="28"/>
          <w:rtl w:val="true"/>
          <w:lang w:bidi="ar-SA"/>
        </w:rPr>
        <w:t xml:space="preserve">، لرواية عمّار الواردة في الغسل للخمر </w:t>
      </w:r>
      <w:r>
        <w:rPr>
          <w:rStyle w:val="FootnoteAnchor"/>
          <w:rtl w:val="true"/>
        </w:rPr>
        <w:footnoteReference w:id="602"/>
      </w:r>
      <w:r>
        <w:rPr>
          <w:rFonts w:ascii="Amiri" w:hAnsi="Amiri" w:eastAsia="Amiri" w:cs="Amiri"/>
          <w:color w:val="111111"/>
          <w:sz w:val="28"/>
          <w:sz w:val="28"/>
          <w:szCs w:val="28"/>
          <w:rtl w:val="true"/>
          <w:lang w:bidi="ar-SA"/>
        </w:rPr>
        <w:t>أيضا، و يمكن حملها على الاستحباب بعد التعفير،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من قبيل القطعيّات أو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الدلالة على انفعال الماء القليل، بحيث لا تقبل التأويل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يصيب ثوبه خنزير فلم يغسله، فذكر ذلك و هو في صلاته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في صلاته فليمض، 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استثناء من الحكمين المتقدّمين جمعا حتّى توافق الأخبار و فتاوى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خنزير شرب من إناء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مفتى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انفعال القليل بالملاقاة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الدجاجة و الحمام و أشباهها تطأ العذرة، ثمّ تطأ</w:t>
      </w:r>
    </w:p>
    <w:p>
      <w:pPr>
        <w:pStyle w:val="BookText"/>
        <w:rPr/>
      </w:pPr>
      <w:r>
        <w:rPr>
          <w:rFonts w:ascii="Amiri" w:hAnsi="Amiri" w:eastAsia="Amiri" w:cs="Amiri"/>
          <w:color w:val="111111"/>
          <w:sz w:val="28"/>
          <w:sz w:val="28"/>
          <w:szCs w:val="28"/>
          <w:rtl w:val="true"/>
          <w:lang w:bidi="ar-SA"/>
        </w:rPr>
        <w:t xml:space="preserve">الثوب أ يغسل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استبان من أثره شي‌ء فاغسله، و إلّا فلا بأس</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الأصل الطهارة حتّى تستيقن النجاسة، فمتى لم تستيقن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يقع طرف ثوبه على جسد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غسّل فلا تغسل ما أصاب ثوبك منه، و إن كان لم يغسّل فاغسل ما أصاب ثوبك منه يعني إذا برد الميّت</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هذه الأخبار دلالة على تنجيس الميّت أو الميتة مع اليبوسة كما توهّم؛ لأنّ المعصوم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الثوب الذي أصاب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المراد منه مثل الرطوبات،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إذا أصاب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مسّ عظم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 سنة فليس به بأس</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لا يكون فيه دسومة أصلا بعد السنة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و القصّار يكون يهوديّا أو نصرانيّا، و أنت تعلم أنّه يبول و لا يتوضّأ ما تقول في عمله؟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حصول اليقين بمباشرته رطبا، كما سيجي‌ء، أو للتقيّة، كما سيجي‌ء أيضا</w:t>
      </w:r>
      <w:r>
        <w:rPr>
          <w:rFonts w:eastAsia="Amiri" w:cs="Amiri" w:ascii="Amiri" w:hAnsi="Amiri"/>
          <w:color w:val="111111"/>
          <w:sz w:val="28"/>
          <w:szCs w:val="28"/>
          <w:rtl w:val="true"/>
          <w:lang w:bidi="ar-SA"/>
        </w:rPr>
        <w:t>.</w:t>
      </w:r>
      <w:bookmarkStart w:id="287" w:name="pg2470_12447"/>
    </w:p>
    <w:p>
      <w:pPr>
        <w:pStyle w:val="Heading5"/>
        <w:numPr>
          <w:ilvl w:val="4"/>
          <w:numId w:val="1"/>
        </w:numPr>
        <w:rPr/>
      </w:pPr>
      <w:bookmarkStart w:id="288" w:name="__RefHeading___Toc3601482_3804643083"/>
      <w:bookmarkStart w:id="289" w:name="_Toc109"/>
      <w:bookmarkEnd w:id="287"/>
      <w:bookmarkEnd w:id="288"/>
      <w:r>
        <w:rPr>
          <w:rtl w:val="true"/>
        </w:rPr>
        <w:t>[</w:t>
      </w:r>
      <w:r>
        <w:rPr>
          <w:rtl w:val="true"/>
        </w:rPr>
        <w:t>حكم أهل الكتاب</w:t>
      </w:r>
      <w:r>
        <w:rPr>
          <w:rtl w:val="true"/>
        </w:rPr>
        <w:t>]</w:t>
      </w:r>
      <w:bookmarkEnd w:id="2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النصرانيّة تخدمك و أنت تعلم أنّها نصرانيّة لا تتوضّأ و لا تغتسل من 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تغسل يديها</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سبيل الفرض، كما هو المتعارف في السؤال و في المحاورات، و إلّا فمن المعلوم أنّه لم تكن عنده عليه السّلام جارية نصرانيّة تخدمه في خراسان، كما هو ظاهر من الأخبار و التواريخ، و ظاهر أنّ هذا السؤال كان في خراسان، كما لا يخفى على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أنّهم عليهم السّلام شدّدوا المنع عن مساورتهم، و أمروا بالتجنّب، فإن كان بناء على 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هو إجماعي </w:t>
      </w:r>
      <w:r>
        <w:rPr>
          <w:rStyle w:val="FootnoteAnchor"/>
          <w:rtl w:val="true"/>
        </w:rPr>
        <w:footnoteReference w:id="610"/>
      </w:r>
      <w:r>
        <w:rPr>
          <w:rFonts w:ascii="IRNazanin" w:hAnsi="IRNazanin" w:eastAsia="IRNazanin"/>
          <w:color w:val="111111"/>
          <w:sz w:val="28"/>
          <w:sz w:val="28"/>
          <w:szCs w:val="28"/>
          <w:rtl w:val="true"/>
          <w:lang w:bidi="fa-IR"/>
        </w:rPr>
        <w:t xml:space="preserve">و إن خرج معلوم النسب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شعار الشيعة، و بأنّه مخاصمتهم مع العامّة في الأعصار السابقة، و ادّعى الإجماع غير واحد من فقهائنا، و العامّة يعرفون هذا و ينسبونهم إلى ذلك فلا يضرّ خروج شاذّ معلوم النسب، و الأخبار في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النجاسة </w:t>
      </w:r>
      <w:r>
        <w:rPr>
          <w:rStyle w:val="FootnoteAnchor"/>
          <w:rtl w:val="true"/>
        </w:rPr>
        <w:footnoteReference w:id="612"/>
      </w:r>
      <w:r>
        <w:rPr>
          <w:rFonts w:ascii="Amiri" w:hAnsi="Amiri" w:eastAsia="Amiri" w:cs="Amiri"/>
          <w:color w:val="111111"/>
          <w:sz w:val="28"/>
          <w:sz w:val="28"/>
          <w:szCs w:val="28"/>
          <w:rtl w:val="true"/>
          <w:lang w:bidi="ar-SA"/>
        </w:rPr>
        <w:t>، فيظهر غاية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الطهارة بناء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كان أوامرهم عليهم السّلام بالتجنّب بناء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الأظهر 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لما قاله، اللّهمّ إلّا أن تكون على التقيّة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بناء على الكراهة و التغليظ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لأن يأمروا الناس بالبرّ و ينسون أنفسهم، و يكونوا يقولون ما لا يفعلون، إلى غير ذلك</w:t>
      </w:r>
    </w:p>
    <w:p>
      <w:pPr>
        <w:pStyle w:val="BookText"/>
        <w:rPr/>
      </w:pPr>
      <w:r>
        <w:rPr>
          <w:rFonts w:ascii="Amiri" w:hAnsi="Amiri" w:eastAsia="Amiri" w:cs="Amiri"/>
          <w:color w:val="111111"/>
          <w:sz w:val="28"/>
          <w:sz w:val="28"/>
          <w:szCs w:val="28"/>
          <w:rtl w:val="true"/>
          <w:lang w:bidi="ar-SA"/>
        </w:rPr>
        <w:t>ممّا هو أشدّ ممّا ذكر في أمر الغير بالرشد و الصلاح و العمل بغيره، و ورد شدّة ذمّ من لا يكون قوله موافقا لفعله، حاشاهم عليهم 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الاجتناب عنهم إنّما هو لتلوّثهم بالخمر و لحم الخنزير و البول و نحوها، كما يأتي في الباب الآتي، و في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من المطاعم و 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المطاعم و المشارب ان شاء اللّه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دلّ أخبار معتبرة من الصحاح و الحسان و غيرهما على نجاستهم، مثل صحيحة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انية أهل الذمّة،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في انيتهم، و لا من طعامهم الذي يطبخون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الحسن، عن سعيد الأعرج أنّه سأل الصادق عليه السّلام عن سؤر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النصرانى،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فإنّ النهي حقيقة في الحرمة، و الحرمة مطلقا تدلّ على النجاسة الذاتيّة؛ إذ لو كانوا طاهرين بالذات فلا يجوز الحكم بنجاستهم و وجوب التنزّه عنهم؛ إذ كلّ شي‌ء يكون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يقينيّة شرعا حتّى يحصل اليقين بنجاسته، و لذا يكون من لا يتوقّى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شرعا، كأطفال المسلمين، و مجانينهم، و من لا يبالي بالنجاسات، و من اعتقد عدم النجاسة في الماء القليل الملاقي للنجاسة، أو الخمر و المسكرات، أو أهل الذمّة، أو بول الرضيع أو غير ذلك، أو اعتقد طهارة الأشياء النجسة بالمضاف، أو طهارة مخرج البول بمثل الأحجار، و المني بالفرك و الميتة بالدباغة، و غير ذلك مثل الدم بالبصاق، و المنجّسات بالطبخ، و بهبوب الريح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أيضا على نجاستهم الذاتيّة ما مرّ في باب الحمّام </w:t>
      </w:r>
      <w:r>
        <w:rPr>
          <w:rStyle w:val="FootnoteAnchor"/>
          <w:rtl w:val="true"/>
        </w:rPr>
        <w:footnoteReference w:id="616"/>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أيضا أخبار اخر متفرّقة في الأبواب؛</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مصافحة اليهودي و النصراني من وراء الثياب، فإن فعل بيده فاغسل يدك</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هارون بن خارجة أنّه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اخالط المجوس فاكل من طعامهم،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غيره من الأخبار النهي عن مصافحتهم </w:t>
      </w:r>
      <w:r>
        <w:rPr>
          <w:rStyle w:val="FootnoteAnchor"/>
          <w:rtl w:val="true"/>
        </w:rPr>
        <w:footnoteReference w:id="61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المؤلّف في هذا الباب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النجاسة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هشام بن سالم، عن الصادق عليه السّلام في قوله تعالى وَ طَعٰامُ الَّذِينَ أُوتُوا الْكِتٰابَ حِلٌّ لَكُمْ </w:t>
      </w:r>
      <w:r>
        <w:rPr>
          <w:rStyle w:val="FootnoteAnchor"/>
          <w:rtl w:val="true"/>
        </w:rPr>
        <w:footnoteReference w:id="6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العدس، و الحمص، و غير ذلك</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عنه عليه السّلام عن طعام أهل الكتاب، و ما يحلّ منه؟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الحبوب</w:t>
      </w:r>
      <w:r>
        <w:rPr>
          <w:rFonts w:eastAsia="IRNazanin" w:cs="IRNazanin"/>
          <w:color w:val="111111"/>
          <w:sz w:val="28"/>
          <w:szCs w:val="28"/>
          <w:rtl w:val="true"/>
          <w:lang w:bidi="fa-IR"/>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 و ورد في غير واحد من الأخبار </w:t>
      </w:r>
      <w:r>
        <w:rPr>
          <w:rStyle w:val="FootnoteAnchor"/>
          <w:rtl w:val="true"/>
        </w:rPr>
        <w:footnoteReference w:id="624"/>
      </w:r>
      <w:r>
        <w:rPr>
          <w:rFonts w:ascii="Amiri" w:hAnsi="Amiri" w:eastAsia="Amiri" w:cs="Amiri"/>
          <w:color w:val="111111"/>
          <w:sz w:val="28"/>
          <w:sz w:val="28"/>
          <w:szCs w:val="28"/>
          <w:rtl w:val="true"/>
          <w:lang w:bidi="ar-SA"/>
        </w:rPr>
        <w:t>هذا المضمون و حصر الحلّ في</w:t>
      </w:r>
    </w:p>
    <w:p>
      <w:pPr>
        <w:pStyle w:val="BookText"/>
        <w:rPr/>
      </w:pPr>
      <w:r>
        <w:rPr>
          <w:rFonts w:ascii="Amiri" w:hAnsi="Amiri" w:eastAsia="Amiri" w:cs="Amiri"/>
          <w:color w:val="111111"/>
          <w:sz w:val="28"/>
          <w:sz w:val="28"/>
          <w:szCs w:val="28"/>
          <w:rtl w:val="true"/>
          <w:lang w:bidi="ar-SA"/>
        </w:rPr>
        <w:t>الحبوب و مثلها دليل واضح على نجاستهم الذاتيّة إذ العرضيّة لا تصير منشأ لحرمة مطعوماتهم سوى مثل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إجماعات متعدّدة نقلها الأعاظم من فقهائنا الماهرين الثقات الخبيرين القريبين للعهد؛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Style w:val="FootnoteAnchor"/>
          <w:rtl w:val="true"/>
        </w:rPr>
        <w:footnoteReference w:id="625"/>
      </w:r>
      <w:r>
        <w:rPr>
          <w:rFonts w:ascii="Amiri" w:hAnsi="Amiri" w:eastAsia="Amiri" w:cs="Amiri"/>
          <w:color w:val="111111"/>
          <w:sz w:val="28"/>
          <w:sz w:val="28"/>
          <w:szCs w:val="28"/>
          <w:rtl w:val="true"/>
          <w:lang w:bidi="ar-SA"/>
        </w:rPr>
        <w:t xml:space="preserve">، و الشيخ </w:t>
      </w:r>
      <w:r>
        <w:rPr>
          <w:rStyle w:val="FootnoteAnchor"/>
          <w:rtl w:val="true"/>
        </w:rPr>
        <w:footnoteReference w:id="626"/>
      </w:r>
      <w:r>
        <w:rPr>
          <w:rFonts w:ascii="Amiri" w:hAnsi="Amiri" w:eastAsia="Amiri" w:cs="Amiri"/>
          <w:color w:val="111111"/>
          <w:sz w:val="28"/>
          <w:sz w:val="28"/>
          <w:szCs w:val="28"/>
          <w:rtl w:val="true"/>
          <w:lang w:bidi="ar-SA"/>
        </w:rPr>
        <w:t xml:space="preserve">، و ابن زهرة </w:t>
      </w:r>
      <w:r>
        <w:rPr>
          <w:rStyle w:val="FootnoteAnchor"/>
          <w:rtl w:val="true"/>
        </w:rPr>
        <w:footnoteReference w:id="627"/>
      </w:r>
      <w:r>
        <w:rPr>
          <w:rFonts w:ascii="Amiri" w:hAnsi="Amiri" w:eastAsia="Amiri" w:cs="Amiri"/>
          <w:color w:val="111111"/>
          <w:sz w:val="28"/>
          <w:sz w:val="28"/>
          <w:szCs w:val="28"/>
          <w:rtl w:val="true"/>
          <w:lang w:bidi="ar-SA"/>
        </w:rPr>
        <w:t xml:space="preserve">، و العلّامة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غير خفيّ أنّ الحكم بطهارتهم الذاتيّة من شعار العامّة </w:t>
      </w:r>
      <w:r>
        <w:rPr>
          <w:rStyle w:val="FootnoteAnchor"/>
          <w:rtl w:val="true"/>
        </w:rPr>
        <w:footnoteReference w:id="629"/>
      </w:r>
      <w:r>
        <w:rPr>
          <w:rFonts w:ascii="Amiri" w:hAnsi="Amiri" w:eastAsia="Amiri" w:cs="Amiri"/>
          <w:color w:val="111111"/>
          <w:sz w:val="28"/>
          <w:sz w:val="28"/>
          <w:szCs w:val="28"/>
          <w:rtl w:val="true"/>
          <w:lang w:bidi="ar-SA"/>
        </w:rPr>
        <w:t xml:space="preserve">، و اتّفقوا في الأعصار و الأمصار و الحكم بالنجاسة إنّما هو من خواص الخاصة، بل شعارهم في الأعصار و الأمصار، و إن خالف منهم كما خالف في حرمة القياس </w:t>
      </w:r>
      <w:r>
        <w:rPr>
          <w:rStyle w:val="FootnoteAnchor"/>
          <w:rtl w:val="true"/>
        </w:rPr>
        <w:footnoteReference w:id="630"/>
      </w:r>
      <w:r>
        <w:rPr>
          <w:rFonts w:ascii="Amiri" w:hAnsi="Amiri" w:eastAsia="Amiri" w:cs="Amiri"/>
          <w:color w:val="111111"/>
          <w:sz w:val="28"/>
          <w:sz w:val="28"/>
          <w:szCs w:val="28"/>
          <w:rtl w:val="true"/>
          <w:lang w:bidi="ar-SA"/>
        </w:rPr>
        <w:t>، و أنّ ذلك لا ينافي كون الشي‌ء الذي يخالفه من ضروريّات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كون الأمرين شعار الطرفين معروف عند الطرفين بلا شكّ و مين، فتعيّن حمل المعارض على التقيّة بالإجماع، و حكم العقل، و الأخبار المتواترة في أنّ ما وافق العامّة من الأخبار ليس برشد و غلط و يجب تركه </w:t>
      </w:r>
      <w:r>
        <w:rPr>
          <w:rStyle w:val="FootnoteAnchor"/>
          <w:rtl w:val="true"/>
        </w:rPr>
        <w:footnoteReference w:id="631"/>
      </w:r>
      <w:r>
        <w:rPr>
          <w:rFonts w:ascii="IRNazanin" w:hAnsi="IRNazanin" w:eastAsia="IRNazanin"/>
          <w:color w:val="111111"/>
          <w:sz w:val="28"/>
          <w:sz w:val="28"/>
          <w:szCs w:val="28"/>
          <w:rtl w:val="true"/>
          <w:lang w:bidi="fa-IR"/>
        </w:rPr>
        <w:t>، بخلاف ما خالفهم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 ينقل من أحد القول بطهارتهم سوى ابن الجنيد؛ بسبب أنّه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الاجتناب ممّا صنعه أهل الذمّة في أوانيهم، و كذا ما صنع مستحلّ الميتة في انيته أحوط</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و هذا في غاية الظهور أنّ أواني أهل الذمّة لا يحكم بنجاستها حتّى</w:t>
      </w:r>
      <w:bookmarkStart w:id="290" w:name="pg2470_12451"/>
    </w:p>
    <w:p>
      <w:pPr>
        <w:pStyle w:val="BookText"/>
        <w:rPr/>
      </w:pPr>
      <w:bookmarkEnd w:id="290"/>
      <w:r>
        <w:rPr>
          <w:rFonts w:ascii="Amiri" w:hAnsi="Amiri" w:eastAsia="Amiri" w:cs="Amiri"/>
          <w:color w:val="111111"/>
          <w:sz w:val="28"/>
          <w:sz w:val="28"/>
          <w:szCs w:val="28"/>
          <w:rtl w:val="true"/>
          <w:lang w:bidi="ar-SA"/>
        </w:rPr>
        <w:t xml:space="preserve">يستيقن نجاستها، و هذا متّفق عليه بين الأصحاب، فأيّ دلالة فيه على قوله بطهارتهم، و قد صرّح الأصحاب بطهارة أواني الكفّار و المشركين و أمثالها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القول بطهارتهم؛ لأنّه حكم بطهارة سؤرهم </w:t>
      </w:r>
      <w:r>
        <w:rPr>
          <w:rStyle w:val="FootnoteAnchor"/>
          <w:rtl w:val="true"/>
        </w:rPr>
        <w:footnoteReference w:id="634"/>
      </w:r>
      <w:r>
        <w:rPr>
          <w:rFonts w:ascii="Amiri" w:hAnsi="Amiri" w:eastAsia="Amiri" w:cs="Amiri"/>
          <w:color w:val="111111"/>
          <w:sz w:val="28"/>
          <w:sz w:val="28"/>
          <w:szCs w:val="28"/>
          <w:rtl w:val="true"/>
          <w:lang w:bidi="ar-SA"/>
        </w:rPr>
        <w:t>، و فيه أنّه قائل بعدم انفعال الماء القليل، و لهذا خصّص الطهارة بسؤرهم، فهذا على قوله بنجاستهم، لتخصيصه بالسؤر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هذا نسبة القول بالطهارة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كلامه فيه صريح في نجاستهم </w:t>
      </w:r>
      <w:r>
        <w:rPr>
          <w:rStyle w:val="FootnoteAnchor"/>
          <w:rtl w:val="true"/>
        </w:rPr>
        <w:footnoteReference w:id="63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الشرب من كوز شرب منه اليهودي، و التطهير من مسّهم ممّا لا ينبغي تركه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كذلك، بل شرب منه على أنّه يهودي، و هو ظاهر في الظنّ بذلك، كما مرّ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3601484_3804643083"/>
      <w:bookmarkStart w:id="292" w:name="_Toc110"/>
      <w:bookmarkEnd w:id="291"/>
      <w:r>
        <w:rPr>
          <w:rtl w:val="true"/>
        </w:rPr>
        <w:t>[</w:t>
      </w:r>
      <w:r>
        <w:rPr>
          <w:rtl w:val="true"/>
        </w:rPr>
        <w:t>باب التطهير من الخمر</w:t>
      </w:r>
      <w:r>
        <w:rPr>
          <w:rtl w:val="true"/>
        </w:rPr>
        <w:t>]</w:t>
      </w:r>
      <w:bookmarkEnd w:id="2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بن الحكم أنّه سأل أبا عبد اللّه عليه السّلام عن الفقّاع؟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تشربه فإنّه خمر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أصاب ثوبك فاغسله</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أنّ وجوب غسل النجاسة للغير، لا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قطرة خمر أو نبيذ مسكر قطرت في قدر فيه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مرق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تطعمه أهل الذمّة أو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و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قطر فيه 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تأكله النار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حمله على الدم المتخلّف في الذبيحة؛ فإنّ الغالب أنّه يقطر في القدر، و المنع من العجين المذكور لعدم تحقّق الاستحالة في الدم المذكور، لأنّه في القدر يستحيل دون الخبز؛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الحديث ضعيف لا يجوز التعويل عليه، و إن كان يصحّ الاحتجاج به و بأمثاله لنجاسة الخمر و المسكر؛ لانجبار السند بعمل الأصحاب و الشهرة، و لا يضرّ عدم بقاء بعض الخبر على ظاهره و احتياجه إلى التأويل أو الطرح؛ لما حقّق في محلّه، مع أنّ المدار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هو بتلك المنزلة إذا قطر في شي‌ء 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أن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قطر في شي‌ء من طعامي</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يثبت كون الكراهة بالمعنى المصطلح في كلامه، سيّما بملاحظة القرينة في المقام، بل يظهر منها أنّ المراد عدم تجويز الأكل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أو إناء يشرب فيه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يصبّ فيه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يجزيه حتّى يدلكه بيده و يغسله</w:t>
      </w:r>
    </w:p>
    <w:p>
      <w:pPr>
        <w:pStyle w:val="BookText"/>
        <w:rPr/>
      </w:pP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غاية الظهور في الدلالة على النجاسة؛ لأنّه عليه السّلام حصر عدم البأس في صورة الغسل فقط، و مع ذلك حكم بعدم الطهارة حتّى يدلكه و يغسله ثلاث مرّات، و الموثّقة حجّة كما حقّق في محلّه، مضافا إلى الانجبار بالشهرة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المتنجّس منجّس، و على تحقّق الطهارة بالغسل بالماء القليل، و تحقّقها بالغسل به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النبيذ حلال، و إنّ أصل الخمر حرام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الأظهر أنّه محمول على التقيّة، أو على النبيذ الحلال، و يحتمل أن يكون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و أبو عبد اللّه عليهما السّلام،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نشتري ثيابا يصيبها الخمر و ودك الخنزير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الخبر غير حجّة، و غير معمول به إجماعا؛ لمكان ودك الخنزير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اليهود و النصارى و المجوس، و ندخل عليهم و هم يأكلون و يشربون فيمرّ ساقيهم فيصيب ثيابي الخمر،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شبهة في الحمل على التقيّة؛ لأنّ أهل الذمّة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الظاهر منها تمكين أهل الذمّة من الشرب جهارا، و عدم منعهم منه، و عدم المنع من المخالطة معهم في هذه الحالة، و أنّه لا ضرر أصلا في المجالسة معهم حينئذ، و لا حاجة إلى هجرانهم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في أنّه ليس كذلك، و أنّ ذلك من سلوك العامّة معهم و بناء حكّامهم عليه، مضافا إلى ما مرّ و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الرواية متّحدة مع رواية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المتقدّمة </w:t>
      </w:r>
      <w:r>
        <w:rPr>
          <w:rStyle w:val="FootnoteAnchor"/>
          <w:rtl w:val="true"/>
        </w:rPr>
        <w:footnoteReference w:id="646"/>
      </w:r>
      <w:r>
        <w:rPr>
          <w:rFonts w:ascii="Amiri" w:hAnsi="Amiri" w:eastAsia="Amiri" w:cs="Amiri"/>
          <w:color w:val="111111"/>
          <w:sz w:val="28"/>
          <w:sz w:val="28"/>
          <w:szCs w:val="28"/>
          <w:rtl w:val="true"/>
          <w:lang w:bidi="ar-SA"/>
        </w:rPr>
        <w:t>، بقرينة اتّحاد الراوي و الحكاية، إلّا تفاوت ما حصل من جهة النقل بالمعنى، فيحصل الوهن فيها أيضا،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العامّة قائلون بنجاسة الخمر و لم يذهب إلى طهارتها إلّا شرذمة نادرة لا يعبأ بهم و لا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يتّقى في إظهار طهارتها؟ اجيب بأنّ التقيّة لا تنحصر في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يوافق علماءهم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المعتبر في الحمل على التقيّة المذهب الذي كان في ذلك الزمان يتّقون عنه، و كان المناسب تقيّتهم عليهم السّلام عنه، و فقهاؤنا أخبرونا بأنّهم عليهم السّلام اتّقوا في الأخبار الدالّة على الطهارة </w:t>
      </w:r>
      <w:r>
        <w:rPr>
          <w:rStyle w:val="FootnoteAnchor"/>
          <w:rtl w:val="true"/>
        </w:rPr>
        <w:footnoteReference w:id="648"/>
      </w:r>
      <w:r>
        <w:rPr>
          <w:rFonts w:ascii="Amiri" w:hAnsi="Amiri" w:eastAsia="Amiri" w:cs="Amiri"/>
          <w:color w:val="111111"/>
          <w:sz w:val="28"/>
          <w:sz w:val="28"/>
          <w:szCs w:val="28"/>
          <w:rtl w:val="true"/>
          <w:lang w:bidi="ar-SA"/>
        </w:rPr>
        <w:t>، و هم أعرف؛ لقرب العهد و شدّة الاطّلاع، و لذا يكون المدار في الحمل على التقيّة و معرفة العدالة و الأعدليّة و الشهرة و الشذوذ، و أمثال ذلك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الأخبار الدالّة على النجاسة أكثرها متضمّن للنبيذ المسكر و الفقاع </w:t>
      </w:r>
      <w:r>
        <w:rPr>
          <w:rStyle w:val="FootnoteAnchor"/>
          <w:rtl w:val="true"/>
        </w:rPr>
        <w:footnoteReference w:id="649"/>
      </w:r>
      <w:r>
        <w:rPr>
          <w:rFonts w:ascii="Amiri" w:hAnsi="Amiri" w:eastAsia="Amiri" w:cs="Amiri"/>
          <w:color w:val="111111"/>
          <w:sz w:val="28"/>
          <w:sz w:val="28"/>
          <w:szCs w:val="28"/>
          <w:rtl w:val="true"/>
          <w:lang w:bidi="ar-SA"/>
        </w:rPr>
        <w:t xml:space="preserve">أيضا، فلا يمكن الحمل على التقيّة، لأنّ العامّة يقولون بطهارتهما و حلّيتهما </w:t>
      </w:r>
      <w:r>
        <w:rPr>
          <w:rStyle w:val="FootnoteAnchor"/>
          <w:rtl w:val="true"/>
        </w:rPr>
        <w:footnoteReference w:id="650"/>
      </w:r>
      <w:r>
        <w:rPr>
          <w:rFonts w:ascii="Amiri" w:hAnsi="Amiri" w:eastAsia="Amiri" w:cs="Amiri"/>
          <w:color w:val="111111"/>
          <w:sz w:val="28"/>
          <w:sz w:val="28"/>
          <w:szCs w:val="28"/>
          <w:rtl w:val="true"/>
          <w:lang w:bidi="ar-SA"/>
        </w:rPr>
        <w:t xml:space="preserve">، و يظهر ذلك أيضا من الأخبار، فظهر أنّها مخالفة لمذهبهم، و ورد أنّ الرشد في خلافهم </w:t>
      </w:r>
      <w:r>
        <w:rPr>
          <w:rStyle w:val="FootnoteAnchor"/>
          <w:rtl w:val="true"/>
        </w:rPr>
        <w:footnoteReference w:id="651"/>
      </w:r>
      <w:r>
        <w:rPr>
          <w:rFonts w:ascii="Amiri" w:hAnsi="Amiri" w:eastAsia="Amiri" w:cs="Amiri"/>
          <w:color w:val="111111"/>
          <w:sz w:val="28"/>
          <w:sz w:val="28"/>
          <w:szCs w:val="28"/>
          <w:rtl w:val="true"/>
          <w:lang w:bidi="ar-SA"/>
        </w:rPr>
        <w:t>، و أمرونا بالأخذ به، و هذه هي الطريقة المعهودة من القدماء و المتأخّرين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على ما ذكرنا أنّ كثيرا من فقهائنا نقلوا الإجماع على النجاسة </w:t>
      </w:r>
      <w:r>
        <w:rPr>
          <w:rStyle w:val="FootnoteAnchor"/>
          <w:rtl w:val="true"/>
        </w:rPr>
        <w:footnoteReference w:id="652"/>
      </w:r>
      <w:r>
        <w:rPr>
          <w:rFonts w:ascii="Amiri" w:hAnsi="Amiri" w:eastAsia="Amiri" w:cs="Amiri"/>
          <w:color w:val="111111"/>
          <w:sz w:val="28"/>
          <w:sz w:val="28"/>
          <w:szCs w:val="28"/>
          <w:rtl w:val="true"/>
          <w:lang w:bidi="ar-SA"/>
        </w:rPr>
        <w:t>، مع أنّ الامراء و السلاطين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يقرب من 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مولعين بشرب الخمر، و لو كانوا عليهم السّلام قائلين بالطهارة لكان مقتضى العادة و توفّر الدواعي يشتهر منهم عليهم السّلام اشتهار الشمس، مع أنّ الأمر صار بالعكس؛ لأنّ القدماء ادّعوا الإجماع و المتأخّرين اتّفقوا كلّ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بالغسل منها في الأخبار يحتمل الاستحباب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فساد هذا الاحتمال، مضافا إلى أنّ الأخبار على النجاسة قويّة غاية القوّة، كما لا يخفى على المتأمّل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القول بحرمة الصلاة في البيت الذي فيه خمر، و صحّتها و حليّتها في الثوب الذي فيه الخمر </w:t>
      </w:r>
      <w:r>
        <w:rPr>
          <w:rStyle w:val="FootnoteAnchor"/>
          <w:rtl w:val="true"/>
        </w:rPr>
        <w:footnoteReference w:id="654"/>
      </w:r>
      <w:r>
        <w:rPr>
          <w:rFonts w:ascii="Amiri" w:hAnsi="Amiri" w:eastAsia="Amiri" w:cs="Amiri"/>
          <w:color w:val="111111"/>
          <w:sz w:val="28"/>
          <w:sz w:val="28"/>
          <w:szCs w:val="28"/>
          <w:rtl w:val="true"/>
          <w:lang w:bidi="ar-SA"/>
        </w:rPr>
        <w:t>في غاية الغرابة، و لا يناسب ما ذكره المؤلّف من أنّ الحكم بالنجاسة كان متنفّرا،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التنفّر إنّما يتأتّى بالنسبة إلى من له ميل إليها، و أعاظم أصحابنا كيف يجوّز العاقل أن يكون لهم ميل إليها، بحيث لا يحصل زجرهم و منعهم إلّا بالتنفير، و لا يزجرهم التخويفات الشديدة الأكيدة الهائلة البالغة، و الحدّ و التعزير، و جهات النهي عن المنكر، و يتوقّف زجرهم على القول بأنّها نجس المخالف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مثل هؤلاء الأعاظم الأجلّة يتوقّف ردعهم عن مثل الخمر بأمثال هذه التنفّرات، لكان غيرهم أولى بالتنفّرات، ثمّ أولى بمراتب شتّى، فاقتضى ذلك سدّ باب إظهار الطهارة؛ لأنّه مناف للغرض و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إظهار النجاسة ربّما يؤدّي إلى العدول إلى التيمّم مع التمكّن من الوضوء و الغسل، أو إلى ترك الصلاة رأسا مع التمكّن، أو إلى الصلاة عاريا، أو موميا بغير ركوع و سجود، أو غير ذلك، مع التمكّن من الصلاة صحيحة، أو تضييع يتيم أو مجنون أو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شنائع ما ذكره من التنفير لا يحصى و يظهر لك، بل مضافا إلى ما ذكرناه في هذا الباب و الباب السابق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التنجيس أيضا ليس نصّا في 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أبلغ في التنفير من غيره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دلالتها على النجاسة، و غاية المبالغة فيها كما لا يخفى على من تأمّل الرواية، مع أنّ مثل ما ذكر لو لم يدلّ على النجاسة لم يثبت نجاسة شي‌ء من خبر، بل الوارد في الأخبار ليس إلّا الأمر بالغسل، أو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النجاسات التي استدلّ بالأخبار عليها لم يكن إلّا أحد الأمرين، و في المقام اجتمع الأمران، و لم تكن مسألة فقهيّة إلّا و قد تعارض فيها الأخبار و الأدلّة،</w:t>
      </w:r>
      <w:bookmarkStart w:id="293" w:name="pg2470_12457"/>
    </w:p>
    <w:p>
      <w:pPr>
        <w:pStyle w:val="BookText"/>
        <w:rPr/>
      </w:pPr>
      <w:bookmarkEnd w:id="293"/>
      <w:r>
        <w:rPr>
          <w:rFonts w:ascii="Amiri" w:hAnsi="Amiri" w:eastAsia="Amiri" w:cs="Amiri"/>
          <w:color w:val="111111"/>
          <w:sz w:val="28"/>
          <w:sz w:val="28"/>
          <w:szCs w:val="28"/>
          <w:rtl w:val="true"/>
          <w:lang w:bidi="ar-SA"/>
        </w:rPr>
        <w:t>فلو كان مجرّد هذا يكون دليلا على الحمل على الكراهة ليفسد الفقه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خلاف نصّ المعصوم عليه السّلام حين سئلوا أنّ أحدهما يأمر بالأخذ و الآخر ينهى عن الأخذ، لم يأمر عليه السّلام بالحمل على الكراهة، بل أمروا بالرجوع إلى المرجّحات، من مخالفة العامّة، و ما إليه حكّامهم أميل، و ما اشتهر بين الأصحاب، و الكلّ هنا متحقّق كما لا يخفى</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3601486_3804643083"/>
      <w:bookmarkStart w:id="295" w:name="_Toc111"/>
      <w:bookmarkEnd w:id="294"/>
      <w:r>
        <w:rPr>
          <w:rtl w:val="true"/>
        </w:rPr>
        <w:t>[</w:t>
      </w:r>
      <w:r>
        <w:rPr>
          <w:rtl w:val="true"/>
        </w:rPr>
        <w:t>باب ما يطهر بغير الماء و ما لا يحتاج إلى التطهير</w:t>
      </w:r>
      <w:r>
        <w:rPr>
          <w:rtl w:val="true"/>
        </w:rPr>
        <w:t>]</w:t>
      </w:r>
      <w:bookmarkEnd w:id="295"/>
    </w:p>
    <w:p>
      <w:pPr>
        <w:pStyle w:val="Heading5"/>
        <w:numPr>
          <w:ilvl w:val="4"/>
          <w:numId w:val="1"/>
        </w:numPr>
        <w:rPr/>
      </w:pPr>
      <w:bookmarkStart w:id="296" w:name="__RefHeading___Toc3601488_3804643083"/>
      <w:bookmarkStart w:id="297" w:name="_Toc112"/>
      <w:bookmarkEnd w:id="296"/>
      <w:r>
        <w:rPr>
          <w:rtl w:val="true"/>
        </w:rPr>
        <w:t>[</w:t>
      </w:r>
      <w:r>
        <w:rPr>
          <w:rtl w:val="true"/>
        </w:rPr>
        <w:t>مطهّريّة الأرض</w:t>
      </w:r>
      <w:r>
        <w:rPr>
          <w:rtl w:val="true"/>
        </w:rPr>
        <w:t>]</w:t>
      </w:r>
      <w:bookmarkEnd w:id="2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مؤمن الطاق،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يطأ في الموضع الذي ليس بنظيف، ثم يطأ بعده مكانا نظيفا،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خمسة عشر ذراعا، أو نحو ذلك</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الأصحاب لم يقيّدوا الأرض بكونها طاهرة، و لا كونها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ابن الجنيد التقييد </w:t>
      </w:r>
      <w:r>
        <w:rPr>
          <w:rStyle w:val="FootnoteAnchor"/>
          <w:rtl w:val="true"/>
        </w:rPr>
        <w:footnoteReference w:id="657"/>
      </w:r>
      <w:r>
        <w:rPr>
          <w:rFonts w:ascii="Amiri" w:hAnsi="Amiri" w:eastAsia="Amiri" w:cs="Amiri"/>
          <w:color w:val="111111"/>
          <w:sz w:val="28"/>
          <w:sz w:val="28"/>
          <w:szCs w:val="28"/>
          <w:rtl w:val="true"/>
          <w:lang w:bidi="ar-SA"/>
        </w:rPr>
        <w:t>، و ظهر منه أنّ غيره لم يظهر منه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الأرض، و وجه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كون النجس يطهر، و ليس بشي‌ء؛ لأنّ الماء عندهم إذا كان قليلا بمجرّد الملاقاة ينفعل، و مع ذلك يطهر الموضع النجس إجماعا، و كذا حجر الاستنجاء، و أيضا الاستبعاد ليس بدليل شرعي، و الأصل عدم التقييد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يستشهد لابن الجنيد بهذه الصحيحة و رواية المعلّى الآتية</w:t>
      </w:r>
      <w:r>
        <w:rPr>
          <w:rFonts w:eastAsia="Amiri" w:cs="Amiri" w:ascii="Amiri" w:hAnsi="Amiri"/>
          <w:color w:val="111111"/>
          <w:sz w:val="28"/>
          <w:szCs w:val="28"/>
          <w:rtl w:val="true"/>
          <w:lang w:bidi="ar-SA"/>
        </w:rPr>
        <w:t>.</w:t>
      </w:r>
      <w:bookmarkStart w:id="298" w:name="pg2470_12458"/>
    </w:p>
    <w:p>
      <w:pPr>
        <w:pStyle w:val="BookText"/>
        <w:rPr/>
      </w:pPr>
      <w:bookmarkEnd w:id="29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الخنزير يخرج من الماء فيمرّ على الطريق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يدلّ على انفعال الماء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الشاذكونة يصيبها الاحتلام، أ يصلّى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غير وضع الجبهة؛ للإجماع و الأخبار على كون المسجد أرضا، أو ينبت منها، و لا يكون مأكولا و لا ملبوسا</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601490_3804643083"/>
      <w:bookmarkStart w:id="300" w:name="_Toc113"/>
      <w:bookmarkEnd w:id="299"/>
      <w:r>
        <w:rPr>
          <w:rtl w:val="true"/>
        </w:rPr>
        <w:t>[</w:t>
      </w:r>
      <w:r>
        <w:rPr>
          <w:rtl w:val="true"/>
        </w:rPr>
        <w:t>مطهّريّة الشمس</w:t>
      </w:r>
      <w:r>
        <w:rPr>
          <w:rtl w:val="true"/>
        </w:rPr>
        <w:t>]</w:t>
      </w:r>
      <w:bookmarkEnd w:id="3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أنّ الشمس تطهّر الأرض و البواري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الزعم من المصنّف لا من الأصحاب، و كذا الاشتباه إنّما اشتبه عليه لا عليهم؛ فإنّ الأخبار الآتية واضحة الدلالة على تطهير الشمس، لا غبار على دلالتها أصلا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إجماع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قدمائهم، و من عاصر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تطهير الشمس </w:t>
      </w:r>
      <w:r>
        <w:rPr>
          <w:rStyle w:val="FootnoteAnchor"/>
          <w:rtl w:val="true"/>
        </w:rPr>
        <w:footnoteReference w:id="661"/>
      </w:r>
      <w:r>
        <w:rPr>
          <w:rFonts w:ascii="Amiri" w:hAnsi="Amiri" w:eastAsia="Amiri" w:cs="Amiri"/>
          <w:color w:val="111111"/>
          <w:sz w:val="28"/>
          <w:sz w:val="28"/>
          <w:szCs w:val="28"/>
          <w:rtl w:val="true"/>
          <w:lang w:bidi="ar-SA"/>
        </w:rPr>
        <w:t xml:space="preserve">، فلا عبرة بما احتمله شاذّ من المتأخّرين عن الشيخ بأنّها مطهّرة إلّا أنّه تطهير حكمي يعني يجوز السجدة عليه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العظيمة، بل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حجّة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الكثيرة الواضحة الدلالة تكتفي في المسألة الفقهيّة، بل و أدون من ذلك يكفي، فلا وجه لنسبة الفقهاء الخبيرين المطّلعين، القدماء و المتأخّرين جميعا، و المؤسّسين لمذهب الشيعة، و المروّجين له، الشاهدين على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يرى ما لا يراه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عليهم المدار في الفقه و الدين في الأعصار و الأمصار، المتكفّلين لأيتام الرسول صلّى اللّه عليه و آله و سلم و الحجج عليهم السّلام، و الحافظين لشرعهم؛ لا وجه لنسبتهم إلى الزعم و الاشتباه من دون جهة أصلا سوى الزعم و الاشتباه، و العصمة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حديد بن حكيم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السطح يصيبه البول أو يبال عليه، أ يصلّى في ذلك الموضع؟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يصيبه الشمس و الريح، و كان جافّا فلا بأس به، إلّا أن يكون يتخذ مبالا</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عليه السّلام أنّ التجفيف ليس بشرط أن يكون بخصوص الشمس من غير إعانة الريح؛ إذ إعانته لا تضرّ، و الأصحاب ما أجمعوا على خلاف ذلك، بل يقولون و لا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تطهّرها بتجفيف الريح</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 إلى الشيخ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بمطهريّة الريح أيضا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نصّ فيما قلنا من عدم تطهير الشمس للأرض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نصّا محلّ نظر؛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يفيد الاستمرار</w:t>
      </w:r>
    </w:p>
    <w:p>
      <w:pPr>
        <w:pStyle w:val="BookText"/>
        <w:rPr/>
      </w:pPr>
      <w:r>
        <w:rPr>
          <w:rFonts w:ascii="Amiri" w:hAnsi="Amiri" w:eastAsia="Amiri" w:cs="Amiri"/>
          <w:color w:val="111111"/>
          <w:sz w:val="28"/>
          <w:sz w:val="28"/>
          <w:szCs w:val="28"/>
          <w:rtl w:val="true"/>
          <w:lang w:bidi="ar-SA"/>
        </w:rPr>
        <w:t>التجدّدي، فالظاهر أنّهما صارا مبالا تراكم فيه الأبوال، و سيجي‌ء ما يدلّ على حكم مثله من المبال؛ فإنّ الغالب في مثله عدم تجفّف الشمس كلّ بول يتحقّق فيه، بل اليقين حاصل في ذلك، و لذا سأل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يطهر من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تطهّره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التنكير لا المعرفة، و المعصوم عليه السّلام أيضا 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و ضميمة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السؤال و الجواب ينادي بأعلى صوته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تطهّر الشمس الموضع المبال الذي يتحقّق الجفاف من غير الشمس أيضا بالنسبة إلى بعض الأبوال، و تراكم أجزاء البول، و حصل اليبس و الجفاف سابقا على الشمس بمقتضى العادة؟</w:t>
      </w:r>
    </w:p>
    <w:p>
      <w:pPr>
        <w:pStyle w:val="BookText"/>
        <w:rPr/>
      </w:pPr>
      <w:r>
        <w:rPr>
          <w:rFonts w:ascii="Amiri" w:hAnsi="Amiri" w:eastAsia="Amiri" w:cs="Amiri"/>
          <w:color w:val="111111"/>
          <w:sz w:val="28"/>
          <w:sz w:val="28"/>
          <w:szCs w:val="28"/>
          <w:rtl w:val="true"/>
          <w:lang w:bidi="ar-SA"/>
        </w:rPr>
        <w:t>فبمجرّد إشراق الشمس على مثل هذا الموضع هل يطهر أم لا بدّ من ماء يرطّبه و يرطّب أجزاءه و يجفّفها الشمس و يزيل رطوباته و تنشّفها؟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الموضع كيف يطهّره الشمس من دون ضمّ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على تقدير أن يكون مثل هذا الموضع لا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لا يلزم أن يكون الشمس غير مطهّرة أصلا، فلا يظهر من هذا الحديث ما يعارض الأحاديث الدالّة على تطهيرها، و الإجماع، فكيف و أن يكون يغلب على الجميع و يوجب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بعضا منها لا يقبل التأويل، و بعضا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 تلك الأخبار و الإجماع الأوفقيّة بالملّة السمحة السهلة،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المسلمين في الأعصار و الأمصار في الزروع و الأبنية كما لا يخفى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هذا الخبر على التقيّة، حمله الخبير الماهر المطّلع </w:t>
      </w:r>
      <w:r>
        <w:rPr>
          <w:rStyle w:val="FootnoteAnchor"/>
          <w:rtl w:val="true"/>
        </w:rPr>
        <w:footnoteReference w:id="667"/>
      </w:r>
      <w:r>
        <w:rPr>
          <w:rFonts w:ascii="Amiri" w:hAnsi="Amiri" w:eastAsia="Amiri" w:cs="Amiri"/>
          <w:color w:val="111111"/>
          <w:sz w:val="28"/>
          <w:sz w:val="28"/>
          <w:szCs w:val="28"/>
          <w:rtl w:val="true"/>
          <w:lang w:bidi="ar-SA"/>
        </w:rPr>
        <w:t>، و يناسبه</w:t>
      </w:r>
    </w:p>
    <w:p>
      <w:pPr>
        <w:pStyle w:val="BookText"/>
        <w:rPr/>
      </w:pPr>
      <w:r>
        <w:rPr>
          <w:rFonts w:ascii="Amiri" w:hAnsi="Amiri" w:eastAsia="Amiri" w:cs="Amiri"/>
          <w:color w:val="111111"/>
          <w:sz w:val="28"/>
          <w:sz w:val="28"/>
          <w:szCs w:val="28"/>
          <w:rtl w:val="true"/>
          <w:lang w:bidi="ar-SA"/>
        </w:rPr>
        <w:t>كون ابن بزيع من وزراء الخليفة، فيناسبه الاتّقاء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المضمر لا يعارض المصرّح باسم الإمام عليه السّلام، فضلا عن مصرّحات كثيرة، و العاميّة لا تعارض المتعدّد، سيّما و أن يكون كثيرا، و المشتهر بين الأصحاب لا يعارضه الشاذّ، و المتأيّد بالمؤيّدات لا يعارضه غير المتأيّد، و الواضح الدلالة لا يعارضه خفي الدلالة، على فرض عدم الظهور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كلّ واحد واحد كذلك، فما ظنّك إذا اجتمع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 هذا الحديث ما يعارض ما دلّ على التطهير؛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تطهّر الشمس مطلقا من دون ماء أصلا في حال من الأحوال؟</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يطهّر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ربّما جفّ البول غير الشمس، و ربّما يكون النجاسة لا تزول إلّا بالغسل، فيكون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ذكرنا أوّلا، و من الغسل المطهّر، و من الإزالة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الاحتمال و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عين ألفاظ الحديث، و المعنى الحقيقي لعباراته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أيضا أن يكون المراد من قوله خصوص الغسل المطهّر، بالتقريب الذي ذكر، و هو أيضا مثل الاحتمالين، إلّا أنّه أبعد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أيضا أن يكون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رطوبة؛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يطهّر الشمس يابسا من غير رطوبة في النجاسة أو ما يصبّ عليها؟ فيكون الرطوبة أعمّ مما في البول و نحوه، و من الماء الذي يصبّ للتطهير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الماء على الرطوبة شائع ذائع؛ منها ما مرّ في غسل البول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ماء</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 ما مرّ في الاستنجاء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أن يغسل</w:t>
      </w:r>
    </w:p>
    <w:p>
      <w:pPr>
        <w:pStyle w:val="BookText"/>
        <w:rPr/>
      </w:pPr>
      <w:r>
        <w:rPr>
          <w:rFonts w:ascii="IRNazanin" w:hAnsi="IRNazanin" w:eastAsia="IRNazanin"/>
          <w:color w:val="111111"/>
          <w:sz w:val="28"/>
          <w:sz w:val="28"/>
          <w:szCs w:val="28"/>
          <w:rtl w:val="true"/>
          <w:lang w:bidi="fa-IR"/>
        </w:rPr>
        <w:t>البول بمثله</w:t>
      </w:r>
      <w:r>
        <w:rPr>
          <w:rFonts w:eastAsia="IRNazanin" w:cs="IRNazanin"/>
          <w:color w:val="111111"/>
          <w:sz w:val="28"/>
          <w:szCs w:val="28"/>
          <w:rtl w:val="true"/>
          <w:lang w:bidi="fa-IR"/>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القرينة على ذلك أنّ الرطوبة شرط في تطهير الشمس مطلقا، لا الماء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 أنّ هذه الصحيحة أيضا تدلّ على مطهّريّة الشمس، لا على عدم مطهّريّتها كما توهّم من عدم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هل تطهّر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الموضع قذرا من البول أو غير ذلك فأصابته الشمس ثمّ يبس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على الموضع جائزة، و إن أصابته الشمس و لم ييبس الموضع القذر</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ظاهر في تطهير الشمس من جهة 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 الموضع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أوّلا، و لم يشر إلى الغسل أصلا في صورة تطهير الشمس، مع أنّه لو كان في هذه الصورة أيضا نجسا لكان أولى بالأمر بالغسل، ثمّ أولى بمراتب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سؤاله كان عن التطهير، و الإمام عليه السّلام في مقام الجواب عن ذلك، فكما أنّه في الصورة الاولى 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في الثانية بجواز الصلاة، و عدم الأمر بالغسل، و كما أنّ الأوّل دليل النجاسة يكون الثاني دليل الطهارة، كما يفهمه العرف، و لذا اتّفق أفهام المعظم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تعبير الراوي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الثانية بقوله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تطهّر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كون تطهير الشمس من المشهورات عندهم، و أنّ سؤاله عن هذا الأمر المشهور، و المعصوم عليه السّلام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من غير تقييد عدم وضع موضع الجبهة،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w:t>
      </w:r>
    </w:p>
    <w:p>
      <w:pPr>
        <w:pStyle w:val="BookText"/>
        <w:rPr/>
      </w:pPr>
      <w:r>
        <w:rPr>
          <w:rFonts w:ascii="Amiri" w:hAnsi="Amiri" w:eastAsia="Amiri" w:cs="Amiri"/>
          <w:color w:val="111111"/>
          <w:sz w:val="28"/>
          <w:sz w:val="28"/>
          <w:szCs w:val="28"/>
          <w:rtl w:val="true"/>
          <w:lang w:bidi="ar-SA"/>
        </w:rPr>
        <w:t>الجبهة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جميع ذلك شرط كون اليبس بالشمس؛ إذ مفهوم الشرط حجّة و مسلّم الحجيّة حتّى عند المصنّف، و أيضا ظاهره اشتهار كون الشمس من المطهّرات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الأخبار اشتراط طهارة موضع السجدة حتّى من هذه الرواية أيضا، و هو واضح، و نقل الإجماع عليها </w:t>
      </w:r>
      <w:r>
        <w:rPr>
          <w:rStyle w:val="FootnoteAnchor"/>
          <w:rtl w:val="true"/>
        </w:rPr>
        <w:footnoteReference w:id="671"/>
      </w:r>
      <w:r>
        <w:rPr>
          <w:rFonts w:ascii="Amiri" w:hAnsi="Amiri" w:eastAsia="Amiri" w:cs="Amiri"/>
          <w:color w:val="111111"/>
          <w:sz w:val="28"/>
          <w:sz w:val="28"/>
          <w:szCs w:val="28"/>
          <w:rtl w:val="true"/>
          <w:lang w:bidi="ar-SA"/>
        </w:rPr>
        <w:t xml:space="preserve">، و الإجماع المنقول حجّة، بل شنّع المسلمون على أبي حنيفة في قوله بعدم اشتراط طاهريّته </w:t>
      </w:r>
      <w:r>
        <w:rPr>
          <w:rStyle w:val="FootnoteAnchor"/>
          <w:rtl w:val="true"/>
        </w:rPr>
        <w:footnoteReference w:id="672"/>
      </w:r>
      <w:r>
        <w:rPr>
          <w:rFonts w:ascii="Amiri" w:hAnsi="Amiri" w:eastAsia="Amiri" w:cs="Amiri"/>
          <w:color w:val="111111"/>
          <w:sz w:val="28"/>
          <w:sz w:val="28"/>
          <w:szCs w:val="28"/>
          <w:rtl w:val="true"/>
          <w:lang w:bidi="ar-SA"/>
        </w:rPr>
        <w:t>، و لذا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تصيبه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كانت رجلك رطبة، أو جبهتك رطبة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ما يصيب ذلك الموضع القذر فلا تصلّ على ذلك الموضع</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بعض النسخ 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ذيل الحديث احتمالات متعدّدة؛ بعضها ظاهر في تطهير الشمس، و بعضها مشعر بعدم تطهيرها، فلم يثبت ما يخالف ما ظهر من أوّل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بسط الكلام، فعليه بمطالعة حاشيتنا على المدارك </w:t>
      </w:r>
      <w:r>
        <w:rPr>
          <w:rStyle w:val="FootnoteAnchor"/>
          <w:rtl w:val="true"/>
        </w:rPr>
        <w:footnoteReference w:id="674"/>
      </w:r>
      <w:r>
        <w:rPr>
          <w:rFonts w:ascii="Amiri" w:hAnsi="Amiri" w:eastAsia="Amiri" w:cs="Amiri"/>
          <w:color w:val="111111"/>
          <w:sz w:val="28"/>
          <w:sz w:val="28"/>
          <w:szCs w:val="28"/>
          <w:rtl w:val="true"/>
          <w:lang w:bidi="ar-SA"/>
        </w:rPr>
        <w:t>، و في اخر الخبر أيضا ما يشير إلى مطهّريّة الشمس،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فهو نصّ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اعترف من وجوب طهارة قدر ما يسجد عليه، يكون الحديث نصّا</w:t>
      </w:r>
    </w:p>
    <w:p>
      <w:pPr>
        <w:pStyle w:val="BookText"/>
        <w:rPr/>
      </w:pPr>
      <w:r>
        <w:rPr>
          <w:rFonts w:ascii="Amiri" w:hAnsi="Amiri" w:eastAsia="Amiri" w:cs="Amiri"/>
          <w:color w:val="111111"/>
          <w:sz w:val="28"/>
          <w:sz w:val="28"/>
          <w:szCs w:val="28"/>
          <w:rtl w:val="true"/>
          <w:lang w:bidi="ar-SA"/>
        </w:rPr>
        <w:t>في تطهير الشمس، كما فهمه أرباب الفهم السليم من أنّ المراد وضع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لم يكن كذلك لم يكن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تحقّق الشمس و غيرها، و الرواية صريحة في الفرق، لا يمكن توجيهها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قلناه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كذلك؛ لاحتمال رجوع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عباراته السابقة،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الطهارة في الخبرين بمعناها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سراية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ليوافقا الأخبار السابقة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فساده؛ لأنّ المعنى اللغوي أمر يعرفه النساء، فضلا عن الرجال، فضلا عن مثل زرارة، فضلا عن كسب المال ليسافر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الباقر عليه السّلام، خصوصا في هذا المقام؛ إذ لا ربط بحصول النظافة اللغويّة بالنسبة إلى النجس بالنجاسة الشرعيّة، و لا ربط أيضا لحكاية الصلاة و كونها في ذلك المكان، و كذا لا ربط لاشتراط التجفيف بالشمس و مفهوم الشرط و حجّة شرعيّة، و كذا لا ربط لكون الجزاء لذلك الشرط خصوص الصلاة عليه و مثله أيضا، و كذا لا وجه للتعليل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بعد البناء على كون المراد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المحقّقين اتّفقوا على ثبوت الحقيقة الشرعيّة في زمان الباقر عليه السّلام و من بعده </w:t>
      </w:r>
      <w:r>
        <w:rPr>
          <w:rStyle w:val="FootnoteAnchor"/>
          <w:rtl w:val="true"/>
        </w:rPr>
        <w:footnoteReference w:id="678"/>
      </w:r>
      <w:r>
        <w:rPr>
          <w:rFonts w:ascii="Amiri" w:hAnsi="Amiri" w:eastAsia="Amiri" w:cs="Amiri"/>
          <w:color w:val="111111"/>
          <w:sz w:val="28"/>
          <w:sz w:val="28"/>
          <w:szCs w:val="28"/>
          <w:rtl w:val="true"/>
          <w:lang w:bidi="ar-SA"/>
        </w:rPr>
        <w:t>، و الدليل قائم على ذلك، و يظهر ذلك من تتبّع تضاعيف الأحاديث</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 المراد الطهارة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الصلاة عليه على الإطلاق، من دون اشتراط يبوسة الأعضاء و الثياب و الموضع،</w:t>
      </w:r>
    </w:p>
    <w:p>
      <w:pPr>
        <w:pStyle w:val="BookText"/>
        <w:rPr/>
      </w:pPr>
      <w:r>
        <w:rPr>
          <w:rFonts w:ascii="Amiri" w:hAnsi="Amiri" w:eastAsia="Amiri" w:cs="Amiri"/>
          <w:color w:val="111111"/>
          <w:sz w:val="28"/>
          <w:sz w:val="28"/>
          <w:szCs w:val="28"/>
          <w:rtl w:val="true"/>
          <w:lang w:bidi="ar-SA"/>
        </w:rPr>
        <w:t xml:space="preserve">و كذا من دون استثناء موضع الجبهة، بل لا يخفى أنّ الغرض وضع الجبهة، و كون الصلاة على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حمل سؤال زرارة على كونه من جهة خصوص الكراهة لا أنّه من جهة جواز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المنع من جهة النجاسة، فاسد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اشتهار كون الشمس من المطهّرات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التأمّل في الأخبار، و يحصل القطع من الخارج، حتّى أنّه ورد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يعصى اللّه في بيت إلّا أضحاه الشمس حتّى يطهر</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وقعت عليه الشمس من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أصابها شي‌ء من النجاسة، مثل البول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طهّرتها، و أمّا الثياب فلا تطهر إلّا بالغسل</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 هذا أيضا منجبر بعمل القدماء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أيضا الأخبار الواردة عن علي بن جعفر </w:t>
      </w:r>
      <w:r>
        <w:rPr>
          <w:rStyle w:val="FootnoteAnchor"/>
          <w:rtl w:val="true"/>
        </w:rPr>
        <w:footnoteReference w:id="681"/>
      </w:r>
      <w:r>
        <w:rPr>
          <w:rFonts w:ascii="Amiri" w:hAnsi="Amiri" w:eastAsia="Amiri" w:cs="Amiri"/>
          <w:color w:val="111111"/>
          <w:sz w:val="28"/>
          <w:sz w:val="28"/>
          <w:szCs w:val="28"/>
          <w:rtl w:val="true"/>
          <w:lang w:bidi="ar-SA"/>
        </w:rPr>
        <w:t xml:space="preserve">بحملها على التجفيف بالشمس؛ للإجماع، و أمّا روايته في الدار التي لا يصيبها الشمس </w:t>
      </w:r>
      <w:r>
        <w:rPr>
          <w:rStyle w:val="FootnoteAnchor"/>
          <w:rtl w:val="true"/>
        </w:rPr>
        <w:footnoteReference w:id="682"/>
      </w:r>
      <w:r>
        <w:rPr>
          <w:rFonts w:ascii="Amiri" w:hAnsi="Amiri" w:eastAsia="Amiri" w:cs="Amiri"/>
          <w:color w:val="111111"/>
          <w:sz w:val="28"/>
          <w:sz w:val="28"/>
          <w:szCs w:val="28"/>
          <w:rtl w:val="true"/>
          <w:lang w:bidi="ar-SA"/>
        </w:rPr>
        <w:t>، ففيه أنّه فرق بين الصلاة فيها و الصلاة على الموضع،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بالشي‌ء غير القذر، و أمّا ما مرّ من أنّه لا يغسل بالبصاق غير الدم، فمحمول على القذر، كما مرّ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حاجة إلى هذا التوجيه؛ لأنّ الظاهر أنّ الماء هنا بمعناه الحقيقي، إلّا أنّه يصبّ </w:t>
      </w:r>
      <w:r>
        <w:rPr>
          <w:rStyle w:val="FootnoteAnchor"/>
          <w:rtl w:val="true"/>
        </w:rPr>
        <w:footnoteReference w:id="684"/>
      </w:r>
      <w:r>
        <w:rPr>
          <w:rFonts w:ascii="Amiri" w:hAnsi="Amiri" w:eastAsia="Amiri" w:cs="Amiri"/>
          <w:color w:val="111111"/>
          <w:sz w:val="28"/>
          <w:sz w:val="28"/>
          <w:szCs w:val="28"/>
          <w:rtl w:val="true"/>
          <w:lang w:bidi="ar-SA"/>
        </w:rPr>
        <w:t>على الموضع من فيه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سؤال الراوي أنّه ربّما كان في الفم يدخله لعاب الفم فيضرّ، فأجاب عليه السّلام بأنّه لا يضرّ؛ لأنّ مجرّد دخول شي‌ء منه لا يخرجه عن الإطلاق</w:t>
      </w:r>
      <w:r>
        <w:rPr>
          <w:rFonts w:eastAsia="Amiri" w:cs="Amiri" w:ascii="Amiri" w:hAnsi="Amiri"/>
          <w:color w:val="111111"/>
          <w:sz w:val="28"/>
          <w:szCs w:val="28"/>
          <w:rtl w:val="true"/>
          <w:lang w:bidi="ar-SA"/>
        </w:rPr>
        <w:t>.</w:t>
      </w:r>
      <w:bookmarkStart w:id="301" w:name="pg2470_12467"/>
    </w:p>
    <w:p>
      <w:pPr>
        <w:pStyle w:val="Heading4"/>
        <w:numPr>
          <w:ilvl w:val="3"/>
          <w:numId w:val="1"/>
        </w:numPr>
        <w:rPr/>
      </w:pPr>
      <w:bookmarkStart w:id="302" w:name="__RefHeading___Toc3601492_3804643083"/>
      <w:bookmarkStart w:id="303" w:name="_Toc114"/>
      <w:bookmarkEnd w:id="301"/>
      <w:bookmarkEnd w:id="302"/>
      <w:r>
        <w:rPr>
          <w:rtl w:val="true"/>
        </w:rPr>
        <w:t>[</w:t>
      </w:r>
      <w:r>
        <w:rPr>
          <w:rtl w:val="true"/>
        </w:rPr>
        <w:t>أبواب الوضوء</w:t>
      </w:r>
      <w:r>
        <w:rPr>
          <w:rtl w:val="true"/>
        </w:rPr>
        <w:t>]</w:t>
      </w:r>
      <w:bookmarkEnd w:id="303"/>
    </w:p>
    <w:p>
      <w:pPr>
        <w:pStyle w:val="Heading5"/>
        <w:numPr>
          <w:ilvl w:val="4"/>
          <w:numId w:val="1"/>
        </w:numPr>
        <w:rPr/>
      </w:pPr>
      <w:bookmarkStart w:id="304" w:name="__RefHeading___Toc3601494_3804643083"/>
      <w:bookmarkStart w:id="305" w:name="_Toc115"/>
      <w:bookmarkEnd w:id="304"/>
      <w:r>
        <w:rPr>
          <w:rtl w:val="true"/>
        </w:rPr>
        <w:t>[</w:t>
      </w:r>
      <w:r>
        <w:rPr>
          <w:rtl w:val="true"/>
        </w:rPr>
        <w:t>بحث في معنى الآية</w:t>
      </w:r>
      <w:r>
        <w:rPr>
          <w:rtl w:val="true"/>
        </w:rPr>
        <w:t>]</w:t>
      </w:r>
      <w:bookmarkEnd w:id="3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الصعيد هو التراب،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الأوّل قول النبي صلّى اللّه عليه و آله و سلم في معرض التسهيل و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امتنان اللّه سبحانه عليه، و على هذه الامّة المرحومة في إحدى الروايتين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أظهرهما و أشهرهما، بل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عمله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بهذه الرواية </w:t>
      </w:r>
      <w:r>
        <w:rPr>
          <w:rStyle w:val="FootnoteAnchor"/>
          <w:rtl w:val="true"/>
        </w:rPr>
        <w:footnoteReference w:id="686"/>
      </w:r>
      <w:r>
        <w:rPr>
          <w:rFonts w:ascii="Amiri" w:hAnsi="Amiri" w:eastAsia="Amiri" w:cs="Amiri"/>
          <w:color w:val="111111"/>
          <w:sz w:val="28"/>
          <w:sz w:val="28"/>
          <w:szCs w:val="28"/>
          <w:rtl w:val="true"/>
          <w:lang w:bidi="ar-SA"/>
        </w:rPr>
        <w:t>كما احتجّ بها المؤلّف، فيظهر منه أنّها قطعيّة عنده، مع أنّ سقط الرواية أظهر في النظر من ازديادها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ما دلّ على اشتراط العلوق من الآية و الحديث الصحيح و غيرهما، و كذا الأخبار الصحيحة المتضمّنة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كما ستجي‌ء، و غيرها من الأخبار، كما ستجي‌ء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يعارض ما ورد من لفظ الأرض في غير واحد من الأخبار </w:t>
      </w:r>
      <w:r>
        <w:rPr>
          <w:rStyle w:val="FootnoteAnchor"/>
          <w:rtl w:val="true"/>
        </w:rPr>
        <w:footnoteReference w:id="688"/>
      </w:r>
      <w:r>
        <w:rPr>
          <w:rFonts w:ascii="Amiri" w:hAnsi="Amiri" w:eastAsia="Amiri" w:cs="Amiri"/>
          <w:color w:val="111111"/>
          <w:sz w:val="28"/>
          <w:sz w:val="28"/>
          <w:szCs w:val="28"/>
          <w:rtl w:val="true"/>
          <w:lang w:bidi="ar-SA"/>
        </w:rPr>
        <w:t>لأنّ</w:t>
      </w:r>
      <w:bookmarkStart w:id="306" w:name="pg2470_12468"/>
    </w:p>
    <w:p>
      <w:pPr>
        <w:pStyle w:val="BookText"/>
        <w:rPr/>
      </w:pPr>
      <w:bookmarkEnd w:id="306"/>
      <w:r>
        <w:rPr>
          <w:rFonts w:ascii="Amiri" w:hAnsi="Amiri" w:eastAsia="Amiri" w:cs="Amiri"/>
          <w:color w:val="111111"/>
          <w:sz w:val="28"/>
          <w:sz w:val="28"/>
          <w:szCs w:val="28"/>
          <w:rtl w:val="true"/>
          <w:lang w:bidi="ar-SA"/>
        </w:rPr>
        <w:t>إطلاق لفظ الكلّي على الفرد حقيقة متعارفة، سيّما إذا كان الفرد أغلب الأفراد و شائعها، فتأمّل جدّا</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3601496_3804643083"/>
      <w:bookmarkStart w:id="308" w:name="_Toc116"/>
      <w:bookmarkEnd w:id="307"/>
      <w:r>
        <w:rPr>
          <w:rtl w:val="true"/>
        </w:rPr>
        <w:t>[</w:t>
      </w:r>
      <w:r>
        <w:rPr>
          <w:rtl w:val="true"/>
        </w:rPr>
        <w:t>باب الأحداث التي توجب الوضوء</w:t>
      </w:r>
      <w:r>
        <w:rPr>
          <w:rtl w:val="true"/>
        </w:rPr>
        <w:t>]</w:t>
      </w:r>
      <w:bookmarkEnd w:id="3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ينفخ في دبر الإنسان حتّى يخيّل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خرج منه ريح، و لا ينقض الوضوء إلّا ريح يسمعها، أو يجد ريحها</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مقتضى الأخبار الصحيحة و المعتبرة </w:t>
      </w:r>
      <w:r>
        <w:rPr>
          <w:rStyle w:val="FootnoteAnchor"/>
          <w:rtl w:val="true"/>
        </w:rPr>
        <w:footnoteReference w:id="690"/>
      </w:r>
      <w:r>
        <w:rPr>
          <w:rFonts w:ascii="Amiri" w:hAnsi="Amiri" w:eastAsia="Amiri" w:cs="Amiri"/>
          <w:color w:val="111111"/>
          <w:sz w:val="28"/>
          <w:sz w:val="28"/>
          <w:szCs w:val="28"/>
          <w:rtl w:val="true"/>
          <w:lang w:bidi="ar-SA"/>
        </w:rPr>
        <w:t xml:space="preserve">ناقضيّة مطلق الريح الخارج بعد حصول العلم، و كذا فتوى فقهائنا رحمهم اللّه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مضمون هذا الحديث إنّما هو بالنسبة إلى أهل الوسواس، لا سائر الناس، كما يشير إليه صدره، و كذا الحال في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يسمع أو يوجد، أو أنّ الوصفين وردا مورد الغالب في مقام العلم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في صلاته قطع الصلاة</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أنّ خروج الحدث في أثناء الصلاة مبطل للصلاة مطلقا، كما هو المشهور</w:t>
      </w:r>
      <w:r>
        <w:rPr>
          <w:rFonts w:eastAsia="Amiri" w:cs="Amiri" w:ascii="Amiri" w:hAnsi="Amiri"/>
          <w:color w:val="111111"/>
          <w:sz w:val="28"/>
          <w:szCs w:val="28"/>
          <w:rtl w:val="true"/>
          <w:lang w:bidi="ar-SA"/>
        </w:rPr>
        <w:t>.</w:t>
      </w:r>
      <w:bookmarkStart w:id="309" w:name="pg2470_12469"/>
    </w:p>
    <w:p>
      <w:pPr>
        <w:pStyle w:val="BookText"/>
        <w:rPr/>
      </w:pPr>
      <w:bookmarkEnd w:id="30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الحسن عليه السّلام عن الرعاف و 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هذا شيئا من الوضوء، و لكن ينقض الصلاة</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أنّ الفعل الكثير مبطل للصلاة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3601498_3804643083"/>
      <w:bookmarkStart w:id="311" w:name="_Toc117"/>
      <w:bookmarkEnd w:id="310"/>
      <w:r>
        <w:rPr>
          <w:rtl w:val="true"/>
        </w:rPr>
        <w:t>[</w:t>
      </w:r>
      <w:r>
        <w:rPr>
          <w:rtl w:val="true"/>
        </w:rPr>
        <w:t>معنى وجوب الوضوء</w:t>
      </w:r>
      <w:r>
        <w:rPr>
          <w:rtl w:val="true"/>
        </w:rPr>
        <w:t>]</w:t>
      </w:r>
      <w:bookmarkEnd w:id="3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الخفقة و الخفقتين؟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الخفقة و الخفقتان؛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694"/>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طعم النوم قائما أو قاعدا، فقد وجب عليه الوضوء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بأمثال هذا الخبر على وجوب الوضوء لنفسه؛ لأنّ الظاهر وجوبه بمجرّد تحقّق الحدث، و عند حصوله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 لأنّ الذي يظهر أنّه يجب عقيب كلّ حدث حدث فورا إن قلنا بأنّ الفاء هنا تفيد الفوريّة، أو موسّعا إن قلنا بعدم إفادتها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المسلمين بذلك، بل الذي نقل عن قائل مجهول أنّه يجب بالحدث إحدى الطهارات الثلاث وجوبا موسّعا لا يتضيّق إلّا بتضيّق وقت المشروط به، أو ظنّ الوفاة </w:t>
      </w:r>
      <w:r>
        <w:rPr>
          <w:rStyle w:val="FootnoteAnchor"/>
          <w:rtl w:val="true"/>
        </w:rPr>
        <w:footnoteReference w:id="696"/>
      </w:r>
      <w:r>
        <w:rPr>
          <w:rFonts w:ascii="Amiri" w:hAnsi="Amiri" w:eastAsia="Amiri" w:cs="Amiri"/>
          <w:color w:val="111111"/>
          <w:sz w:val="28"/>
          <w:sz w:val="28"/>
          <w:szCs w:val="28"/>
          <w:rtl w:val="true"/>
          <w:lang w:bidi="ar-SA"/>
        </w:rPr>
        <w:t>، و أنّه إذا ظهر عقيب كلّ حدث حدث يتطهّر بقصد الوجوب، و إلّا فليس عليه عقاب سوى الطهارة التي يتركها عند ظنّ الوفاة، و التمكن منها بالحدث الأصغر يجب عليه الوضوء مع التمكّن، و بالأكبر</w:t>
      </w:r>
    </w:p>
    <w:p>
      <w:pPr>
        <w:pStyle w:val="BookText"/>
        <w:rPr/>
      </w:pPr>
      <w:r>
        <w:rPr>
          <w:rFonts w:ascii="Amiri" w:hAnsi="Amiri" w:eastAsia="Amiri" w:cs="Amiri"/>
          <w:color w:val="111111"/>
          <w:sz w:val="28"/>
          <w:sz w:val="28"/>
          <w:szCs w:val="28"/>
          <w:rtl w:val="true"/>
          <w:lang w:bidi="ar-SA"/>
        </w:rPr>
        <w:t>الغسل، و عند عدم التمكّن منها التيمّم؛ كلّ واحد منها بالنحو الذي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مغاير لما يظهر من الروايات من أنّ عقيب كلّ حدث يجب وضوء بوجوب مستقلّ؛ يكون على تركه العقاب </w:t>
      </w:r>
      <w:r>
        <w:rPr>
          <w:rStyle w:val="FootnoteAnchor"/>
          <w:rtl w:val="true"/>
        </w:rPr>
        <w:footnoteReference w:id="697"/>
      </w:r>
      <w:r>
        <w:rPr>
          <w:rFonts w:ascii="Amiri" w:hAnsi="Amiri" w:eastAsia="Amiri" w:cs="Amiri"/>
          <w:color w:val="111111"/>
          <w:sz w:val="28"/>
          <w:sz w:val="28"/>
          <w:szCs w:val="28"/>
          <w:rtl w:val="true"/>
          <w:lang w:bidi="ar-SA"/>
        </w:rPr>
        <w:t>، فيجتمع على المكلّف واجبات لا تحصى، على ترك كلّ واحد منها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نسب إلى القائل فاسد في نفسه، فكيف يكون ظاهرا من الأخبار؟ و ذلك لأنّه يلزم منه تحقّق واجبات 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كلّ واحد واحد منها، و لا يكون على ترك واحد منها عقاب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قال بأنّه بالحدث الصادر حين البلوغ يجب وضوء واحد بوجوب موسّع إلى اخر العمر، فيكفي وضوء واحد من أوّل العمر إلى آخره، فكيف يكون و ضوؤه عقيب كلّ حدث واجبا حتّى ينوي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كلّ حدث حدث يكون وضوء وضوء، كلّ واحد منه واجب على حدة، كيف يجوز ترك الكلّ إلّا ما هو عند ظن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واحد منه واجبا من واجبات لا تحصى ليس على تركها عقاب أصلا؛ لجواز تركها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تضيّقه بتضيّق وقت العبادة المشروطة، فلا يقتضي أن يكون على ترك الوضوء عقاب؛ لأنّ الظاهر من كلامه أنّ وجوب الوضوء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شرطي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قصارى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وجوبه لها وجوبا لغيره، و قد حقّق في محلّه </w:t>
      </w:r>
      <w:r>
        <w:rPr>
          <w:rStyle w:val="FootnoteAnchor"/>
          <w:rtl w:val="true"/>
        </w:rPr>
        <w:footnoteReference w:id="698"/>
      </w:r>
      <w:r>
        <w:rPr>
          <w:rFonts w:ascii="Amiri" w:hAnsi="Amiri" w:eastAsia="Amiri" w:cs="Amiri"/>
          <w:color w:val="111111"/>
          <w:sz w:val="28"/>
          <w:sz w:val="28"/>
          <w:szCs w:val="28"/>
          <w:rtl w:val="true"/>
          <w:lang w:bidi="ar-SA"/>
        </w:rPr>
        <w:t>أنّ الواجب لغيره ليس على ترك نفسه عقاب، بل العقاب على ترك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ضروري أنّه لا معنى لأن يكون وجوبه لنفسه يتضيّق بتضيّق وقت مشروطه؛ لأنّ معنى الوجوب أنّه مع قطع النظر عن المشروط هو واجب، من دون مدخليّة شي‌ء في وجوبه، بحيث يكون وجوبه من جهة وجوبه،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تضيّقه بتضيّق وقت العبادة أنّه لأجل تلك العبادة لا بدّ أن يفعل و لا يؤخّر، و هذا بعينه معنى الوجوب الشرطي، أو الوجوب للغير، فيجتمع على رأي القائل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وجوبان؛ وجوب لنفسه و وجوب شرطي، أو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كما صرّح المحقّقون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ليس على ترك الوضوات التي لا تحصى عقاب أصلا سوى الذي ظنّ موته بعد بلا فصل و لا مهلة، سوى مقدار زمان الوضوء؛ لأنّ تضيّقه بمظنّة الموت لا يكون إلّا كما ذكرنا؛ لأنّه إن ظنّ موته بعد ذلك بزمان أزيد منه يكون وجوبه موسّعا لا مضيّقا؛ لجواز تأخّره حينئذ لظنيّة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أنّ حصول ظنّ الموت بعد الوضوء بلا فصل عرفي ممّا لا يكاد يتحقّق، و على تقدير التحقّق على غاية الندرة، فالتمكّن من الوضوء ممّا لا يكاد يتحقّق من جهة المرض و غيره، و الموسّع إن ترك و أخّر لظنّ البقاء و وقع الموت فجأة لا يكون على تركه العقاب، كما 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قال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يتضيّق إلّا بتضيّق العبادة، أو ظنّ الموت؛ إذ غير خفيّ أنّ بناؤه على ما ذكرنا من أنّ الترك مع السعة ليس عليه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هذه الواجبات التي لا تحصى لا يكون على واحد منها، و لا على ترك جميعها عقاب أصلا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يقول بتداخل الواجبات، و في الوضوء الأخير يكون العقاب على تركه على الفرض النادر، و هذا القدر يكفي للحكم بوجوب كلّ واحد؛ لخروجه عن حدّ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المتداخلة يكون كلّ واحد واحد منها واجبا، إلّا أنّها تتداخل، و معنى الواجب أنّه لا يجوز تركه، و يكون على تركه العقاب في الجملة، و قد عرفت أنّه يجوز ترك كلّ واحد واحد، و ليس على ترك واحد عقاب؛ إذ جميع تلك الوضوات تترك مع ظنّ البقاء وسعة الوقت، فلا يجوز أن يكون على تركها العقاب، إلّا الوضوء الأخير الذي حصل الظنّ بالفوت بعده بلا فصل، و يمكن من فعله حينئذ، و قد عرفت أنّه لا يكاد يتحقّق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سلّمنا تحقّقه فالواجب هو لا غيره، فكيف قلت بتداخل الواجبات؟</w:t>
      </w:r>
    </w:p>
    <w:p>
      <w:pPr>
        <w:pStyle w:val="BookText"/>
        <w:rPr/>
      </w:pPr>
      <w:r>
        <w:rPr>
          <w:rFonts w:ascii="Amiri" w:hAnsi="Amiri" w:eastAsia="Amiri" w:cs="Amiri"/>
          <w:color w:val="111111"/>
          <w:sz w:val="28"/>
          <w:sz w:val="28"/>
          <w:szCs w:val="28"/>
          <w:rtl w:val="true"/>
          <w:lang w:bidi="ar-SA"/>
        </w:rPr>
        <w:t>بل هذا تداخل المستحبّات التي لا تحصى مع واجب شاذّ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وجوب ذلك النادر إنّما يتحقّق بعد دليل على اعتبار هذا الظنّ و كونه المناط للحكم بالوجوب، و غير خفيّ أنّه لا إشارة في الأخبار إلى ذلك، بل هو أجنبي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يظهر من أخبار كثيرة كون وجوب الوضوء لغيره، و كذا الآية، مثل إِذٰا قُمْتُمْ الآية </w:t>
      </w:r>
      <w:r>
        <w:rPr>
          <w:rStyle w:val="FootnoteAnchor"/>
          <w:rtl w:val="true"/>
        </w:rPr>
        <w:footnoteReference w:id="699"/>
      </w:r>
      <w:r>
        <w:rPr>
          <w:rFonts w:ascii="IRNazanin" w:hAnsi="IRNazanin" w:eastAsia="IRNazanin"/>
          <w:color w:val="111111"/>
          <w:sz w:val="28"/>
          <w:sz w:val="28"/>
          <w:szCs w:val="28"/>
          <w:rtl w:val="true"/>
          <w:lang w:bidi="fa-IR"/>
        </w:rPr>
        <w:t>، و الأخبار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w:t>
      </w:r>
      <w:r>
        <w:rPr>
          <w:rFonts w:eastAsia="IRNazanin" w:cs="IRNazanin"/>
          <w:color w:val="111111"/>
          <w:sz w:val="28"/>
          <w:szCs w:val="28"/>
          <w:rtl w:val="true"/>
          <w:lang w:bidi="fa-IR"/>
        </w:rPr>
        <w:t xml:space="preserve">» </w:t>
      </w:r>
      <w:r>
        <w:rPr>
          <w:rStyle w:val="FootnoteAnchor"/>
          <w:rtl w:val="true"/>
        </w:rPr>
        <w:footnoteReference w:id="700"/>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فليتوضّأ لما يستقبل</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ليتوضّأ و ليعد الصلاة</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و كذا الإجماعات التي نقلها جماعة في أنّ وجوبه للغير فقط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الصدوق في أماليه أنّ هذا مذهب الإماميّة </w:t>
      </w:r>
      <w:r>
        <w:rPr>
          <w:rStyle w:val="FootnoteAnchor"/>
          <w:rtl w:val="true"/>
        </w:rPr>
        <w:footnoteReference w:id="704"/>
      </w:r>
      <w:r>
        <w:rPr>
          <w:rFonts w:ascii="Amiri" w:hAnsi="Amiri" w:eastAsia="Amiri" w:cs="Amiri"/>
          <w:color w:val="111111"/>
          <w:sz w:val="28"/>
          <w:sz w:val="28"/>
          <w:szCs w:val="28"/>
          <w:rtl w:val="true"/>
          <w:lang w:bidi="ar-SA"/>
        </w:rPr>
        <w:t>، و يظهر علينا أيضا،</w:t>
      </w:r>
    </w:p>
    <w:p>
      <w:pPr>
        <w:pStyle w:val="BookText"/>
        <w:rPr/>
      </w:pPr>
      <w:r>
        <w:rPr>
          <w:rFonts w:ascii="Amiri" w:hAnsi="Amiri" w:eastAsia="Amiri" w:cs="Amiri"/>
          <w:color w:val="111111"/>
          <w:sz w:val="28"/>
          <w:sz w:val="28"/>
          <w:szCs w:val="28"/>
          <w:rtl w:val="true"/>
          <w:lang w:bidi="ar-SA"/>
        </w:rPr>
        <w:t xml:space="preserve">إذ الشيعة، بل المسلمون في الأعصار و الأمصار ما كانوا يلتزمون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 لا كانوا يلزمون، مع أنهم كانوا يلتزمون بالآداب و المستحبّات حال الوفاة و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ظهر الكلام في الغسل و التيمّم أيضا، بل التيمّم وجوبه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نفهم من أمثال هذه الأخبار أيضا كون وجوب الوضوء للغير، كما هو الحال في الأمر بغسل الثياب و الجسد و غيرهما من النجاسات، بل في زماننا في محاوراتنا و مخاطبتنا لا نفهم من وجوب الوضوء، أو الغسل، أو التيمّم إلّا كونها لأجل الصلاة، بل الذين يرجّحون الوجوب النفسي أيضا في محاوراتهم لا يفهمون سوى الوجوب للغير، و لا يبنون إلّا عليه، و ذلك لأنّ شرطيتها لأجل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من ضروريّات الدين صارت حاضرة في الأذهان، فعند الإطلاق ينصرف الذهن إليها،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التهذيبين على ما إذا لم يغلب على العقل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الحمل على التقيّة محتمل، لو لم نقل أنّه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في التهذيبين على أنّه لا وضوء عليه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الحمل على الاتّقاء ممكن، بل هو الأظهر، فتدبّر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يحمل على الاستحباب، و تأكّده فيما كان من شهوة، و قد مضت الأخبار المستفيضة في باب المذي و أخويه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bookmarkStart w:id="312" w:name="pg2470_12474"/>
    </w:p>
    <w:p>
      <w:pPr>
        <w:pStyle w:val="BookText"/>
        <w:rPr/>
      </w:pPr>
      <w:bookmarkEnd w:id="312"/>
      <w:r>
        <w:rPr>
          <w:rFonts w:ascii="Amiri" w:hAnsi="Amiri" w:eastAsia="Amiri" w:cs="Amiri"/>
          <w:color w:val="111111"/>
          <w:sz w:val="28"/>
          <w:sz w:val="28"/>
          <w:szCs w:val="28"/>
          <w:rtl w:val="true"/>
          <w:lang w:bidi="ar-SA"/>
        </w:rPr>
        <w:t>الحمل على الاستحباب بعيد، بملاحظة الأخبار التي مضت في باب المذي و التي مضت، و ستجي‌ء في هذا الباب، بل الحمل على التقيّة و الاتقاء،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أنّ عليّ بن يقطين كان وزير الخليفة، و كذا يعقوب من تبعه، فيناسبهما الكفّ، سيّما و الأخبار عن الكاظم عليه السّلام و التقيّة في زمانه كانت شديدة، و أيضا العامّة يقولون بناقضيّته مطلقا، أو إذا خرج بشهوة </w:t>
      </w:r>
      <w:r>
        <w:rPr>
          <w:rStyle w:val="FootnoteAnchor"/>
          <w:rtl w:val="true"/>
        </w:rPr>
        <w:footnoteReference w:id="708"/>
      </w:r>
      <w:r>
        <w:rPr>
          <w:rFonts w:ascii="Amiri" w:hAnsi="Amiri" w:eastAsia="Amiri" w:cs="Amiri"/>
          <w:color w:val="111111"/>
          <w:sz w:val="28"/>
          <w:sz w:val="28"/>
          <w:szCs w:val="28"/>
          <w:rtl w:val="true"/>
          <w:lang w:bidi="ar-SA"/>
        </w:rPr>
        <w:t xml:space="preserve">، و الخاصّة يقولون بعدم الناقضيّة إلّا من شذّ منهم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الدالّة على ذلك كثيرة موافقة للاستصحاب، و الأخبار الدالّة على الحصر الموافقة لمذهب الشيعة الرادّة على العامّة، إلى غير ذلك، فلا مجال في الحمل على التقيّة كما ذكرنا</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601500_3804643083"/>
      <w:bookmarkStart w:id="314" w:name="_Toc118"/>
      <w:bookmarkEnd w:id="313"/>
      <w:r>
        <w:rPr>
          <w:rtl w:val="true"/>
        </w:rPr>
        <w:t>[</w:t>
      </w:r>
      <w:r>
        <w:rPr>
          <w:rtl w:val="true"/>
        </w:rPr>
        <w:t>باب صفة الوضوء</w:t>
      </w:r>
      <w:r>
        <w:rPr>
          <w:rtl w:val="true"/>
        </w:rPr>
        <w:t>]</w:t>
      </w:r>
      <w:bookmarkEnd w:id="3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لنا أبو جعفر عليه السّلام وضوء رسول اللّه صلّى اللّه عليه و آله و سلم، فدعا بقدح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أمثال هذه الأخبار شهادة واضحة على زرارة و نظرائه من فقهاء أصحاب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يفهمون من القرآن العزيز بيان الوضوء، و ما كانوا يبنون على أنّ ما ثبت من ظاهره و مطلقه يكفي و حجّة، و ما لم يثبت فالأصل عدمه كما هو الحال عند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أنّه ليس بيانا بالنحو المذكور، بل بيان بعض منه على ما اقتضاه المقام، و أنّ البيان يبيّن جميع أجزاء المبيّن و صفاته و أحواله، و الآية </w:t>
      </w:r>
      <w:r>
        <w:rPr>
          <w:rStyle w:val="FootnoteAnchor"/>
          <w:rtl w:val="true"/>
        </w:rPr>
        <w:footnoteReference w:id="711"/>
      </w:r>
      <w:r>
        <w:rPr>
          <w:rFonts w:ascii="Amiri" w:hAnsi="Amiri" w:eastAsia="Amiri" w:cs="Amiri"/>
          <w:color w:val="111111"/>
          <w:sz w:val="28"/>
          <w:sz w:val="28"/>
          <w:szCs w:val="28"/>
          <w:rtl w:val="true"/>
          <w:lang w:bidi="ar-SA"/>
        </w:rPr>
        <w:t xml:space="preserve">ليست كذلك قطعا؛ و لأنّ الآية نزلت في اخر زمان بعثة الرسول صلّى اللّه عليه و آله و سلم و قرب موته، و الوضوء فرض في أوّل بعثته </w:t>
      </w:r>
      <w:r>
        <w:rPr>
          <w:rStyle w:val="FootnoteAnchor"/>
          <w:rtl w:val="true"/>
        </w:rPr>
        <w:footnoteReference w:id="712"/>
      </w:r>
      <w:r>
        <w:rPr>
          <w:rFonts w:ascii="Amiri" w:hAnsi="Amiri" w:eastAsia="Amiri" w:cs="Amiri"/>
          <w:color w:val="111111"/>
          <w:sz w:val="28"/>
          <w:sz w:val="28"/>
          <w:szCs w:val="28"/>
          <w:rtl w:val="true"/>
          <w:lang w:bidi="ar-SA"/>
        </w:rPr>
        <w:t>، فكلّ أمّته كانوا مكلّفين به، اتين به لأجل الصلاة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فعل النبي صلّى اللّه عليه و آله و سلم و الأئمّة عليهم السّلام، فيلزم من ذلك، الاقتصار على ما فعلوه في مقام البيان، إلّا أن يثبت استحباب شي‌ء، أو كونه بحسب الاتّفاق، و العبادة توقيفيّة؛ موقوفة على ثبوت كيفيّتها من الشرع، و وفاقا لما هو مقتضى الدليل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من ذلك كون البدء بالأعلى واجبا، و كذا المسح ببقيّة البلل؛ إذ يظهر الأمران من هذه الأخبار، على ما عرفت، و سيجي‌ء في باب بدء الصلاة و عللها حديث كالصحيح، بل و صحيح يدلّ على وجوب كون المسح ببقيّة البلل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و النيسابوريّان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الصحيحة شهادة على انفعال الماء القليل بملاقاة النجاسة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بغسل اليدين إلى المرفقين؛ فليس له أن يدع شيئا من يديه إلى المرفقين إلّا غسله؛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إِلَى الْكَعْبَيْنِ </w:t>
      </w:r>
      <w:r>
        <w:rPr>
          <w:rStyle w:val="FootnoteAnchor"/>
          <w:rtl w:val="true"/>
        </w:rPr>
        <w:footnoteReference w:id="715"/>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بالتأمّل، فيدلّ على وجوب الاستيعاب الطولي، سيّما بملاحظة أنّه صلّى اللّه عليه و آله و سلم في مقام إظهار كفاية قدر قليل و مسمّاه، و مع ذلك شرط أنّ ذلك القدر القليل يكون ما بين الكعبين إلى أطراف الأصابع، أي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فيما بين كما هو ظاهر من البدليّة، و يظهر الاستيعاب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الصحيحة الآتية في باب بدء الصلاة و عللها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امسح رأسك بفضل ما بقي في يديك من الماء و رجليك إلى كعبيك</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الظاهر المتبادر منه رءوس الأصابع و هو الذي كان متعارفا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الفقهاء نقلوا الإجماع على الاستيعاب </w:t>
      </w:r>
      <w:r>
        <w:rPr>
          <w:rStyle w:val="FootnoteAnchor"/>
          <w:rtl w:val="true"/>
        </w:rPr>
        <w:footnoteReference w:id="718"/>
      </w:r>
      <w:r>
        <w:rPr>
          <w:rFonts w:ascii="Amiri" w:hAnsi="Amiri" w:eastAsia="Amiri" w:cs="Amiri"/>
          <w:color w:val="111111"/>
          <w:sz w:val="28"/>
          <w:sz w:val="28"/>
          <w:szCs w:val="28"/>
          <w:rtl w:val="true"/>
          <w:lang w:bidi="ar-SA"/>
        </w:rPr>
        <w:t xml:space="preserve">، و الآية أيضا تؤيّده، و كذا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يستبطن الشراكين</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إذ لو لم يكن الاستيعاب واجبا لما كان لذكر ذلك فائدة و لفقه الوضوء ممّا يعمّ به البلوى غاية العموم، و يكثر الحاجة إليه غاية الكثرة، فلو كان الاستيعاب غير واجب لشاع و ذاع إلى ألا يبقى تأمّل، لا أن يصير الأمر بالعكس، لما عرفت من نقل الإجماع</w:t>
      </w:r>
      <w:r>
        <w:rPr>
          <w:rFonts w:eastAsia="Amiri" w:cs="Amiri" w:ascii="Amiri" w:hAnsi="Amiri"/>
          <w:color w:val="111111"/>
          <w:sz w:val="28"/>
          <w:szCs w:val="28"/>
          <w:rtl w:val="true"/>
          <w:lang w:bidi="ar-SA"/>
        </w:rPr>
        <w:t>.</w:t>
      </w:r>
      <w:bookmarkStart w:id="315" w:name="pg2470_12477"/>
    </w:p>
    <w:p>
      <w:pPr>
        <w:pStyle w:val="BookText"/>
        <w:rPr/>
      </w:pPr>
      <w:bookmarkEnd w:id="315"/>
      <w:r>
        <w:rPr>
          <w:rFonts w:ascii="Amiri" w:hAnsi="Amiri" w:eastAsia="Amiri" w:cs="Amiri"/>
          <w:color w:val="111111"/>
          <w:sz w:val="28"/>
          <w:sz w:val="28"/>
          <w:szCs w:val="28"/>
          <w:rtl w:val="true"/>
          <w:lang w:bidi="ar-SA"/>
        </w:rPr>
        <w:t>مضافا إلى أنّ ذلك هو الطريقة المشتهرة في الأعصار و الأمصار، و العبادات توقيفيّة،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البزنطي </w:t>
      </w:r>
      <w:r>
        <w:rPr>
          <w:rStyle w:val="FootnoteAnchor"/>
          <w:rtl w:val="true"/>
        </w:rPr>
        <w:footnoteReference w:id="720"/>
      </w:r>
      <w:r>
        <w:rPr>
          <w:rFonts w:ascii="Amiri" w:hAnsi="Amiri" w:eastAsia="Amiri" w:cs="Amiri"/>
          <w:color w:val="111111"/>
          <w:sz w:val="28"/>
          <w:sz w:val="28"/>
          <w:szCs w:val="28"/>
          <w:rtl w:val="true"/>
          <w:lang w:bidi="ar-SA"/>
        </w:rPr>
        <w:t>الآتية أيضا تؤيّد</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601502_3804643083"/>
      <w:bookmarkStart w:id="317" w:name="_Toc119"/>
      <w:bookmarkEnd w:id="316"/>
      <w:r>
        <w:rPr>
          <w:rtl w:val="true"/>
        </w:rPr>
        <w:t>[</w:t>
      </w:r>
      <w:r>
        <w:rPr>
          <w:rtl w:val="true"/>
        </w:rPr>
        <w:t>في معنى الكعب</w:t>
      </w:r>
      <w:r>
        <w:rPr>
          <w:rtl w:val="true"/>
        </w:rPr>
        <w:t>]</w:t>
      </w:r>
      <w:bookmarkEnd w:id="3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لا يدخل أصابعه تحته لعدم وجوب استيعاب ظهر القدم بالمسح، و إن كان أولى كما يأتي، و هذا الخبر صريح في أنّ الكعب هو المفصل، كما أشرنا إليه في بيان الآية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دعوى الصراحة فاسدة؛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لا المعصوم عليه السّلام، و مع ذلك إنّما فهمه من إشارته عليه السّلام و ليس بين المفصل و رأس عظم الساق فاصلة أصلا و رأسا، بل المفصل ليس إلّا موصل رأس العظم بالقدم، فكيف يمكن الإشارة إلى الموصل دون رأس العظم و منتهى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منتهى رأسه 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مكانهما واحد، و ليس مكان أحدهما مغايرا لمكان الآخر، سيّما بحيث يصيران مميّزين في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أنّ الإشارة كانت إلى أحدهما دون الآخر، و رأس العظم ليس كعبا وفاقا، مع أنّ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عظم الساق، و الكعب أسفل من ذلك</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فلعلّ مراد الراوي من المفصل المفصل الشرعي عندنا، و هو الذي يقطع اصل الساق منه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العامّة، و شريكنا في كون الكعب هو قبّتا</w:t>
      </w:r>
    </w:p>
    <w:p>
      <w:pPr>
        <w:pStyle w:val="BookText"/>
        <w:rPr/>
      </w:pP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بأنّه المفصل الذي يحسب معقد الشراك في وسط القدم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زرارة فقيه من الفقهاء، فلا مانع من أن يريد من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المفصل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مفصل شرعا، مع أنّه يحتمل أن يكون متوهّما؛ لما قد عرفت من عدم إمكان الحمل على المفصل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الموضع الذي يكون الكعب فيه أو عنده؛ لأنّه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الكعبان؟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المفصل أيضا الموضع الذي يكون الكعب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الكعب ابتداؤه من وسط القدم، و انتهاؤه إلى المفصل أو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أنّ المفصل ليس بكعب؛ الأخبار الآتية، و أنّه غير معروف عند اللغويين كونه كعبا، و اعترف العلّامة به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مفصل كعب </w:t>
      </w:r>
      <w:r>
        <w:rPr>
          <w:rStyle w:val="FootnoteAnchor"/>
          <w:rtl w:val="true"/>
        </w:rPr>
        <w:footnoteReference w:id="725"/>
      </w:r>
      <w:r>
        <w:rPr>
          <w:rFonts w:ascii="Amiri" w:hAnsi="Amiri" w:eastAsia="Amiri" w:cs="Amiri"/>
          <w:color w:val="111111"/>
          <w:sz w:val="28"/>
          <w:sz w:val="28"/>
          <w:szCs w:val="28"/>
          <w:rtl w:val="true"/>
          <w:lang w:bidi="ar-SA"/>
        </w:rPr>
        <w:t>، لكن هذا مع كونه خلاف المعروف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لاحظ كتب الشيعة و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كون الكعب هو خصوص المفصل المعهود؛ إذ يحتمل كونه المفصل الشرعي، بل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يكون إشكال في الحديث أصلا و رأسا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المرتضى </w:t>
      </w:r>
      <w:r>
        <w:rPr>
          <w:rStyle w:val="FootnoteAnchor"/>
          <w:rtl w:val="true"/>
        </w:rPr>
        <w:footnoteReference w:id="726"/>
      </w:r>
      <w:r>
        <w:rPr>
          <w:rFonts w:ascii="Amiri" w:hAnsi="Amiri" w:eastAsia="Amiri" w:cs="Amiri"/>
          <w:color w:val="111111"/>
          <w:sz w:val="28"/>
          <w:sz w:val="28"/>
          <w:szCs w:val="28"/>
          <w:rtl w:val="true"/>
          <w:lang w:bidi="ar-SA"/>
        </w:rPr>
        <w:t xml:space="preserve">، و الشيخ </w:t>
      </w:r>
      <w:r>
        <w:rPr>
          <w:rStyle w:val="FootnoteAnchor"/>
          <w:rtl w:val="true"/>
        </w:rPr>
        <w:footnoteReference w:id="727"/>
      </w:r>
      <w:r>
        <w:rPr>
          <w:rFonts w:ascii="Amiri" w:hAnsi="Amiri" w:eastAsia="Amiri" w:cs="Amiri"/>
          <w:color w:val="111111"/>
          <w:sz w:val="28"/>
          <w:sz w:val="28"/>
          <w:szCs w:val="28"/>
          <w:rtl w:val="true"/>
          <w:lang w:bidi="ar-SA"/>
        </w:rPr>
        <w:t xml:space="preserve">، و الطبرسي </w:t>
      </w:r>
      <w:r>
        <w:rPr>
          <w:rStyle w:val="FootnoteAnchor"/>
          <w:rtl w:val="true"/>
        </w:rPr>
        <w:footnoteReference w:id="728"/>
      </w:r>
      <w:r>
        <w:rPr>
          <w:rFonts w:ascii="Amiri" w:hAnsi="Amiri" w:eastAsia="Amiri" w:cs="Amiri"/>
          <w:color w:val="111111"/>
          <w:sz w:val="28"/>
          <w:sz w:val="28"/>
          <w:szCs w:val="28"/>
          <w:rtl w:val="true"/>
          <w:lang w:bidi="ar-SA"/>
        </w:rPr>
        <w:t xml:space="preserve">، و ابن زهرة </w:t>
      </w:r>
      <w:r>
        <w:rPr>
          <w:rStyle w:val="FootnoteAnchor"/>
          <w:rtl w:val="true"/>
        </w:rPr>
        <w:footnoteReference w:id="729"/>
      </w:r>
      <w:r>
        <w:rPr>
          <w:rFonts w:ascii="Amiri" w:hAnsi="Amiri" w:eastAsia="Amiri" w:cs="Amiri"/>
          <w:color w:val="111111"/>
          <w:sz w:val="28"/>
          <w:sz w:val="28"/>
          <w:szCs w:val="28"/>
          <w:rtl w:val="true"/>
          <w:lang w:bidi="ar-SA"/>
        </w:rPr>
        <w:t>، بل العلّامة</w:t>
      </w:r>
    </w:p>
    <w:p>
      <w:pPr>
        <w:pStyle w:val="BookText"/>
        <w:rPr/>
      </w:pPr>
      <w:r>
        <w:rPr>
          <w:rFonts w:ascii="Amiri" w:hAnsi="Amiri" w:eastAsia="Amiri" w:cs="Amiri"/>
          <w:color w:val="111111"/>
          <w:sz w:val="28"/>
          <w:sz w:val="28"/>
          <w:szCs w:val="28"/>
          <w:rtl w:val="true"/>
          <w:lang w:bidi="ar-SA"/>
        </w:rPr>
        <w:t xml:space="preserve">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كون الكعب قبّتا القدمين </w:t>
      </w:r>
      <w:r>
        <w:rPr>
          <w:rStyle w:val="FootnoteAnchor"/>
          <w:rtl w:val="true"/>
        </w:rPr>
        <w:footnoteReference w:id="730"/>
      </w:r>
      <w:r>
        <w:rPr>
          <w:rFonts w:ascii="Amiri" w:hAnsi="Amiri" w:eastAsia="Amiri" w:cs="Amiri"/>
          <w:color w:val="111111"/>
          <w:sz w:val="28"/>
          <w:sz w:val="28"/>
          <w:szCs w:val="28"/>
          <w:rtl w:val="true"/>
          <w:lang w:bidi="ar-SA"/>
        </w:rPr>
        <w:t xml:space="preserve">، و أسند ذلك ابن الأثير و غيره من العامّة إلى الشيعة </w:t>
      </w:r>
      <w:r>
        <w:rPr>
          <w:rStyle w:val="FootnoteAnchor"/>
          <w:rtl w:val="true"/>
        </w:rPr>
        <w:footnoteReference w:id="731"/>
      </w:r>
      <w:r>
        <w:rPr>
          <w:rFonts w:ascii="Amiri" w:hAnsi="Amiri" w:eastAsia="Amiri" w:cs="Amiri"/>
          <w:color w:val="111111"/>
          <w:sz w:val="28"/>
          <w:sz w:val="28"/>
          <w:szCs w:val="28"/>
          <w:rtl w:val="true"/>
          <w:lang w:bidi="ar-SA"/>
        </w:rPr>
        <w:t xml:space="preserve">، و الرواية التي سيذكرها في باب عدد غسلات الوضوء كالصريح في ذلك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أنّ الكعب هو مفصل القدم الذي عند وسطه في قبّة القدم </w:t>
      </w:r>
      <w:r>
        <w:rPr>
          <w:rStyle w:val="FootnoteAnchor"/>
          <w:rtl w:val="true"/>
        </w:rPr>
        <w:footnoteReference w:id="7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سيجي‌ء في باب قطع رجل السارق أخبار تدلّ على ما ذكرناه دلالة في غاية الوضوح، و ملاحظة كلمات الفقهاء في ذلك الباب ترفع الاشتباه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وقع النزاع العظيم بين العامّة و الخاصّة في الكعب، و المعروف من النزاع إنّما هو قبّتا القدمين و النابتين عن يمين القدم و شماله، مع أنّه لو كان المفصل؛ لم يكن لهذا النزاع العظيم وجه أصلا؛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ما ذكرنا، أنّ الشيخ، بل و غيره من الفقهاء الماهرين يستدلّون بهذا الخبر على كون الكعب هو قبّة القدم </w:t>
      </w:r>
      <w:r>
        <w:rPr>
          <w:rStyle w:val="FootnoteAnchor"/>
          <w:rtl w:val="true"/>
        </w:rPr>
        <w:footnoteReference w:id="734"/>
      </w:r>
      <w:r>
        <w:rPr>
          <w:rFonts w:ascii="Amiri" w:hAnsi="Amiri" w:eastAsia="Amiri" w:cs="Amiri"/>
          <w:color w:val="111111"/>
          <w:sz w:val="28"/>
          <w:sz w:val="28"/>
          <w:szCs w:val="28"/>
          <w:rtl w:val="true"/>
          <w:lang w:bidi="ar-SA"/>
        </w:rPr>
        <w:t>من دون تعرّض لتوجيه و تقريب، فلولا ما ذكرناه كان اللازم أن يجعلوا هذا الخبر معارضا و يؤوّلونه أو يطرحونه، لا أن يجعلوه الحجّة على قبّة القدم، فتدبّر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 هو قبّتا القدمين </w:t>
      </w:r>
      <w:r>
        <w:rPr>
          <w:rStyle w:val="FootnoteAnchor"/>
          <w:rtl w:val="true"/>
        </w:rPr>
        <w:footnoteReference w:id="735"/>
      </w:r>
      <w:r>
        <w:rPr>
          <w:rFonts w:ascii="Amiri" w:hAnsi="Amiri" w:eastAsia="Amiri" w:cs="Amiri"/>
          <w:color w:val="111111"/>
          <w:sz w:val="28"/>
          <w:sz w:val="28"/>
          <w:szCs w:val="28"/>
          <w:rtl w:val="true"/>
          <w:lang w:bidi="ar-SA"/>
        </w:rPr>
        <w:t>، و أنّ ذلك ممّا لا تأمّل فيه؛ حيث حكم في باب الوضوء بأنّ المسح إلى الكعبين من دون إشارة أصلا</w:t>
      </w:r>
      <w:bookmarkStart w:id="318" w:name="pg2470_12480"/>
    </w:p>
    <w:p>
      <w:pPr>
        <w:pStyle w:val="BookText"/>
        <w:rPr/>
      </w:pPr>
      <w:bookmarkEnd w:id="318"/>
      <w:r>
        <w:rPr>
          <w:rFonts w:ascii="Amiri" w:hAnsi="Amiri" w:eastAsia="Amiri" w:cs="Amiri"/>
          <w:color w:val="111111"/>
          <w:sz w:val="28"/>
          <w:sz w:val="28"/>
          <w:szCs w:val="28"/>
          <w:rtl w:val="true"/>
          <w:lang w:bidi="ar-SA"/>
        </w:rPr>
        <w:t xml:space="preserve">إلى كون الكعب ما ذا؟ و في كتاب الحدود حكم بأنّ القطع من الكعب </w:t>
      </w:r>
      <w:r>
        <w:rPr>
          <w:rStyle w:val="FootnoteAnchor"/>
          <w:rtl w:val="true"/>
        </w:rPr>
        <w:footnoteReference w:id="736"/>
      </w:r>
      <w:r>
        <w:rPr>
          <w:rFonts w:ascii="Amiri" w:hAnsi="Amiri" w:eastAsia="Amiri" w:cs="Amiri"/>
          <w:color w:val="111111"/>
          <w:sz w:val="28"/>
          <w:sz w:val="28"/>
          <w:szCs w:val="28"/>
          <w:rtl w:val="true"/>
          <w:lang w:bidi="ar-SA"/>
        </w:rPr>
        <w:t>من غير إشارة إليه أيضا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الحديث المتضمّن لذلك ذكره، بل هو قبّة القدم كما يقوله الفقهاء، فلاحظ و تأمّل</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3601504_3804643083"/>
      <w:bookmarkStart w:id="320" w:name="_Toc120"/>
      <w:bookmarkEnd w:id="319"/>
      <w:r>
        <w:rPr>
          <w:rtl w:val="true"/>
        </w:rPr>
        <w:t>[</w:t>
      </w:r>
      <w:r>
        <w:rPr>
          <w:rtl w:val="true"/>
        </w:rPr>
        <w:t>حدّ الوجه</w:t>
      </w:r>
      <w:r>
        <w:rPr>
          <w:rtl w:val="true"/>
        </w:rPr>
        <w:t>]</w:t>
      </w:r>
      <w:bookmarkEnd w:id="3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الوجه الذي أمر اللّه بغسله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دارت السبّابة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الوسطى و الإبهام من قصاص شعر الرأس إلى الذقن، و ما جرت عليه الإصبعان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نصّ في كون ابتداء دوران مجموع الإصبعين من القصاص، و انتهاؤه إلى الذقن، كما فهم الفقهاء لا ابتداء دوران راس أحد الإصبعين من القصاص و انتهاؤه إلى الذقن، و ابتداء دوران الإصبع الآخر من الذقن و انتهاؤه إلى القصاص عكس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الدائرة لا ابتداء لها، و لا انتهاء، و لا يلزم فرضه لها،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يكون لغوا على ذلك مستدركا، بل يكون بالفرض كما سيذكر، مع أنّ الدائرة إذا فرض لها ابتداء فالانتهاء ليس إلّا إلى موضع الابتداء، لا موضع اخر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الدور؛ إمّا يذكر غير متعلّق بمفعول،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زيد، و هذا 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حركة دوراء، و تحرّك حول</w:t>
      </w:r>
    </w:p>
    <w:p>
      <w:pPr>
        <w:pStyle w:val="BookText"/>
        <w:rPr/>
      </w:pPr>
      <w:r>
        <w:rPr>
          <w:rFonts w:ascii="Amiri" w:hAnsi="Amiri" w:eastAsia="Amiri" w:cs="Amiri"/>
          <w:color w:val="111111"/>
          <w:sz w:val="28"/>
          <w:sz w:val="28"/>
          <w:szCs w:val="28"/>
          <w:rtl w:val="true"/>
          <w:lang w:bidi="ar-SA"/>
        </w:rPr>
        <w:t>شي‌ء؛ أو يذكر متعلّقا بمفعول،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الأسواق أو البيوت أو البيت، أو الدار و أمثال ذلك، و هذا لا يناسب شكل الدائرة بلا شبهة؛ إذ البيت لعلّه بشكل مربّع أو مثلّث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خفيّ أنّه في هذا الحديث ذكر متعلّقا بمفعول، غاية ما في الباب أنّه 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تضمين معنى الجريان، إذ لو لاه لم يتعدّ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عطف تفسير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عن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كون الوجه مستديرا، احتراز عن غير المستدير، و هو الذي يكون عرضه أقلّ من طوله أقليّة واضحة، بحيث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مستوي الخلقة، و المستوي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تعارف عندهم أنّهم يعبّرون عنه بالمستدير، و هو الذي عرضه موافق لطوله و يناسبه فيكون طوله و عرضه متساويان في كون القطر و البعد مقدار ما انتهى إليه رأس الإبهام و الوسطى، كما صرّح به المصنّف موافقا لشيخنا البهائي رحمه اللّه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الاستدارة إشارة إلى استواء الخلقة، كما هو المتعارف الشائع في العرف، فيكون غير المستدير غير مستوي الخلقة، فما جرى الإصبعان فيه يزيد عن الوجه أو ينقص عنه؛ لأنّ فرضه الرجوع إلى المستوي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كونه حالا من الإصبعين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الإصبعين حال جريانهما في غسل الوجه في الوضوء، كلّ شي‌ء جريا عليه حينئذ يكون داخلا في حدّ الوجه الذي أمر اللّه تعالى بغسله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صفة الجريان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الأصل عدم التقدير، و كونه أبعد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عدم انحصار معنى الاستدارة في تحصيل شكل</w:t>
      </w:r>
    </w:p>
    <w:p>
      <w:pPr>
        <w:pStyle w:val="BookText"/>
        <w:rPr/>
      </w:pPr>
      <w:r>
        <w:rPr>
          <w:rFonts w:ascii="Amiri" w:hAnsi="Amiri" w:eastAsia="Amiri" w:cs="Amiri"/>
          <w:color w:val="111111"/>
          <w:sz w:val="28"/>
          <w:sz w:val="28"/>
          <w:szCs w:val="28"/>
          <w:rtl w:val="true"/>
          <w:lang w:bidi="ar-SA"/>
        </w:rPr>
        <w:t>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بكونه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أنّه ذكر لأجل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بالمفعول، و قد ظهر لك حاله، فتأمّل جدّا بأنّ المناسب للفصل و التمييز هو التحقّق واقعا، لا مجرّد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 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الاستدارة في حال، كما أنّ هذا هو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الإصبعان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واقعا هو المستدير العرفي، ليس إلّا، مع أنّه أراد إخراج ما زاد عن الدائرة في المستوي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الحال الفرضي أيضا يدور مع العامل من الابتداء إلى الانتهاء في مثل المقام، و قد عرفت استحالة وجوده؛ إذ المعنى أنّ فرض حال الاستدارة يكون ابتداء جريان الإصبعين من قصاص الشعر في كلّ جزء إلى انتهاء الذقن، و قد ظهر لك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فرق بين الحال المحقّق و الحال المقدّر في الاستحالة، و عدم تأتّي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المعنى ما دارت عليه الإصبعان من القصاص إلى الذقن، من دون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مستدير؛ ثمّ حصول الفرض بعد الانتهاء و التماميّة ينافيه تحقّق الجريان من مجموع الإصبعين و تمامهما من القصاص إلى الذقن؛ لأنّ الحاصل منه المربع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قطعا، لا المستدير،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الإصبعين خصوص رأسهما لا غير؛ لأنّه المحصّل الدائرة و الباقي لا يناسبها؛ لأنّ المراد الدائرة التي يكون بعدها ما بين القصاص إلى الذقن، لكن لا يخفى ما فيه من التعسّف، و الخروج عن الظواهر، و مع ذلك لآب عن إرادة الاستدارة العرفيّة، لا خصوص هيئة الدائرة، فتأمّل جدّا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فهم هذا المعنى عن متأخّري أصحابنا، سوى شيخنا المحقّق</w:t>
      </w:r>
    </w:p>
    <w:p>
      <w:pPr>
        <w:pStyle w:val="BookText"/>
        <w:rPr/>
      </w:pPr>
      <w:r>
        <w:rPr>
          <w:rFonts w:ascii="Amiri" w:hAnsi="Amiri" w:eastAsia="Amiri" w:cs="Amiri"/>
          <w:color w:val="111111"/>
          <w:sz w:val="28"/>
          <w:sz w:val="28"/>
          <w:szCs w:val="28"/>
          <w:rtl w:val="true"/>
          <w:lang w:bidi="ar-SA"/>
        </w:rPr>
        <w:t>بهاء الدين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أعطاه حقّ فهمه كما أعطاه فهم معنى الكعب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الوسطى و الإبهام</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بدون ذكر السبّابة، و هو أوضح، و الصدغ هو المنخفض بين أعلى الاذن و طرف الحاجب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الخطأ في فهم المفصل من الكعب، مضافا إلى أنّ شيخنا البهائي لم يجعل المفصل كعبا، بل جعل العظم المستدير الذي لا يعرفه إلّا أهل التشريح، و لا يعرف موضعه إلّا هؤلاء، و إذا خرج من الرجل يلعب به الصبيان، و جعل المأخذ منه كعب القمار، و فيما ذكره من البعد 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تفصيل مبعداته، فعليه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محمّد باقر الخراساني </w:t>
      </w:r>
      <w:r>
        <w:rPr>
          <w:rStyle w:val="FootnoteAnchor"/>
          <w:rtl w:val="true"/>
        </w:rPr>
        <w:footnoteReference w:id="742"/>
      </w:r>
      <w:r>
        <w:rPr>
          <w:rFonts w:ascii="Amiri" w:hAnsi="Amiri" w:eastAsia="Amiri" w:cs="Amiri"/>
          <w:color w:val="111111"/>
          <w:sz w:val="28"/>
          <w:sz w:val="28"/>
          <w:szCs w:val="28"/>
          <w:rtl w:val="true"/>
          <w:lang w:bidi="ar-SA"/>
        </w:rPr>
        <w:t>، و غيره، و ليس المقام مقام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فهمه الدائرة في الوجه، فهو أيضا بعيد؛ لأنّه من قواعد أهل الهيئة؛ و من ماثلهم، و أمّا العرف فيفهمون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يدور، و استدار، يستدير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الدائرة؛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المكان، و استدارت البلد، و دارت في الموضع، و أمثال ذلك من غير فهم الدائرة أصلا، بل الدائرة من صفات أهل الهيئة و الشكل، و فيها دوران و دور، و ليس كلّ دور، أو دوران، أو ما يشتقّ منهما ما يعود إليه شكل الدائرة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كان دورا فيه يستلزم ذلك تحقّق الدائرة من الوسطى على حدة، دون الإبهام على حدة؛ 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الوسطى و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الواو هنا ليست بمعنى مع، مع أنّه مجاز جزما، فهو خلاف الأصل، و واو العطف</w:t>
      </w:r>
    </w:p>
    <w:p>
      <w:pPr>
        <w:pStyle w:val="BookText"/>
        <w:rPr/>
      </w:pPr>
      <w:r>
        <w:rPr>
          <w:rFonts w:ascii="Amiri" w:hAnsi="Amiri" w:eastAsia="Amiri" w:cs="Amiri"/>
          <w:color w:val="111111"/>
          <w:sz w:val="28"/>
          <w:sz w:val="28"/>
          <w:szCs w:val="28"/>
          <w:rtl w:val="true"/>
          <w:lang w:bidi="ar-SA"/>
        </w:rPr>
        <w:t>تقتضي تكرير العامل،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الوسطى، و دارت الإبهام، حذفت الثانية اختصارا، اكتفاء بحرف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أنّه لو كان المراد تحقّق الدائرة، فإنّما هو بمجموع الإصبعين، لا بكلّ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ظرفان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القطع حاصل بأنّ هذا يمنع ما ذكر رحمه اللّه؛ لأنّ المعنى أنّه يحصل الدائرة من ابتداء القصاص إلى انتهاء الذقن، و هو فاسد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الدائرة التي ذكرها أمر فرضي تقديري، و هو خلاف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كما لا يخفى على من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ضمير مفرد،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مستديرين، و قد عرفت أنّ الدائرة لو كانت تحصل من مجموع الإصبعين، لا من كلّ واحدة على حدة، و مع ذلك هو بعنوان الفرض و التقدير، و هو خلاف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خلاف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جرت عليه الإصبعان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تأمّل، كما أنّه كان خلاف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الوجه في عدم فهم أحد من الفقهاء من هذا الحديث ما ذكره شيخنا البهائي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فساد فهمه؛ الأخبار الاخر، مثل رواية إسماعيل بن مهران </w:t>
      </w:r>
      <w:r>
        <w:rPr>
          <w:rStyle w:val="FootnoteAnchor"/>
          <w:rtl w:val="true"/>
        </w:rPr>
        <w:footnoteReference w:id="744"/>
      </w:r>
      <w:r>
        <w:rPr>
          <w:rFonts w:ascii="Amiri" w:hAnsi="Amiri" w:eastAsia="Amiri" w:cs="Amiri"/>
          <w:color w:val="111111"/>
          <w:sz w:val="28"/>
          <w:sz w:val="28"/>
          <w:szCs w:val="28"/>
          <w:rtl w:val="true"/>
          <w:lang w:bidi="ar-SA"/>
        </w:rPr>
        <w:t>، و ما ورد في كيفيّة المسح في التيمّم، مع أنّه بعض غسل الوجه، كما سيجي‌ء في</w:t>
      </w:r>
    </w:p>
    <w:p>
      <w:pPr>
        <w:pStyle w:val="BookText"/>
        <w:rPr/>
      </w:pP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يدلّ بظاهره على ذلك، فلاحظ الأخبار الواردة في كيفيّة مسح الوجه في التيمّم يظهر لك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رواية زرارة المذكورة </w:t>
      </w:r>
      <w:r>
        <w:rPr>
          <w:rStyle w:val="FootnoteAnchor"/>
          <w:rtl w:val="true"/>
        </w:rPr>
        <w:footnoteReference w:id="746"/>
      </w:r>
      <w:r>
        <w:rPr>
          <w:rFonts w:ascii="Amiri" w:hAnsi="Amiri" w:eastAsia="Amiri" w:cs="Amiri"/>
          <w:color w:val="111111"/>
          <w:sz w:val="28"/>
          <w:sz w:val="28"/>
          <w:szCs w:val="28"/>
          <w:rtl w:val="true"/>
          <w:lang w:bidi="ar-SA"/>
        </w:rPr>
        <w:t>في أوّل هذا الباب و أمثالها، و ملاحظة اللغة في معنى الدور و الاستدارة، و معنى الوجه، و كذا العرف؛ لأنّ الوجه عندهم أكثر ممّا ذكره رحمه اللّه، و الأدلّة القطعيّة قائمة على حجيّة العرف و اللغة في موضوعات الأحكام، و أنّ اللّه و رسوله صلّى اللّه عليه و آله و سلم يخاطبنا بلساننا، و لا نزاع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بيانيّة يأباه كون القصاص بيانا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بل هو ابتداؤه، كما أنّ طرف الذقن انتهاؤه، و لذا ذكر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الانتهاء قطعا،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الشرعي هو ما دارت عليه الإصبعان من القصاص إلى الذقن، من الوجه المستدير، و مستديرا حال من الوجه المتّصل به، و لذا كرّر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لم يكن نزاع في الوجه بحسب الطول من جهة أنّ الرأس غير داخل في الوجه يقينا، و الوجه منته إليه، و كذا الحال في الذقن عرّف المعصوم عليه السّلام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حواه الإصبعان من الوجه المستدير، و لا شكّ في أنّ الوجه في العرف مستدير و طويل، و ليس المراد الاستدارة باصطلاح الهيئة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علوق التراب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يجوز التيمّم بالحجر الغير المغبّر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هذا من مرجّحات كون المراد من الصعيد التراب، كما عليه جماعة من اللغويين </w:t>
      </w:r>
      <w:r>
        <w:rPr>
          <w:rStyle w:val="FootnoteAnchor"/>
          <w:rtl w:val="true"/>
        </w:rPr>
        <w:footnoteReference w:id="748"/>
      </w:r>
      <w:r>
        <w:rPr>
          <w:rFonts w:ascii="Amiri" w:hAnsi="Amiri" w:eastAsia="Amiri" w:cs="Amiri"/>
          <w:color w:val="111111"/>
          <w:sz w:val="28"/>
          <w:sz w:val="28"/>
          <w:szCs w:val="28"/>
          <w:rtl w:val="true"/>
          <w:lang w:bidi="ar-SA"/>
        </w:rPr>
        <w:t xml:space="preserve">، و يظهر من غير واحد من الأخبار </w:t>
      </w:r>
      <w:r>
        <w:rPr>
          <w:rStyle w:val="FootnoteAnchor"/>
          <w:rtl w:val="true"/>
        </w:rPr>
        <w:footnoteReference w:id="749"/>
      </w:r>
      <w:r>
        <w:rPr>
          <w:rFonts w:ascii="Amiri" w:hAnsi="Amiri" w:eastAsia="Amiri" w:cs="Amiri"/>
          <w:color w:val="111111"/>
          <w:sz w:val="28"/>
          <w:sz w:val="28"/>
          <w:szCs w:val="28"/>
          <w:rtl w:val="true"/>
          <w:lang w:bidi="ar-SA"/>
        </w:rPr>
        <w:t>،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الكلام في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على القدمين كيف هو؟ فوضع كفّه على الأصابع فمسحها إلى الكعبين إلى ظاهر القدم،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 هكذا</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الرواية كالصريحة في أنّ الكعب قبّة القدم؛ لأنّ الغاية غير داخلة، كما حقّق في محلّه </w:t>
      </w:r>
      <w:r>
        <w:rPr>
          <w:rStyle w:val="FootnoteAnchor"/>
          <w:rtl w:val="true"/>
        </w:rPr>
        <w:footnoteReference w:id="751"/>
      </w:r>
      <w:r>
        <w:rPr>
          <w:rFonts w:ascii="Amiri" w:hAnsi="Amiri" w:eastAsia="Amiri" w:cs="Amiri"/>
          <w:color w:val="111111"/>
          <w:sz w:val="28"/>
          <w:sz w:val="28"/>
          <w:szCs w:val="28"/>
          <w:rtl w:val="true"/>
          <w:lang w:bidi="ar-SA"/>
        </w:rPr>
        <w:t>، و هو الظاهر المتبادر، و مع ذلك لا تأمّل في ظهورها في كون الكعب في ظاهر القدم، و المفصل ليس في ظاهر القدم، بل هو موصل القدم بالساق من دون خصوصيّة له بالظاهر، بل من جميع أطراف القدم يكون المفصل و الموصل، و لا وجه لنسبته إلى خصوص الظاهر أصلا، مع أنّه لا فرق بينه و بين كعب العامّة في الظهريّة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إذا وصل المسح إلى المفصل، وصل إلى كعب العامّة بعد ملاحظة الاستيعاب العرضي الوارد في هذه الرواية صريحا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في مسح الرجلين موسّع؛ من شاء مسح مقبلا و من شاء مسح مدبرا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ذلك شهادة على أنّ مسح الرأس ليس كذلك، بل غسل الوجه و اليدين أيضا، كما هو المشهور، و مرّ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هذا الحديث على عدم وجوب استيعاب ظهر القدم بالمسح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كذلك، بل نقل إجماع الشيعة على الاستيعاب الطولي </w:t>
      </w:r>
      <w:r>
        <w:rPr>
          <w:rStyle w:val="FootnoteAnchor"/>
          <w:rtl w:val="true"/>
        </w:rPr>
        <w:footnoteReference w:id="754"/>
      </w:r>
      <w:r>
        <w:rPr>
          <w:rFonts w:ascii="Amiri" w:hAnsi="Amiri" w:eastAsia="Amiri" w:cs="Amiri"/>
          <w:color w:val="111111"/>
          <w:sz w:val="28"/>
          <w:sz w:val="28"/>
          <w:szCs w:val="28"/>
          <w:rtl w:val="true"/>
          <w:lang w:bidi="ar-SA"/>
        </w:rPr>
        <w:t xml:space="preserve">، و ظهر من رواية زرارة السابقة عند التأمّل، ففي هذه الأخبار دلالة على أنّ الكعب هو قبّة القدم، و استثناء العلّامة الشراك، و جعله المسح عليه </w:t>
      </w:r>
      <w:r>
        <w:rPr>
          <w:rStyle w:val="FootnoteAnchor"/>
          <w:rtl w:val="true"/>
        </w:rPr>
        <w:footnoteReference w:id="755"/>
      </w:r>
      <w:r>
        <w:rPr>
          <w:rFonts w:ascii="Amiri" w:hAnsi="Amiri" w:eastAsia="Amiri" w:cs="Amiri"/>
          <w:color w:val="111111"/>
          <w:sz w:val="28"/>
          <w:sz w:val="28"/>
          <w:szCs w:val="28"/>
          <w:rtl w:val="true"/>
          <w:lang w:bidi="ar-SA"/>
        </w:rPr>
        <w:t xml:space="preserve">مخالف لظواهر الآية </w:t>
      </w:r>
      <w:r>
        <w:rPr>
          <w:rStyle w:val="FootnoteAnchor"/>
          <w:rtl w:val="true"/>
        </w:rPr>
        <w:footnoteReference w:id="756"/>
      </w:r>
      <w:r>
        <w:rPr>
          <w:rFonts w:ascii="Amiri" w:hAnsi="Amiri" w:eastAsia="Amiri" w:cs="Amiri"/>
          <w:color w:val="111111"/>
          <w:sz w:val="28"/>
          <w:sz w:val="28"/>
          <w:szCs w:val="28"/>
          <w:rtl w:val="true"/>
          <w:lang w:bidi="ar-SA"/>
        </w:rPr>
        <w:t xml:space="preserve">و الأخبار من كون المسح على الرجل </w:t>
      </w:r>
      <w:r>
        <w:rPr>
          <w:rStyle w:val="FootnoteAnchor"/>
          <w:rtl w:val="true"/>
        </w:rPr>
        <w:footnoteReference w:id="757"/>
      </w:r>
      <w:r>
        <w:rPr>
          <w:rFonts w:ascii="Amiri" w:hAnsi="Amiri" w:eastAsia="Amiri" w:cs="Amiri"/>
          <w:color w:val="111111"/>
          <w:sz w:val="28"/>
          <w:sz w:val="28"/>
          <w:szCs w:val="28"/>
          <w:rtl w:val="true"/>
          <w:lang w:bidi="ar-SA"/>
        </w:rPr>
        <w:t xml:space="preserve">، و كذا الأخبار الواردة في الطعن على من يمسح على الخفّ و كونه أشدّ من غسل الرجل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 قدميه، ثمّ وضع يده على ظهر القدم،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الكعب</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من جملة الأخبار الدالّة على كون الكعب قبّتى القدمين،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يده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كون الكعب في ظهر القدم، لا أنّه منتهى القدم و ابتداء الساق، فما ذكره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عجيب؛ فانّ المفصل موصل رأس الظنبوب </w:t>
      </w:r>
      <w:r>
        <w:rPr>
          <w:rStyle w:val="FootnoteAnchor"/>
          <w:rtl w:val="true"/>
        </w:rPr>
        <w:footnoteReference w:id="761"/>
      </w:r>
      <w:r>
        <w:rPr>
          <w:rFonts w:ascii="Amiri" w:hAnsi="Amiri" w:eastAsia="Amiri" w:cs="Amiri"/>
          <w:color w:val="111111"/>
          <w:sz w:val="28"/>
          <w:sz w:val="28"/>
          <w:szCs w:val="28"/>
          <w:rtl w:val="true"/>
          <w:lang w:bidi="ar-SA"/>
        </w:rPr>
        <w:t>بالقدم من كلّ طرف، من غير خصوصيّة له بظهر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قد عرفت أنّ موصل الشي‌ء؛ و الشي‌ء ليسا متميّزين بحيث يكون الإشارة إلى أحدهما مغايرا للإشارة إلى الآخر مغايرة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عظيمة بين العلماء، بل المناسب حينئذ أن يكون النزاع في استيعاب القدم و عدمه، لا تعيين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ليس مجموع ظهر القدم كعبا قطعا، نعم، شي‌ء منه الكعب لا المفصل؛ فإنّه ليس شيئا من الظهر، مع أنّ الظاهر المتبادر كون الشي‌ء في أواسط القدم لا أواخره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بكير، عن أبي جعفر عليه السّلام، أنّه قال في المسح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على النعلين، و لا تدخل يدك تحت الشراك، و 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المسح على النعلين لا يستلزم أن يكون المسح فوق الشراك، و على تقدير تسليم الظهور في ذلك لا يستلزم كون المسح على الشراك الذي على الكعب و هو معقده، بل الشراك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ما بين الأصابع إلى الكعب، فيكون ظاهرا في عدم الاستيعاب عرضا، و 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مسحت بشي‌ء</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لو كان المراد الشراك الذي على الكعب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لا يصير منه غالبا إلّا بمعقد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دالّا على كون الكعب هو 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كون المسح على بشرة الرجل و الاستيعاب الطولي، مع أنّه مسلّم عند العامّة، 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على ذلك إجماع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بالناصية ما يجاورها من الرأس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الناصية كثيرا ما تستعمل في الشعر من الرأس الواقع بين النزعتين، و ابتداؤه من قصاص شعر الرأس، فلا حاجة إلى التأويل،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صببت عليه كفّا، فغسل به وجهه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الماء كان في قربة أو مثلها، و لذا فعل عليه السّلام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ما يأتي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مراده ما يأتي في باب ترتيب الوضوء من تجويز المسح بالماء الجديد، و سيجي‌ء أنّه فاسد جزما،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يوجّه ذلك بأنّ إيماءه عليه السّلام برأسه نهي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توجيه وجيه، مع أنّ العامّة كان منهم من يقول بالمسح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يقول به، كأن يرضى بأن يسمّى الغسل في الرجل مسحا، كما لا يخفى على من لاحظ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فقهائهم و مفسّريهم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bookmarkStart w:id="321" w:name="pg2470_12490"/>
    </w:p>
    <w:p>
      <w:pPr>
        <w:pStyle w:val="Heading5"/>
        <w:numPr>
          <w:ilvl w:val="4"/>
          <w:numId w:val="1"/>
        </w:numPr>
        <w:rPr/>
      </w:pPr>
      <w:bookmarkStart w:id="322" w:name="__RefHeading___Toc3601506_3804643083"/>
      <w:bookmarkStart w:id="323" w:name="_Toc121"/>
      <w:bookmarkEnd w:id="321"/>
      <w:bookmarkEnd w:id="322"/>
      <w:r>
        <w:rPr>
          <w:rtl w:val="true"/>
        </w:rPr>
        <w:t>[</w:t>
      </w:r>
      <w:r>
        <w:rPr>
          <w:rtl w:val="true"/>
        </w:rPr>
        <w:t>باب غسل الرجلين</w:t>
      </w:r>
      <w:r>
        <w:rPr>
          <w:rtl w:val="true"/>
        </w:rPr>
        <w:t>]</w:t>
      </w:r>
      <w:bookmarkEnd w:id="3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يأتي على الرجل ستّون و سبعون سنة ما قبل اللّه منه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 أخبار الباب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النزاع العظيم من أهل 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الغسل و المسح تباينا، لا العموم من وجه كما قيل </w:t>
      </w:r>
      <w:r>
        <w:rPr>
          <w:rStyle w:val="FootnoteAnchor"/>
          <w:rtl w:val="true"/>
        </w:rPr>
        <w:footnoteReference w:id="770"/>
      </w:r>
      <w:r>
        <w:rPr>
          <w:rFonts w:ascii="Amiri" w:hAnsi="Amiri" w:eastAsia="Amiri" w:cs="Amiri"/>
          <w:color w:val="111111"/>
          <w:sz w:val="28"/>
          <w:sz w:val="28"/>
          <w:szCs w:val="28"/>
          <w:rtl w:val="true"/>
          <w:lang w:bidi="ar-SA"/>
        </w:rPr>
        <w:t xml:space="preserve">، لكن يرد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الأخبار أيضا أنّه لا يشترط أن يكون المسح بحيث لم يتحقّق فيه جريان أصلا حتّى أقلّ الجريان أيضا، و هو الذي يحصل به المسمّى عرفا، و الأئمّة عليهم السّلام ما أمروا بتجفيف ماء الغسل لأجل المسح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الدفع بأنّ ضروري مذهب الشيعة، و الظاهر من الأخبار المتواترة بعد الآية لمّا كان المسح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شعار العامّة الغسل و المسح على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المخاطبون بالمسح يفهمون أنّ اللازم هو المسح خاصّة، و أنّه مباين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يفعلون ما كان في العرف مسحا، فإن وقع جريان ما، لكان غير مضرّ عرفا، لأنّه شاهد على ذلك، كما نرى الآن لا تأمّل لهم في أنّ ذلك مسح خاصّة، لا غسل أيضا، و لا يرضون بإطلاق الغسل عليه أبدا، كما أنّ أهل السنّة في مقام المسح على الرأس و الرجلين كذلك، مع أنّ جريان الماء منهم أزيد بمراتب؛ لأنّهم يمسحون بماء جديد من غير نفض و تجفيف أصلا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الجريان الزائد بحيث يستحقّ لإطلاق اسم الغسل عليه عرفا على سبيل</w:t>
      </w:r>
    </w:p>
    <w:p>
      <w:pPr>
        <w:pStyle w:val="BookText"/>
        <w:rPr/>
      </w:pPr>
      <w:r>
        <w:rPr>
          <w:rFonts w:ascii="IRNazanin" w:hAnsi="IRNazanin" w:eastAsia="IRNazanin"/>
          <w:color w:val="111111"/>
          <w:sz w:val="28"/>
          <w:sz w:val="28"/>
          <w:szCs w:val="28"/>
          <w:rtl w:val="true"/>
          <w:lang w:bidi="fa-IR"/>
        </w:rPr>
        <w:t>الإطلاق، فلا نسلّم ظهور صحّته من الأخبار، بل الظاهر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يقال أيضا أنّ المقصود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هو إمرار اليد بأقلّ ما كان من رطوبة يكفي فالجريان الواقع على سبيل الاتّفاق و غير مقصود اعتباره في الوضوء و كونه من الوضوء و داخلا فيه لا يضرّ، كما أنّ غسل الوجه و اليدين يقع فيهما المسح باليدين، و هو إمرارهما عليهما؛ للاستعانة، و إجراء لجميع الأجزاء، و مع ذلك ليس هذا المسح جزءا من الوضوء و داخلا فيه، بل هو مقدّمة لإجراء الماء و تحقّق الغسل بالنسبة إلى جميع الأجزاء؛ إذ المأمور به بالنسبة إلى الوجه و اليدين ليس إلّا الغسل خاصّة، و هو إجراء الماء من عضو إلى عضو اخر، و الغسل هو جريان الماء كذلك، فلو وقع بدون إمرار اليد لصحّ و كفى قطعا،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أنّك توضّأت فجعلت مسح الرجلين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أضمرت أنّ ذلك هو المفترض</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هذا، و الخبر السابق </w:t>
      </w:r>
      <w:r>
        <w:rPr>
          <w:rStyle w:val="FootnoteAnchor"/>
          <w:rtl w:val="true"/>
        </w:rPr>
        <w:footnoteReference w:id="772"/>
      </w:r>
      <w:r>
        <w:rPr>
          <w:rFonts w:ascii="Amiri" w:hAnsi="Amiri" w:eastAsia="Amiri" w:cs="Amiri"/>
          <w:color w:val="111111"/>
          <w:sz w:val="28"/>
          <w:sz w:val="28"/>
          <w:szCs w:val="28"/>
          <w:rtl w:val="true"/>
          <w:lang w:bidi="ar-SA"/>
        </w:rPr>
        <w:t xml:space="preserve">أيضا على أنّ جاهل الحكم ليس بمعذور، كما عليه فقهاؤنا، إلّا من شذّ من المتأخّرين </w:t>
      </w:r>
      <w:r>
        <w:rPr>
          <w:rStyle w:val="FootnoteAnchor"/>
          <w:rtl w:val="true"/>
        </w:rPr>
        <w:footnoteReference w:id="773"/>
      </w:r>
      <w:r>
        <w:rPr>
          <w:rFonts w:ascii="Amiri" w:hAnsi="Amiri" w:eastAsia="Amiri" w:cs="Amiri"/>
          <w:color w:val="111111"/>
          <w:sz w:val="28"/>
          <w:sz w:val="28"/>
          <w:szCs w:val="28"/>
          <w:rtl w:val="true"/>
          <w:lang w:bidi="ar-SA"/>
        </w:rPr>
        <w:t xml:space="preserve">لشبهة حصلت له، و الأدلّة على عدم المعذوريّة كثيرة واضحة بيّنّاها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و ملحقاتها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به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الخبر السابق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يدلّ عليه نفس هذا الخبر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w:t>
      </w:r>
      <w:bookmarkStart w:id="324" w:name="pg2470_12492"/>
    </w:p>
    <w:p>
      <w:pPr>
        <w:pStyle w:val="BookText"/>
        <w:rPr/>
      </w:pPr>
      <w:bookmarkEnd w:id="324"/>
      <w:r>
        <w:rPr>
          <w:rFonts w:ascii="Amiri" w:hAnsi="Amiri" w:eastAsia="Amiri" w:cs="Amiri"/>
          <w:color w:val="111111"/>
          <w:sz w:val="28"/>
          <w:sz w:val="28"/>
          <w:szCs w:val="28"/>
          <w:rtl w:val="true"/>
          <w:lang w:bidi="ar-SA"/>
        </w:rPr>
        <w:t>الحصر، كما لا يخفى، و مع هذا لم يكتف بهذا،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فيه إلّا ذلك</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حيث صرّح بالحصر، ففيه الدلالة من وجوه ثلاثة؛ الظاهر، و الصريح، و التكرار المفيد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أنّهم كانوا يبولون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بائل على عقبيه، و ورد هذا في بعض أخبارنا أيضا، كما هو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شهادة أعرابي أنّه سمع الرسول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غصب فدك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3601508_3804643083"/>
      <w:bookmarkStart w:id="326" w:name="_Toc122"/>
      <w:bookmarkEnd w:id="325"/>
      <w:r>
        <w:rPr>
          <w:rtl w:val="true"/>
        </w:rPr>
        <w:t>[</w:t>
      </w:r>
      <w:r>
        <w:rPr>
          <w:rtl w:val="true"/>
        </w:rPr>
        <w:t>باب مقدار ماء الوضوء</w:t>
      </w:r>
      <w:r>
        <w:rPr>
          <w:rtl w:val="true"/>
        </w:rPr>
        <w:t>]</w:t>
      </w:r>
      <w:bookmarkEnd w:id="3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أدنى ما يحصل به الجريان، و لو باستعانة اليد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الأخبار على المبالغة في قلّة الجريان حتّى يتحقّق الغسل، و لا يكفي مجرّد المسح مثل باقي الرأس و الرجلين؛ إذ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ضروريّات أنّ الوجه و اليدين لا بدّ من غسلهما، و لا يكفي مسحهما، و ليسا مثل الرأس عند كلّ المسلمين، و الرجلين عند الشيعة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غاية الظهور من القرآن، بل هو من محكماته بلا تأمّل، و كذا ظاهر الأخبار المتواترة، فما احتمل بعض المتأخّرين من جواز إبقائها على ظاهرها فاسد قطعا و غفلة منه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يجزيك من الغسل و الاستنجاء ما بلّت يمينك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في أنّ الاستنجاء لا بدّ فيه من زوال عين النجاسة، بل هو من ضروريّات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الاستنجاء ما ذكره المؤلّف رحمه اللّه </w:t>
      </w:r>
      <w:r>
        <w:rPr>
          <w:rStyle w:val="FootnoteAnchor"/>
          <w:rtl w:val="true"/>
        </w:rPr>
        <w:footnoteReference w:id="781"/>
      </w:r>
      <w:r>
        <w:rPr>
          <w:rFonts w:ascii="Amiri" w:hAnsi="Amiri" w:eastAsia="Amiri" w:cs="Amiri"/>
          <w:color w:val="111111"/>
          <w:sz w:val="28"/>
          <w:sz w:val="28"/>
          <w:szCs w:val="28"/>
          <w:rtl w:val="true"/>
          <w:lang w:bidi="ar-SA"/>
        </w:rPr>
        <w:t xml:space="preserve">إذ قد أشرنا إلى أنّ المتعارف كان في ذلك أنّهم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الماء في كلّ وقت كانوا يبولون و يتغوّطون، و عدم تيسّره على السهولة كانوا يستنجون بالأحجار و أمثالها إلى وقت الوضوء للصلاة، فكانوا حينئذ يستنجون ثمّ يتوضّئون، و لذا قال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ماء الاستنجاء من جملة المدّ في الوضوء </w:t>
      </w:r>
      <w:r>
        <w:rPr>
          <w:rStyle w:val="FootnoteAnchor"/>
          <w:rtl w:val="true"/>
        </w:rPr>
        <w:footnoteReference w:id="782"/>
      </w:r>
      <w:r>
        <w:rPr>
          <w:rFonts w:ascii="Amiri" w:hAnsi="Amiri" w:eastAsia="Amiri" w:cs="Amiri"/>
          <w:color w:val="111111"/>
          <w:sz w:val="28"/>
          <w:sz w:val="28"/>
          <w:szCs w:val="28"/>
          <w:rtl w:val="true"/>
          <w:lang w:bidi="ar-SA"/>
        </w:rPr>
        <w:t>، كماء الغسلة الثانية حين شنّع بعض العامّة بأنّ الرسول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بمدّ</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فأين ينصرف المدّ عندكم </w:t>
      </w:r>
      <w:r>
        <w:rPr>
          <w:rStyle w:val="FootnoteAnchor"/>
          <w:rtl w:val="true"/>
        </w:rPr>
        <w:footnoteReference w:id="7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الثلج إذا بلّ رأسه و جسده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يقدر على أن يغتسل به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أنّ المراد من الأفضليّة ليس معناها الظاهر؛ فإنّ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غيره، فلا إشكال في الحديث</w:t>
      </w:r>
      <w:r>
        <w:rPr>
          <w:rFonts w:eastAsia="Amiri" w:cs="Amiri" w:ascii="Amiri" w:hAnsi="Amiri"/>
          <w:color w:val="111111"/>
          <w:sz w:val="28"/>
          <w:szCs w:val="28"/>
          <w:rtl w:val="true"/>
          <w:lang w:bidi="ar-SA"/>
        </w:rPr>
        <w:t>.</w:t>
      </w:r>
      <w:bookmarkStart w:id="327" w:name="pg2470_12494"/>
    </w:p>
    <w:p>
      <w:pPr>
        <w:pStyle w:val="BookText"/>
        <w:rPr/>
      </w:pPr>
      <w:bookmarkEnd w:id="32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تعدّى في وضوئه كان كناقصه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منه أنّ من زاد في وضوئه كان وضوؤه باطلا، كما قال بعض فيما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عليه لم يؤجر</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 لا بدّ من توجيهه حتّى يوافق هذه؛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للقاعدة من أنّ الامتثال هو موافقة الفعل لما أمر به </w:t>
      </w:r>
      <w:r>
        <w:rPr>
          <w:rStyle w:val="FootnoteAnchor"/>
          <w:rtl w:val="true"/>
        </w:rPr>
        <w:footnoteReference w:id="788"/>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الموافق أتى به، و الزائد عنه أمر خارج ليس فقده شرطا للصحّة، غاية الأمر أنّ الزائد يكون معه، و لا بدّ فيه من تأمّل، هذا بشرط أن يكون المسح ببقيّة البلل</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601510_3804643083"/>
      <w:bookmarkStart w:id="329" w:name="_Toc123"/>
      <w:bookmarkEnd w:id="328"/>
      <w:r>
        <w:rPr>
          <w:rtl w:val="true"/>
        </w:rPr>
        <w:t>[</w:t>
      </w:r>
      <w:r>
        <w:rPr>
          <w:rtl w:val="true"/>
        </w:rPr>
        <w:t>باب عدد الغسلات في الوضوء</w:t>
      </w:r>
      <w:r>
        <w:rPr>
          <w:rtl w:val="true"/>
        </w:rPr>
        <w:t>]</w:t>
      </w:r>
      <w:bookmarkEnd w:id="3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وصف الكعب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كونها المفصل؛ لأنّه في ظهرها و منتهاها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شبهة في أنّه ينافيه؛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بلا تأمّل و الظرف محيط بالمظروف بلا شبهة، و المفصل خارج عن القدم بلا تأمّل، لأنّه موصل القدم بالساق، فليس جزءا من القدم، كما أنّه ليس جزءا من الساق، و مع ذلك نسبته إلى القدم و الساق على السواء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لا خصوصيّة له بالظهر أصلا؛ لأنّ نسبة المفصل إلى الظهر و إلى الجانبين، بل و إلى الخلف على السواء، فكيف يكون ردّا على العامّة، لو لم يكن شاهدا لهم،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وضوء عليّ عليه السّلام إلّا مرّة مرّة</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رواية عمرو بن أبي المقدام </w:t>
      </w:r>
      <w:r>
        <w:rPr>
          <w:rStyle w:val="FootnoteAnchor"/>
          <w:rtl w:val="true"/>
        </w:rPr>
        <w:footnoteReference w:id="791"/>
      </w:r>
      <w:r>
        <w:rPr>
          <w:rFonts w:ascii="Amiri" w:hAnsi="Amiri" w:eastAsia="Amiri" w:cs="Amiri"/>
          <w:color w:val="111111"/>
          <w:sz w:val="28"/>
          <w:sz w:val="28"/>
          <w:szCs w:val="28"/>
          <w:rtl w:val="true"/>
          <w:lang w:bidi="ar-SA"/>
        </w:rPr>
        <w:t xml:space="preserve">، و يضعّف المرسلة المتضمّنة لحصر وضوء رسول اللّه صلّى اللّه عليه و آله و سلم في المرّة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ما ذكرنا أنّ الراوي سأل عن الوضوء، فأجاب عليه السّلام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عليّ عليه السّلام ما كان إلّا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وضوء الرسول صلّى اللّه عليه و آله و سلم أيضا كان كذلك لكان أولى بالذكر،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وجه في الاقتصار على ذكر عليّ عليه السّلام، بل ربّما كان فيه إشعار بأنّ وضوء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مثل الحسن و الحسين عليهما السّلام ما كان محصورا في المرّة،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وضوء رسول اللّه صلّى اللّه عليه و آله و سلم إلّا مرّة مرّة و توضّأ النبيّ صلّى اللّه عليه و آله و سلم 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ردّ على العامّة حيث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توضّأ مرّة مرّة،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وضوء لا يقبل اللّه الصلاة إلّا به، ثمّ توضّأ مرّتين مرّتين،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وضوء من أعطاه اللّه أجره مرّتين، ثمّ توضّأ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وضوئي و وضوء الأنبياء قبلي</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العلّامة رحمه اللّه نقل هذه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 الثلاث على كونه من خواصّه صلّى اللّه عليه و آله و سلم، و استدلّ بما في الرواية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يظهر أنّ المراد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أقلّ الإجزاء، و أنّه لا بدّ منه، و لا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لنا وضوء رسول اللّه صلّى اللّه عليه و آله و سلم في هذه الرواية؛ إشارة إلى أنّ الرسول كان يقتصر على الفرائض غالبا، كما يظهر من غيرها من الأخبار، و دلالة على استحباب الغسلة الثانية، و يظهر منها وجه الجمع بين ما دلّ على استحبابها، و أنّ الرسول صلّى اللّه عليه و آله و سلم وضوؤه كان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يستيقن أنّ الواحدة من الوضوء تجزيه، لم يؤجر على الثنتين</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ظاهرة في استحباب الغسلة الثانية، بالنسبة إلى من تيقّن أنّ الواحدة أقلّ الفريضة، و أنّها 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وضوء عليّ عليه السّلام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يؤدّي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 و قلّة العدد، و مخالفة الشهرة و الإجماعات، و معارضة الأخبار الكثيرة غاية الكثرة، الواضحة الدلالة و الظاهرة مع صحّة سند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الدلالة أيضا؛ إذ اختيار عليّ عليه السّلام مرّة كيف يعارض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توضّئوا مثنى مثنى</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الغسلة الثانية زادها</w:t>
      </w:r>
    </w:p>
    <w:p>
      <w:pPr>
        <w:pStyle w:val="BookText"/>
        <w:rPr/>
      </w:pPr>
      <w:r>
        <w:rPr>
          <w:rFonts w:ascii="Amiri" w:hAnsi="Amiri" w:eastAsia="Amiri" w:cs="Amiri"/>
          <w:color w:val="111111"/>
          <w:sz w:val="28"/>
          <w:sz w:val="28"/>
          <w:szCs w:val="28"/>
          <w:rtl w:val="true"/>
          <w:lang w:bidi="ar-SA"/>
        </w:rPr>
        <w:t>الرسول صلّى اللّه عليه و آله و سلم لكذا</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إسباغ</w:t>
      </w:r>
      <w:r>
        <w:rPr>
          <w:rFonts w:eastAsia="IRNazanin" w:cs="IRNazanin"/>
          <w:color w:val="111111"/>
          <w:sz w:val="28"/>
          <w:szCs w:val="28"/>
          <w:rtl w:val="true"/>
          <w:lang w:bidi="fa-IR"/>
        </w:rPr>
        <w:t xml:space="preserve">» </w:t>
      </w:r>
      <w:r>
        <w:rPr>
          <w:rStyle w:val="FootnoteAnchor"/>
          <w:rtl w:val="true"/>
        </w:rPr>
        <w:footnoteReference w:id="800"/>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اختياره عليه السّلام لعلّه يختصّ به، فكيف يقاوم أمرهم عليهم السّلام لنا بالتكرار؟ لأنّ الفعل لا يعارض القول أصلا، فضلا عن أن يقاومه، سيّما مع اعتضاد القول بمقوّيات، و وهن الفعل بموهنات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القول بحجيّة غير الصحيح، و إلّا فالأمر ظاهر،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الاتّفاق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لا يعارض القول و لا يقاومه،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 جاء عنهم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مرّتان إن هو لم يقنعه مرّة و استزاده،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زاد على المرّتين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أقصى غاية الحدّ في الوضوء الذي من تجاوزه أثم، و لم يكن له وضوء، و كان كمن صلّى الظهر خمس ركعات،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يطلق عليه السّلام في المرّتين لكان سبيلهما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العبارة صريحة في كون الثانية أيضا جزءا للوضوء، كعبارة الصدوق </w:t>
      </w:r>
      <w:r>
        <w:rPr>
          <w:rStyle w:val="FootnoteAnchor"/>
          <w:rtl w:val="true"/>
        </w:rPr>
        <w:footnoteReference w:id="802"/>
      </w:r>
      <w:r>
        <w:rPr>
          <w:rFonts w:ascii="Amiri" w:hAnsi="Amiri" w:eastAsia="Amiri" w:cs="Amiri"/>
          <w:color w:val="111111"/>
          <w:sz w:val="28"/>
          <w:sz w:val="28"/>
          <w:szCs w:val="28"/>
          <w:rtl w:val="true"/>
          <w:lang w:bidi="ar-SA"/>
        </w:rPr>
        <w:t xml:space="preserve">و البزنطي </w:t>
      </w:r>
      <w:r>
        <w:rPr>
          <w:rStyle w:val="FootnoteAnchor"/>
          <w:rtl w:val="true"/>
        </w:rPr>
        <w:footnoteReference w:id="803"/>
      </w:r>
      <w:r>
        <w:rPr>
          <w:rFonts w:ascii="Amiri" w:hAnsi="Amiri" w:eastAsia="Amiri" w:cs="Amiri"/>
          <w:color w:val="111111"/>
          <w:sz w:val="28"/>
          <w:sz w:val="28"/>
          <w:szCs w:val="28"/>
          <w:rtl w:val="true"/>
          <w:lang w:bidi="ar-SA"/>
        </w:rPr>
        <w:t xml:space="preserve">، و كذا كون الثالثة بدعة صريح في ذلك، و هو إجماعي صرّح جميع الفقهاء به، فيلزم كون الثانية مستحبّة مطلقا، كما هو المشهور </w:t>
      </w:r>
      <w:r>
        <w:rPr>
          <w:rStyle w:val="FootnoteAnchor"/>
          <w:rtl w:val="true"/>
        </w:rPr>
        <w:footnoteReference w:id="804"/>
      </w:r>
      <w:r>
        <w:rPr>
          <w:rFonts w:ascii="Amiri" w:hAnsi="Amiri" w:eastAsia="Amiri" w:cs="Amiri"/>
          <w:color w:val="111111"/>
          <w:sz w:val="28"/>
          <w:sz w:val="28"/>
          <w:szCs w:val="28"/>
          <w:rtl w:val="true"/>
          <w:lang w:bidi="ar-SA"/>
        </w:rPr>
        <w:t xml:space="preserve">، أو لمن لم يقنعه المرّة،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مراده ما سيذكره عن ابن أبي عقيل و غيره، فهو حقّ فلا يكون حينئذ مخالفا للمشهور؛ لأنّهم يقولون به بالنسبة إلينا، و لم يتعرّضوا لحال النبي صلّى اللّه عليه و آله و سلم و عليّ عليه السّلام، و غيرهما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غيره، فلا وجه له ظاهرا، و كذا الكلام بالنسبة إلى كلام الصدوق و البزنطي،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المرتضى رحمه اللّه </w:t>
      </w:r>
      <w:r>
        <w:rPr>
          <w:rStyle w:val="FootnoteAnchor"/>
          <w:rtl w:val="true"/>
        </w:rPr>
        <w:footnoteReference w:id="806"/>
      </w:r>
      <w:r>
        <w:rPr>
          <w:rFonts w:ascii="Amiri" w:hAnsi="Amiri" w:eastAsia="Amiri" w:cs="Amiri"/>
          <w:color w:val="111111"/>
          <w:sz w:val="28"/>
          <w:sz w:val="28"/>
          <w:szCs w:val="28"/>
          <w:rtl w:val="true"/>
          <w:lang w:bidi="ar-SA"/>
        </w:rPr>
        <w:t xml:space="preserve">، و ابن زهرة </w:t>
      </w:r>
      <w:r>
        <w:rPr>
          <w:rStyle w:val="FootnoteAnchor"/>
          <w:rtl w:val="true"/>
        </w:rPr>
        <w:footnoteReference w:id="807"/>
      </w:r>
      <w:r>
        <w:rPr>
          <w:rFonts w:ascii="Amiri" w:hAnsi="Amiri" w:eastAsia="Amiri" w:cs="Amiri"/>
          <w:color w:val="111111"/>
          <w:sz w:val="28"/>
          <w:sz w:val="28"/>
          <w:szCs w:val="28"/>
          <w:rtl w:val="true"/>
          <w:lang w:bidi="ar-SA"/>
        </w:rPr>
        <w:t xml:space="preserve">، و ابن إدريس </w:t>
      </w:r>
      <w:r>
        <w:rPr>
          <w:rStyle w:val="FootnoteAnchor"/>
          <w:rtl w:val="true"/>
        </w:rPr>
        <w:footnoteReference w:id="808"/>
      </w:r>
      <w:r>
        <w:rPr>
          <w:rFonts w:ascii="Amiri" w:hAnsi="Amiri" w:eastAsia="Amiri" w:cs="Amiri"/>
          <w:color w:val="111111"/>
          <w:sz w:val="28"/>
          <w:sz w:val="28"/>
          <w:szCs w:val="28"/>
          <w:rtl w:val="true"/>
          <w:lang w:bidi="ar-SA"/>
        </w:rPr>
        <w:t>الإجماع على استحباب الغسلة الثانية، و لا يمكن حمل كلامهم على كون الثاني خارجا عن الوضوء، و على هذا لا يتأتّى المسح ببقيّة البلل، و على ذلك لا خصوصيّة للثاني بالجواز دون الثالث فما زاد و إن كان جائزا، و إلّا فالجمع؛ لأنّ المقتضي و المانع بالنسبة إلى حدّ سواء، من دون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يساعد هذا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الإسباغ، و الترغيب في المرّتين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الصدوق في أماليه عند وصف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الوضوء مرّة مرّة، و من توضّأ مرّتين فهو جائز إلّا أنّه لا يؤجر عليه </w:t>
      </w:r>
      <w:r>
        <w:rPr>
          <w:rStyle w:val="FootnoteAnchor"/>
          <w:rtl w:val="true"/>
        </w:rPr>
        <w:footnoteReference w:id="8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يلزمه القول باستحباب المرّتين؛ إذ المرّة الثانية لا شكّ في كونها فعلا من أفعال العبادة، فلا بدّ من أن يكون راجحا؛ إذ العبادة الجائزة لا معنى لها</w:t>
      </w:r>
    </w:p>
    <w:p>
      <w:pPr>
        <w:pStyle w:val="BookText"/>
        <w:rPr/>
      </w:pPr>
      <w:r>
        <w:rPr>
          <w:rFonts w:ascii="Amiri" w:hAnsi="Amiri" w:eastAsia="Amiri" w:cs="Amiri"/>
          <w:color w:val="111111"/>
          <w:sz w:val="28"/>
          <w:sz w:val="28"/>
          <w:szCs w:val="28"/>
          <w:rtl w:val="true"/>
          <w:lang w:bidi="ar-SA"/>
        </w:rPr>
        <w:t xml:space="preserve">قطعا، فضلا من أن تكون مرجوحة، كما هو مختار الكليني </w:t>
      </w:r>
      <w:r>
        <w:rPr>
          <w:rStyle w:val="FootnoteAnchor"/>
          <w:rtl w:val="true"/>
        </w:rPr>
        <w:footnoteReference w:id="811"/>
      </w:r>
      <w:r>
        <w:rPr>
          <w:rFonts w:ascii="IRNazanin" w:hAnsi="IRNazanin" w:eastAsia="IRNazanin"/>
          <w:color w:val="111111"/>
          <w:sz w:val="28"/>
          <w:sz w:val="28"/>
          <w:szCs w:val="28"/>
          <w:rtl w:val="true"/>
          <w:lang w:bidi="fa-IR"/>
        </w:rPr>
        <w:t xml:space="preserve">و الصدوق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الغسلة الثانية فعل اختياري لا يكون بغير نيّة جزما؛ فإمّا أن يكون بقصد الإطاعة و القربة، فهو فرع الرجحان جزما، أو اشتهاء النفس، و هو فاسد؛ لأنّ العبادة لا تكون إلّا بنيّة القربة إجماعا،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w:t>
      </w:r>
      <w:r>
        <w:rPr>
          <w:rStyle w:val="FootnoteAnchor"/>
          <w:rtl w:val="true"/>
        </w:rPr>
        <w:footnoteReference w:id="814"/>
      </w:r>
      <w:r>
        <w:rPr>
          <w:rFonts w:ascii="Amiri" w:hAnsi="Amiri" w:eastAsia="Amiri" w:cs="Amiri"/>
          <w:color w:val="111111"/>
          <w:sz w:val="28"/>
          <w:sz w:val="28"/>
          <w:szCs w:val="28"/>
          <w:rtl w:val="true"/>
          <w:lang w:bidi="ar-SA"/>
        </w:rPr>
        <w:t>و غيره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حدّ من حدود اللّه تعالى؛ ليعلم من يطيعه ممّن يعصيه، و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ثانيتهما خارجة عن الوضوء و ليست جزءا منه لم يقل به أحد من فقهائنا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الكليني و من 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ضروري الدين و خلاف مدلول الأخبار من الطرفين، و مع ذلك لا خصوصيّة له بالمرّتين؛ إذ يجوز في نفسه مطلقا، سواء كان مرّتين أو ثلاثا، أو أزيد إلى ما لا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بملاحظة أنّه يلزم تجديد ماء المسح و عدم كونه ببلّة الوضوء، فممنوع مطلقا؛ سواء كان المرّتين، أو أزيد،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موافق لهذا؛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مرّة مرّة، و من توضّأ مرّتين لم يؤجر، و من توضّأ ثلاثا فقد أبدع </w:t>
      </w:r>
      <w:r>
        <w:rPr>
          <w:rStyle w:val="FootnoteAnchor"/>
          <w:rtl w:val="true"/>
        </w:rPr>
        <w:footnoteReference w:id="815"/>
      </w:r>
      <w:r>
        <w:rPr>
          <w:rFonts w:ascii="Amiri" w:hAnsi="Amiri" w:eastAsia="Amiri" w:cs="Amiri"/>
          <w:color w:val="111111"/>
          <w:sz w:val="28"/>
          <w:sz w:val="28"/>
          <w:szCs w:val="28"/>
          <w:rtl w:val="true"/>
          <w:lang w:bidi="ar-SA"/>
        </w:rPr>
        <w:t>، فإنّه رحمه اللّه جعل الثالثة بدعة، موافقا لسائر الفقهاء، و لم يجعل الثانية بدعة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اعترضوا عليه بأنّ الثانية إن كانت مشروعة فلا معنى لعدم الأجر، و إن</w:t>
      </w:r>
    </w:p>
    <w:p>
      <w:pPr>
        <w:pStyle w:val="BookText"/>
        <w:rPr/>
      </w:pPr>
      <w:r>
        <w:rPr>
          <w:rFonts w:ascii="Amiri" w:hAnsi="Amiri" w:eastAsia="Amiri" w:cs="Amiri"/>
          <w:color w:val="111111"/>
          <w:sz w:val="28"/>
          <w:sz w:val="28"/>
          <w:szCs w:val="28"/>
          <w:rtl w:val="true"/>
          <w:lang w:bidi="ar-SA"/>
        </w:rPr>
        <w:t>كانت بدعة كالثالثة فما وجه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إذا لم تكن داخلة في الوضوء فالمسح بمائها لم يكن مسحا بماء الوضوء، فيكون الوضوء باطلا، و سوف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معنى حديث مؤمن الطاق أنّ الفرض في الوضوء إنّما هو غسلة واحدة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لأقوال جميع الفقهاء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تكلّفا، بل كثير من الأخبار ورد بلفظ الغسلة الثانية، مثل ما رواه الكشّي في ترجمة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أوجبه اللّه فواحدة، و أضاف إليها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الناس، و من توضّأ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صلاة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مثنى مثنى، و لا تزدنّ عليه</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الكاظم عليه السّلام كتب إلى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ثلاثا ثلاثا، ثمّ توضّأ كما أمر اللّه؛ اغسل وجهك واحدة فريضة، و اخرى إسباغا</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و فيه أيضا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وجهك مرّة فريضة، و اخرى إسباغا</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كتب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العريضي من أولاد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كما أمر اللّه غسل الوجه و اليدين، و مسح الرأس و الرجلين واحد و اثنان إسباغ الوضوء، و إن زاد على الاثنين أثم</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كتب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فريضة، و الثاني استحباب، و إن زاد على الاثنين أثم</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إتيان الماء على الأعضاء مرّتين؛ الفرض من ذلك مرّة، و الاثنين سنّة؛ لئلّا يكون المتوضّي قد قصّر في المرّة، فيكون يأتي على تقصيره، فإن تعدّى المرّتين لا يؤجر على ذلك، و بذلك جاء التوقيف عنهم عليهم السّلام </w:t>
      </w:r>
      <w:r>
        <w:rPr>
          <w:rStyle w:val="FootnoteAnchor"/>
          <w:rtl w:val="true"/>
        </w:rPr>
        <w:footnoteReference w:id="822"/>
      </w:r>
      <w:r>
        <w:rPr>
          <w:rFonts w:ascii="Amiri" w:hAnsi="Amiri" w:eastAsia="Amiri" w:cs="Amiri"/>
          <w:color w:val="111111"/>
          <w:sz w:val="28"/>
          <w:sz w:val="28"/>
          <w:szCs w:val="28"/>
          <w:rtl w:val="true"/>
          <w:lang w:bidi="ar-SA"/>
        </w:rPr>
        <w:t xml:space="preserve">، و بمضمون فتواه صرّح ابن الجنيد </w:t>
      </w:r>
      <w:r>
        <w:rPr>
          <w:rStyle w:val="FootnoteAnchor"/>
          <w:rtl w:val="true"/>
        </w:rPr>
        <w:footnoteReference w:id="823"/>
      </w:r>
      <w:r>
        <w:rPr>
          <w:rFonts w:ascii="Amiri" w:hAnsi="Amiri" w:eastAsia="Amiri" w:cs="Amiri"/>
          <w:color w:val="111111"/>
          <w:sz w:val="28"/>
          <w:sz w:val="28"/>
          <w:szCs w:val="28"/>
          <w:rtl w:val="true"/>
          <w:lang w:bidi="ar-SA"/>
        </w:rPr>
        <w:t xml:space="preserve">و المفيد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ممّا ذكرنا أنّ فريضة اللّه كانت من أوّل الأمر واحدة، ثمّ أضاف إلى تلك الواحدة واحدة اخرى؛ لضعف الناس و لإسباغهم، و أنّ من توضّأ ثلاثا ثلاثا لا أجر له، و يكون بدعة، و أنّه الذي يكون مستحبّا عند العامّة، و يحرم عند الخاصّة؛ لورود ذلك عن الأئمّة عليهم السّلام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هذا من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الذي يظهر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w:t>
      </w:r>
      <w:r>
        <w:rPr>
          <w:rStyle w:val="FootnoteAnchor"/>
          <w:rtl w:val="true"/>
        </w:rPr>
        <w:footnoteReference w:id="826"/>
      </w:r>
      <w:r>
        <w:rPr>
          <w:rFonts w:ascii="Amiri" w:hAnsi="Amiri" w:eastAsia="Amiri" w:cs="Amiri"/>
          <w:color w:val="111111"/>
          <w:sz w:val="28"/>
          <w:sz w:val="28"/>
          <w:szCs w:val="28"/>
          <w:rtl w:val="true"/>
          <w:lang w:bidi="ar-SA"/>
        </w:rPr>
        <w:t>أنّ الغرفة تجزي إذا بولغ، و الثنتان لا يحتاجان إلى المبالغة، و أنّهما أيضا في درجة الإجزاء، لا استحباب فيهما أصلا،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الوضوء بمدّ أيضا يؤيّد استحباب الغسلتين، و ممّا ذكرناه عن الكشّي </w:t>
      </w:r>
      <w:r>
        <w:rPr>
          <w:rStyle w:val="FootnoteAnchor"/>
          <w:rtl w:val="true"/>
        </w:rPr>
        <w:footnoteReference w:id="827"/>
      </w:r>
      <w:r>
        <w:rPr>
          <w:rFonts w:ascii="Amiri" w:hAnsi="Amiri" w:eastAsia="Amiri" w:cs="Amiri"/>
          <w:color w:val="111111"/>
          <w:sz w:val="28"/>
          <w:sz w:val="28"/>
          <w:szCs w:val="28"/>
          <w:rtl w:val="true"/>
          <w:lang w:bidi="ar-SA"/>
        </w:rPr>
        <w:t xml:space="preserve">، و ابن أبي عقيل </w:t>
      </w:r>
      <w:r>
        <w:rPr>
          <w:rStyle w:val="FootnoteAnchor"/>
          <w:rtl w:val="true"/>
        </w:rPr>
        <w:footnoteReference w:id="828"/>
      </w:r>
      <w:r>
        <w:rPr>
          <w:rFonts w:ascii="Amiri" w:hAnsi="Amiri" w:eastAsia="Amiri" w:cs="Amiri"/>
          <w:color w:val="111111"/>
          <w:sz w:val="28"/>
          <w:sz w:val="28"/>
          <w:szCs w:val="28"/>
          <w:rtl w:val="true"/>
          <w:lang w:bidi="ar-SA"/>
        </w:rPr>
        <w:t>يظهر وجه الجمع بين الأخبار، فتدبّر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نقلناه عن الصدوق، و نقل المصنّف و غيره عنه، و عن الكليني و البزنطي، يعيّن كون الغسلة الثانية مستحبّة </w:t>
      </w:r>
      <w:r>
        <w:rPr>
          <w:rStyle w:val="FootnoteAnchor"/>
          <w:rtl w:val="true"/>
        </w:rPr>
        <w:footnoteReference w:id="829"/>
      </w:r>
      <w:r>
        <w:rPr>
          <w:rFonts w:ascii="Amiri" w:hAnsi="Amiri" w:eastAsia="Amiri" w:cs="Amiri"/>
          <w:color w:val="111111"/>
          <w:sz w:val="28"/>
          <w:sz w:val="28"/>
          <w:szCs w:val="28"/>
          <w:rtl w:val="true"/>
          <w:lang w:bidi="ar-SA"/>
        </w:rPr>
        <w:t>بلا تأمّل، كما عرفت</w:t>
      </w:r>
      <w:r>
        <w:rPr>
          <w:rFonts w:eastAsia="Amiri" w:cs="Amiri" w:ascii="Amiri" w:hAnsi="Amiri"/>
          <w:color w:val="111111"/>
          <w:sz w:val="28"/>
          <w:szCs w:val="28"/>
          <w:rtl w:val="true"/>
          <w:lang w:bidi="ar-SA"/>
        </w:rPr>
        <w:t>.</w:t>
      </w:r>
      <w:bookmarkStart w:id="330" w:name="pg2470_12502"/>
    </w:p>
    <w:p>
      <w:pPr>
        <w:pStyle w:val="Heading5"/>
        <w:numPr>
          <w:ilvl w:val="4"/>
          <w:numId w:val="1"/>
        </w:numPr>
        <w:rPr/>
      </w:pPr>
      <w:bookmarkStart w:id="331" w:name="__RefHeading___Toc3601512_3804643083"/>
      <w:bookmarkStart w:id="332" w:name="_Toc124"/>
      <w:bookmarkEnd w:id="330"/>
      <w:bookmarkEnd w:id="331"/>
      <w:r>
        <w:rPr>
          <w:rtl w:val="true"/>
        </w:rPr>
        <w:t>[</w:t>
      </w:r>
      <w:r>
        <w:rPr>
          <w:rtl w:val="true"/>
        </w:rPr>
        <w:t>باب الوضوء بغير الماء</w:t>
      </w:r>
      <w:r>
        <w:rPr>
          <w:rtl w:val="true"/>
        </w:rPr>
        <w:t>]</w:t>
      </w:r>
      <w:bookmarkEnd w:id="3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غير صحيح؛ إذ لا منافاة بين الحديثين؛ فإنّ ماء الورد ماء استخرج من الورد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شبهة في المنافاة؛ لأنّ الماء حقيقة في المطلق مجاز في المضاف، و الأصل في الإطلاق الحمل على الحقيقة بالأدلّة اليقينيّة المذكورة في موضعها، و هو إجماعي من جميع المسلمين و غيرهم أيضا، و المدار من الكلّ في الفقه و غيره، حتّى المؤلّف أيضا مداره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الشيخ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الماء على ما يشمل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إنّما هو بعد تكافؤ السند و الدلالة، و ليس كذلك؛ لأنّ ما دلّ على الماء موافق للقرآن و غيره من الأخبار، و معمول به عند المسلمين إلّا من شذّ، بل المدار في الأعصار و الأمصار على الانحصار في الماء، و أنّ المتبادر من الغسل الوارد في القرآن و الأخبار ما هو بالماء؛ لأنّه الفرد الشائع، و الإطلاق ينصرف إليه، و الموافق للأخبار و الاعتبار المسلّم الثابت أنّ الراجح حجّة و المرجوح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 أن يكون المرجوح ضعيفا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في أخبار لا تحصى أنّ ما يخالف القرآن ليس بحجّة، و يضرب بالحائط، و أمثال ذلك، و كذا ما خالف الشهرة، و الأمر بترك الشاذّ، و بترك ما لم يوافق أخبارهم الاخر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333" w:name="pg2470_12503"/>
    </w:p>
    <w:p>
      <w:pPr>
        <w:pStyle w:val="BookText"/>
        <w:rPr/>
      </w:pPr>
      <w:bookmarkEnd w:id="333"/>
      <w:r>
        <w:rPr>
          <w:rFonts w:ascii="Amiri" w:hAnsi="Amiri" w:eastAsia="Amiri" w:cs="Amiri"/>
          <w:color w:val="111111"/>
          <w:sz w:val="28"/>
          <w:sz w:val="28"/>
          <w:szCs w:val="28"/>
          <w:rtl w:val="true"/>
          <w:lang w:bidi="ar-SA"/>
        </w:rPr>
        <w:t>نعم يوجّه المرجوح حتّى يلائم الراجح الذي هو الحجّة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أولى من الطرح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الطريقة المعروفة من القدماء و المتأخّرين، مع أنّه حمل ماء الورد على الماء الذي طرح فيه الورد، أو صبّ فيه شي‌ء بحيث لا يخرج عن الإطلاق، أو المراد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المنتاب </w:t>
      </w:r>
      <w:r>
        <w:rPr>
          <w:rStyle w:val="FootnoteAnchor"/>
          <w:rtl w:val="true"/>
        </w:rPr>
        <w:footnoteReference w:id="833"/>
      </w:r>
      <w:r>
        <w:rPr>
          <w:rFonts w:ascii="Amiri" w:hAnsi="Amiri" w:eastAsia="Amiri" w:cs="Amiri"/>
          <w:color w:val="111111"/>
          <w:sz w:val="28"/>
          <w:sz w:val="28"/>
          <w:szCs w:val="28"/>
          <w:rtl w:val="true"/>
          <w:lang w:bidi="ar-SA"/>
        </w:rPr>
        <w:t xml:space="preserve">الذي ورد في الأخبار أنّ المانع منه ملعون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 الوضوء منه بغير إذن صاحب النوبة؛ لأنّ الناس شركاء في الماء، و النار، و الكلأ، بأنّ لهم حقّا كما أنّ لهم حقّ الشرب، فتأمّل جدّا</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601514_3804643083"/>
      <w:bookmarkStart w:id="335" w:name="_Toc125"/>
      <w:bookmarkEnd w:id="334"/>
      <w:r>
        <w:rPr>
          <w:rtl w:val="true"/>
        </w:rPr>
        <w:t>[</w:t>
      </w:r>
      <w:r>
        <w:rPr>
          <w:rtl w:val="true"/>
        </w:rPr>
        <w:t>باب سنن الوضوء و آدابه</w:t>
      </w:r>
      <w:r>
        <w:rPr>
          <w:rtl w:val="true"/>
        </w:rPr>
        <w:t>]</w:t>
      </w:r>
      <w:bookmarkEnd w:id="3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اخترعه متأخروا أصحابنا من وجوب التذكّر بصفات العمل من وجوبه أو استحبابه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أعظم الرواية في نسبة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ارباب القوى القدسيّة، و الكمالات النفسيّة، مروّجي مذهب الشيعة، و مجدّدي دين الرسول صلّى اللّه عليه و آله و سلم، و متكفّلي أيتام الأئمّة عليهم السّلام، الذين بهم نجى من نجى، و اهتدى من اهتدى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أنّ دليلهم ليس بتامّ، فكلّ العالم أهل بدعة، بل هو رئيسهم، و إن أراد أنّهم لا دليل لهم، ففرية بلا مريّة، كيف و المتكلّمون في كتبهم الكلاميّة استدلّوا على ذلك بلا شبهة؟ و في الأخبار في مقامات متعدّدة إشارات منبّهة، مثل ما ورد في</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فيها على أنّها نافلة فهي نافلة، و إن دخلت على أنّها فريضة فهي فريضة، و أنّها على ما افتتحت عليه، و لما قمت فيها</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فلاحظ، و لاحظ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 الصلاة</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و لا يظهر ثمرته إلّا في النيّة؛ لأنّ الرجحان للطهور كان قبل الوقت أيضا بلا تأمّل؛ للإجماع، و الأخبار على أنّه مستحبّ لنفسه، و بعد دخول الوقت لا عقاب على تركه، و لا مؤاخذة من جهته، على 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واردة على الفروض المتعارفة؛ لأنّ النادرة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مجرّد تجويز العقل، و لعلّها لم يوجد فرد منها في الخارج، بل لو وجد نادرا لا تحمل الأخبار عليها، بل لا يدخل في المطلقات، كما هو مسلّم و مبيّن، فكيف أن تكون المطلقات منحصرة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المقطوع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حاله قبل الدخول و بعده واحد من دون تفاوت أصلا، حتّى بالنسبة إلى الفروض النادرة أيضا؛ إذ يصير قبل الوقت أيضا واجبا، بل و هو ليس بنادر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مقبول، منجبر بالشهرة و 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عموم، و المراد الامور المتعارفة تنوى، و يتفاوت الفعل بها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امتثال الأمر واجب بالعقل و النقل،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w:t>
      </w:r>
    </w:p>
    <w:p>
      <w:pPr>
        <w:pStyle w:val="BookText"/>
        <w:rPr/>
      </w:pPr>
      <w:r>
        <w:rPr>
          <w:rFonts w:ascii="Amiri" w:hAnsi="Amiri" w:eastAsia="Amiri" w:cs="Amiri"/>
          <w:color w:val="111111"/>
          <w:sz w:val="28"/>
          <w:sz w:val="28"/>
          <w:szCs w:val="28"/>
          <w:rtl w:val="true"/>
          <w:lang w:bidi="ar-SA"/>
        </w:rPr>
        <w:t xml:space="preserve">الرَّسُولَ </w:t>
      </w:r>
      <w:r>
        <w:rPr>
          <w:rStyle w:val="FootnoteAnchor"/>
          <w:rtl w:val="true"/>
        </w:rPr>
        <w:footnoteReference w:id="839"/>
      </w:r>
      <w:r>
        <w:rPr>
          <w:rFonts w:ascii="Amiri" w:hAnsi="Amiri" w:eastAsia="Amiri" w:cs="Amiri"/>
          <w:color w:val="111111"/>
          <w:sz w:val="28"/>
          <w:sz w:val="28"/>
          <w:szCs w:val="28"/>
          <w:rtl w:val="true"/>
          <w:lang w:bidi="ar-SA"/>
        </w:rPr>
        <w:t xml:space="preserve">و غيره من الأخبار الكثيرة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الامتثال هو الإتيان بما أمر به بالنحو الذي أمر به، و لأجل أنّه أمر به، فلو لم يأت به لهذه الجهة، بل لجهة اخرى لم يعدّ مطيعا ممتثلا بالبديهة، و كذا إن لم ينو الذي أمر به، مثلا؛ في الصبح لو صلّى ركعتين من غير تعيين أنّهما الفريضة أو النافلة، لم يعدّ ممتثلا لواحدة منهما؛ إذ عرفت أنّ الامتثال هو الإتيان بنفس ما أمر به،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الركعتين نفس الفريضة؛ لقابليّتهما للنافلة أيضا على التعيين؛ إذ الكلام في النافلة، فإذا لم يكن لإحداهما تعيين، فكيف يتعيّن لها؟</w:t>
      </w:r>
    </w:p>
    <w:p>
      <w:pPr>
        <w:pStyle w:val="BookText"/>
        <w:rPr/>
      </w:pPr>
      <w:r>
        <w:rPr>
          <w:rFonts w:ascii="Amiri" w:hAnsi="Amiri" w:eastAsia="Amiri" w:cs="Amiri"/>
          <w:color w:val="111111"/>
          <w:sz w:val="28"/>
          <w:sz w:val="28"/>
          <w:szCs w:val="28"/>
          <w:rtl w:val="true"/>
          <w:lang w:bidi="ar-SA"/>
        </w:rPr>
        <w:t xml:space="preserve">و كذا الحال في الوضوء إذا اجتمع الفريضة مع النافلة بعنوان الاحتمال عند المكلّف، فلو لم يحتمل إلّا إحداهما خاصّة، فالتعيين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الوجوب أو الندب؛ لأنّ التعيين عنده يكون لواحد منهما إذا لم يجوّز اجتماعهما، و أمّا مع التجويز، فلا بدّ من التعيين حتّى يعدّ ممتثلا، فإن عيّن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الواقع ليست بفريضة، يشكل احتسابها مكانها؛ لعدم تحقّق امتثالها، لأنّ الامتثال؛ الإتيان بشخصها و نفسها، كما عرفت، لا الإتيان بما هو مثلها بالهيئة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ها أنا ذا أتوضّأ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العبادة</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شهادة واضحة على كون الوضوء مطلوبا لغيره، فيدلّ على كونه واجبا لغيره، و كذا في الخبر الآتي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في غسل اليدين قبل إدخالهما الإناء، و أنّ ترك ذلك جائز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الأخبار مطلق، مثل الروايتين السابقتين، و بعضها في خصوص الإناء، فيحتمل حمل المطلق على المقيّد لا من جهة التعارض، بل من أنّ المطلق محمول على الفرد الشائع، و كان الشائع الماء القليل، و يحتمل الإبقاء على حاله؛ لعدم التعارض، و المسامحة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الرجل، فليصفق وجهه بالماء؛ فإنّه إن كان ناعسا فزع و استيقظ، و إن كان البرد فزع و لم يجد البرد</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الإطلاق لا ينافي استحباب صورة خاصّة؛ فإنّ الظاهر من الوضوات البيانيّة، عدم الضرب، بل الإسدال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السكوني صرّح الشيخ بأنّ الشيعة أجمعوا على العمل بروايته </w:t>
      </w:r>
      <w:r>
        <w:rPr>
          <w:rStyle w:val="FootnoteAnchor"/>
          <w:rtl w:val="true"/>
        </w:rPr>
        <w:footnoteReference w:id="844"/>
      </w:r>
      <w:r>
        <w:rPr>
          <w:rFonts w:ascii="Amiri" w:hAnsi="Amiri" w:eastAsia="Amiri" w:cs="Amiri"/>
          <w:color w:val="111111"/>
          <w:sz w:val="28"/>
          <w:sz w:val="28"/>
          <w:szCs w:val="28"/>
          <w:rtl w:val="true"/>
          <w:lang w:bidi="ar-SA"/>
        </w:rPr>
        <w:t>، و صرّح بتوثيقه، و الظاهر أنّه غير عامّي؛ لأنّه في جميع مسائل الفقه روى قانون الشيعة، إلّا نادرا، كغيره من الرواة، بل هو أكثر رواية، و رواياته مقبولة عند الأصحاب، و من جهة كونه قاضيا كان يناسبه التقيّة فصار منشأ لتوهّم كونه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المعارض، فيمكن حمله على ما إذا كان ناعسا أو بردانا، كما يظهر من التعليل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النساء في الوضوء أن يبتدئن بباطن أذرعهنّ، و في الرجال بظاهر الذراع</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على الاستحباب؛ للإجماع </w:t>
      </w:r>
      <w:r>
        <w:rPr>
          <w:rStyle w:val="FootnoteAnchor"/>
          <w:rtl w:val="true"/>
        </w:rPr>
        <w:footnoteReference w:id="846"/>
      </w:r>
      <w:r>
        <w:rPr>
          <w:rFonts w:ascii="Amiri" w:hAnsi="Amiri" w:eastAsia="Amiri" w:cs="Amiri"/>
          <w:color w:val="111111"/>
          <w:sz w:val="28"/>
          <w:sz w:val="28"/>
          <w:szCs w:val="28"/>
          <w:rtl w:val="true"/>
          <w:lang w:bidi="ar-SA"/>
        </w:rPr>
        <w:t xml:space="preserve">، و لما يظهر من تضاعيف الأخبار الواردة في بيان الوضوء و ذكر واجباته و أجزائه، و لضعف السند، فلا يفي عندهم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فينزّل على الاستحباب؛ للتسامح في أدلّة السنن، و لوقوع الشبهة، و الخروج عنها مهما أمكن مستحبّ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الفرض معناه اللغوي، أي الذي قدّر اللّه في خلقة النساء أن يبدأن في الغسل بغسل باطن الذراع، و الرجل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على ذلك حكاية امتحان سليمان النبي عليه السّلام ببعث غلمان و جواري مشبّهات بعضها ببعض، و طلب إظهار الذكور من الاناث، و تميّزهم منهنّ، فأمرهم سليمان بالوضوء، فمن ابتدأ في الغسل بظاهر الذراع حكم بأنّه ذكر، و من ابتدأ بباطنه حكم بأنّه انثى </w:t>
      </w:r>
      <w:r>
        <w:rPr>
          <w:rStyle w:val="FootnoteAnchor"/>
          <w:rtl w:val="true"/>
        </w:rPr>
        <w:footnoteReference w:id="847"/>
      </w:r>
      <w:r>
        <w:rPr>
          <w:rFonts w:ascii="Amiri" w:hAnsi="Amiri" w:eastAsia="Amiri" w:cs="Amiri"/>
          <w:color w:val="111111"/>
          <w:sz w:val="28"/>
          <w:sz w:val="28"/>
          <w:szCs w:val="28"/>
          <w:rtl w:val="true"/>
          <w:lang w:bidi="ar-SA"/>
        </w:rPr>
        <w:t>، و الحكاية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هذا إلى أولويّة ابتداء كلّ واحد منهما كذلك؛ لأنّه تعالى يحبّ الرفق و السهولة،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ليسا من السنّة التي لا يجوز تركها، فأمّا أن يكون بدعة فلا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ذكره اللّه تعالى في كتابه بلفظ الأمر </w:t>
      </w:r>
      <w:r>
        <w:rPr>
          <w:rStyle w:val="FootnoteAnchor"/>
          <w:rtl w:val="true"/>
        </w:rPr>
        <w:footnoteReference w:id="849"/>
      </w:r>
      <w:r>
        <w:rPr>
          <w:rFonts w:ascii="Amiri" w:hAnsi="Amiri" w:eastAsia="Amiri" w:cs="Amiri"/>
          <w:color w:val="111111"/>
          <w:sz w:val="28"/>
          <w:sz w:val="28"/>
          <w:szCs w:val="28"/>
          <w:rtl w:val="true"/>
          <w:lang w:bidi="ar-SA"/>
        </w:rPr>
        <w:t>، و بعض منه ليس بفرض، مثل الترتيب بين اليدين، و الموالاة، و غير 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فالمضمضة و الاستنشاق ليسا من فرضه و لا سنّته؛ إذ يظهر من الأخبار أنّ</w:t>
      </w:r>
    </w:p>
    <w:p>
      <w:pPr>
        <w:pStyle w:val="BookText"/>
        <w:rPr/>
      </w:pPr>
      <w:r>
        <w:rPr>
          <w:rFonts w:ascii="Amiri" w:hAnsi="Amiri" w:eastAsia="Amiri" w:cs="Amiri"/>
          <w:color w:val="111111"/>
          <w:sz w:val="28"/>
          <w:sz w:val="28"/>
          <w:szCs w:val="28"/>
          <w:rtl w:val="true"/>
          <w:lang w:bidi="ar-SA"/>
        </w:rPr>
        <w:t>ما ظهر وجوبه من القرآن كانوا يسمّونه فرضا، و ما ظهر وجوبه من السنّة كانوا يسمّونه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السنّة بمعنى الاستحباب، و يكون المراد أنّهما خارجان عن واجبات الوضوء و مستحبّاته، بل مستحبّان خارجان يفعلان قبله كالسواك، و الأذان و الإقامة للصلاة، و الأوّل أظهر بملاحظة الأخبار و الفتاوى،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كما لا يخفى على 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فتمندل كانت له حسنة، و إن توضّأ و لم يتمندل حتّى يجفّ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وضوؤه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ثلاثون حسنة</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تدلّ على أولويّة ترك التمندل، و المشهور أفتوا بالكراهة </w:t>
      </w:r>
      <w:r>
        <w:rPr>
          <w:rStyle w:val="FootnoteAnchor"/>
          <w:rtl w:val="true"/>
        </w:rPr>
        <w:footnoteReference w:id="852"/>
      </w:r>
      <w:r>
        <w:rPr>
          <w:rFonts w:ascii="Amiri" w:hAnsi="Amiri" w:eastAsia="Amiri" w:cs="Amiri"/>
          <w:color w:val="111111"/>
          <w:sz w:val="28"/>
          <w:sz w:val="28"/>
          <w:szCs w:val="28"/>
          <w:rtl w:val="true"/>
          <w:lang w:bidi="ar-SA"/>
        </w:rPr>
        <w:t xml:space="preserve">، و لعلّها من أجل التشبّه بأهل السنّة، أو أنّ المراد بها هو ترك الأفضل، و الأخبار الاخر </w:t>
      </w:r>
      <w:r>
        <w:rPr>
          <w:rStyle w:val="FootnoteAnchor"/>
          <w:rtl w:val="true"/>
        </w:rPr>
        <w:footnoteReference w:id="853"/>
      </w:r>
      <w:r>
        <w:rPr>
          <w:rFonts w:ascii="IRNazanin" w:hAnsi="IRNazanin" w:eastAsia="IRNazanin"/>
          <w:color w:val="111111"/>
          <w:sz w:val="28"/>
          <w:sz w:val="28"/>
          <w:szCs w:val="28"/>
          <w:rtl w:val="true"/>
          <w:lang w:bidi="fa-IR"/>
        </w:rPr>
        <w:t>لا تعارضها؛ لأنّ مقتضاها عدم البأس،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توضّأ للصلاة، ثمّ مسح وجهه بأسفل قميصه</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حكمها غير حكم التمندل، فتأمّل</w:t>
      </w:r>
      <w:r>
        <w:rPr>
          <w:rFonts w:eastAsia="Amiri" w:cs="Amiri" w:ascii="Amiri" w:hAnsi="Amiri"/>
          <w:color w:val="111111"/>
          <w:sz w:val="28"/>
          <w:szCs w:val="28"/>
          <w:rtl w:val="true"/>
          <w:lang w:bidi="ar-SA"/>
        </w:rPr>
        <w:t>!</w:t>
      </w:r>
      <w:bookmarkStart w:id="336" w:name="pg2470_12509"/>
    </w:p>
    <w:p>
      <w:pPr>
        <w:pStyle w:val="Heading5"/>
        <w:numPr>
          <w:ilvl w:val="4"/>
          <w:numId w:val="1"/>
        </w:numPr>
        <w:rPr/>
      </w:pPr>
      <w:bookmarkStart w:id="337" w:name="__RefHeading___Toc3601516_3804643083"/>
      <w:bookmarkStart w:id="338" w:name="_Toc126"/>
      <w:bookmarkEnd w:id="336"/>
      <w:bookmarkEnd w:id="337"/>
      <w:r>
        <w:rPr>
          <w:rtl w:val="true"/>
        </w:rPr>
        <w:t>[</w:t>
      </w:r>
      <w:r>
        <w:rPr>
          <w:rtl w:val="true"/>
        </w:rPr>
        <w:t>باب ترتيب الوضوء و موالاته و الشكّ و النسيان فيه</w:t>
      </w:r>
      <w:r>
        <w:rPr>
          <w:rtl w:val="true"/>
        </w:rPr>
        <w:t>]</w:t>
      </w:r>
      <w:bookmarkEnd w:id="3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ينصرف إذا لم يكن به بلّة، كما دلّ عليه الأخبار الاخر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ما فيه؛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الانصراف عن الصلاة، فالحصر باطل؛ لأنّ الطهارة شرط للصلاة بالنصوص و الإجماع، و لا يحصل إلّا بتمامها؛ إذ بعض الطهارة ليس بطهارة، و ما دلّ على المسح بالماء الجديد موافق للتقيّة قطعا، و الحقّ مع ما دلّ على عدم الجواز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ما مرّ في باب صفة الوضوء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يذكر هنا،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الصادق عليه السّلام، حيث شرط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 لحيته بلل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يمسح رأسه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 و مفهوم الشرط حجّة عند المصنّف </w:t>
      </w:r>
      <w:r>
        <w:rPr>
          <w:rStyle w:val="FootnoteAnchor"/>
          <w:rtl w:val="true"/>
        </w:rPr>
        <w:footnoteReference w:id="858"/>
      </w:r>
      <w:r>
        <w:rPr>
          <w:rFonts w:ascii="Amiri" w:hAnsi="Amiri" w:eastAsia="Amiri" w:cs="Amiri"/>
          <w:color w:val="111111"/>
          <w:sz w:val="28"/>
          <w:sz w:val="28"/>
          <w:szCs w:val="28"/>
          <w:rtl w:val="true"/>
          <w:lang w:bidi="ar-SA"/>
        </w:rPr>
        <w:t xml:space="preserve">أيضا، و حقّق في محلّه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رواية مالك بن أعين </w:t>
      </w:r>
      <w:r>
        <w:rPr>
          <w:rStyle w:val="FootnoteAnchor"/>
          <w:rtl w:val="true"/>
        </w:rPr>
        <w:footnoteReference w:id="860"/>
      </w:r>
      <w:r>
        <w:rPr>
          <w:rFonts w:ascii="Amiri" w:hAnsi="Amiri" w:eastAsia="Amiri" w:cs="Amiri"/>
          <w:color w:val="111111"/>
          <w:sz w:val="28"/>
          <w:sz w:val="28"/>
          <w:szCs w:val="28"/>
          <w:rtl w:val="true"/>
          <w:lang w:bidi="ar-SA"/>
        </w:rPr>
        <w:t xml:space="preserve">، و هي صريحة؛ لأنّه عليه السّلام حكم بأنّه إن لم يكن في لحيته بلل بقدر يمسح به فليعد الوضوء، كما هو ظاهر، و إن كان بعد لم يجفّ وضوؤه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فليأخذ منه و ليمسح رأسه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رواية خلف بن حمّاد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رواية أبي بصير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الصادق عليه السّلام </w:t>
      </w:r>
      <w:r>
        <w:rPr>
          <w:rStyle w:val="FootnoteAnchor"/>
          <w:rtl w:val="true"/>
        </w:rPr>
        <w:footnoteReference w:id="863"/>
      </w:r>
      <w:r>
        <w:rPr>
          <w:rFonts w:ascii="Amiri" w:hAnsi="Amiri" w:eastAsia="Amiri" w:cs="Amiri"/>
          <w:color w:val="111111"/>
          <w:sz w:val="28"/>
          <w:sz w:val="28"/>
          <w:szCs w:val="28"/>
          <w:rtl w:val="true"/>
          <w:lang w:bidi="ar-SA"/>
        </w:rPr>
        <w:t>، و هي صريحة؛ حيث أمر فيها بالمسح من بلّة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سيجي‌ء في كتاب الصلاة، في باب بدء الصلاة و عللها </w:t>
      </w:r>
      <w:r>
        <w:rPr>
          <w:rStyle w:val="FootnoteAnchor"/>
          <w:rtl w:val="true"/>
        </w:rPr>
        <w:footnoteReference w:id="864"/>
      </w:r>
      <w:r>
        <w:rPr>
          <w:rFonts w:ascii="Amiri" w:hAnsi="Amiri" w:eastAsia="Amiri" w:cs="Amiri"/>
          <w:color w:val="111111"/>
          <w:sz w:val="28"/>
          <w:sz w:val="28"/>
          <w:szCs w:val="28"/>
          <w:rtl w:val="true"/>
          <w:lang w:bidi="ar-SA"/>
        </w:rPr>
        <w:t xml:space="preserve">من الحديث الصحيح المتضمّن لأمره تعالى بالمسح بفضل ما بقي في يده صلّى اللّه عليه و آله و سلم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الحديث المشهور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مقام ذكر معجزة الكاظم من أمره عليه السّلام علي بن يقطين بالمسح من نداوة وضوئه بعد ما أمره بالتقيّة و التوضّؤ بمثل العامّة؛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 ما كنّا نخافه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أمره بالوضوء بطريق الحقّ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الرواية المذكورة فيه و غيره، و أنّه أجاب السائل عن كيفيّة الوضوء بأنّه يمسح ببقيّة نداوة الوضوء </w:t>
      </w:r>
      <w:r>
        <w:rPr>
          <w:rStyle w:val="FootnoteAnchor"/>
          <w:rtl w:val="true"/>
        </w:rPr>
        <w:footnoteReference w:id="867"/>
      </w:r>
      <w:r>
        <w:rPr>
          <w:rFonts w:ascii="Amiri" w:hAnsi="Amiri" w:eastAsia="Amiri" w:cs="Amiri"/>
          <w:color w:val="111111"/>
          <w:sz w:val="28"/>
          <w:sz w:val="28"/>
          <w:szCs w:val="28"/>
          <w:rtl w:val="true"/>
          <w:lang w:bidi="ar-SA"/>
        </w:rPr>
        <w:t>، بل صار الآن من شعار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دلالة بعض الأخبار، فإن كان مراده ما مرّ في باب صفة الوضوء، فهو محمول على التقيّة قطعا؛ لأنّه مخالف لمذهب جميع الشيعة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مراده رواية ابن سنان الضعيفة المذكورة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الضعف و المخالفة لجميع ما ذكر، و لما دلّ على أنّ الشك بعد الانصراف من الوضوء لا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جزما و هو المفتى به عند جميع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محمول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التأمّل فيه أيضا يظهر كونها على طريقة العامّة، كما عرفت،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الوضوء بعد ما فرغ من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 و لا يعيد</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يحتمل أن يكون المراد إذا تذكّر الوضوء تذكّرا، كما هو مضمون روايته الآتية </w:t>
      </w:r>
      <w:r>
        <w:rPr>
          <w:rStyle w:val="FootnoteAnchor"/>
          <w:rtl w:val="true"/>
        </w:rPr>
        <w:footnoteReference w:id="869"/>
      </w:r>
      <w:r>
        <w:rPr>
          <w:rFonts w:ascii="Amiri" w:hAnsi="Amiri" w:eastAsia="Amiri" w:cs="Amiri"/>
          <w:color w:val="111111"/>
          <w:sz w:val="28"/>
          <w:sz w:val="28"/>
          <w:szCs w:val="28"/>
          <w:rtl w:val="true"/>
          <w:lang w:bidi="ar-SA"/>
        </w:rPr>
        <w:t>، بقرينة اتّحاد الراوي، و المرويّ عنه، و الحكاية، فلعلّ الروايتين واحدة، حصل التفاوت من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يكون المراد الشكّ في أفعال الوضوء، و ما سيذكره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البقاء على ظاهره، و تعدّد الروايتين، و يكون المراد أنّه حين الصلاة كان معتقدا أنّه توضّأ، و أنّ صلاته على وضوء، ثمّ عرضه الشكّ، فلا يضرّ؛ لأنّه في أثناء الصلاة أذكر منه بعد فراغه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ذكرت أنّك فعلته تذكّرا ما، و لو بالاحتمال البعيد، فإن استيقنت أنّك لم تفعله فأعد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مشكل بالقياس إلى ما ثبت من الأخبار و كلام الفقهاء، بل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بخاطره أنّه فعل، بمعنى أنّه في خاطره بناؤه على فعله، و لم يحضر صورته بباله، بأنّه كيف فعل؟ و متى فعل؟ يعني التفصيل ليس بباله، فلا يضرّ ذلك، و لا يوجب الإعادة؛ لأنّ المدار عند المكلّفين على الأوّل، و تحصيل الأخير و اعتباره يوجب الحرج، و بناء الوسواسيّين في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منه يتولّد</w:t>
      </w:r>
      <w:bookmarkStart w:id="339" w:name="pg2470_12512"/>
    </w:p>
    <w:p>
      <w:pPr>
        <w:pStyle w:val="BookText"/>
        <w:rPr/>
      </w:pPr>
      <w:bookmarkEnd w:id="339"/>
      <w:r>
        <w:rPr>
          <w:rFonts w:ascii="IRNazanin" w:hAnsi="IRNazanin" w:eastAsia="IRNazanin"/>
          <w:color w:val="111111"/>
          <w:sz w:val="28"/>
          <w:sz w:val="28"/>
          <w:szCs w:val="28"/>
          <w:rtl w:val="true"/>
          <w:lang w:bidi="fa-IR"/>
        </w:rPr>
        <w:t>وسواسهم، فلاحظ</w:t>
      </w:r>
      <w:r>
        <w:rPr>
          <w:rFonts w:eastAsia="IRNazanin" w:cs="IRNazanin"/>
          <w:color w:val="111111"/>
          <w:sz w:val="28"/>
          <w:szCs w:val="28"/>
          <w:rtl w:val="true"/>
          <w:lang w:bidi="fa-IR"/>
        </w:rPr>
        <w:t>!</w:t>
      </w:r>
    </w:p>
    <w:p>
      <w:pPr>
        <w:pStyle w:val="Heading5"/>
        <w:numPr>
          <w:ilvl w:val="4"/>
          <w:numId w:val="1"/>
        </w:numPr>
        <w:rPr/>
      </w:pPr>
      <w:bookmarkStart w:id="340" w:name="__RefHeading___Toc3601518_3804643083"/>
      <w:bookmarkStart w:id="341" w:name="_Toc127"/>
      <w:bookmarkEnd w:id="340"/>
      <w:r>
        <w:rPr>
          <w:rtl w:val="true"/>
        </w:rPr>
        <w:t>[</w:t>
      </w:r>
      <w:r>
        <w:rPr>
          <w:rtl w:val="true"/>
        </w:rPr>
        <w:t>باب وضوء من بأعضائه آفة</w:t>
      </w:r>
      <w:r>
        <w:rPr>
          <w:rtl w:val="true"/>
        </w:rPr>
        <w:t>]</w:t>
      </w:r>
      <w:bookmarkEnd w:id="3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به القرحة في ذراعه،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موضع الوضوء، فيعصبها بالخرقة و يتوضّأ، و يمسح عليها إذا توضّأ،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يؤذيه الماء، فليمسح على الخرقة، و إن كان لا يؤذيه الماء، فلينزع الخرقة ثمّ ليغسلها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الجرح، كيف أصنع به في غسله؟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حوله</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تكون العصابة سابقة على إرادة الوضوء أو مستحدثة حال إرادة الوضوء لأجل الوضوء، و المعصوم عليه السّلام أيضا ما استفصل في الجواب، فيظهر من هذا عدم الفرق بينهما، مضافا إلى ظهور عدم الفرق عند الاعتبار؛ إذ مستبعد جدّا أن تكون السابقة يصحّ المسح عليها، و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المسح؛ إذ الظاهر أنّ الغرض استيعاب أعضاء الوضوء بالمسح، و إمرار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فيشمل الحديث ما ذكره بعض الفقهاء من أنّه لو لم يكن خرقة على القروح مثلا، أو كانت لكنّها نجسة يوضع خرقة طاهرة حال الوضوء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 غيره من الأخبار؛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فليمسح على جبائره</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 اشباهه من كتاب اللّه</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يعضده أيضا ما مرّ في جواز المسح على الخفّين للبرد أو التقيّة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ادّعي عدم الخلاف من الفقهاء في هذا المعنى أي وجوب وضع الخرقة عليها </w:t>
      </w:r>
      <w:r>
        <w:rPr>
          <w:rStyle w:val="FootnoteAnchor"/>
          <w:rtl w:val="true"/>
        </w:rPr>
        <w:footnoteReference w:id="876"/>
      </w:r>
      <w:r>
        <w:rPr>
          <w:rFonts w:ascii="Amiri" w:hAnsi="Amiri" w:eastAsia="Amiri" w:cs="Amiri"/>
          <w:color w:val="111111"/>
          <w:sz w:val="28"/>
          <w:sz w:val="28"/>
          <w:szCs w:val="28"/>
          <w:rtl w:val="true"/>
          <w:lang w:bidi="ar-SA"/>
        </w:rPr>
        <w:t>و لعلّ الأولى و الأحوط اختيار ذلك قبل حال فعل الوضوء، و إن كان الأصل الوضوء؛ إذ لا غبار عليه حينئذ، و إن لم يتّفق ذلك أ و لم يتيسّر، توضع حين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العدول إلى التيمّم، بناء على عدم العبرة بهذه الخرقة الحادثة؛ لأنّ الظاهر من الأخبار؛ الخرقة السابقة، و فيه تأمّل ظهر وجهه، و 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الخرقة الحادثة لا بدّ من أن تعصّب و تشدّ، لا أن توضع على الموضع و يمسح عليها و ترمى و لا تشدّ، بل الخرقة السابقة أيضا لا بدّ أن تكون مشدودة، حتّى تكون بمنزلة بشرة العضو أو شعره في مسح الرأس، مع احتمال جواز الرمي و الطرح في حال الصلاة كما هو الحال في المسح على الخفّين للبرد،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حمله على الاستحباب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يخلو عن إشكال، بل مشكل جزما؛ لأنّ الظاهر لا يقاوم التصريح بالوجوب الوارد في أخبار كثيرة </w:t>
      </w:r>
      <w:r>
        <w:rPr>
          <w:rStyle w:val="FootnoteAnchor"/>
          <w:rtl w:val="true"/>
        </w:rPr>
        <w:footnoteReference w:id="878"/>
      </w:r>
      <w:r>
        <w:rPr>
          <w:rFonts w:ascii="Amiri" w:hAnsi="Amiri" w:eastAsia="Amiri" w:cs="Amiri"/>
          <w:color w:val="111111"/>
          <w:sz w:val="28"/>
          <w:sz w:val="28"/>
          <w:szCs w:val="28"/>
          <w:rtl w:val="true"/>
          <w:lang w:bidi="ar-SA"/>
        </w:rPr>
        <w:t xml:space="preserve">، و اتّفق الأصحاب على العمل بها، و نقل الإجماع صريحا </w:t>
      </w:r>
      <w:r>
        <w:rPr>
          <w:rStyle w:val="FootnoteAnchor"/>
          <w:rtl w:val="true"/>
        </w:rPr>
        <w:footnoteReference w:id="879"/>
      </w:r>
      <w:r>
        <w:rPr>
          <w:rFonts w:ascii="Amiri" w:hAnsi="Amiri" w:eastAsia="Amiri" w:cs="Amiri"/>
          <w:color w:val="111111"/>
          <w:sz w:val="28"/>
          <w:sz w:val="28"/>
          <w:szCs w:val="28"/>
          <w:rtl w:val="true"/>
          <w:lang w:bidi="ar-SA"/>
        </w:rPr>
        <w:t>، و هو حجّة؛ لعموم ما دلّ على حجّيّة خبر الواحد، لو قلنا أنّه اجماع منقول بخبر الواحد، و إلّا فالظاهر أنّه إجماع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هذا أوفق بالعمومات و الأخبار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 و ما هو بمضمونه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المقام في الخبرين المعارضين كان مقام التعرّض لذكر الغسل خاصّة، و لا ينافي ثبوت المسح على الخرقة، كما اعترف به، مع أنّ العبادات توقيفيّة، و شغل الذمّة اليقيني يستدعي البراءة اليقينيّة، كما حقّق في محلّه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بقي من العضو الذي قطع منه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بعيد، و الظاهر منها غسل موضع القطع؛ لأنّ الظاهر أنّ روايتي رفاعة </w:t>
      </w:r>
      <w:r>
        <w:rPr>
          <w:rStyle w:val="FootnoteAnchor"/>
          <w:rtl w:val="true"/>
        </w:rPr>
        <w:footnoteReference w:id="883"/>
      </w:r>
      <w:r>
        <w:rPr>
          <w:rFonts w:ascii="Amiri" w:hAnsi="Amiri" w:eastAsia="Amiri" w:cs="Amiri"/>
          <w:color w:val="111111"/>
          <w:sz w:val="28"/>
          <w:sz w:val="28"/>
          <w:szCs w:val="28"/>
          <w:rtl w:val="true"/>
          <w:lang w:bidi="ar-SA"/>
        </w:rPr>
        <w:t>واحدة، إلّا أنّه حصل تغيّر ما من جهة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الرواية وردت تقيّة؛ لأنّ غسل موضع القطع مذهب الشافعي </w:t>
      </w:r>
      <w:r>
        <w:rPr>
          <w:rStyle w:val="FootnoteAnchor"/>
          <w:rtl w:val="true"/>
        </w:rPr>
        <w:footnoteReference w:id="884"/>
      </w:r>
      <w:r>
        <w:rPr>
          <w:rFonts w:ascii="Amiri" w:hAnsi="Amiri" w:eastAsia="Amiri" w:cs="Amiri"/>
          <w:color w:val="111111"/>
          <w:sz w:val="28"/>
          <w:sz w:val="28"/>
          <w:szCs w:val="28"/>
          <w:rtl w:val="true"/>
          <w:lang w:bidi="ar-SA"/>
        </w:rPr>
        <w:t xml:space="preserve">، و يدلّ عليه أيضا رواية محمّد، عن الباقر عليه السّلام، حيث أمر بغسل الرجل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عند أصحابنا فإنّه يجب غسل ما بقي من اليد، و يمسح ما بقي من الرجل من موضع غسله، و موضع ما يجب مسحه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عليه بالاستصحاب، و بقول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به ما استطعتم</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w:t>
      </w:r>
      <w:bookmarkStart w:id="342" w:name="pg2470_12515"/>
    </w:p>
    <w:p>
      <w:pPr>
        <w:pStyle w:val="BookText"/>
        <w:rPr/>
      </w:pPr>
      <w:bookmarkEnd w:id="342"/>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و الروايات معتبرة عند الأصحاب، يستدلّون بها في مواضع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قطعت يده من المرفق، كيف يتوضّأ؟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بها بعض الأصحاب </w:t>
      </w:r>
      <w:r>
        <w:rPr>
          <w:rStyle w:val="FootnoteAnchor"/>
          <w:rtl w:val="true"/>
        </w:rPr>
        <w:footnoteReference w:id="891"/>
      </w:r>
      <w:r>
        <w:rPr>
          <w:rFonts w:ascii="IRNazanin" w:hAnsi="IRNazanin" w:eastAsia="IRNazanin"/>
          <w:color w:val="111111"/>
          <w:sz w:val="28"/>
          <w:sz w:val="28"/>
          <w:szCs w:val="28"/>
          <w:rtl w:val="true"/>
          <w:lang w:bidi="fa-IR"/>
        </w:rPr>
        <w:t>، و هو أحوط بلا تأمّل</w:t>
      </w:r>
      <w:r>
        <w:rPr>
          <w:rFonts w:eastAsia="IRNazanin" w:cs="IRNazanin"/>
          <w:color w:val="111111"/>
          <w:sz w:val="28"/>
          <w:szCs w:val="28"/>
          <w:rtl w:val="true"/>
          <w:lang w:bidi="fa-IR"/>
        </w:rPr>
        <w:t>.</w:t>
      </w:r>
    </w:p>
    <w:p>
      <w:pPr>
        <w:pStyle w:val="Heading5"/>
        <w:numPr>
          <w:ilvl w:val="4"/>
          <w:numId w:val="1"/>
        </w:numPr>
        <w:rPr/>
      </w:pPr>
      <w:bookmarkStart w:id="343" w:name="__RefHeading___Toc3601520_3804643083"/>
      <w:bookmarkStart w:id="344" w:name="_Toc128"/>
      <w:bookmarkEnd w:id="343"/>
      <w:r>
        <w:rPr>
          <w:rtl w:val="true"/>
        </w:rPr>
        <w:t>[</w:t>
      </w:r>
      <w:r>
        <w:rPr>
          <w:rtl w:val="true"/>
        </w:rPr>
        <w:t>باب فضيلة الوضوء و ثوابه و علّته</w:t>
      </w:r>
      <w:r>
        <w:rPr>
          <w:rtl w:val="true"/>
        </w:rPr>
        <w:t>]</w:t>
      </w:r>
      <w:bookmarkEnd w:id="3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الوضوء، و تحريمها التكبير، و تحليلها التسلم</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واضحة الدلالة في وجوب التسلم، و أنّه المحلّل للصلاة، كما أنّ التكبير هو المحرّم لها، و الوضوء هو المبيح لها، و أنّه لا يحلّ للرجل منافيات الصلاة إلّا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في غاية الشهرة بين الأصحاب، حتّى أنّ الجماعة الذين لا يقولون بحجّيّة خبر الواحد عملوا بها و احتجّوا بها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w:t>
      </w:r>
    </w:p>
    <w:p>
      <w:pPr>
        <w:pStyle w:val="BookText"/>
        <w:rPr/>
      </w:pPr>
      <w:r>
        <w:rPr>
          <w:rFonts w:ascii="IRNazanin" w:hAnsi="IRNazanin" w:eastAsia="IRNazanin"/>
          <w:color w:val="111111"/>
          <w:sz w:val="28"/>
          <w:sz w:val="28"/>
          <w:szCs w:val="28"/>
          <w:rtl w:val="true"/>
          <w:lang w:bidi="fa-IR"/>
        </w:rPr>
        <w:t>عشر حسنات</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أمثال هذه الرواية تدلّ على أنّ التجديد في الطهارة مستحبّ مطلقا</w:t>
      </w:r>
      <w:r>
        <w:rPr>
          <w:rFonts w:eastAsia="Amiri" w:cs="Amiri" w:ascii="Amiri" w:hAnsi="Amiri"/>
          <w:color w:val="111111"/>
          <w:sz w:val="28"/>
          <w:szCs w:val="28"/>
          <w:rtl w:val="true"/>
          <w:lang w:bidi="ar-SA"/>
        </w:rPr>
        <w:t>.</w:t>
      </w:r>
      <w:bookmarkStart w:id="345" w:name="pg2470_12517"/>
    </w:p>
    <w:p>
      <w:pPr>
        <w:pStyle w:val="Heading4"/>
        <w:numPr>
          <w:ilvl w:val="3"/>
          <w:numId w:val="1"/>
        </w:numPr>
        <w:rPr/>
      </w:pPr>
      <w:bookmarkStart w:id="346" w:name="__RefHeading___Toc3601522_3804643083"/>
      <w:bookmarkStart w:id="347" w:name="_Toc129"/>
      <w:bookmarkEnd w:id="345"/>
      <w:bookmarkEnd w:id="346"/>
      <w:r>
        <w:rPr>
          <w:rtl w:val="true"/>
        </w:rPr>
        <w:t>[</w:t>
      </w:r>
      <w:r>
        <w:rPr>
          <w:rtl w:val="true"/>
        </w:rPr>
        <w:t>أبواب الغسل</w:t>
      </w:r>
      <w:r>
        <w:rPr>
          <w:rtl w:val="true"/>
        </w:rPr>
        <w:t>]</w:t>
      </w:r>
      <w:bookmarkEnd w:id="347"/>
    </w:p>
    <w:p>
      <w:pPr>
        <w:pStyle w:val="Heading5"/>
        <w:numPr>
          <w:ilvl w:val="4"/>
          <w:numId w:val="1"/>
        </w:numPr>
        <w:rPr/>
      </w:pPr>
      <w:bookmarkStart w:id="348" w:name="__RefHeading___Toc3601524_3804643083"/>
      <w:bookmarkStart w:id="349" w:name="_Toc130"/>
      <w:bookmarkEnd w:id="348"/>
      <w:r>
        <w:rPr>
          <w:rtl w:val="true"/>
        </w:rPr>
        <w:t>[</w:t>
      </w:r>
      <w:r>
        <w:rPr>
          <w:rtl w:val="true"/>
        </w:rPr>
        <w:t>باب أنواع الغسل</w:t>
      </w:r>
      <w:r>
        <w:rPr>
          <w:rtl w:val="true"/>
        </w:rPr>
        <w:t>]</w:t>
      </w:r>
      <w:bookmarkEnd w:id="3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غسل الجمعة؟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في السفر و الحضر، إلّا أنّه رخّص للنساء في السفر و قلّة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واجب، و غسل الحائض إذا طهرت واجب، و غسل المستحاضة واجب إذا احتشت بالكرسف فجاز الدم الكرسف، فعليها الغسل لكلّ صلاتين، و للفجر غسل، و إن لم يجز الدم الكرسف، فعليها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الرواية واضحة الدلالة في وجود المتوسّطة، و أنّه عليها غسل واحد كلّ يوم و الوضوء لكلّ صلاة، و لم يتعرّض لذكر القليلة لأنّه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يوجب الغسل، و لم يذكر وقت الغسل الواحد؛ لأنّه لم يكن في بيان أمثاله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الألف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المذكور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غسل الفجر المذكور، و متّصلا به، و الأقربيّة من القرائن المسلّمة و المرجّحات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تعليق ذلك الغسل الواحد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يظهر أنّه غسل اليوم، فمقتضى ذلك كونه في أوّله، كما هو الحال في الأغسال الواردة لليوم،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إجماع الشيعة واقع على أنّه إن كان فللفجر </w:t>
      </w:r>
      <w:r>
        <w:rPr>
          <w:rStyle w:val="FootnoteAnchor"/>
          <w:rtl w:val="true"/>
        </w:rPr>
        <w:footnoteReference w:id="896"/>
      </w:r>
      <w:r>
        <w:rPr>
          <w:rFonts w:ascii="Amiri" w:hAnsi="Amiri" w:eastAsia="Amiri" w:cs="Amiri"/>
          <w:color w:val="111111"/>
          <w:sz w:val="28"/>
          <w:sz w:val="28"/>
          <w:szCs w:val="28"/>
          <w:rtl w:val="true"/>
          <w:lang w:bidi="ar-SA"/>
        </w:rPr>
        <w:t>لا لغيره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يقطين، عن أخيه،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عن الغسل في الجمعة و الأضحى و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ليس بفريضة</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هاتين الروايتين </w:t>
      </w:r>
      <w:r>
        <w:rPr>
          <w:rStyle w:val="FootnoteAnchor"/>
          <w:rtl w:val="true"/>
        </w:rPr>
        <w:footnoteReference w:id="898"/>
      </w:r>
      <w:r>
        <w:rPr>
          <w:rFonts w:ascii="Amiri" w:hAnsi="Amiri" w:eastAsia="Amiri" w:cs="Amiri"/>
          <w:color w:val="111111"/>
          <w:sz w:val="28"/>
          <w:sz w:val="28"/>
          <w:szCs w:val="28"/>
          <w:rtl w:val="true"/>
          <w:lang w:bidi="ar-SA"/>
        </w:rPr>
        <w:t>كون السنّة بمعنى الاستحباب حيث أخذ في مقابل الواجب و الفريضة، مع أنّه ليس في القرآن ما يشير إلى غسل الجمعة أصلا، بل القطع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الجمع مع غسل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الأخبار الاخر </w:t>
      </w:r>
      <w:r>
        <w:rPr>
          <w:rStyle w:val="FootnoteAnchor"/>
          <w:rtl w:val="true"/>
        </w:rPr>
        <w:footnoteReference w:id="899"/>
      </w:r>
      <w:r>
        <w:rPr>
          <w:rFonts w:ascii="Amiri" w:hAnsi="Amiri" w:eastAsia="Amiri" w:cs="Amiri"/>
          <w:color w:val="111111"/>
          <w:sz w:val="28"/>
          <w:sz w:val="28"/>
          <w:szCs w:val="28"/>
          <w:rtl w:val="true"/>
          <w:lang w:bidi="ar-SA"/>
        </w:rPr>
        <w:t xml:space="preserve">، و الشهرة التي كادت أن تكون إجماعا، لو لم نقل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بل الظاهر كونها إجماعا، لأنّ غسل الجمعة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لاشتهر وجوبه عند القدماء لا أقلّ، و لكانوا يلتزمون بفعله و يلزمون الغير، و صار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لاشتهار وجوبه اشتهار الشمس؛ لعموم البلوى، و شدّة الحاجة، مع أنّ الأمر صار بالعكس فتوى و عملا من المسلمين في الأعصار و الأمصار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رجاله،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 منها الفرض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الفرض منها؟ قال غسل الجنابة، و غسل من غسّل ميّتا، و الغسل للإحرام</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أيضا واضحة الدلالة على عدم وجوب غسل الجمعة و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اغتسل أمير المؤمنين عليه السّلام حين غسّل رسول اللّه صلّى اللّه عليه و آله و سلم؟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إشعار بأنّ غسل مسّ الميّت لأجل رفع حدث المسّ، و أنّه حدث، بل هذا هو الظاهر، و إلّا لم يكن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صلّى اللّه عليه و آله و سلم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أمير المؤمنين عليه السّلام فعل، و جرت به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الأوصياء عليهم السّلام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الظاهر منه، كما لا يخفى، و هذا أيضا قرينة اخرى على دلالة هذين الخبرين على كون المسّ حدثا، و غسله طهورا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القرائن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سأل من أنّ عليّا عليه السّلام هل اغتسل أم لا؟ فالجواب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طاهر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مستدرك لا طائل تحته أصلا لو لم يكن المسّ حدثا، و غسله طهوره و مزيله، بل يكون مخلّا و هزلا لأنّ أموات الناس إذا صاروا مطهّرين لم يجب غسل بمسّهم قطعا، و رسول اللّه صلّى اللّه عليه و آله و سلم لم يكن أسوأ حالا منهم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دليلا واضحا على أنّ مراده عليه السّلام من الكلام عدم وجوب الغسل على أمير المؤمنين عليه السّلام، كما أنّه لم يجب الغسل على من مسّ مطهّرا من الناس، لكن مع ذلك اغتسل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اخر على ما ذكرنا؛ فانّ</w:t>
      </w:r>
      <w:bookmarkStart w:id="350" w:name="pg2470_12520"/>
    </w:p>
    <w:p>
      <w:pPr>
        <w:pStyle w:val="BookText"/>
        <w:rPr/>
      </w:pPr>
      <w:bookmarkEnd w:id="350"/>
      <w:r>
        <w:rPr>
          <w:rFonts w:ascii="Amiri" w:hAnsi="Amiri" w:eastAsia="Amiri" w:cs="Amiri"/>
          <w:color w:val="111111"/>
          <w:sz w:val="28"/>
          <w:sz w:val="28"/>
          <w:szCs w:val="28"/>
          <w:rtl w:val="true"/>
          <w:lang w:bidi="ar-SA"/>
        </w:rPr>
        <w:t>الاستدراك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أمير المؤمنين عليه السّلام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عدم الوجوب عليه بالمسّ، حتّى يصح أن يكون استدراكا؛ فإنّ الفعل استدراك لعدم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و مع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الغسل واجبا عليه كسائر مسّ الأموات، و أيضا لو كان غسل المسّ من مجرّد التعبّد لا لزوال حدثيّة المسّ كان اللازم عليه ترك ذكر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صلّى اللّه عليه و آله و سلم طاهر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الاقتصار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المناسب الإنكار على الراوي في احتمال عدم اغتسال أمير المؤمنين عليه السّلام من مسّ الرسول صلّى اللّه عليه و آله و سلم؛ لأنّه صلّى اللّه عليه و آله و سلم ربّما كان مطهّرا مثل سائر المطهّرين من الأموات، بأن ينكر عليه بأنّ الغسل ليس إلّا لمجرّد التعبّد فلا فرق بين الرسول صلّى اللّه عليه و آله و سلم و غيره في وجوب الغسل على من 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المقطوع به أنّه على هذا يصير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صلّى اللّه عليه و آله و سلم طاهر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هذرا و هذيانا؛ لعدم الرابطة أصلا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العدم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اعتبار ما ذكره الفقهاء من كون مسّ أموات الناس حدثا و الغسل لزواله، يصير الخبران في غاية الاستقامة و الانتظام و الجودة، كما لا يخفى على من له أدنى فطنة، فتفطّن</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601526_3804643083"/>
      <w:bookmarkStart w:id="352" w:name="_Toc131"/>
      <w:bookmarkEnd w:id="351"/>
      <w:r>
        <w:rPr>
          <w:rtl w:val="true"/>
        </w:rPr>
        <w:t>[</w:t>
      </w:r>
      <w:r>
        <w:rPr>
          <w:rtl w:val="true"/>
        </w:rPr>
        <w:t>باب الحثّ على غسل الجمعة و وقته</w:t>
      </w:r>
      <w:r>
        <w:rPr>
          <w:rtl w:val="true"/>
        </w:rPr>
        <w:t>]</w:t>
      </w:r>
      <w:bookmarkEnd w:id="35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أتمّ وضوء الفريضة بغسل يوم الجمعة ما 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أو تقصير أو نسيان</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دلالة على المذهب المشهور من أنّ غسل الجمعة سنّة، و أنّ الوضوء للصلاة يوم الجمعة لازم على المحدث بالأصغر و لا يجزئ الغسل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الأنصاري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الرواية أيضا شهادة على استحباب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في السفر و الحضر إلّا أن يخاف المسافر على نفسه القرّ</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ظهورها في كون غسل الجمعة مستحبّا؛ لأنّ الظاهر أنّ سؤاله كان عن الوجوب و الاستحباب، لا عن الثواب من ظاهر الكتاب أو السنّة، مضافا إلى أنّه لا إشارة في الكتاب إليه أصلا، فكيف يخفى على مثل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فاته الغسل يوم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ما بينه و بين الليل، فإن فاته اغتسل يوم السبت</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عرض الاسبوع لو لم يقض في السبت، و الظاهر أنّ القضاء في يوم السبت خاصّة، لا ليلته كما قيل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bookmarkStart w:id="353" w:name="pg2470_12522"/>
    </w:p>
    <w:p>
      <w:pPr>
        <w:pStyle w:val="BookText"/>
        <w:rPr/>
      </w:pPr>
      <w:bookmarkEnd w:id="35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في علّة غسل يوم الجمعة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أيضا إشارة على استحباب هذا الغسل</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3601528_3804643083"/>
      <w:bookmarkStart w:id="355" w:name="_Toc132"/>
      <w:bookmarkEnd w:id="354"/>
      <w:r>
        <w:rPr>
          <w:rtl w:val="true"/>
        </w:rPr>
        <w:t>[</w:t>
      </w:r>
      <w:r>
        <w:rPr>
          <w:rtl w:val="true"/>
        </w:rPr>
        <w:t>باب حدّ الجنابة</w:t>
      </w:r>
      <w:r>
        <w:rPr>
          <w:rtl w:val="true"/>
        </w:rPr>
        <w:t>]</w:t>
      </w:r>
      <w:bookmarkEnd w:id="3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هي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المراد الالتقاء على النحو المعهود؛ لأنّ الإطلاق ينصرف إليه، و للإجماع، و للظاهر من هذا الخبر</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3601530_3804643083"/>
      <w:bookmarkStart w:id="357" w:name="_Toc133"/>
      <w:bookmarkEnd w:id="356"/>
      <w:r>
        <w:rPr>
          <w:rtl w:val="true"/>
        </w:rPr>
        <w:t>[</w:t>
      </w:r>
      <w:r>
        <w:rPr>
          <w:rtl w:val="true"/>
        </w:rPr>
        <w:t>باب احتلام المرأة و إمنائها</w:t>
      </w:r>
      <w:r>
        <w:rPr>
          <w:rtl w:val="true"/>
        </w:rPr>
        <w:t>]</w:t>
      </w:r>
      <w:bookmarkEnd w:id="3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يحمل ما ورد في إثبات الغسل لهنّ في احتلامهنّ على الاستحباب، على أنّ ماءهنّ قلما يخرج من فروجهنّ، و إنّما يستقرّ في أرحامهنّ، و على هذا فيمكن أن يحمل سقوط الغسل عنهنّ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الدالّة على وجوب الغسل تدلّ على وجوب الغسل واقعا كالرجل؛ لأنّ الراوي ما كان يدري أنّ عليها الغسل، و لذا سأل المعصوم عليه السّلام، و ما كان سؤاله</w:t>
      </w:r>
      <w:bookmarkStart w:id="358" w:name="pg2470_12523"/>
    </w:p>
    <w:p>
      <w:pPr>
        <w:pStyle w:val="BookText"/>
        <w:rPr/>
      </w:pPr>
      <w:bookmarkEnd w:id="358"/>
      <w:r>
        <w:rPr>
          <w:rFonts w:ascii="Amiri" w:hAnsi="Amiri" w:eastAsia="Amiri" w:cs="Amiri"/>
          <w:color w:val="111111"/>
          <w:sz w:val="28"/>
          <w:sz w:val="28"/>
          <w:szCs w:val="28"/>
          <w:rtl w:val="true"/>
          <w:lang w:bidi="ar-SA"/>
        </w:rPr>
        <w:t>لأن يغتسل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لأن تغتسل هي أم لا؟ فإذا كان عالما لما احتاج في سؤال الراوي عن حالها، 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المعصوم عليه السّلام مطلقا بأنّ عليها الغسل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الحمل على الاستحباب أيضا غلط؛ لأنّه فرع التكافؤ و عدم مخالفة الإجماع، و لا يخفى أنّ المتعارضين غير متكافئين؛ لأنّ ما دلّ على الوجوب أكثر، و أصحّ، و أشهر، و أوفق للعمومات، و الاستقراء في أنّ غالب المواضع اشتراكهما في التكاليف، و مع ذلك هي مفتى بها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يفت بها أصلا، فتكون من الشاذّة التي أمرونا بتركها، و يعضده دليل العقل أيضا، و العلّة التي ذكروها من أنّ الجمع عليه لا ريب فيه، و أيضا مخالف لطريقة المسلمين، سيّما الشيعة في الأعصار و الأمصار، مع أنّ غسلها ممّا يعم به البلوى و تكثر لديه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ساقطة </w:t>
      </w:r>
      <w:r>
        <w:rPr>
          <w:rStyle w:val="FootnoteAnchor"/>
          <w:rtl w:val="true"/>
        </w:rPr>
        <w:footnoteReference w:id="912"/>
      </w:r>
      <w:r>
        <w:rPr>
          <w:rFonts w:ascii="Amiri" w:hAnsi="Amiri" w:eastAsia="Amiri" w:cs="Amiri"/>
          <w:color w:val="111111"/>
          <w:sz w:val="28"/>
          <w:sz w:val="28"/>
          <w:szCs w:val="28"/>
          <w:rtl w:val="true"/>
          <w:lang w:bidi="ar-SA"/>
        </w:rPr>
        <w:t xml:space="preserve">لاشتهر اشتهار الشمس، لا أن يصير الأمر على خلاف ذلك بحسب الفتوى و العمل، فعلى هذا كيف قول الذي هو الحجّة شرعا لأجل وجود ما ليس بحجّة شرعا؛ لأنّ الحجّة ليست إلّا ما هو أقوى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أبعد، و ما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 اللّه بحسب ما ظهر لديه، و أنّه يبعد أن يكون حكم اللّه، فالمعيّن العمل بما هو حجّة إن أمكن، و إلّا طرح، فلا إشكال</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601532_3804643083"/>
      <w:bookmarkStart w:id="360" w:name="_Toc134"/>
      <w:bookmarkEnd w:id="359"/>
      <w:r>
        <w:rPr>
          <w:rtl w:val="true"/>
        </w:rPr>
        <w:t>[</w:t>
      </w:r>
      <w:r>
        <w:rPr>
          <w:rtl w:val="true"/>
        </w:rPr>
        <w:t>باب إتيان الدبر</w:t>
      </w:r>
      <w:r>
        <w:rPr>
          <w:rtl w:val="true"/>
        </w:rPr>
        <w:t>]</w:t>
      </w:r>
      <w:bookmarkEnd w:id="36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الخبرين الأخيرين </w:t>
      </w:r>
      <w:r>
        <w:rPr>
          <w:rStyle w:val="FootnoteAnchor"/>
          <w:rtl w:val="true"/>
        </w:rPr>
        <w:footnoteReference w:id="913"/>
      </w:r>
      <w:r>
        <w:rPr>
          <w:rFonts w:ascii="Amiri" w:hAnsi="Amiri" w:eastAsia="Amiri" w:cs="Amiri"/>
          <w:color w:val="111111"/>
          <w:sz w:val="28"/>
          <w:sz w:val="28"/>
          <w:szCs w:val="28"/>
          <w:rtl w:val="true"/>
          <w:lang w:bidi="ar-SA"/>
        </w:rPr>
        <w:t>لجواز أن يكون وجوب الغسل فيه مختصّا بالرجل، و إنّما التنافي بين ثانيهما و بين مرفوع البرقي المتقدّم</w:t>
      </w:r>
    </w:p>
    <w:p>
      <w:pPr>
        <w:pStyle w:val="BookText"/>
        <w:rPr/>
      </w:pPr>
      <w:r>
        <w:rPr>
          <w:rFonts w:ascii="Amiri" w:hAnsi="Amiri" w:eastAsia="Amiri" w:cs="Amiri"/>
          <w:color w:val="111111"/>
          <w:sz w:val="28"/>
          <w:sz w:val="28"/>
          <w:szCs w:val="28"/>
          <w:rtl w:val="true"/>
          <w:lang w:bidi="ar-SA"/>
        </w:rPr>
        <w:t xml:space="preserve">عليهما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التنافي متحقّق؛ لأنّ الغسل الذي يكون في الإتيان في المأتي هو الغسل على الطرفين، و الظاهر من الرواية أنّ كلّ واحد من الاثنين حكمهما واحد و حالهما، و لهذا يكون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الراوي لم يسأل عن خصوص حال الرجل، بل سأل عن حكم فعل الرجل، و لا يلزم أن يكون الحكم مختصّا بغسل الرجل، و المعصوم عليه السّلام أطلق في الجواب أنّ في الفعل الغسل، يعني حال هذا المأتي حال المأتي الذي تعرف حاله و لا تسأل عنه لظهوره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لم يستفصل أنّ سؤالك هل يختصّ بغسل الرجل أم مطلق الغسل؟</w:t>
      </w:r>
    </w:p>
    <w:p>
      <w:pPr>
        <w:pStyle w:val="BookText"/>
        <w:rPr/>
      </w:pPr>
      <w:r>
        <w:rPr>
          <w:rFonts w:ascii="Amiri" w:hAnsi="Amiri" w:eastAsia="Amiri" w:cs="Amiri"/>
          <w:color w:val="111111"/>
          <w:sz w:val="28"/>
          <w:sz w:val="28"/>
          <w:szCs w:val="28"/>
          <w:rtl w:val="true"/>
          <w:lang w:bidi="ar-SA"/>
        </w:rPr>
        <w:t>و من هذا فهم الأصحاب العموم، و جعلوها حجّة لهم و منافيا للروايتين مع أنّ السند إلى ابن أبي عمير صحيح؛ فهو ممّن أجمعت العصابة و ممّن يقبل مراسيله، و مراسيله في حكم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أهل الرجال </w:t>
      </w:r>
      <w:r>
        <w:rPr>
          <w:rStyle w:val="FootnoteAnchor"/>
          <w:rtl w:val="true"/>
        </w:rPr>
        <w:footnoteReference w:id="915"/>
      </w:r>
      <w:r>
        <w:rPr>
          <w:rFonts w:ascii="Amiri" w:hAnsi="Amiri" w:eastAsia="Amiri" w:cs="Amiri"/>
          <w:color w:val="111111"/>
          <w:sz w:val="28"/>
          <w:sz w:val="28"/>
          <w:szCs w:val="28"/>
          <w:rtl w:val="true"/>
          <w:lang w:bidi="ar-SA"/>
        </w:rPr>
        <w:t>، و علّلوه بما علّلوا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لا يروي إلّا عن الثقة و إن أرسل، كما قاله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أنّها في المقام منجبرة بالشهرة التي كادت تكون إجماعا؛ لأنّ الشيخ رجع عن رأيه و قال بوجوب الغسل عليها أيضا </w:t>
      </w:r>
      <w:r>
        <w:rPr>
          <w:rStyle w:val="FootnoteAnchor"/>
          <w:rtl w:val="true"/>
        </w:rPr>
        <w:footnoteReference w:id="917"/>
      </w:r>
      <w:r>
        <w:rPr>
          <w:rFonts w:ascii="IRNazanin" w:hAnsi="IRNazanin" w:eastAsia="IRNazanin"/>
          <w:color w:val="111111"/>
          <w:sz w:val="28"/>
          <w:sz w:val="28"/>
          <w:szCs w:val="28"/>
          <w:rtl w:val="true"/>
          <w:lang w:bidi="fa-IR"/>
        </w:rPr>
        <w:t xml:space="preserve">و المرتضى ادّعى الإجماع </w:t>
      </w:r>
      <w:r>
        <w:rPr>
          <w:rStyle w:val="FootnoteAnchor"/>
          <w:rtl w:val="true"/>
        </w:rPr>
        <w:footnoteReference w:id="918"/>
      </w:r>
      <w:r>
        <w:rPr>
          <w:rFonts w:ascii="Amiri" w:hAnsi="Amiri" w:eastAsia="Amiri" w:cs="Amiri"/>
          <w:color w:val="111111"/>
          <w:sz w:val="28"/>
          <w:sz w:val="28"/>
          <w:szCs w:val="28"/>
          <w:rtl w:val="true"/>
          <w:lang w:bidi="ar-SA"/>
        </w:rPr>
        <w:t>، و الإجماع المنقول حجّة؛ لعموم ما دلّ على حجيّة الخبر الواحد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يعضده أيضا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فقد وجب الغسل</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 و ما سننقل</w:t>
      </w:r>
      <w:bookmarkStart w:id="361" w:name="pg2470_12525"/>
    </w:p>
    <w:p>
      <w:pPr>
        <w:pStyle w:val="BookText"/>
        <w:rPr/>
      </w:pPr>
      <w:bookmarkEnd w:id="361"/>
      <w:r>
        <w:rPr>
          <w:rFonts w:ascii="Amiri" w:hAnsi="Amiri" w:eastAsia="Amiri" w:cs="Amiri"/>
          <w:color w:val="111111"/>
          <w:sz w:val="28"/>
          <w:sz w:val="28"/>
          <w:szCs w:val="28"/>
          <w:rtl w:val="true"/>
          <w:lang w:bidi="ar-SA"/>
        </w:rPr>
        <w:t xml:space="preserve">عن عليّ عليه السّلام، و ما يظهر من بعض الأخبار أنّ الإتيان في الفرج موجب للغسل </w:t>
      </w:r>
      <w:r>
        <w:rPr>
          <w:rStyle w:val="FootnoteAnchor"/>
          <w:rtl w:val="true"/>
        </w:rPr>
        <w:footnoteReference w:id="920"/>
      </w:r>
      <w:r>
        <w:rPr>
          <w:rFonts w:ascii="Amiri" w:hAnsi="Amiri" w:eastAsia="Amiri" w:cs="Amiri"/>
          <w:color w:val="111111"/>
          <w:sz w:val="28"/>
          <w:sz w:val="28"/>
          <w:szCs w:val="28"/>
          <w:rtl w:val="true"/>
          <w:lang w:bidi="ar-SA"/>
        </w:rPr>
        <w:t xml:space="preserve">، و لا تأمّل في أنّ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من الأخبار </w:t>
      </w:r>
      <w:r>
        <w:rPr>
          <w:rStyle w:val="FootnoteAnchor"/>
          <w:rtl w:val="true"/>
        </w:rPr>
        <w:footnoteReference w:id="921"/>
      </w:r>
      <w:r>
        <w:rPr>
          <w:rFonts w:ascii="Amiri" w:hAnsi="Amiri" w:eastAsia="Amiri" w:cs="Amiri"/>
          <w:color w:val="111111"/>
          <w:sz w:val="28"/>
          <w:sz w:val="28"/>
          <w:szCs w:val="28"/>
          <w:rtl w:val="true"/>
          <w:lang w:bidi="ar-SA"/>
        </w:rPr>
        <w:t xml:space="preserve">و إطلاق العرف و اللغة </w:t>
      </w:r>
      <w:r>
        <w:rPr>
          <w:rStyle w:val="FootnoteAnchor"/>
          <w:rtl w:val="true"/>
        </w:rPr>
        <w:footnoteReference w:id="922"/>
      </w:r>
      <w:r>
        <w:rPr>
          <w:rFonts w:ascii="IRNazanin" w:hAnsi="IRNazanin" w:eastAsia="IRNazanin"/>
          <w:color w:val="111111"/>
          <w:sz w:val="28"/>
          <w:sz w:val="28"/>
          <w:szCs w:val="28"/>
          <w:rtl w:val="true"/>
          <w:lang w:bidi="fa-IR"/>
        </w:rPr>
        <w:t>، فلاحظ، و تأمّل</w:t>
      </w:r>
      <w:r>
        <w:rPr>
          <w:rFonts w:eastAsia="IRNazanin" w:cs="IRNazanin"/>
          <w:color w:val="111111"/>
          <w:sz w:val="28"/>
          <w:szCs w:val="28"/>
          <w:rtl w:val="true"/>
          <w:lang w:bidi="fa-IR"/>
        </w:rPr>
        <w:t>!</w:t>
      </w:r>
    </w:p>
    <w:p>
      <w:pPr>
        <w:pStyle w:val="Heading5"/>
        <w:numPr>
          <w:ilvl w:val="4"/>
          <w:numId w:val="1"/>
        </w:numPr>
        <w:rPr/>
      </w:pPr>
      <w:bookmarkStart w:id="362" w:name="__RefHeading___Toc3601534_3804643083"/>
      <w:bookmarkStart w:id="363" w:name="_Toc135"/>
      <w:bookmarkEnd w:id="362"/>
      <w:r>
        <w:rPr>
          <w:rtl w:val="true"/>
        </w:rPr>
        <w:t>[</w:t>
      </w:r>
      <w:r>
        <w:rPr>
          <w:rtl w:val="true"/>
        </w:rPr>
        <w:t>باب خروج البلل بعد الغسل</w:t>
      </w:r>
      <w:r>
        <w:rPr>
          <w:rtl w:val="true"/>
        </w:rPr>
        <w:t>]</w:t>
      </w:r>
      <w:bookmarkEnd w:id="3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حديث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رأى بللا و لم يكن بال فليتوضّأ، و لا يغتسل، إنّما ذلك من الحبائل</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 مجهول، مخالف لجميع الأخبار المنجبرة بالفتاوى، و غير المنجبرة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يجمع بين الأخبار الماضية و الآتية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الأخبار الدالّة على الوجوب أكثر و أصحّ و أشهر و مفتى بها عند الأصحاب، و نقل ابن إدريس على الوجوب الإجماع </w:t>
      </w:r>
      <w:r>
        <w:rPr>
          <w:rStyle w:val="FootnoteAnchor"/>
          <w:rtl w:val="true"/>
        </w:rPr>
        <w:footnoteReference w:id="925"/>
      </w:r>
      <w:r>
        <w:rPr>
          <w:rFonts w:ascii="Amiri" w:hAnsi="Amiri" w:eastAsia="Amiri" w:cs="Amiri"/>
          <w:color w:val="111111"/>
          <w:sz w:val="28"/>
          <w:sz w:val="28"/>
          <w:szCs w:val="28"/>
          <w:rtl w:val="true"/>
          <w:lang w:bidi="ar-SA"/>
        </w:rPr>
        <w:t>، فيكون المعارض من الشواذّ التي لا عمل عليها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 مكافأة و لا مقاومة أصلا، فيتعيّن العمل بالاولى و التوجيه في الثانية إن أمكن، و إلّا فالطرح، و اللّه يعلم</w:t>
      </w:r>
      <w:r>
        <w:rPr>
          <w:rFonts w:eastAsia="Amiri" w:cs="Amiri" w:ascii="Amiri" w:hAnsi="Amiri"/>
          <w:color w:val="111111"/>
          <w:sz w:val="28"/>
          <w:szCs w:val="28"/>
          <w:rtl w:val="true"/>
          <w:lang w:bidi="ar-SA"/>
        </w:rPr>
        <w:t>.</w:t>
      </w:r>
      <w:bookmarkStart w:id="364" w:name="pg2470_12526"/>
    </w:p>
    <w:p>
      <w:pPr>
        <w:pStyle w:val="Heading5"/>
        <w:numPr>
          <w:ilvl w:val="4"/>
          <w:numId w:val="1"/>
        </w:numPr>
        <w:rPr/>
      </w:pPr>
      <w:bookmarkStart w:id="365" w:name="__RefHeading___Toc3601536_3804643083"/>
      <w:bookmarkStart w:id="366" w:name="_Toc136"/>
      <w:bookmarkEnd w:id="364"/>
      <w:bookmarkEnd w:id="365"/>
      <w:r>
        <w:rPr>
          <w:rtl w:val="true"/>
        </w:rPr>
        <w:t>[</w:t>
      </w:r>
      <w:r>
        <w:rPr>
          <w:rtl w:val="true"/>
        </w:rPr>
        <w:t>باب أحكام الجنب</w:t>
      </w:r>
      <w:r>
        <w:rPr>
          <w:rtl w:val="true"/>
        </w:rPr>
        <w:t>]</w:t>
      </w:r>
      <w:bookmarkEnd w:id="3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عليهم السّلام أجلّ من أن يكسلوا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عبادة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كان المراد من الكسالة نفس التأخير؛ تشبّها بالليل</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601538_3804643083"/>
      <w:bookmarkStart w:id="368" w:name="_Toc137"/>
      <w:bookmarkEnd w:id="367"/>
      <w:r>
        <w:rPr>
          <w:rtl w:val="true"/>
        </w:rPr>
        <w:t>[</w:t>
      </w:r>
      <w:r>
        <w:rPr>
          <w:rtl w:val="true"/>
        </w:rPr>
        <w:t>باب حدّ مسّ الميّت</w:t>
      </w:r>
      <w:r>
        <w:rPr>
          <w:rtl w:val="true"/>
        </w:rPr>
        <w:t>]</w:t>
      </w:r>
      <w:bookmarkEnd w:id="3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فليغتسل،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مسّه ما دام حارّا؟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غسل عليه، و إذا برد ثمّ مسّه فليغتسل،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أدخله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 إنّما يمسّ الثياب</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من كلام الأصحاب أنّ مسّ الميّت حدث، و غسله طهارة عنه، مبيحة للصلاة و الطواف و غيرهما كسائر الأغسال الواجبة،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ما يقتضي ذلك، و يمكن أن يكون واجبا لنفسه، مثل غسل الجمعة و الإحرام، عند من أوجبهما </w:t>
      </w:r>
      <w:r>
        <w:rPr>
          <w:rStyle w:val="FootnoteAnchor"/>
          <w:rtl w:val="true"/>
        </w:rPr>
        <w:footnoteReference w:id="9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و الأخباث كلّها وردت في الأخبار، مثل غسل المسّ يعني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صدور المسّ، و كون الظاهر منه أنّه يجب لنفسه مع أنّا نعلم يقينا أنّها تجب للصلاة أو الطواف و غيرهما، أو للأكل من الظرف، أو الشرب منه في الأمر بغسل الظروف و أمثاله، إلى غير ذلك، مع أنّه يعلم عدم الوجوب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لم يرد ما يدلّ على الوجوب للغير في كثير من الأخبار،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929"/>
      </w:r>
      <w:r>
        <w:rPr>
          <w:rFonts w:ascii="Amiri" w:hAnsi="Amiri" w:eastAsia="Amiri" w:cs="Amiri"/>
          <w:color w:val="111111"/>
          <w:sz w:val="28"/>
          <w:sz w:val="28"/>
          <w:szCs w:val="28"/>
          <w:rtl w:val="true"/>
          <w:lang w:bidi="ar-SA"/>
        </w:rPr>
        <w:t xml:space="preserve">، بل أثبتنا مشروحا في رسالتنا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 غيره؛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931"/>
      </w:r>
      <w:r>
        <w:rPr>
          <w:rFonts w:ascii="Amiri" w:hAnsi="Amiri" w:eastAsia="Amiri" w:cs="Amiri"/>
          <w:color w:val="111111"/>
          <w:sz w:val="28"/>
          <w:sz w:val="28"/>
          <w:szCs w:val="28"/>
          <w:rtl w:val="true"/>
          <w:lang w:bidi="ar-SA"/>
        </w:rPr>
        <w:t xml:space="preserve">، عدم ثبوت نجاسة نجس من الأنجاس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 الأخبار؛ إذ غاية ما يرد فيه الأمر بغسله عن ثوب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معناه الحقيقي العرفي أو اللغوي أيضا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إزالته عنه بماء أو مائع اخر كيف كان، و أين هذا من النجاسة الشرعيّة و أحكامها الكثيرة المتلازمة مثل حرمة الأكل و الشرب، و أكل ملاقيه و شربه، و ملاقي ملاقيه، و هكذا، و حرمة إدخال المساجد؛ على وجه التأثير و السراية فيها، أو مطلقا، و كذلك الضرائح و القرآن و المصاحف و الخبز، إلى غير ذلك ممّا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بعضها و إن ورد الوجوب لمثل الصلاة، لكن لم يرد عدم الوجوب لنفسه، مع أنّا نفهم كذلك، و إن ورد،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مستجمعا لشرائط الصحّة بالعمل على رأي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الاستجماع يكون ظنيّا قطعا، و نحن نقطع بالوجوب للغير بالمرّة أو في الجملة، و الظنيّ كيف يصير مستندا للقطع؟</w:t>
      </w:r>
    </w:p>
    <w:p>
      <w:pPr>
        <w:pStyle w:val="BookText"/>
        <w:rPr/>
      </w:pPr>
      <w:r>
        <w:rPr>
          <w:rFonts w:ascii="Amiri" w:hAnsi="Amiri" w:eastAsia="Amiri" w:cs="Amiri"/>
          <w:color w:val="111111"/>
          <w:sz w:val="28"/>
          <w:sz w:val="28"/>
          <w:szCs w:val="28"/>
          <w:rtl w:val="true"/>
          <w:lang w:bidi="ar-SA"/>
        </w:rPr>
        <w:t>سلّمنا، لكن نقطع مع قطع النظر و من دون توقّف على ملاحظة أنّه موجود أم لا، و أنّه صحيح أم لا، و دلالته واضحة أم لا، و أنّه مقاوم لما دلّ على الوجوب لنفسه أم لا، و أنّه غالب عليه أم لا، كيف لا يخفى؟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مثل بول الإنسان، و غائطه لا يثبت من حديث كونه نجسا شرعا، و عدم كون وجوب غسله لنفسه، بل يكون وجوبه لمثل الصلاة و الطواف و غيرهما</w:t>
      </w:r>
    </w:p>
    <w:p>
      <w:pPr>
        <w:pStyle w:val="BookText"/>
        <w:rPr/>
      </w:pPr>
      <w:r>
        <w:rPr>
          <w:rFonts w:ascii="Amiri" w:hAnsi="Amiri" w:eastAsia="Amiri" w:cs="Amiri"/>
          <w:color w:val="111111"/>
          <w:sz w:val="28"/>
          <w:sz w:val="28"/>
          <w:szCs w:val="28"/>
          <w:rtl w:val="true"/>
          <w:lang w:bidi="ar-SA"/>
        </w:rPr>
        <w:t xml:space="preserve">ممّا ذكر في كلام الفقهاء، بل و بعض الأحداث أيضا ربّما لا يمكن إثبات الوجوب لجميع ما ذكر، و هو مسلّم عند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موافقيه ممّن ناقش في ثبوت كون غسل المسّ واجبا لمثل الصلاة </w:t>
      </w:r>
      <w:r>
        <w:rPr>
          <w:rStyle w:val="FootnoteAnchor"/>
          <w:rtl w:val="true"/>
        </w:rPr>
        <w:footnoteReference w:id="932"/>
      </w:r>
      <w:r>
        <w:rPr>
          <w:rFonts w:ascii="Amiri" w:hAnsi="Amiri" w:eastAsia="Amiri" w:cs="Amiri"/>
          <w:color w:val="111111"/>
          <w:sz w:val="28"/>
          <w:sz w:val="28"/>
          <w:szCs w:val="28"/>
          <w:rtl w:val="true"/>
          <w:lang w:bidi="ar-SA"/>
        </w:rPr>
        <w:t>، و أنّ المدار فتاوى الفقهاء و المسلّم عندهم، فكيف يناقشون في خصوص هذا الغسل من بين جميع ما ذكر، مع أنّ الفقهاء اتفقت كلماتهم في هذا الغسل في أنّه مثل غسل الجنابة و غيره يجب للصلاة و الطواف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كالمناقشة في غيره ممّا هو مسلّم عندهم، و لم يناقشوا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كون هذا الغسل مثل غسل الجنابة، يجب للصلاة، و شرط لصحّتها، و أنّه إن صلّى المكلّف نسيانا قبل هذا الغسل يجب عليه إعادتها بعد الغسل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أيضا في أنّ كلّ غسل يكون قبله وضوء يكون ذلك الوضوء شرطا لصحّة الصلاة، فلو صلّاها ناسيا قبل ذلك الوضوء يجب عليه إعادة تلك الصلاة، و إن وقعت بعد الغسل، مع أنّ هذا الغسل طهارة عندهم بلا شبهة، و المسّ حدث بلا تأمّل منهم، و صرّح بذلك جمع منهم، كما أنّ الباقين أيضا عباراتهم كالصريحة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يكون الغسل وجوبه بعد دخول الصلاة لا قبله؛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بل ما دلّ على كون الطهارات بأجمعها واجبة لغيرها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مثل هذا الحديث، و هو شامل لجميع الطهارات من دون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بالوجوب للغير، كيف عليه التأمّل في البعض من الطهارات و الصلوات؟ و تكون الصلاة مشروطة به أيضا؛ للأخبار الكثيرة الدالّة على اشتراط الصلاة بالطهور </w:t>
      </w:r>
      <w:r>
        <w:rPr>
          <w:rStyle w:val="FootnoteAnchor"/>
          <w:rtl w:val="true"/>
        </w:rPr>
        <w:footnoteReference w:id="935"/>
      </w:r>
      <w:r>
        <w:rPr>
          <w:rFonts w:ascii="Amiri" w:hAnsi="Amiri" w:eastAsia="Amiri" w:cs="Amiri"/>
          <w:color w:val="111111"/>
          <w:sz w:val="28"/>
          <w:sz w:val="28"/>
          <w:szCs w:val="28"/>
          <w:rtl w:val="true"/>
          <w:lang w:bidi="ar-SA"/>
        </w:rPr>
        <w:t>، و للاية؛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936"/>
      </w:r>
      <w:r>
        <w:rPr>
          <w:rFonts w:ascii="Amiri" w:hAnsi="Amiri" w:eastAsia="Amiri" w:cs="Amiri"/>
          <w:color w:val="111111"/>
          <w:sz w:val="28"/>
          <w:sz w:val="28"/>
          <w:szCs w:val="28"/>
          <w:rtl w:val="true"/>
          <w:lang w:bidi="ar-SA"/>
        </w:rPr>
        <w:t>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في باب أنّ كلّ غسل يجزئ عن الوضوء تمام التحقيق،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باب أنواع الغسل ما دلّ على كون المسّ حدثا، و الغسل منه طهورا له </w:t>
      </w:r>
      <w:r>
        <w:rPr>
          <w:rStyle w:val="FootnoteAnchor"/>
          <w:rtl w:val="true"/>
        </w:rPr>
        <w:footnoteReference w:id="93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الميّت عند موته، و بعد غسله، و القبلة ليس به بأس</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الظاهر من هذه الأخبار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قبل تماميّة غسله يكون عليه غسل المسّ، و إن كان مسّه لموضع الذي غسّل، و لا ريب في أنّه أحوط، و أمّا الوجوب فلعلّه لا يخلو من مناقشة بملاحظة ما ورد في غسل الجنابة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و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المسّ مثل غسل الجنابة</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و ملاحظة أنّ المفهوم في هذه الأخبار لعلّه مفهوم الوصف؛ مثل مفهوم قوله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السائمة فيه الزكاة</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و ظاهرهم الاتّفاق على كونه مفهوم الصفة، و المشهور أنّه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هنا بعموم المنطوق و إطلاقه،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و هو أنّ عدم البأس بعد تماميّة الغسل أعمّ من أن يكون غير شارع في الغسل أصلا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انحصار عدم البأس في صورة تماميّة الغسل؛ فإنّ عدم البأس فيها لا تأمّل فيه أصلا، و إنّما التأمّل في الانحصار، و هو إنّما يكون بدليل، و ليس سوى المفهوم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ما ذكر و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 الغنم المعلوفة لا يوجب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المسلّمات أنّ الإطلاق ينصرف إلى ما هو الغالب من الأفراد و الفروض، ألا ترى إلى ما مرّ في باب صفة الوضوء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الوجه الذي أمر اللّه بغسله</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غاية الظهور و الصراحة في كون الوجه المأمور بغسله ما بين قصاص شعر الرأس إلى الذقن طولا، و ما جرى عليه الإصبعان عرضا، و مع ذلك جعلوا ذلك حدّ وجه خصوص مستوي الخلقة، و الغالب من الناس دون الأنزع، و الأغمّ، و من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أصابعه أو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المتعارف الغالب، و كذلك الحال في تعريف المني و الحيض، و غير ذلك</w:t>
      </w:r>
      <w:r>
        <w:rPr>
          <w:rFonts w:eastAsia="Amiri" w:cs="Amiri" w:ascii="Amiri" w:hAnsi="Amiri"/>
          <w:color w:val="111111"/>
          <w:sz w:val="28"/>
          <w:szCs w:val="28"/>
          <w:rtl w:val="true"/>
          <w:lang w:bidi="ar-SA"/>
        </w:rPr>
        <w:t>.</w:t>
      </w:r>
      <w:bookmarkStart w:id="369" w:name="pg2470_12531"/>
    </w:p>
    <w:p>
      <w:pPr>
        <w:pStyle w:val="BookText"/>
        <w:rPr/>
      </w:pPr>
      <w:bookmarkEnd w:id="369"/>
      <w:r>
        <w:rPr>
          <w:rFonts w:ascii="Amiri" w:hAnsi="Amiri" w:eastAsia="Amiri" w:cs="Amiri"/>
          <w:color w:val="111111"/>
          <w:sz w:val="28"/>
          <w:sz w:val="28"/>
          <w:szCs w:val="28"/>
          <w:rtl w:val="true"/>
          <w:lang w:bidi="ar-SA"/>
        </w:rPr>
        <w:t>فلو كان مفهوم القيد احترازيّا، يمكن الإيراد بما ذكر و مطالبة الفرق، مع أنّ الأغمّ و الأنزع كثيرون، إلّا أنّهم ليسوا من الأفراد الشائعة، و فروضها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بيّنّا أيضا إذا غسّل الميّت تماما، ثمّ انكشف بقاء رأس إبرة غير مغسول، و مع ذلك وقع المسّ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عليه الماء و غسّل، كيف يجعلونه من الفروض الشائعة، و الأنزع و الأغمّ و غيرهما جميعا من الفروض الغير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رأى المني في ثوبه مع عدم وجدان شهوة و دفق ليس من النادرة التي أندر ممّا قلنا، و كذلك الحيض و الاستحاضة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جميع ما ذكر يكون الحكم بعدم الوجوب في غاية الإشكال أيضا، بل ربّما تكون البراءة اليقينيّة في الصلاة و نحوها موقوفة على الغسل، فتأمّل</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601540_3804643083"/>
      <w:bookmarkStart w:id="371" w:name="_Toc138"/>
      <w:bookmarkEnd w:id="370"/>
      <w:r>
        <w:rPr>
          <w:rtl w:val="true"/>
        </w:rPr>
        <w:t>[</w:t>
      </w:r>
      <w:r>
        <w:rPr>
          <w:rtl w:val="true"/>
        </w:rPr>
        <w:t>باب حدّ الحيض</w:t>
      </w:r>
      <w:r>
        <w:rPr>
          <w:rtl w:val="true"/>
        </w:rPr>
        <w:t>]</w:t>
      </w:r>
      <w:bookmarkEnd w:id="3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بعض رجاله،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الطهر عشرة أيّام، و ذلك أنّ المرأة أوّل ما تحيض ربّما كانت كثيرة الدم، فيكون حيضها عشرة أيّام فلا تزال كلّما كبرت نقصت، حتّى ترجع إلى ثلاثة أيّام، فإذا رجعت إلى ثلاثة أيّام ارتفع حيضها، و لا يكون أقلّ من ثلاثة أيّام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توهّم التنافي بين هذه الرواية و الروايات السابقة من أنّ الظاهر منها كون أقلّ الحيض ثلاثة أيّام متوالية، و هذه على جواز التفرقة في الأقلّ، و هذا التوهّم</w:t>
      </w:r>
    </w:p>
    <w:p>
      <w:pPr>
        <w:pStyle w:val="BookText"/>
        <w:rPr/>
      </w:pPr>
      <w:r>
        <w:rPr>
          <w:rFonts w:ascii="Amiri" w:hAnsi="Amiri" w:eastAsia="Amiri" w:cs="Amiri"/>
          <w:color w:val="111111"/>
          <w:sz w:val="28"/>
          <w:sz w:val="28"/>
          <w:szCs w:val="28"/>
          <w:rtl w:val="true"/>
          <w:lang w:bidi="ar-SA"/>
        </w:rPr>
        <w:t xml:space="preserve">فاسد؛ إذ لا يظهر من هذه الرواية أنّ الدم المتفرّق من جملة أقلّ الحيض؛ إذ الإجماع واقع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الطهر عشرة مطلقا </w:t>
      </w:r>
      <w:r>
        <w:rPr>
          <w:rStyle w:val="FootnoteAnchor"/>
          <w:rtl w:val="true"/>
        </w:rPr>
        <w:footnoteReference w:id="945"/>
      </w:r>
      <w:r>
        <w:rPr>
          <w:rFonts w:ascii="Amiri" w:hAnsi="Amiri" w:eastAsia="Amiri" w:cs="Amiri"/>
          <w:color w:val="111111"/>
          <w:sz w:val="28"/>
          <w:sz w:val="28"/>
          <w:szCs w:val="28"/>
          <w:rtl w:val="true"/>
          <w:lang w:bidi="ar-SA"/>
        </w:rPr>
        <w:t>سواء كان بين أيّام دم الحيض أم لا، فالنقاء المتخلّل بين الدم الكائن لحيض واحد حيض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بمضمون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كذلك </w:t>
      </w:r>
      <w:r>
        <w:rPr>
          <w:rStyle w:val="FootnoteAnchor"/>
          <w:rtl w:val="true"/>
        </w:rPr>
        <w:footnoteReference w:id="946"/>
      </w:r>
      <w:r>
        <w:rPr>
          <w:rFonts w:ascii="Amiri" w:hAnsi="Amiri" w:eastAsia="Amiri" w:cs="Amiri"/>
          <w:color w:val="111111"/>
          <w:sz w:val="28"/>
          <w:sz w:val="28"/>
          <w:szCs w:val="28"/>
          <w:rtl w:val="true"/>
          <w:lang w:bidi="ar-SA"/>
        </w:rPr>
        <w:t>، و لم يوجد قائل بكون هذا النقاء غير حيض، و يدلّ على ذلك ذيل الرواية،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حاضت المرأة، و كان حيضها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اخر الرواية، فإنّه صريح في أنّ النقاء المتخلّل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فيظهر منه أنّ ما تقدّم، و هو رؤية ثلاثة أو أربعة في ضمن العشرة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يمكن أن يكون الدم المتفرّق أقلّ الحيض مطلقا،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النزاع في أنّه هل يشترط في تحقّق الحيض أن ترى الدم ثلاثة أيّام متوالية لا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يكفي لتحقّقه كون الثلاثة في ضمن العشرة؟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قالوا بالأوّل </w:t>
      </w:r>
      <w:r>
        <w:rPr>
          <w:rStyle w:val="FootnoteAnchor"/>
          <w:rtl w:val="true"/>
        </w:rPr>
        <w:footnoteReference w:id="947"/>
      </w:r>
      <w:r>
        <w:rPr>
          <w:rFonts w:ascii="Amiri" w:hAnsi="Amiri" w:eastAsia="Amiri" w:cs="Amiri"/>
          <w:color w:val="111111"/>
          <w:sz w:val="28"/>
          <w:sz w:val="28"/>
          <w:szCs w:val="28"/>
          <w:rtl w:val="true"/>
          <w:lang w:bidi="ar-SA"/>
        </w:rPr>
        <w:t>،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اخر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و استدلّ بعض الفقهاء للمشهور بالروايات السابقة؛ بأنّ المتبادر منها التوالي </w:t>
      </w:r>
      <w:r>
        <w:rPr>
          <w:rStyle w:val="FootnoteAnchor"/>
          <w:rtl w:val="true"/>
        </w:rPr>
        <w:footnoteReference w:id="950"/>
      </w:r>
      <w:r>
        <w:rPr>
          <w:rFonts w:ascii="Amiri" w:hAnsi="Amiri" w:eastAsia="Amiri" w:cs="Amiri"/>
          <w:color w:val="111111"/>
          <w:sz w:val="28"/>
          <w:sz w:val="28"/>
          <w:szCs w:val="28"/>
          <w:rtl w:val="true"/>
          <w:lang w:bidi="ar-SA"/>
        </w:rPr>
        <w:t>، و قد ظهر عليك فساد هذا الاستدلال، و أنّه لا يمكن أن يكون أقلّ الحيض سوى ثلاثة متوالية، و أنّ بعد التفرقة لا يمكن أن يكون أقلّ الحيض؛ إذ معنى الأقلّ أنّه لا يكون حيض أقلّ منه، و قد عرفت أنّ أقل الحيض أن ترى الدم ثلاثة</w:t>
      </w:r>
    </w:p>
    <w:p>
      <w:pPr>
        <w:pStyle w:val="BookText"/>
        <w:rPr/>
      </w:pPr>
      <w:r>
        <w:rPr>
          <w:rFonts w:ascii="Amiri" w:hAnsi="Amiri" w:eastAsia="Amiri" w:cs="Amiri"/>
          <w:color w:val="111111"/>
          <w:sz w:val="28"/>
          <w:sz w:val="28"/>
          <w:szCs w:val="28"/>
          <w:rtl w:val="true"/>
          <w:lang w:bidi="ar-SA"/>
        </w:rPr>
        <w:t>أيّام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فالخصم قائل بانحصار الأقلّ في ثلاثة أيّام متوالية من الدم، و محال عنده أيضا أن يكون المتفرّق أقلّ الحيض، فكيف يحتجّ عليه بدعوى التبادر، مع أنّه قائل بلزوم التوالي و استحالة غيره؟</w:t>
      </w:r>
    </w:p>
    <w:p>
      <w:pPr>
        <w:pStyle w:val="BookText"/>
        <w:rPr/>
      </w:pPr>
      <w:r>
        <w:rPr>
          <w:rFonts w:ascii="Amiri" w:hAnsi="Amiri" w:eastAsia="Amiri" w:cs="Amiri"/>
          <w:color w:val="111111"/>
          <w:sz w:val="28"/>
          <w:sz w:val="28"/>
          <w:szCs w:val="28"/>
          <w:rtl w:val="true"/>
          <w:lang w:bidi="ar-SA"/>
        </w:rPr>
        <w:t xml:space="preserve">و استدلّ أيضا لهم بعموم ما دلّ على وجوب الصلاة و الصوم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يعارضه عموم ما دلّ على أنّ الحائض لا يجوز لها أن تصلّي و تصوم، و النزاع إنّما هو في أنّ مثل هذه المرأة داخلة في العموم الأوّل أو الثاني؟ و ليس التخصيص نسخا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دخولها في العموم الأوّل و لم يثبت خروجها عنه و دخولها في الثاني؛ إذ من أوّل الأمر لم يظهر دخولها في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المكلّف معلوم، و في الحائض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مطلق المكلّف؛ فلا شكّ فيه؛ فإنّ الحائض مكلّفة بتكليفات، و إن أردت المكلّف بالصلاة؛ فغير معلوم، و إن أردت العمومات؛ فقد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رأت يوما أو يومين فليس بحيض ما لم تر ثلاثة أيّام متواليات</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و مثل هذا الخبر إذا انجبر بعمل الأصحاب يكون حجّة، إن لم نقل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بنفسه، و إلّا فلا حاجة إلى الانجبار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و ترجّحه على مرسلة يونس </w:t>
      </w:r>
      <w:r>
        <w:rPr>
          <w:rStyle w:val="FootnoteAnchor"/>
          <w:rtl w:val="true"/>
        </w:rPr>
        <w:footnoteReference w:id="953"/>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هذه الرواية معتبر؛ فإنّ إبراهيم بن هاشم حسن كالصحيح دائر مدار في من لم يستثنوه القميّون عمّا روى عن يونس، بل استثنوا محمّد بن عيسى خاصّة </w:t>
      </w:r>
      <w:r>
        <w:rPr>
          <w:rStyle w:val="FootnoteAnchor"/>
          <w:rtl w:val="true"/>
        </w:rPr>
        <w:footnoteReference w:id="9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ثقة، فيدلّ على أنّه معتبر القول و الرواية عن يونس عندهم قطعا، فربّما يدلّ هذا على كونه ثقة كما لا يخفى على المطّلع بأحوال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إرسال يونس، فغير مضرّ؛ لأنّه ممّن أجمعت العصابة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في المرأة ترى الدم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تدلّ على جواز الاستظهار إلى العشرة، كما هو رأي الشيخ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تحيض، ثمّ يمضي وقت طهرها و هي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إن كان حيضها دون العشرة أيّام، فإن استمرّ الدم فهي مستحاضة، و إن انقطع الدم اغتسلت و صلّت</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ما ذكره الفقهاء من أنّه إذا تجاوز الدم عن العادة، و انقطع إلى العاشر أو قبله فالجميع حيض، و إذا تجاوز فالزائد عن العادة استحاضة، لأنّ المستفاد منها أنّ استمرار الدم علامة كونه استحاضة، و انقطاعه علامة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من المصنّف في باب حيض المبتدأة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استمرار خروج الدم بعد أيّام العادة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المراد من الاستمرار و الانقطاع المذكورين ما قاله الفقهاء ثبت المطلوب منها من غير احتياج إلى ضمّ عدم القول بالفصل، و إلّا فنضمّه، كما هو المعتاد في إثبات الأحكام الشرعيّة من الأخبار، مثل نجاسة شي‌ء بمجرّد الأمر</w:t>
      </w:r>
    </w:p>
    <w:p>
      <w:pPr>
        <w:pStyle w:val="BookText"/>
        <w:rPr/>
      </w:pPr>
      <w:r>
        <w:rPr>
          <w:rFonts w:ascii="Amiri" w:hAnsi="Amiri" w:eastAsia="Amiri" w:cs="Amiri"/>
          <w:color w:val="111111"/>
          <w:sz w:val="28"/>
          <w:sz w:val="28"/>
          <w:szCs w:val="28"/>
          <w:rtl w:val="true"/>
          <w:lang w:bidi="ar-SA"/>
        </w:rPr>
        <w:t>بالغسل الذي مدلوله معنى لغوي لا ربط له بالحكم الشرعي، فضلا عن أحكام كثيرة متلازمة، كما هو المقصود من النجاسة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يرد حديث أصلا في أنّ النجاسة الشرعيّة ما هي؟</w:t>
      </w:r>
    </w:p>
    <w:p>
      <w:pPr>
        <w:pStyle w:val="BookText"/>
        <w:rPr/>
      </w:pPr>
      <w:r>
        <w:rPr>
          <w:rFonts w:ascii="Amiri" w:hAnsi="Amiri" w:eastAsia="Amiri" w:cs="Amiri"/>
          <w:color w:val="111111"/>
          <w:sz w:val="28"/>
          <w:sz w:val="28"/>
          <w:szCs w:val="28"/>
          <w:rtl w:val="true"/>
          <w:lang w:bidi="ar-SA"/>
        </w:rPr>
        <w:t>و جعل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إن تجاوز عن يوم استظهارها،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عدم التجاوز عنه، فاسد؛ للقطع بأنّ الاستحاضة ليس شرطها خصوص التجاوز المذكور، و عدمها ليس شرط الانقطاع المذكور؛ لأنّهما خلاف الإجماع و الأخبار المتواترة، بل خلاف الضرورة، و من الضروريّات؛ المتجاوز عن العشرة استحاضة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التجاوز المذكور، و مجرّد ذلك التجاوز من اعتبار دوام الاستمرار أصلا، بعيد جدّا؛ لكون المتبادر من الاستمرار هو الدوام،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السائل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وقت طهرها و هي ترى الدم،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المضي يتضمّن الانقضاء و التماميّة، و لا أقلّ ممّا يقاربهما، و المعصوم عليه السّلام لم يزد في الجواب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في غاية الظهور في إرادة المتجاوز عن العشرة، سيّما بعد ملاحظة أنّه عليه السّلام في مقام الجواب فصّل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حيضها دون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فالمناسب بيان حكم الشقّ الآخر أيضا، لا تركه بالمرّة، على ما قلناه من أنّ المراد من الاستمرار التجاوز عن العشرة، على ما قاله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المصنّف و غيره حكمه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انقطع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في مقابل قوله عليه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فيكون في غاية الظهور فيما قاله الفقهاء، فتأمّل جدّا</w:t>
      </w:r>
      <w:r>
        <w:rPr>
          <w:rFonts w:eastAsia="Amiri" w:cs="Amiri" w:ascii="Amiri" w:hAnsi="Amiri"/>
          <w:color w:val="111111"/>
          <w:sz w:val="28"/>
          <w:szCs w:val="28"/>
          <w:rtl w:val="true"/>
          <w:lang w:bidi="ar-SA"/>
        </w:rPr>
        <w:t>!</w:t>
      </w:r>
      <w:bookmarkStart w:id="372" w:name="pg2470_12536"/>
    </w:p>
    <w:p>
      <w:pPr>
        <w:pStyle w:val="BookText"/>
        <w:rPr/>
      </w:pPr>
      <w:bookmarkEnd w:id="37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تفسيره بما يوافق سابقه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يحتمل؛ لأنّه يظهر من الأخبار أنّ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بصفة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فلا خفاء فيما ذكرنا بعد التأمّل</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3601542_3804643083"/>
      <w:bookmarkStart w:id="374" w:name="_Toc139"/>
      <w:bookmarkEnd w:id="373"/>
      <w:r>
        <w:rPr>
          <w:rtl w:val="true"/>
        </w:rPr>
        <w:t>[</w:t>
      </w:r>
      <w:r>
        <w:rPr>
          <w:rtl w:val="true"/>
        </w:rPr>
        <w:t>باب ما يتميّز به الحيض من دم العذرة و القرحة</w:t>
      </w:r>
      <w:r>
        <w:rPr>
          <w:rtl w:val="true"/>
        </w:rPr>
        <w:t>]</w:t>
      </w:r>
      <w:bookmarkEnd w:id="3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يشكل العمل بهذا الحكم، و إن كان الاعتماد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أكثر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أيضا، كما نقله الصدوق </w:t>
      </w:r>
      <w:r>
        <w:rPr>
          <w:rStyle w:val="FootnoteAnchor"/>
          <w:rtl w:val="true"/>
        </w:rPr>
        <w:footnoteReference w:id="963"/>
      </w:r>
      <w:r>
        <w:rPr>
          <w:rFonts w:ascii="Amiri" w:hAnsi="Amiri" w:eastAsia="Amiri" w:cs="Amiri"/>
          <w:color w:val="111111"/>
          <w:sz w:val="28"/>
          <w:sz w:val="28"/>
          <w:szCs w:val="28"/>
          <w:rtl w:val="true"/>
          <w:lang w:bidi="ar-SA"/>
        </w:rPr>
        <w:t xml:space="preserve">، و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التي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تكون متّفقة في ذلك، و الشيخ في كتب فتاويه أفتى كذلك </w:t>
      </w:r>
      <w:r>
        <w:rPr>
          <w:rStyle w:val="FootnoteAnchor"/>
          <w:rtl w:val="true"/>
        </w:rPr>
        <w:footnoteReference w:id="965"/>
      </w:r>
      <w:r>
        <w:rPr>
          <w:rFonts w:ascii="Amiri" w:hAnsi="Amiri" w:eastAsia="Amiri" w:cs="Amiri"/>
          <w:color w:val="111111"/>
          <w:sz w:val="28"/>
          <w:sz w:val="28"/>
          <w:szCs w:val="28"/>
          <w:rtl w:val="true"/>
          <w:lang w:bidi="ar-SA"/>
        </w:rPr>
        <w:t xml:space="preserve">، و هذا دليل على 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كذلك،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أفتوا كذلك </w:t>
      </w:r>
      <w:r>
        <w:rPr>
          <w:rStyle w:val="FootnoteAnchor"/>
          <w:rtl w:val="true"/>
        </w:rPr>
        <w:footnoteReference w:id="966"/>
      </w:r>
      <w:r>
        <w:rPr>
          <w:rFonts w:ascii="Amiri" w:hAnsi="Amiri" w:eastAsia="Amiri" w:cs="Amiri"/>
          <w:color w:val="111111"/>
          <w:sz w:val="28"/>
          <w:sz w:val="28"/>
          <w:szCs w:val="28"/>
          <w:rtl w:val="true"/>
          <w:lang w:bidi="ar-SA"/>
        </w:rPr>
        <w:t>، و المعروف عند النساء أيضا كذلك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نسب المحقّق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الوهم من النسّاخ </w:t>
      </w:r>
      <w:r>
        <w:rPr>
          <w:rStyle w:val="FootnoteAnchor"/>
          <w:rtl w:val="true"/>
        </w:rPr>
        <w:footnoteReference w:id="967"/>
      </w:r>
      <w:r>
        <w:rPr>
          <w:rFonts w:ascii="Amiri" w:hAnsi="Amiri" w:eastAsia="Amiri" w:cs="Amiri"/>
          <w:color w:val="111111"/>
          <w:sz w:val="28"/>
          <w:sz w:val="28"/>
          <w:szCs w:val="28"/>
          <w:rtl w:val="true"/>
          <w:lang w:bidi="ar-SA"/>
        </w:rPr>
        <w:t>، و احتمال كون القرحة في الأيسر غير مضرّ؛ لأنّ ما أمكن أن يكون حيضا، فهو حيض عند الفقهاء، و ربّما يظهر ذلك من الأخبار أيضا</w:t>
      </w:r>
      <w:r>
        <w:rPr>
          <w:rFonts w:eastAsia="Amiri" w:cs="Amiri" w:ascii="Amiri" w:hAnsi="Amiri"/>
          <w:color w:val="111111"/>
          <w:sz w:val="28"/>
          <w:szCs w:val="28"/>
          <w:rtl w:val="true"/>
          <w:lang w:bidi="ar-SA"/>
        </w:rPr>
        <w:t>.</w:t>
      </w:r>
      <w:bookmarkStart w:id="375" w:name="pg2470_12537"/>
    </w:p>
    <w:p>
      <w:pPr>
        <w:pStyle w:val="BookText"/>
        <w:rPr/>
      </w:pPr>
      <w:bookmarkEnd w:id="375"/>
      <w:r>
        <w:rPr>
          <w:rFonts w:ascii="Amiri" w:hAnsi="Amiri" w:eastAsia="Amiri" w:cs="Amiri"/>
          <w:color w:val="111111"/>
          <w:sz w:val="28"/>
          <w:sz w:val="28"/>
          <w:szCs w:val="28"/>
          <w:rtl w:val="true"/>
          <w:lang w:bidi="ar-SA"/>
        </w:rPr>
        <w:t>و المراد بالإمكان ما يكون بعد العجز عن استعلام الحال من الأمارات، فتأمّل</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601544_3804643083"/>
      <w:bookmarkStart w:id="377" w:name="_Toc140"/>
      <w:bookmarkEnd w:id="376"/>
      <w:r>
        <w:rPr>
          <w:rtl w:val="true"/>
        </w:rPr>
        <w:t>[</w:t>
      </w:r>
      <w:r>
        <w:rPr>
          <w:rtl w:val="true"/>
        </w:rPr>
        <w:t>باب حيض المبتدأة و من اختلفت عليها الأيّام أو اختلطت</w:t>
      </w:r>
      <w:r>
        <w:rPr>
          <w:rtl w:val="true"/>
        </w:rPr>
        <w:t>]</w:t>
      </w:r>
      <w:bookmarkEnd w:id="37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أقراؤها مثل أقراء نسائها</w:t>
      </w:r>
      <w:r>
        <w:rPr>
          <w:rFonts w:eastAsia="IRNazanin" w:cs="IRNazanin"/>
          <w:color w:val="111111"/>
          <w:sz w:val="28"/>
          <w:szCs w:val="28"/>
          <w:rtl w:val="true"/>
          <w:lang w:bidi="fa-IR"/>
        </w:rPr>
        <w:t xml:space="preserve">»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هذه الرواية تخيير المرأة في جعل مقدار حيضها، كما هو رأي السيّد المرتضى رحمه اللّه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المستحاضة</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أيضا ظاهرة في مذهب السيّد من تخيير المرأة في قدر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المرأة ترى الدم خمسة أيّام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تدلّ على أنّ الاستحاضة المتوسّطة لا يغتسل لها ثلاثة أغسال كما هو المشهور؛ لأنّه عليه السّلام شرط في الأغسال الثلاثة كون الدم صبيبا و التوضّؤ للصفرة، بناء على أنّ الغالب كون الأصفر قليلا، و لأجل القلّة يصير أصفر، و أنّه إن كان كثيرا صبيبا لا يصير أصفر، بل من جهة الكثرة يشتدّ لونه و يصير أحمر، و عدم</w:t>
      </w:r>
    </w:p>
    <w:p>
      <w:pPr>
        <w:pStyle w:val="BookText"/>
        <w:rPr/>
      </w:pPr>
      <w:r>
        <w:rPr>
          <w:rFonts w:ascii="Amiri" w:hAnsi="Amiri" w:eastAsia="Amiri" w:cs="Amiri"/>
          <w:color w:val="111111"/>
          <w:sz w:val="28"/>
          <w:sz w:val="28"/>
          <w:szCs w:val="28"/>
          <w:rtl w:val="true"/>
          <w:lang w:bidi="ar-SA"/>
        </w:rPr>
        <w:t>التعرّض لذكر المتوسّطة من جهة ندرته،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سال مثل المثعب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تفسير حديث رسول اللّه صلّى اللّه عليه و آله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له</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يكون المستفاد منها أنّ الكثيرة من المستحاضة تصلّي كلّ صلاة بوضوء، و ليس كذلك، فالأولى أن يجعل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و 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مقام الإجمال، أو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جهلت الأيّام و عددها احتاجت إلى النظر</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نصّ في ترجيح العادة على التمييز، كما هو المشهور و الأظهر، سواء أمكن أن يكون المجموع حيضا واحدا أم لا، و سواء اتّصل التمييز بالعادة أم انفصل، تخلّل بينهما أقلّ الطهر أم لا؛ إذ مدلوله أنّ قدر العادة حيض فقط، و التمييز حينئذ ليس بحيض أصلا، و إن كان مستجمعا لجميع شرائط الحيض</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في غاية الاعتبار؛ لأنّ العبيدي ثقة على المشهور و الأظهر </w:t>
      </w:r>
      <w:r>
        <w:rPr>
          <w:rStyle w:val="FootnoteAnchor"/>
          <w:rtl w:val="true"/>
        </w:rPr>
        <w:footnoteReference w:id="974"/>
      </w:r>
      <w:r>
        <w:rPr>
          <w:rFonts w:ascii="Amiri" w:hAnsi="Amiri" w:eastAsia="Amiri" w:cs="Amiri"/>
          <w:color w:val="111111"/>
          <w:sz w:val="28"/>
          <w:sz w:val="28"/>
          <w:szCs w:val="28"/>
          <w:rtl w:val="true"/>
          <w:lang w:bidi="ar-SA"/>
        </w:rPr>
        <w:t xml:space="preserve">، و يونس ثقة جليل </w:t>
      </w:r>
      <w:r>
        <w:rPr>
          <w:rStyle w:val="FootnoteAnchor"/>
          <w:rtl w:val="true"/>
        </w:rPr>
        <w:footnoteReference w:id="975"/>
      </w:r>
      <w:r>
        <w:rPr>
          <w:rFonts w:ascii="Amiri" w:hAnsi="Amiri" w:eastAsia="Amiri" w:cs="Amiri"/>
          <w:color w:val="111111"/>
          <w:sz w:val="28"/>
          <w:sz w:val="28"/>
          <w:szCs w:val="28"/>
          <w:rtl w:val="true"/>
          <w:lang w:bidi="ar-SA"/>
        </w:rPr>
        <w:t xml:space="preserve">ممّن أجمعت العصابة </w:t>
      </w:r>
      <w:r>
        <w:rPr>
          <w:rStyle w:val="FootnoteAnchor"/>
          <w:rtl w:val="true"/>
        </w:rPr>
        <w:footnoteReference w:id="976"/>
      </w:r>
      <w:r>
        <w:rPr>
          <w:rFonts w:ascii="Amiri" w:hAnsi="Amiri" w:eastAsia="Amiri" w:cs="Amiri"/>
          <w:color w:val="111111"/>
          <w:sz w:val="28"/>
          <w:sz w:val="28"/>
          <w:szCs w:val="28"/>
          <w:rtl w:val="true"/>
          <w:lang w:bidi="ar-SA"/>
        </w:rPr>
        <w:t>، مع أنّه قال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أنّهم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يبعد غاية البعد ألا يكون واحد منهم من مشايخه، مع أنّ ظاهر العبارة أنّه ثابت عنده، و مع هذا عمل الأصحاب به</w:t>
      </w:r>
      <w:r>
        <w:rPr>
          <w:rFonts w:eastAsia="Amiri" w:cs="Amiri" w:ascii="Amiri" w:hAnsi="Amiri"/>
          <w:color w:val="111111"/>
          <w:sz w:val="28"/>
          <w:szCs w:val="28"/>
          <w:rtl w:val="true"/>
          <w:lang w:bidi="ar-SA"/>
        </w:rPr>
        <w:t>.</w:t>
      </w:r>
      <w:bookmarkStart w:id="378" w:name="pg2470_12539"/>
    </w:p>
    <w:p>
      <w:pPr>
        <w:pStyle w:val="BookText"/>
        <w:rPr/>
      </w:pPr>
      <w:bookmarkEnd w:id="37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تعرفها بالدم ما كان من قليل الأيّام و كثيره،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الثالثة ففي التي ليس لها أيّام متقدّمة، و لم تر الدم قطّ</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المشهور أنّ مثلها ترجع إلى أقراء نسائها، و مع الاختلاف تفعل ما ذكر في هذا الحديث على سبيل التخيير؛ و مستندهم مضمرة سماعة المرفوعة، المذكورة في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الذكر لبعد اتّفاق نسائها في القرء، و إطلاق الأخبار محمول على المتعارف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المعروف منهم أنّ الرجوع إلى أقراء نسائها، و بعد الفقد إلى هذه الرواية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إنّما هو بعد فقد التمييز، و مع التمييز يتعيّن الرجوع إليه، كما مرّ في المضطربة، كما أنّ المضطربة أيضا بعد فقد التمييز ترجع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يظهر من التأمّل في اخر هذه الرواية، بل لا تأمّل في ظهور اخرها في ذلك، 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حالات المستحاضة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7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فيها كلّ مشكل حتّى لم يدع لأحد</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5"/>
        <w:numPr>
          <w:ilvl w:val="4"/>
          <w:numId w:val="1"/>
        </w:numPr>
        <w:rPr/>
      </w:pPr>
      <w:bookmarkStart w:id="379" w:name="__RefHeading___Toc3601546_3804643083"/>
      <w:bookmarkStart w:id="380" w:name="_Toc141"/>
      <w:bookmarkEnd w:id="379"/>
      <w:r>
        <w:rPr>
          <w:rtl w:val="true"/>
        </w:rPr>
        <w:t>[</w:t>
      </w:r>
      <w:r>
        <w:rPr>
          <w:rtl w:val="true"/>
        </w:rPr>
        <w:t>باب الحبلى ترى الدم</w:t>
      </w:r>
      <w:r>
        <w:rPr>
          <w:rtl w:val="true"/>
        </w:rPr>
        <w:t>]</w:t>
      </w:r>
      <w:bookmarkEnd w:id="3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الدم فيما بينهما و بين المغرب لا يسيل من خلف</w:t>
      </w:r>
    </w:p>
    <w:p>
      <w:pPr>
        <w:pStyle w:val="BookText"/>
        <w:rPr/>
      </w:pPr>
      <w:r>
        <w:rPr>
          <w:rFonts w:ascii="Amiri" w:hAnsi="Amiri" w:eastAsia="Amiri" w:cs="Amiri"/>
          <w:color w:val="111111"/>
          <w:sz w:val="28"/>
          <w:sz w:val="28"/>
          <w:szCs w:val="28"/>
          <w:rtl w:val="true"/>
          <w:lang w:bidi="ar-SA"/>
        </w:rPr>
        <w:t>الكرسف، فلتتوضّأ و لتصلّ عند وقت كلّ صلاة، ما لم تطرح الكرسف عنها</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يدلّ على أنّ المتوسّطة لا تغتسل للمغرب و العشاء،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يسيل من خلف الكرسف فلتتوضّأ، و لتصلّ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 المغرب و العشاء، بقرينة السياق، و كذا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طرحت الكرسف عنها فسال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المتوسطة، سواء قلنا بأنّ المراد من الغسل الغسل الواحد أو الأغسال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فظاهر؛ لأنّه شرط له السيلان، و المشروط عدم عند عدم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فإن قلنا بأنّ المراد الغسل للمغرب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أيضا؛ لأنّه عليه السّلام شرط السيلان، و إن قلنا أنّه غسل الفجر، ففي غاية الوضوح، فيكون المراد أنّ هذا السيلان دون السيلان الذي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الدم إذا أمسكت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يدلّ على أنّ الشرط في الأغسال الثلاثة كون الدم يسيل من خلف الكرسف، و المشروط عدم عند عدم شرطه، فيدلّ على أنّ المتوسّطة لا تغتسل ثلاثة أغسال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أن يحمل الأوّل على ما يوافق سائر الأخبار، و الأخير على التقيّة؛ لعدم قبوله التأويل الذي يوافقها به، و لكون راويه عاميّا</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bookmarkStart w:id="381" w:name="pg2470_12541"/>
    </w:p>
    <w:p>
      <w:pPr>
        <w:pStyle w:val="BookText"/>
        <w:rPr/>
      </w:pPr>
      <w:bookmarkEnd w:id="381"/>
      <w:r>
        <w:rPr>
          <w:rFonts w:ascii="Amiri" w:hAnsi="Amiri" w:eastAsia="Amiri" w:cs="Amiri"/>
          <w:color w:val="111111"/>
          <w:sz w:val="28"/>
          <w:sz w:val="28"/>
          <w:szCs w:val="28"/>
          <w:rtl w:val="true"/>
          <w:lang w:bidi="ar-SA"/>
        </w:rPr>
        <w:t xml:space="preserve">الحمل على التقيّة ربّما لا يخلو عن الإشكال؛ لأنّ الأخبار المعارضة لها ربّما تتضمّن أنّ الحيض يصير يومين، و هذا موافق لمذهب العامّة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الذي يظهر من كتاب النكاح و الطلاق أنّ الحامل لا ترى الدم، و لذا يا بنى على أنّ المراد ما تحيضه الواحدة يظهر أنّها ليست بحاملة، و لذا أمروا بالاستبراء لبراءة الرحم، و كذا بناء العدّة </w:t>
      </w:r>
      <w:r>
        <w:rPr>
          <w:rStyle w:val="FootnoteAnchor"/>
          <w:rtl w:val="true"/>
        </w:rPr>
        <w:footnoteReference w:id="98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الأخبار المعارضة لها كثيرة و سندها معتبر </w:t>
      </w:r>
      <w:r>
        <w:rPr>
          <w:rStyle w:val="FootnoteAnchor"/>
          <w:rtl w:val="true"/>
        </w:rPr>
        <w:footnoteReference w:id="984"/>
      </w:r>
      <w:r>
        <w:rPr>
          <w:rFonts w:ascii="IRNazanin" w:hAnsi="IRNazanin" w:eastAsia="IRNazanin"/>
          <w:color w:val="111111"/>
          <w:sz w:val="28"/>
          <w:sz w:val="28"/>
          <w:szCs w:val="28"/>
          <w:rtl w:val="true"/>
          <w:lang w:bidi="fa-IR"/>
        </w:rPr>
        <w:t>، و العلم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السكوني ليس عاميّا، كيف و ليس في باب من أبواب الفقه إلّا و أنّه روي عنه ما يوافق مذهب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يرجّح الأصحاب حديثه على الحديث الصحيح، و تمام الكلام في الرجال في تعليقتنا على رجال الكبير للميرزا </w:t>
      </w:r>
      <w:r>
        <w:rPr>
          <w:rStyle w:val="FootnoteAnchor"/>
          <w:rtl w:val="true"/>
        </w:rPr>
        <w:footnoteReference w:id="98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في باب حدّ الحيض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جاز الشهر فهو ريبة</w:t>
      </w:r>
      <w:r>
        <w:rPr>
          <w:rFonts w:eastAsia="Amiri" w:cs="Amiri" w:ascii="Amiri" w:hAnsi="Amiri"/>
          <w:color w:val="111111"/>
          <w:sz w:val="28"/>
          <w:szCs w:val="28"/>
          <w:rtl w:val="true"/>
          <w:lang w:bidi="ar-SA"/>
        </w:rPr>
        <w:t xml:space="preserve">» </w:t>
      </w:r>
      <w:r>
        <w:rPr>
          <w:rStyle w:val="FootnoteAnchor"/>
          <w:rtl w:val="true"/>
        </w:rPr>
        <w:footnoteReference w:id="986"/>
      </w:r>
      <w:r>
        <w:rPr>
          <w:rFonts w:ascii="IRNazanin" w:hAnsi="IRNazanin" w:eastAsia="IRNazanin"/>
          <w:color w:val="111111"/>
          <w:sz w:val="28"/>
          <w:sz w:val="28"/>
          <w:szCs w:val="28"/>
          <w:rtl w:val="true"/>
          <w:lang w:bidi="fa-IR"/>
        </w:rPr>
        <w:t>، فلاحظ و تأمّل</w:t>
      </w:r>
      <w:r>
        <w:rPr>
          <w:rFonts w:eastAsia="IRNazanin" w:cs="IRNazanin"/>
          <w:color w:val="111111"/>
          <w:sz w:val="28"/>
          <w:szCs w:val="28"/>
          <w:rtl w:val="true"/>
          <w:lang w:bidi="fa-IR"/>
        </w:rPr>
        <w:t>!</w:t>
      </w:r>
    </w:p>
    <w:p>
      <w:pPr>
        <w:pStyle w:val="Heading5"/>
        <w:numPr>
          <w:ilvl w:val="4"/>
          <w:numId w:val="1"/>
        </w:numPr>
        <w:rPr/>
      </w:pPr>
      <w:bookmarkStart w:id="382" w:name="__RefHeading___Toc3601548_3804643083"/>
      <w:bookmarkStart w:id="383" w:name="_Toc142"/>
      <w:bookmarkEnd w:id="382"/>
      <w:r>
        <w:rPr>
          <w:rtl w:val="true"/>
        </w:rPr>
        <w:t>[</w:t>
      </w:r>
      <w:r>
        <w:rPr>
          <w:rtl w:val="true"/>
        </w:rPr>
        <w:t>باب الاستحاضة</w:t>
      </w:r>
      <w:r>
        <w:rPr>
          <w:rtl w:val="true"/>
        </w:rPr>
        <w:t>]</w:t>
      </w:r>
      <w:bookmarkEnd w:id="38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 فلا تصلّي فيها، و لا يقربها بعلها</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ظاهرة في عدم تحقّق المتوسّطة،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تضمّ فخذيها في المسجد و سائر جسدها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تحيا</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 الثاني في كلّ واحد منها ربّما قرينة على إرادة الكثرة، مضافا إلى أخبار كثيرة، و شهرة عظيمة، و أصالة البراءة عن التكاليف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التعرّض لذكر المتوسّطة لا يضرّ؛ لأنّ غالب الأخبار فيها قصور من هذه الجهة، و المقامات كانت متفاوتة، و سيذكر في باب النفاس جهة له، مع أنّه إذا ثقب الدم الكرسف يجوز غالبا، و لا يقتصر على مجرّد الثقب إلّا نادرا، و الأخبار ربّما كانت واردة مورد الغالب، بل هذا هو الغالب،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يكون الأولى لها أن تغتسل مع الثقب ثلاثة أغسال كما أنّه ربّما كان الأولى أن تغتسل ثلاثة لمطلق الاستحاضة كما ستعرف،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يأتيها بعلها إلّا في أيّام حيضها</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منه أنّ غير القليلة يتوقّف جماعها على الغسل؛ للإجماع على الحليّة بعد الغسل، و موثّقة الآتية صريحة في الأمرين </w:t>
      </w:r>
      <w:r>
        <w:rPr>
          <w:rStyle w:val="FootnoteAnchor"/>
          <w:rtl w:val="true"/>
        </w:rPr>
        <w:footnoteReference w:id="990"/>
      </w:r>
      <w:r>
        <w:rPr>
          <w:rFonts w:ascii="Amiri" w:hAnsi="Amiri" w:eastAsia="Amiri" w:cs="Amiri"/>
          <w:color w:val="111111"/>
          <w:sz w:val="28"/>
          <w:sz w:val="28"/>
          <w:szCs w:val="28"/>
          <w:rtl w:val="true"/>
          <w:lang w:bidi="ar-SA"/>
        </w:rPr>
        <w:t xml:space="preserve">، و كصحيحة الفضيل و زرارة الآتية أيضا تدلّ على التوقّف </w:t>
      </w:r>
      <w:r>
        <w:rPr>
          <w:rStyle w:val="FootnoteAnchor"/>
          <w:rtl w:val="true"/>
        </w:rPr>
        <w:footnoteReference w:id="991"/>
      </w:r>
      <w:r>
        <w:rPr>
          <w:rFonts w:ascii="Amiri" w:hAnsi="Amiri" w:eastAsia="Amiri" w:cs="Amiri"/>
          <w:color w:val="111111"/>
          <w:sz w:val="28"/>
          <w:sz w:val="28"/>
          <w:szCs w:val="28"/>
          <w:rtl w:val="true"/>
          <w:lang w:bidi="ar-SA"/>
        </w:rPr>
        <w:t xml:space="preserve">، و صحيحة عبد الرحمن المذكورة في طواف الحجّ أيضا تدلّ </w:t>
      </w:r>
      <w:r>
        <w:rPr>
          <w:rStyle w:val="FootnoteAnchor"/>
          <w:rtl w:val="true"/>
        </w:rPr>
        <w:footnoteReference w:id="992"/>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على عدم التوقّف بصحيحة ابن سنان، و صحيحة صفوان الآتيتين </w:t>
      </w:r>
      <w:r>
        <w:rPr>
          <w:rStyle w:val="FootnoteAnchor"/>
          <w:rtl w:val="true"/>
        </w:rPr>
        <w:footnoteReference w:id="993"/>
      </w:r>
      <w:r>
        <w:rPr>
          <w:rFonts w:ascii="Amiri" w:hAnsi="Amiri" w:eastAsia="Amiri" w:cs="Amiri"/>
          <w:color w:val="111111"/>
          <w:sz w:val="28"/>
          <w:sz w:val="28"/>
          <w:szCs w:val="28"/>
          <w:rtl w:val="true"/>
          <w:lang w:bidi="ar-SA"/>
        </w:rPr>
        <w:t>،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ابن سنان، فلأنّ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التي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مع أنّ صلاة الظهرين كما هي مرتّبة في الذكر و الحكم قطعا، و كذا صلاة العشاءين، و كذا صلاة الصبح مع الترتيب الذكري، و كلمة الفاء الدالّة عليه، و كونهما مرتّبين عليه جزما في الواقع، فلا مانع من أن يكون الجماع أيضا كذلك بحكم السياق، سيّما مع قوله عليه السّلام بعده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تفعله امرأة قطّ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 ظهر الكلام في صحيحة صفوان؛ فإنّ استدخال القطنة مرتّب على الغسل في الذكر و واقعا، كما يظهر من أكثر الأخبار، و كون الغسل قبله عادة؛ لأنّ إدخالها بدون الاستثفار لا يكون كما يظهر من الأخبار، و من العادة، و مع الاستثفار لا يتحقّق الغسل عادة، و الجمع بين صلاتين مرتّبة على الغسل و الاستدخال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يكون إتيانها أيضا كذلك بحكم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الدلالة في غاية الضعف بالقياس إلى ما ذكرنا من الأخبار،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دالّة على وجود المتوسّطة؛ و التعرّض لذكر القليلة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بناء على أنّ الغالب أنّ القلّة توجب ضعف اللون، كما أشار إليه قول المصنّف فيما تقدّم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أن يأتيها، فحين تغتسل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توقّف جماعها على الغسل، و أنّ القليلة لا يتوقّف جماعها على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عند صلاة الظهر</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إشارة إلى كونها من المستحاضة الكثيرة؛ لأنّها التي لا تطهر في الغالب، و يستمرّ دمها؛ لأنّ الكثيرة غالبا منشأ الاستمرار و مظنّته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عدم التعرّض لذكر القليلة، و كون المستحاضة قسما واحدا،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من الأخبار و المستفاد من كتب اللغة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الإطلاق ينصرف إلى الأفراد الكاملة، و يكون مخصوصا بالسائل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ورد في كثير من الأخبار أنّ المستحاضة تجمع بين كلّ صلاتين بغسل </w:t>
      </w:r>
      <w:r>
        <w:rPr>
          <w:rStyle w:val="FootnoteAnchor"/>
          <w:rtl w:val="true"/>
        </w:rPr>
        <w:footnoteReference w:id="997"/>
      </w:r>
      <w:r>
        <w:rPr>
          <w:rFonts w:ascii="Amiri" w:hAnsi="Amiri" w:eastAsia="Amiri" w:cs="Amiri"/>
          <w:color w:val="111111"/>
          <w:sz w:val="28"/>
          <w:sz w:val="28"/>
          <w:szCs w:val="28"/>
          <w:rtl w:val="true"/>
          <w:lang w:bidi="ar-SA"/>
        </w:rPr>
        <w:t>، مع أنّ ذلك مخالف للإجماع و الأخبار، أو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كذلك فلا شكّ في كون المقام مقام الإجمال، و لا يحسن الاستدلال على نفي خصوص المتوسّطة،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تستدخل قطنة بعد قطنة</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دلالة على وجوب تغيير القطنة، كما صرّح به الفقهاء </w:t>
      </w:r>
      <w:r>
        <w:rPr>
          <w:rStyle w:val="FootnoteAnchor"/>
          <w:rtl w:val="true"/>
        </w:rPr>
        <w:footnoteReference w:id="999"/>
      </w:r>
      <w:r>
        <w:rPr>
          <w:rFonts w:ascii="Amiri" w:hAnsi="Amiri" w:eastAsia="Amiri" w:cs="Amiri"/>
          <w:color w:val="111111"/>
          <w:sz w:val="28"/>
          <w:sz w:val="28"/>
          <w:szCs w:val="28"/>
          <w:rtl w:val="true"/>
          <w:lang w:bidi="ar-SA"/>
        </w:rPr>
        <w:t>، و كذا في رواية</w:t>
      </w:r>
    </w:p>
    <w:p>
      <w:pPr>
        <w:pStyle w:val="BookText"/>
        <w:rPr/>
      </w:pPr>
      <w:r>
        <w:rPr>
          <w:rFonts w:ascii="Amiri" w:hAnsi="Amiri" w:eastAsia="Amiri" w:cs="Amiri"/>
          <w:color w:val="111111"/>
          <w:sz w:val="28"/>
          <w:sz w:val="28"/>
          <w:szCs w:val="28"/>
          <w:rtl w:val="true"/>
          <w:lang w:bidi="ar-SA"/>
        </w:rPr>
        <w:t xml:space="preserve">الجعفي الآتية </w:t>
      </w:r>
      <w:r>
        <w:rPr>
          <w:rStyle w:val="FootnoteAnchor"/>
          <w:rtl w:val="true"/>
        </w:rPr>
        <w:footnoteReference w:id="1000"/>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ظاهر الفرج و ما يظهر منه عند القعود على القدمين يقتضي ذلك، بل ربّما لا يتأتّى الغسل بغير ذلك؛ لما في الفرج من الرطوبة، و ظاهر الفرج من رطوبة الغسل،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وجوبه صحيحة عبد الرحمن بن أبي عبد اللّه، عن الصادق عليه السّلام التي رواها الشيخ في كتاب الحج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الطامث تقعد بعدد أيّامها كيف تصنع؟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بيوم أو يومين، ثمّ هي مستحاضة فلتغتسل و تستوثق من نفسها و تصلّي كلّ صلاة بوضوء ما لم يثقب الدم، فإذا نفذ اغتسلت و صلّت</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من الروايات التي تدلّ على بطلان مذهب ابن أبي عقيل </w:t>
      </w:r>
      <w:r>
        <w:rPr>
          <w:rStyle w:val="FootnoteAnchor"/>
          <w:rtl w:val="true"/>
        </w:rPr>
        <w:footnoteReference w:id="1003"/>
      </w:r>
      <w:r>
        <w:rPr>
          <w:rFonts w:ascii="Amiri" w:hAnsi="Amiri" w:eastAsia="Amiri" w:cs="Amiri"/>
          <w:color w:val="111111"/>
          <w:sz w:val="28"/>
          <w:sz w:val="28"/>
          <w:szCs w:val="28"/>
          <w:rtl w:val="true"/>
          <w:lang w:bidi="ar-SA"/>
        </w:rPr>
        <w:t>، و تدلّ على أنّ الاستيثاق للوضوء قبل الوضوء، كما يظهر من كلام الأصحاب أيضا، و وجهه معاقبة الصلاة للوضوء مهما أمكن حتّى لا يصير الحدث الواقع بعد الوضوء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المتوسّطة أيضا كذلك، و أمّا الكثيرة فالمستفاد من الأخبار أنّه بعد الغسل و وجهه أيضا ظاهر لأنّ الغسل لا يتحقّق إلّا بغسل الفرج، و هذا لا يتيسّر غالبا بعد الاستيثاق إذ إرخاء الخرقة لغسل ما تحته يوجب تبلّل الخرقة، فلا يناسب المستحاضة، بل و غيرها أيضا، لأنّه يضرّ، و مع ذلك بالإرخاء يخرج الدم فيحتاج إلى غسل كامل</w:t>
      </w:r>
      <w:r>
        <w:rPr>
          <w:rFonts w:eastAsia="Amiri" w:cs="Amiri" w:ascii="Amiri" w:hAnsi="Amiri"/>
          <w:color w:val="111111"/>
          <w:sz w:val="28"/>
          <w:szCs w:val="28"/>
          <w:rtl w:val="true"/>
          <w:lang w:bidi="ar-SA"/>
        </w:rPr>
        <w:t>.</w:t>
      </w:r>
      <w:bookmarkStart w:id="384" w:name="pg2470_12546"/>
    </w:p>
    <w:p>
      <w:pPr>
        <w:pStyle w:val="BookText"/>
        <w:rPr/>
      </w:pPr>
      <w:bookmarkEnd w:id="384"/>
      <w:r>
        <w:rPr>
          <w:rFonts w:ascii="Amiri" w:hAnsi="Amiri" w:eastAsia="Amiri" w:cs="Amiri"/>
          <w:color w:val="111111"/>
          <w:sz w:val="28"/>
          <w:sz w:val="28"/>
          <w:szCs w:val="28"/>
          <w:rtl w:val="true"/>
          <w:lang w:bidi="ar-SA"/>
        </w:rPr>
        <w:t>ثمّ الغسل لا يتأتّى ذلك تحت الخرقة و فوق القطنة النجسة، بل و ربّما كانت الخرقة تنجّست، و لم نجد أحدا قال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تجمع بين الظهر و العصر بغسل</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ظاهرها اشتراط حليّة الوطء بالاغتسال، كما هو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رأت الدم في حيضها حتّى جاوز وقتها</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وجود المتوسّطة؛ لأنّه عليه السّلام شرط في الاغتسال وقت كلّ صلاة بكون الدم دما صبيبا، و المشروط عدم عند عدم شرطه</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601550_3804643083"/>
      <w:bookmarkStart w:id="386" w:name="_Toc143"/>
      <w:bookmarkEnd w:id="385"/>
      <w:r>
        <w:rPr>
          <w:rtl w:val="true"/>
        </w:rPr>
        <w:t>[</w:t>
      </w:r>
      <w:r>
        <w:rPr>
          <w:rtl w:val="true"/>
        </w:rPr>
        <w:t>باب حدّ النفاس</w:t>
      </w:r>
      <w:r>
        <w:rPr>
          <w:rtl w:val="true"/>
        </w:rPr>
        <w:t>]</w:t>
      </w:r>
      <w:bookmarkEnd w:id="3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عنها الدم، و إلّا فهي مستحاضة</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الغسل الواحد عند الاستحاضة المتوسّطة، لا النفاس كما توهّم؛ لأنّ النفاس مذكور سابقا، و واحد قطعا، فلا يناسبه تنكير اللفظ و القيد بالواحدة، بل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بذلك الغسل مع أنّ الغسل انتقض بالحدث قطعا، فلا وجه لأن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بذلك الغسل، مع أنّها لا تصلّي بذلك الغسل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عليه السّلام صرّح أوّلا بأن تغتسل للنفاس، و تفعل كذا و كذا، و بعد ذلك ردّد</w:t>
      </w:r>
    </w:p>
    <w:p>
      <w:pPr>
        <w:pStyle w:val="BookText"/>
        <w:rPr/>
      </w:pPr>
      <w:r>
        <w:rPr>
          <w:rFonts w:ascii="Amiri" w:hAnsi="Amiri" w:eastAsia="Amiri" w:cs="Amiri"/>
          <w:color w:val="111111"/>
          <w:sz w:val="28"/>
          <w:sz w:val="28"/>
          <w:szCs w:val="28"/>
          <w:rtl w:val="true"/>
          <w:lang w:bidi="ar-SA"/>
        </w:rPr>
        <w:t>الأمر بأنّه إن جاز تغتسل ثلاثة أغسال، و إن لم يجز تصلّي بغسل، لا يكون ثلاثة، بل يكون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ما نكّر الغسل بنحو كان ظاهرا في الواحدة أكّده بالواحدة، و جعل القسمين مرتّبين على ما ذكره أوّلا أنّها تغتسل للنفاس، ثمّ بعد الاغتسال تفعل كذا إن كان كذا، و تفعل كذا إن كان كذا، فالقسمان كلاهما مذكوران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التعقيب، فيكون كلاهما عقيب غسل النفاس، و بعده من الاحتشاء و الاستثفار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ما توهّم لا حاجة إلى 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فالحديث ظاهر في وجود المتوسّطة، كما هو المشهور، و عدم التعرّض لذكر الوضوات مشترك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أنّ المقام مقام إجمال في ذلك يقينا، و على أيّ تقدير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رأت الدم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دلالة على اشتراط تخلّل أقلّ الطهر بين الحيض و النفاس، مضافا إلى أخبار كثيرة </w:t>
      </w:r>
      <w:r>
        <w:rPr>
          <w:rStyle w:val="FootnoteAnchor"/>
          <w:rtl w:val="true"/>
        </w:rPr>
        <w:footnoteReference w:id="1008"/>
      </w:r>
      <w:r>
        <w:rPr>
          <w:rFonts w:ascii="Amiri" w:hAnsi="Amiri" w:eastAsia="Amiri" w:cs="Amiri"/>
          <w:color w:val="111111"/>
          <w:sz w:val="28"/>
          <w:sz w:val="28"/>
          <w:szCs w:val="28"/>
          <w:rtl w:val="true"/>
          <w:lang w:bidi="ar-SA"/>
        </w:rPr>
        <w:t>دالّة على أنّها مستحاضة بعد انقضاء نفاسها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ولدت فرأت الدم أكثر ممّا كانت ترى</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سندها؛ لأنّ يونس ثقة على الأظهر </w:t>
      </w:r>
      <w:r>
        <w:rPr>
          <w:rStyle w:val="FootnoteAnchor"/>
          <w:rtl w:val="true"/>
        </w:rPr>
        <w:footnoteReference w:id="1010"/>
      </w:r>
      <w:r>
        <w:rPr>
          <w:rFonts w:ascii="Amiri" w:hAnsi="Amiri" w:eastAsia="Amiri" w:cs="Amiri"/>
          <w:color w:val="111111"/>
          <w:sz w:val="28"/>
          <w:sz w:val="28"/>
          <w:szCs w:val="28"/>
          <w:rtl w:val="true"/>
          <w:lang w:bidi="ar-SA"/>
        </w:rPr>
        <w:t>أو كانت</w:t>
      </w:r>
    </w:p>
    <w:p>
      <w:pPr>
        <w:pStyle w:val="BookText"/>
        <w:rPr/>
      </w:pPr>
      <w:r>
        <w:rPr>
          <w:rFonts w:ascii="Amiri" w:hAnsi="Amiri" w:eastAsia="Amiri" w:cs="Amiri"/>
          <w:color w:val="111111"/>
          <w:sz w:val="28"/>
          <w:sz w:val="28"/>
          <w:szCs w:val="28"/>
          <w:rtl w:val="true"/>
          <w:lang w:bidi="ar-SA"/>
        </w:rPr>
        <w:t>كالصحيحة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وجود المتوسّطة، حيث اشترط في الأغسال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كون الدم صبيبا، و المشروط عدم عند عدم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التعرّض للمتوسّطة لعلّه لندرة تحقّقها؛ لأنّ الدم إذا ثقب الكرسف يجوز عنه غالبا، و لعلّه لم يتعرّض لذكرها في بعض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بنت عميس نفست بمحمّد بن أبي بكر، فأمرها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ارادت الإحرام من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تغتسل و تحتشي بالكرسف و تهلّ بالحجّ</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الروايات دالّة على أنّ النفساء مطلقا تتلبّس بثمانية عشر، لا أنّ المبتدأة خاصّة تفعل كذلك، و إن رأت العادة ترجع إلى عادتها، 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و وافقه غيره؛ لأنّ الظاهر أنّ أسماء ليست مبتدأة، و لأنّ الرسول صلّى اللّه عليه و آله و سلم ترك الاستفصال، و كذا الأئمّة عليهم السّلام في نقل حكاية أسماء، و لما مرّ في المرفوعة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أسماء لو سألت قبل ذلك لأمرها أن تغتسل</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المانع عن الأمر بالرجوع إلى العادة أو العشرة عدم سؤالها إلى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مبتدأة و أمر الرسول صلّى اللّه عليه و آله و سلم إيّاها لأجل كونها مبتدأة لكان يقول ذلك، لا ما ذكره صلّى اللّه عليه و آله و سلم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تعمل كما تعمل المستحاضة، و هو صحيح، إلّا أنّ إطلاقه القول بأنّ</w:t>
      </w:r>
    </w:p>
    <w:p>
      <w:pPr>
        <w:pStyle w:val="BookText"/>
        <w:rPr/>
      </w:pPr>
      <w:r>
        <w:rPr>
          <w:rFonts w:ascii="Amiri" w:hAnsi="Amiri" w:eastAsia="Amiri" w:cs="Amiri"/>
          <w:color w:val="111111"/>
          <w:sz w:val="28"/>
          <w:sz w:val="28"/>
          <w:szCs w:val="28"/>
          <w:rtl w:val="true"/>
          <w:lang w:bidi="ar-SA"/>
        </w:rPr>
        <w:t>العشرة من النفاس</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مراد الشيخ أنّ النفاس لا يزيد عن عشرة، ردّا على القائل بالثمانية عشر، و لم يقل أنّ كلّ نفاس عشرة، فكيف و هو باطل قطعا و إجماعا؟ و لم يرد فيه حديث أصلا فضلا عن كونها أحاديث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الأصحاب اتّفقوا على أنّ ذات العادة في الحيض إذا جاوز دمها عادتها و انقطع على العاشر، يكون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مقتضى الدليل كما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المدارك</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النفاس عندهم حيض احبس لغذاء الولد، كما يظهر من الأخبار </w:t>
      </w:r>
      <w:r>
        <w:rPr>
          <w:rStyle w:val="FootnoteAnchor"/>
          <w:rtl w:val="true"/>
        </w:rPr>
        <w:footnoteReference w:id="1016"/>
      </w:r>
      <w:r>
        <w:rPr>
          <w:rFonts w:ascii="IRNazanin" w:hAnsi="IRNazanin" w:eastAsia="IRNazanin"/>
          <w:color w:val="111111"/>
          <w:sz w:val="28"/>
          <w:sz w:val="28"/>
          <w:szCs w:val="28"/>
          <w:rtl w:val="true"/>
          <w:lang w:bidi="fa-IR"/>
        </w:rPr>
        <w:t>و الاعتبار،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المرأة يصيبها الطلق أيّاما أو يوما أو يومين فترى الصفرة أو 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ما لم تلد</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صريحة في عدم كون الدم في أيّام الطلق نفاسا، كما عليه الأصحاب، و ظاهرة في كون الخارج مع الولادة نفاسا، كما هو المشهور؛ لأنّ إيجاب الصلاة عليها مع الولادة مستبعد جدّا، و غلبة الوجع متفرّعة على حالة وجوب الصلاة عليها فيها، كما هو ظاهر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الشرط في القضاء كون الفوت لأجل الغلبة، و هي مغايرة لحين التولّد، فتأمّل</w:t>
      </w:r>
      <w:r>
        <w:rPr>
          <w:rFonts w:eastAsia="Amiri" w:cs="Amiri" w:ascii="Amiri" w:hAnsi="Amiri"/>
          <w:color w:val="111111"/>
          <w:sz w:val="28"/>
          <w:szCs w:val="28"/>
          <w:rtl w:val="true"/>
          <w:lang w:bidi="ar-SA"/>
        </w:rPr>
        <w:t>!</w:t>
      </w:r>
      <w:bookmarkStart w:id="387" w:name="pg2470_12550"/>
    </w:p>
    <w:p>
      <w:pPr>
        <w:pStyle w:val="Heading5"/>
        <w:numPr>
          <w:ilvl w:val="4"/>
          <w:numId w:val="1"/>
        </w:numPr>
        <w:rPr/>
      </w:pPr>
      <w:bookmarkStart w:id="388" w:name="__RefHeading___Toc3601552_3804643083"/>
      <w:bookmarkStart w:id="389" w:name="_Toc144"/>
      <w:bookmarkEnd w:id="387"/>
      <w:bookmarkEnd w:id="388"/>
      <w:r>
        <w:rPr>
          <w:rtl w:val="true"/>
        </w:rPr>
        <w:t>[</w:t>
      </w:r>
      <w:r>
        <w:rPr>
          <w:rtl w:val="true"/>
        </w:rPr>
        <w:t>باب صفة الغسل و آدابه</w:t>
      </w:r>
      <w:r>
        <w:rPr>
          <w:rtl w:val="true"/>
        </w:rPr>
        <w:t>]</w:t>
      </w:r>
      <w:bookmarkEnd w:id="3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يغتسل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أصاب كفّه شي‌ء غمسها في الماء، ثمّ بدأ بفرجه و أنقاه بثلاثة غرف، ثمّ صبّ على رأسه ثلاثة أكفّ، ثمّ صبّ على منكبه الأيمن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منكبه الأيسر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الظاهر المتبادر من هذه الرواية أنّ كيفيّة غسل الجنابة كونه يصبّ، ثمّ صبّ و صبّ، فيكون أجزاؤها ثلاث، لا أنّه مركّب من جزءين صبّ ثمّ 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منها كون الجزءين الأخيرين عقيب الجزء الأوّل، و أنّهما متشاركان في ذلك، و معلوم عدم إمكان تحقّقهما في زمان واحد؛ فإمّا أن يكون المراد أنّ المكلّف مخيّر في جعل أيّهما عقيب الجزء الأوّل بلا فصل، و الآخر بفصل بأنّه بعد الصبّ على الرأس إمّا يصبّ على المنكب الأيمن بلا فصل، أو على الأيسر بلا فصل، أو أنّه بعد الجزء الأوّل يصبّ على المنكب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لعدم قائل به؛ لأنّه من يقول بعدم الترتيب بين الجسد يقول بأنّ للغسل مرّتين لا ثلاث، و أنّه لا يجب الصبّ على الأيمن و لا الأيسر، بل لو صبّ على وسط الظهر أو البطن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العبارة أنّ المكلّف بعد الصبّ على الرأس يصبّ على الأيمن في مقام اختيار الفعل، فيلزم من ذلك أن يكون الصبّ على الأيسر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المتبادر من جهة الترتيب الذكري في مثل مقام الترتيب المقام الفعلي فتعيّن الثاني، فتأمّل جدّا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أنّ من سها عن عبادة لا ينبغي لغيره</w:t>
      </w:r>
    </w:p>
    <w:p>
      <w:pPr>
        <w:pStyle w:val="BookText"/>
        <w:rPr/>
      </w:pPr>
      <w:r>
        <w:rPr>
          <w:rFonts w:ascii="Amiri" w:hAnsi="Amiri" w:eastAsia="Amiri" w:cs="Amiri"/>
          <w:color w:val="111111"/>
          <w:sz w:val="28"/>
          <w:sz w:val="28"/>
          <w:szCs w:val="28"/>
          <w:rtl w:val="true"/>
          <w:lang w:bidi="ar-SA"/>
        </w:rPr>
        <w:t xml:space="preserve">تنبّهه عليه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لأنّه مبنيّ على أنّ المعصوم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خلاف ما عليه معظم المحقّقين و الفقهاء من الشيعة،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w:t>
      </w:r>
      <w:r>
        <w:rPr>
          <w:rStyle w:val="FootnoteAnchor"/>
          <w:rtl w:val="true"/>
        </w:rPr>
        <w:footnoteReference w:id="1020"/>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خالف القرآن فاضربوه على عرض الحائط</w:t>
      </w:r>
      <w:r>
        <w:rPr>
          <w:rFonts w:eastAsia="Amiri" w:cs="Amiri" w:ascii="Amiri" w:hAnsi="Amiri"/>
          <w:color w:val="111111"/>
          <w:sz w:val="28"/>
          <w:szCs w:val="28"/>
          <w:rtl w:val="true"/>
          <w:lang w:bidi="ar-SA"/>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زخرف</w:t>
      </w:r>
      <w:r>
        <w:rPr>
          <w:rFonts w:eastAsia="IRNazanin" w:cs="IRNazanin"/>
          <w:color w:val="111111"/>
          <w:sz w:val="28"/>
          <w:szCs w:val="28"/>
          <w:rtl w:val="true"/>
          <w:lang w:bidi="fa-IR"/>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نقول ما يخالف القرآن</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إلى غير ذلك، تمنع عن تجويز السهو الذي هو من الشيطان، و الاسهاء الذي هو من اللّه عليهم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الأوّل وفاقي،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أي الشيطان عَلَى الَّذِينَ يَتَوَلَّوْنَهُ </w:t>
      </w:r>
      <w:r>
        <w:rPr>
          <w:rStyle w:val="FootnoteAnchor"/>
          <w:rtl w:val="true"/>
        </w:rPr>
        <w:footnoteReference w:id="1024"/>
      </w:r>
      <w:r>
        <w:rPr>
          <w:rFonts w:ascii="Amiri" w:hAnsi="Amiri" w:eastAsia="Amiri" w:cs="Amiri"/>
          <w:color w:val="111111"/>
          <w:sz w:val="28"/>
          <w:sz w:val="28"/>
          <w:szCs w:val="28"/>
          <w:rtl w:val="true"/>
          <w:lang w:bidi="ar-SA"/>
        </w:rPr>
        <w:t>و غير ذلك، مانع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فمع قطع النظر عمّا ذكر ظاهر؛ لأنّه تعالى لا يوقع المعصوم عليه السّلام إلى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تجويزه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لغرض و غير خفيّ أنّ المقام ليس فيه غرض يقتضي إيقاع المعصوم عليه السّلام إلى الخطأ</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فعل المعصوم عليه السّلام حجّة كقوله، على ما حقّق في محلّه </w:t>
      </w:r>
      <w:r>
        <w:rPr>
          <w:rStyle w:val="FootnoteAnchor"/>
          <w:rtl w:val="true"/>
        </w:rPr>
        <w:footnoteReference w:id="1025"/>
      </w:r>
      <w:r>
        <w:rPr>
          <w:rFonts w:ascii="Amiri" w:hAnsi="Amiri" w:eastAsia="Amiri" w:cs="Amiri"/>
          <w:color w:val="111111"/>
          <w:sz w:val="28"/>
          <w:sz w:val="28"/>
          <w:szCs w:val="28"/>
          <w:rtl w:val="true"/>
          <w:lang w:bidi="ar-SA"/>
        </w:rPr>
        <w:t>، و مسلّم، فيتطرّق تجويز الخطأ إلى قوله عليه السّلام أيضا من دون تفاوت، فيلزم خروج المعصوم عليه السّلام عن العصمة، و قوله و فعله عن الحجيّة العياذ باللّه منها، فما يجاب عن طرف القول يجاب عن طرف الفعل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لأنّي كنت أفعل، فشرع في الفعل، مع أنّ التنبيه و التعريف في أمثال المقام من جملة الإعانة في البرّ، و داخل في العمومات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الأمر بالمعروف، من الآية </w:t>
      </w:r>
      <w:r>
        <w:rPr>
          <w:rStyle w:val="FootnoteAnchor"/>
          <w:rtl w:val="true"/>
        </w:rPr>
        <w:footnoteReference w:id="1026"/>
      </w:r>
      <w:r>
        <w:rPr>
          <w:rFonts w:ascii="IRNazanin" w:hAnsi="IRNazanin" w:eastAsia="IRNazanin"/>
          <w:color w:val="111111"/>
          <w:sz w:val="28"/>
          <w:sz w:val="28"/>
          <w:szCs w:val="28"/>
          <w:rtl w:val="true"/>
          <w:lang w:bidi="fa-IR"/>
        </w:rPr>
        <w:t xml:space="preserve">و الأخبار </w:t>
      </w:r>
      <w:r>
        <w:rPr>
          <w:rStyle w:val="FootnoteAnchor"/>
          <w:rtl w:val="true"/>
        </w:rPr>
        <w:footnoteReference w:id="1027"/>
      </w:r>
      <w:r>
        <w:rPr>
          <w:rFonts w:ascii="Amiri" w:hAnsi="Amiri" w:eastAsia="Amiri" w:cs="Amiri"/>
          <w:color w:val="111111"/>
          <w:sz w:val="28"/>
          <w:sz w:val="28"/>
          <w:szCs w:val="28"/>
          <w:rtl w:val="true"/>
          <w:lang w:bidi="ar-SA"/>
        </w:rPr>
        <w:t xml:space="preserve">، و لا شبهة أنّ غسل الجنابة من المعروف، سيّما بملاحظة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إبقاء شعرة منها بغير غسل</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تأمّل أحد في كون غسل الجنابة معروفا يلزمه التأمّل في سائر العبادات و جميع المعاملات، و لو تأمّل في كون جزء المعروف معروفا يلزمه التأمّل في جميع أجزاء العبادات و المعاملات، مع أنّه كيف يمكن التأمّل في كون جزء المعروف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 تخصيص القرآن و الأخبار المتواترة بهذا الخبر، و فيه أنّه خلاف مقتضى الأدلّة؛ لأنّ القرآن قطعي المتن، و سيّما إذا وافقه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مخالفته للأدلّة القطعيّة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ما ذكره، كيف يكافئ المتن القطعي، سيّما مع اعتضاده بالقطعيّات الاخر، و الأخبار المتواترة في أنّ ما لم يوافق القرآن فاضربوه على الحائط و أمثاله </w:t>
      </w:r>
      <w:r>
        <w:rPr>
          <w:rStyle w:val="FootnoteAnchor"/>
          <w:rtl w:val="true"/>
        </w:rPr>
        <w:footnoteReference w:id="10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جوّز تخصيص القرآن بخبر الواحد فإنّما يجوّز بالخبر القطعي الدلالة، لا ظنّيتها حتّى يقاوم قطعيّة متن القرآن</w:t>
      </w:r>
      <w:r>
        <w:rPr>
          <w:rFonts w:eastAsia="Amiri" w:cs="Amiri" w:ascii="Amiri" w:hAnsi="Amiri"/>
          <w:color w:val="111111"/>
          <w:sz w:val="28"/>
          <w:szCs w:val="28"/>
          <w:rtl w:val="true"/>
          <w:lang w:bidi="ar-SA"/>
        </w:rPr>
        <w:t>.</w:t>
      </w:r>
      <w:bookmarkStart w:id="390" w:name="pg2470_12553"/>
    </w:p>
    <w:p>
      <w:pPr>
        <w:pStyle w:val="BookText"/>
        <w:rPr/>
      </w:pPr>
      <w:bookmarkEnd w:id="390"/>
      <w:r>
        <w:rPr>
          <w:rFonts w:ascii="Amiri" w:hAnsi="Amiri" w:eastAsia="Amiri" w:cs="Amiri"/>
          <w:color w:val="111111"/>
          <w:sz w:val="28"/>
          <w:sz w:val="28"/>
          <w:szCs w:val="28"/>
          <w:rtl w:val="true"/>
          <w:lang w:bidi="ar-SA"/>
        </w:rPr>
        <w:t>و أيضا الشاذّ عندهم ليس حجّة، فضلا عن أن يخصّص القرآن به، و عرفت أنّ المعروف بين الشيعة عدم تجويز الخطأ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واحد واحد من رواة هذا الخبر أولى بالسهو من المعصوم عليه السّلام،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تمام الكلام في باب السهو في أعداد الركعات،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يجنب الظاهر</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على أنّه لا مانع من مباشرة خطّ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الجلالة في الدراهم و أمثال ذلك باللسان و أمثاله</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3601554_3804643083"/>
      <w:bookmarkStart w:id="392" w:name="_Toc145"/>
      <w:bookmarkEnd w:id="391"/>
      <w:r>
        <w:rPr>
          <w:rtl w:val="true"/>
        </w:rPr>
        <w:t>[</w:t>
      </w:r>
      <w:r>
        <w:rPr>
          <w:rtl w:val="true"/>
        </w:rPr>
        <w:t>باب وجوب تقديم الرأس في الغسل و سقوط الموالاة فيه</w:t>
      </w:r>
      <w:r>
        <w:rPr>
          <w:rtl w:val="true"/>
        </w:rPr>
        <w:t>]</w:t>
      </w:r>
      <w:bookmarkEnd w:id="3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الذوق السليم يحكم بأولويّة تقديم الأعلى فالأعلى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في أنّه لا طريق للعقل إلى أمثال هذه الأحكام، و أمّا حكم الشرع، فإنّما يستفاد من الأدلّة الشرعيّة، و ليس في المقام ما يدلّ إلّا لفظ هذه الأخبار، و لا دلالة له على ما ذكره بوجه؛ لا مطابقة، و لا تضمّنا، و لا التزاما، فكيف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الذوق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عضو عضو</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الاستحباب هنا يكون شرعيّا، فيتوقّف على الثبوت، مع أنّه لو تمّ لزم ذلك في غسل الرأس أيضا، و كذا غسل الوجه و مسحه في الوضوء و التيمّم، و كذا سائر أفعالهما،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بالمنكب الأيمن، و ليس ذلك إلّا التيامن المستحبّ في كلّ شي‌ء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كما عرفت، و أنّ الترتيب في الغسل لا مجرّد الصبّ؛ لأنّ الظاهر من السياق اتّحاد حال الرأس بالقياس إلى الجسد مع حال اليمين بالقياس إلى اليسار، و هو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 أكفّ، ثمّ صبّ على منكبه الأيمن مرّتين، و على منكبه الأيسر مرّتين</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في أنّ المراد من صبّ الماء على رأسه ثلاث أكفّ غسله بتمامه، لا مجرّد صب الماء، و إن وقع الغسل بعد الصبّ على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الترتيب بين اليمين و اليسار أيضا الأخبار الكثيرة الواردة في كيفيّة غسل الميّت </w:t>
      </w:r>
      <w:r>
        <w:rPr>
          <w:rStyle w:val="FootnoteAnchor"/>
          <w:rtl w:val="true"/>
        </w:rPr>
        <w:footnoteReference w:id="1035"/>
      </w:r>
      <w:r>
        <w:rPr>
          <w:rFonts w:ascii="Amiri" w:hAnsi="Amiri" w:eastAsia="Amiri" w:cs="Amiri"/>
          <w:color w:val="111111"/>
          <w:sz w:val="28"/>
          <w:sz w:val="28"/>
          <w:szCs w:val="28"/>
          <w:rtl w:val="true"/>
          <w:lang w:bidi="ar-SA"/>
        </w:rPr>
        <w:t xml:space="preserve">، و أنّه يظهر من غير واحد من الأخبار أنّ كيفيّة غسل الميّت، و غسل الجنابة واحدة </w:t>
      </w:r>
      <w:r>
        <w:rPr>
          <w:rStyle w:val="FootnoteAnchor"/>
          <w:rtl w:val="true"/>
        </w:rPr>
        <w:footnoteReference w:id="1036"/>
      </w:r>
      <w:r>
        <w:rPr>
          <w:rFonts w:ascii="Amiri" w:hAnsi="Amiri" w:eastAsia="Amiri" w:cs="Amiri"/>
          <w:color w:val="111111"/>
          <w:sz w:val="28"/>
          <w:sz w:val="28"/>
          <w:szCs w:val="28"/>
          <w:rtl w:val="true"/>
          <w:lang w:bidi="ar-SA"/>
        </w:rPr>
        <w:t xml:space="preserve">، و أنّ غسل الميّت في الحقيقة هو غسل الجنابة، يغسّل الميّت لخروج المني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إذا كان الميّت جنبا يغتسل غسلا واحدا لموته و لجنابته، فلاحظ الأخبار </w:t>
      </w:r>
      <w:r>
        <w:rPr>
          <w:rStyle w:val="FootnoteAnchor"/>
          <w:rtl w:val="true"/>
        </w:rPr>
        <w:footnoteReference w:id="1037"/>
      </w:r>
      <w:r>
        <w:rPr>
          <w:rFonts w:ascii="Amiri" w:hAnsi="Amiri" w:eastAsia="Amiri" w:cs="Amiri"/>
          <w:color w:val="111111"/>
          <w:sz w:val="28"/>
          <w:sz w:val="28"/>
          <w:szCs w:val="28"/>
          <w:rtl w:val="true"/>
          <w:lang w:bidi="ar-SA"/>
        </w:rPr>
        <w:t>و تأمّل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أيضا أنّ غسل الحيض بكيفية غسل الجنابة </w:t>
      </w:r>
      <w:r>
        <w:rPr>
          <w:rStyle w:val="FootnoteAnchor"/>
          <w:rtl w:val="true"/>
        </w:rPr>
        <w:footnoteReference w:id="1038"/>
      </w:r>
      <w:r>
        <w:rPr>
          <w:rFonts w:ascii="Amiri" w:hAnsi="Amiri" w:eastAsia="Amiri" w:cs="Amiri"/>
          <w:color w:val="111111"/>
          <w:sz w:val="28"/>
          <w:sz w:val="28"/>
          <w:szCs w:val="28"/>
          <w:rtl w:val="true"/>
          <w:lang w:bidi="ar-SA"/>
        </w:rPr>
        <w:t>، و كذا غير غسل الحيض، مع عدم قائل بالفصل، فتأمّل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صحيحة زرارة السابقة، ما رواه زرارة أيضا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w:t>
      </w:r>
      <w:bookmarkStart w:id="393" w:name="pg2470_12555"/>
    </w:p>
    <w:p>
      <w:pPr>
        <w:pStyle w:val="BookText"/>
        <w:rPr/>
      </w:pPr>
      <w:bookmarkEnd w:id="393"/>
      <w:r>
        <w:rPr>
          <w:rFonts w:ascii="Amiri" w:hAnsi="Amiri" w:eastAsia="Amiri" w:cs="Amiri"/>
          <w:color w:val="111111"/>
          <w:sz w:val="28"/>
          <w:sz w:val="28"/>
          <w:szCs w:val="28"/>
          <w:rtl w:val="true"/>
          <w:lang w:bidi="ar-SA"/>
        </w:rPr>
        <w:t xml:space="preserve">عن الباقر عليه السّلام في باب الآتي </w:t>
      </w:r>
      <w:r>
        <w:rPr>
          <w:rStyle w:val="FootnoteAnchor"/>
          <w:rtl w:val="true"/>
        </w:rPr>
        <w:footnoteReference w:id="1039"/>
      </w:r>
      <w:r>
        <w:rPr>
          <w:rFonts w:ascii="Amiri" w:hAnsi="Amiri" w:eastAsia="Amiri" w:cs="Amiri"/>
          <w:color w:val="111111"/>
          <w:sz w:val="28"/>
          <w:sz w:val="28"/>
          <w:szCs w:val="28"/>
          <w:rtl w:val="true"/>
          <w:lang w:bidi="ar-SA"/>
        </w:rPr>
        <w:t xml:space="preserve">، و كذا رواية عمّار </w:t>
      </w:r>
      <w:r>
        <w:rPr>
          <w:rStyle w:val="FootnoteAnchor"/>
          <w:rtl w:val="true"/>
        </w:rPr>
        <w:footnoteReference w:id="1040"/>
      </w:r>
      <w:r>
        <w:rPr>
          <w:rFonts w:ascii="Amiri" w:hAnsi="Amiri" w:eastAsia="Amiri" w:cs="Amiri"/>
          <w:color w:val="111111"/>
          <w:sz w:val="28"/>
          <w:sz w:val="28"/>
          <w:szCs w:val="28"/>
          <w:rtl w:val="true"/>
          <w:lang w:bidi="ar-SA"/>
        </w:rPr>
        <w:t>، كما سنشير إليه، فلاحظ</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601556_3804643083"/>
      <w:bookmarkStart w:id="395" w:name="_Toc146"/>
      <w:bookmarkEnd w:id="394"/>
      <w:r>
        <w:rPr>
          <w:rtl w:val="true"/>
        </w:rPr>
        <w:t>[</w:t>
      </w:r>
      <w:r>
        <w:rPr>
          <w:rtl w:val="true"/>
        </w:rPr>
        <w:t>باب إجزاء الارتماس و إصابة المطر و الثلج عن الغسل و قدر ماء الغسل</w:t>
      </w:r>
      <w:r>
        <w:rPr>
          <w:rtl w:val="true"/>
        </w:rPr>
        <w:t>]</w:t>
      </w:r>
      <w:bookmarkEnd w:id="3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الساباطي سأل أبا عبد اللّه عليه السّلام عن المرأة تغتسل و قد امتشطت بقرامل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الرواية ظاهرة في الترتيب بين اليمين و اليسار؛ لأنّه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حفنتان على اليمنى و حفنتان على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لولاه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حفنتان على المنكبين، و حفنتان على النصف الباقي،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حفنات على جسدها،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تمرّ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الترتيب، لكن لا يخفى أنّه محمول على أنّ المراد بالنسبة إلى الرأس و اليمنى و اليسرى، كلّ واحد منهما على حدة؛ إذ لا شكّ في الترتيب بين الرأس و الجسد، و أنّ من قال بالترتيب بين اليمين و اليسار، قال بالترتيب بين جميع اليمين و جميع اليسار، فتأمّل جدّا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هذه الرواية موثّقة زرارة المتقدّمة </w:t>
      </w:r>
      <w:r>
        <w:rPr>
          <w:rStyle w:val="FootnoteAnchor"/>
          <w:rtl w:val="true"/>
        </w:rPr>
        <w:footnoteReference w:id="1042"/>
      </w:r>
      <w:r>
        <w:rPr>
          <w:rFonts w:ascii="Amiri" w:hAnsi="Amiri" w:eastAsia="Amiri" w:cs="Amiri"/>
          <w:color w:val="111111"/>
          <w:sz w:val="28"/>
          <w:sz w:val="28"/>
          <w:szCs w:val="28"/>
          <w:rtl w:val="true"/>
          <w:lang w:bidi="ar-SA"/>
        </w:rPr>
        <w:t xml:space="preserve">، بل هي أظهر؛ لأنّ الأمر حقيقة في الوجوب، و العطف في قوّة تكرير العامل، بل لاختصار الكلام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المعطوف اكتفاء بحرف العطف، و الأمر بثلاث أكفّ؛ لأنّ أقلّ منها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الغسل، فتأمّل جدّا</w:t>
      </w:r>
      <w:r>
        <w:rPr>
          <w:rFonts w:eastAsia="Amiri" w:cs="Amiri" w:ascii="Amiri" w:hAnsi="Amiri"/>
          <w:color w:val="111111"/>
          <w:sz w:val="28"/>
          <w:szCs w:val="28"/>
          <w:rtl w:val="true"/>
          <w:lang w:bidi="ar-SA"/>
        </w:rPr>
        <w:t>!</w:t>
      </w:r>
      <w:bookmarkStart w:id="396" w:name="pg2470_12556"/>
    </w:p>
    <w:p>
      <w:pPr>
        <w:pStyle w:val="Heading5"/>
        <w:numPr>
          <w:ilvl w:val="4"/>
          <w:numId w:val="1"/>
        </w:numPr>
        <w:rPr/>
      </w:pPr>
      <w:bookmarkStart w:id="397" w:name="__RefHeading___Toc3601558_3804643083"/>
      <w:bookmarkStart w:id="398" w:name="_Toc147"/>
      <w:bookmarkEnd w:id="396"/>
      <w:bookmarkEnd w:id="397"/>
      <w:r>
        <w:rPr>
          <w:rtl w:val="true"/>
        </w:rPr>
        <w:t>[</w:t>
      </w:r>
      <w:r>
        <w:rPr>
          <w:rtl w:val="true"/>
        </w:rPr>
        <w:t>باب أنّ الغسل يجزي عن الوضوء</w:t>
      </w:r>
      <w:r>
        <w:rPr>
          <w:rtl w:val="true"/>
        </w:rPr>
        <w:t>]</w:t>
      </w:r>
      <w:bookmarkEnd w:id="3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يجزي عن الوضوء، و أيّ وضوء أطهر من الغسل</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المشهور عند الفقهاء أنّ غسل الجنابة فقط يجزي عن الوضوء للصلاة </w:t>
      </w:r>
      <w:r>
        <w:rPr>
          <w:rStyle w:val="FootnoteAnchor"/>
          <w:rtl w:val="true"/>
        </w:rPr>
        <w:footnoteReference w:id="1044"/>
      </w:r>
      <w:r>
        <w:rPr>
          <w:rFonts w:ascii="Amiri" w:hAnsi="Amiri" w:eastAsia="Amiri" w:cs="Amiri"/>
          <w:color w:val="111111"/>
          <w:sz w:val="28"/>
          <w:sz w:val="28"/>
          <w:szCs w:val="28"/>
          <w:rtl w:val="true"/>
          <w:lang w:bidi="ar-SA"/>
        </w:rPr>
        <w:t xml:space="preserve">لما يظهر من ظاهر الآية </w:t>
      </w:r>
      <w:r>
        <w:rPr>
          <w:rStyle w:val="FootnoteAnchor"/>
          <w:rtl w:val="true"/>
        </w:rPr>
        <w:footnoteReference w:id="1045"/>
      </w:r>
      <w:r>
        <w:rPr>
          <w:rFonts w:ascii="Amiri" w:hAnsi="Amiri" w:eastAsia="Amiri" w:cs="Amiri"/>
          <w:color w:val="111111"/>
          <w:sz w:val="28"/>
          <w:sz w:val="28"/>
          <w:szCs w:val="28"/>
          <w:rtl w:val="true"/>
          <w:lang w:bidi="ar-SA"/>
        </w:rPr>
        <w:t>أنّ المكلّف بالصلاة يتوضّأ لفعلها، إلّا أن يكون جنبا فيطهّر، أي يغتسل، كما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ظاهر أيضا من الخطاب بالوضوء بالنسبة إلى كلّ مكلّف،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العموم عرفا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التعرّض لذكر الجنب خاصّة، و جعله مقابلا للأوّل، و لا يضرّ ما ورد من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من النوم </w:t>
      </w:r>
      <w:r>
        <w:rPr>
          <w:rStyle w:val="FootnoteAnchor"/>
          <w:rtl w:val="true"/>
        </w:rPr>
        <w:footnoteReference w:id="1046"/>
      </w:r>
      <w:r>
        <w:rPr>
          <w:rFonts w:ascii="Amiri" w:hAnsi="Amiri" w:eastAsia="Amiri" w:cs="Amiri"/>
          <w:color w:val="111111"/>
          <w:sz w:val="28"/>
          <w:sz w:val="28"/>
          <w:szCs w:val="28"/>
          <w:rtl w:val="true"/>
          <w:lang w:bidi="ar-SA"/>
        </w:rPr>
        <w:t>للتقريب الذي ذكر، مضافا إلى عدم القول بالفصل، فتأمّل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مرسلة ابن أبي عمير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 و موافقة الصدوق لها في فتواه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و في أماليه جعله من دين الإماميّة </w:t>
      </w:r>
      <w:r>
        <w:rPr>
          <w:rStyle w:val="FootnoteAnchor"/>
          <w:rtl w:val="true"/>
        </w:rPr>
        <w:footnoteReference w:id="1049"/>
      </w:r>
      <w:r>
        <w:rPr>
          <w:rFonts w:ascii="IRNazanin" w:hAnsi="IRNazanin" w:eastAsia="IRNazanin"/>
          <w:color w:val="111111"/>
          <w:sz w:val="28"/>
          <w:sz w:val="28"/>
          <w:szCs w:val="28"/>
          <w:rtl w:val="true"/>
          <w:lang w:bidi="fa-IR"/>
        </w:rPr>
        <w:t>، و أظهر</w:t>
      </w:r>
    </w:p>
    <w:p>
      <w:pPr>
        <w:pStyle w:val="BookText"/>
        <w:rPr/>
      </w:pPr>
      <w:r>
        <w:rPr>
          <w:rFonts w:ascii="Amiri" w:hAnsi="Amiri" w:eastAsia="Amiri" w:cs="Amiri"/>
          <w:color w:val="111111"/>
          <w:sz w:val="28"/>
          <w:sz w:val="28"/>
          <w:szCs w:val="28"/>
          <w:rtl w:val="true"/>
          <w:lang w:bidi="ar-SA"/>
        </w:rPr>
        <w:t>في كتابيه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سائر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أنّها من سنّة النبي صلّى اللّه عليه و آله و سلم لا الفرض الثابت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تجزي عن الوضوء الذي هو فرض ثابت من القرآن، و هذا بعينه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كلامه إجماع الإماميّة على ذلك، بل أنّه مذهبهم الذي يجب على الشيعة الإقرار به، و لم يخالف بعده سوى السيّد المرتضى؛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سنذكر ما في هذه المرسلة من موجبات العمل، و عدم التأمّل، مضافا إلى ما ذكره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المنقول حجّة، لما دلّ على حجيّته، و الصدوق 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 بذلك، و هو أيضا معتبر، كما حقّقناه </w:t>
      </w:r>
      <w:r>
        <w:rPr>
          <w:rStyle w:val="FootnoteAnchor"/>
          <w:rtl w:val="true"/>
        </w:rPr>
        <w:footnoteReference w:id="1052"/>
      </w:r>
      <w:r>
        <w:rPr>
          <w:rFonts w:ascii="Amiri" w:hAnsi="Amiri" w:eastAsia="Amiri" w:cs="Amiri"/>
          <w:color w:val="111111"/>
          <w:sz w:val="28"/>
          <w:sz w:val="28"/>
          <w:szCs w:val="28"/>
          <w:rtl w:val="true"/>
          <w:lang w:bidi="ar-SA"/>
        </w:rPr>
        <w:t>، و سيّما إذا انجبر بالشهرة، و الإجماع المذكور، و ظاهر الآية و الأخبار، و سيّما الرواية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قولهم الاستصحاب أيضا؛ لأنّ بعد الحدث الأصغر وجب الوضوء بمقتضى الأخبار بعد الإجماع، و لم يثبت سقوطه بالغسل، فيكون الحكم في جميع الصور كذلك؛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يؤيّدهم إطلاقات الأوامر بالوضوء عقيب الأحداث الشاملة للحدث الأكبر أيضا، فتأمّل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الأخبار الضعيفة ممّا هو ظاهر في مذهب السيّد؛ لا يقاوم ما ذكر؛ لأنّ الخبر الضعيف ليس بحجّة ما لم ينجبر، كما حقّق في محلّه </w:t>
      </w:r>
      <w:r>
        <w:rPr>
          <w:rStyle w:val="FootnoteAnchor"/>
          <w:rtl w:val="true"/>
        </w:rPr>
        <w:footnoteReference w:id="1053"/>
      </w:r>
      <w:r>
        <w:rPr>
          <w:rFonts w:ascii="Amiri" w:hAnsi="Amiri" w:eastAsia="Amiri" w:cs="Amiri"/>
          <w:color w:val="111111"/>
          <w:sz w:val="28"/>
          <w:sz w:val="28"/>
          <w:szCs w:val="28"/>
          <w:rtl w:val="true"/>
          <w:lang w:bidi="ar-SA"/>
        </w:rPr>
        <w:t>، و لم يوجد هنا جابر، لا من جهة الشهرة و لا غيرها، بل الأمر بالعكس؛ فإنّ ظاهر الكتاب و الشهرة، بل الإجماع و غير ذلك رادّ للخبر، و مانع عن العمل به، مع أنّه ضعيف الدلالة أيضا</w:t>
      </w:r>
    </w:p>
    <w:p>
      <w:pPr>
        <w:pStyle w:val="BookText"/>
        <w:rPr/>
      </w:pP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صحيحة ابن مسلم هذه، فضعيفة الدلالة؛ لأنّ المفرد المحلّى باللام لا يفيد العموم لغة، و أمّا عرفا، فيفيد إن لم يكن مرجّح في أفراده، و يتحقّق الترجيح بلا مرجّح، إن لم يحمل على العموم، و أمّا إن كان فلا؛ لأنّ الغالب في الإطلاقات التوجّه إلى حال الرجال، أو يعمّ الرجال و النساء، لا خصوص النساء، و مع ذلك الإطلاق ينصرف إلى الفرد الكامل الذي هو الفريضة، كما اعترف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فينصرف الإطلاق إلى غسل الجنابة، الذي هو الفرد الكامل الغالب؛ أمّا الغالب فقد عرفت، و أمّا الكامل، فإنّه الغسل الفرض اللازم على 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نرى أنّا في أمثال زماننا متى ما ذكرنا الغسل على سبيل الإطلاق ينصرف ذهننا إلى الجنابة، و أمّا غيرها فيحصل الشكّ في الإرادة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إن كان مراده العموم 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غسل يكون يجزي عن كلّ وضوء، فيلزم من ذلك أنّ الوضوء من الحدث الأصغر لا يكون واجبا على سبيل التعيين، بل على سبيل التخيير بينه و بين الغسل، و يكون الغسل أفضل فردي الواجب التخييري و أقواها، و أنّ ما في الأخبار الكثيرة من الوضوات المستحبّة للامور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طلب الحوائج </w:t>
      </w:r>
      <w:r>
        <w:rPr>
          <w:rStyle w:val="FootnoteAnchor"/>
          <w:rtl w:val="true"/>
        </w:rPr>
        <w:footnoteReference w:id="1055"/>
      </w:r>
      <w:r>
        <w:rPr>
          <w:rFonts w:ascii="Amiri" w:hAnsi="Amiri" w:eastAsia="Amiri" w:cs="Amiri"/>
          <w:color w:val="111111"/>
          <w:sz w:val="28"/>
          <w:sz w:val="28"/>
          <w:szCs w:val="28"/>
          <w:rtl w:val="true"/>
          <w:lang w:bidi="ar-SA"/>
        </w:rPr>
        <w:t xml:space="preserve">، و زيارة القبور </w:t>
      </w:r>
      <w:r>
        <w:rPr>
          <w:rStyle w:val="FootnoteAnchor"/>
          <w:rtl w:val="true"/>
        </w:rPr>
        <w:footnoteReference w:id="1056"/>
      </w:r>
      <w:r>
        <w:rPr>
          <w:rFonts w:ascii="Amiri" w:hAnsi="Amiri" w:eastAsia="Amiri" w:cs="Amiri"/>
          <w:color w:val="111111"/>
          <w:sz w:val="28"/>
          <w:sz w:val="28"/>
          <w:szCs w:val="28"/>
          <w:rtl w:val="true"/>
          <w:lang w:bidi="ar-SA"/>
        </w:rPr>
        <w:t>، و غير ذلك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فيها على التخيير بين الوضوء الضعيف المرجوح، و الغسل القوي الراجح، و في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تجديد</w:t>
      </w:r>
    </w:p>
    <w:p>
      <w:pPr>
        <w:pStyle w:val="BookText"/>
        <w:rPr/>
      </w:pP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كما ذكر، و 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عمومه مخالفة ظاهر الكتاب، و الأخبار المتواترة في أنّ ما خالف الكتاب و لم يوافق لكتاب اللّه مردود، و كذا مخالفة الشهرة بين الأصحاب، و الأخبار الدالّة على الأمر بالأخذ بما اشتهر بينهم و ترك الشاذ </w:t>
      </w:r>
      <w:r>
        <w:rPr>
          <w:rStyle w:val="FootnoteAnchor"/>
          <w:rtl w:val="true"/>
        </w:rPr>
        <w:footnoteReference w:id="1058"/>
      </w:r>
      <w:r>
        <w:rPr>
          <w:rFonts w:ascii="Amiri" w:hAnsi="Amiri" w:eastAsia="Amiri" w:cs="Amiri"/>
          <w:color w:val="111111"/>
          <w:sz w:val="28"/>
          <w:sz w:val="28"/>
          <w:szCs w:val="28"/>
          <w:rtl w:val="true"/>
          <w:lang w:bidi="ar-SA"/>
        </w:rPr>
        <w:t>، و فيها من التعليل العقلي، و كذا مخالفة الإجماع المنقول و أدلّة حجيّته، و مخالفة الاستصحاب،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المراد فيها العموم تصير شاذّة مخالفة لجميع ما ذكر، فكيف يكون مقاوما لجميع ما ذكر، بل و يكون راجحا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على تقدير العموم يصير التعارض مع الآية من باب العموم من وجه، لا المطلق، على أنّ تخصيص الكتاب بخبر الواحد عند من يجوّزه إنّما يجوز بخبر يقيني الدلالة، حتّى يقاوم هذا اليقين يقين الآية كما صرّح به </w:t>
      </w:r>
      <w:r>
        <w:rPr>
          <w:rStyle w:val="FootnoteAnchor"/>
          <w:rtl w:val="true"/>
        </w:rPr>
        <w:footnoteReference w:id="1059"/>
      </w:r>
      <w:r>
        <w:rPr>
          <w:rFonts w:ascii="Amiri" w:hAnsi="Amiri" w:eastAsia="Amiri" w:cs="Amiri"/>
          <w:color w:val="111111"/>
          <w:sz w:val="28"/>
          <w:sz w:val="28"/>
          <w:szCs w:val="28"/>
          <w:rtl w:val="true"/>
          <w:lang w:bidi="ar-SA"/>
        </w:rPr>
        <w:t>، و لا أقلّ من كون الدلالة نصّا، و لا أقل من كونها قويّة، و أين هذا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مضعّفات الدلالة أنّ المعصوم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الغسل عن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الصلاة إلى الوضوء، فلعلّ الإجزاء بالقياس إلى الطهارة عن الحدث الأكبر و تحقّق نفس الغسل، سيّما على القول بوجوبه لنفسه،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يجزي عن الوضوء و أيّ وضوء أطهر من الغسل</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و أمثاله الظاهر منها كون كلّ غسل يجزي عن الوضوء طهورا، فيظهر منها كون مسّ الميّت حدثا؛ إذ لا معنى للطهارة إلّا ارتفاع المانع عن الصلاة مثلا، سواء كان المانع الحدث على قول، أو هو و الجنب على قول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ما ذكر من جميع الأخبار أيضا، فالمسّ حدث بالاتّفاق، و بأنّه لو لم يكن حدثا لم يجب إيجاد الطهور بعده و من جهته، و بسبب تحقّقه بعنوان اللزوم و الدوام، مع أنّ الأطهريّة تعلّقت بنفس الغسل، و المتبادر الظاهر كونه أطهر من الوضوء بالفعل، لا بالقوّة، كما أنّ المتبادر من كون الوضوء طهورا كونه رافعا للحدث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يخصّص الغسل فيها بغسل الجنابة فمع أنّه بعيد يلزم منه وجوب الوضوء قبل غسل المسّ أيضا، و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أن تحدث وضوءا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تستيقن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لو كان طهورا كان داخلا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 الصلاة</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فيكون قبل الوقت غير واجب، و أيضا يكون حاله حال سائر الطهارات بالقياس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يشير إلى كونه طهورا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الطهور، و القبلة</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الحديث،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و غير ذلك ممّا دلّ على اشتراط الصلاة بالطهور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مثل 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و سلم طاهر</w:t>
      </w:r>
    </w:p>
    <w:p>
      <w:pPr>
        <w:pStyle w:val="BookText"/>
        <w:rPr/>
      </w:pP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سئلوا أنّ أمير المؤمنين عليه السّلام هل اغتسل حين غسّل رسول اللّه صلّى اللّه عليه و آله و سلم </w:t>
      </w:r>
      <w:r>
        <w:rPr>
          <w:rStyle w:val="FootnoteAnchor"/>
          <w:rtl w:val="true"/>
        </w:rPr>
        <w:footnoteReference w:id="10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يدلّ أيضا ما دلّ على كون الطهور مطلقا واجبا لغيره؛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 الصلاة</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أيضا أنّ الظاهر عدم الخلاف في كون المسّ حدثا، و إن وقع الخلاف في توقّف مثل مسّ كتابة القرآن على الغسل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أنّ الأوامر الواردة في الأخبار في الوضوء و الغسل و التيمّم بحدوث أسبابها، و الغسل للثوب و الجسد و الظروف بحدوث الأخباث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منها الوجوب للغير كما حقّق في محلّه، بل و كونها ظاهرة فيه عند الإطلاق لعلّه مذكور في محلّه فلاحظها،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وجوب الغسل قبل الإتيان بالصلاة و غيرها من العبادات بعد المسّ أنّ العبادات توقيفيّة، موقوفة على الثبوت من الشرع، فإذا أوقعناها بغير الغسل لم نعلم كونها عبادة، بل الأصل عدم كونها عبادة، و لأنّ شغل الذمّة اليقيني يستدعي البراءة اليقينيّة؛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إلّا بيقين مثله</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بأنّ ألفاظ العبادات أسام لخصوص الصحيحة، أو على القول بعدم ثبوت كونها أسام للأعم، فتدبّر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وضوء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يوم الجمعة، و لا غيره</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تعارض ما تقدّم في باب غسل الجمعة من أنّ الأمر بغسل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تعالى أتمّ وضوء الفريضة به ما كان في ذلك من سهو أو تقصير أو نسيان</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 و ما سيجي‌ء في رواية علي بن يقطين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صحيحة إلى ابن أبي عمير، و هو ممّن لا يرسل إلّا عن ثقة، و مراسيله مقبولة عند علماء الرجال، و فقهاء الأصحاب، إلّا ممّن شذّ من متأخّريهم؛ لشبهة فاسدة ذكرت في محلّها، و أيضا هو ممّن اجتمعت العصابة على تصحيح ما يصحّ عنه </w:t>
      </w:r>
      <w:r>
        <w:rPr>
          <w:rStyle w:val="FootnoteAnchor"/>
          <w:rtl w:val="true"/>
        </w:rPr>
        <w:footnoteReference w:id="1074"/>
      </w:r>
      <w:r>
        <w:rPr>
          <w:rFonts w:ascii="Amiri" w:hAnsi="Amiri" w:eastAsia="Amiri" w:cs="Amiri"/>
          <w:color w:val="111111"/>
          <w:sz w:val="28"/>
          <w:sz w:val="28"/>
          <w:szCs w:val="28"/>
          <w:rtl w:val="true"/>
          <w:lang w:bidi="ar-SA"/>
        </w:rPr>
        <w:t xml:space="preserve">، و أيضا صرّح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ممّن لا يروي إلّا عن الثقة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جميع ما ذكرت انجبرت روايته بهذه الشهرة العظيمة بين الأصحاب، و موافقته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الآية، 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الكثيرة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الدلالة، فظاهرة في وجوب الوضوء، و لذا فهم المشهور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الظهور أنّ الظاهر منها أنّ المقرّر الشرعي في كلّ غسل أنّه قبله وضوء، و أنّه لو لم يكن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النهج المقرّر، و هذا في الجنابة إجماعي </w:t>
      </w:r>
      <w:r>
        <w:rPr>
          <w:rStyle w:val="FootnoteAnchor"/>
          <w:rtl w:val="true"/>
        </w:rPr>
        <w:footnoteReference w:id="1077"/>
      </w:r>
      <w:r>
        <w:rPr>
          <w:rFonts w:ascii="Amiri" w:hAnsi="Amiri" w:eastAsia="Amiri" w:cs="Amiri"/>
          <w:color w:val="111111"/>
          <w:sz w:val="28"/>
          <w:sz w:val="28"/>
          <w:szCs w:val="28"/>
          <w:rtl w:val="true"/>
          <w:lang w:bidi="ar-SA"/>
        </w:rPr>
        <w:t>، و في</w:t>
      </w:r>
      <w:bookmarkStart w:id="399" w:name="pg2470_12563"/>
    </w:p>
    <w:p>
      <w:pPr>
        <w:pStyle w:val="BookText"/>
        <w:rPr/>
      </w:pPr>
      <w:bookmarkEnd w:id="399"/>
      <w:r>
        <w:rPr>
          <w:rFonts w:ascii="Amiri" w:hAnsi="Amiri" w:eastAsia="Amiri" w:cs="Amiri"/>
          <w:color w:val="111111"/>
          <w:sz w:val="28"/>
          <w:sz w:val="28"/>
          <w:szCs w:val="28"/>
          <w:rtl w:val="true"/>
          <w:lang w:bidi="ar-SA"/>
        </w:rPr>
        <w:t xml:space="preserve">غيرها المشهور أنّ غسله لا يجزي عن الوضوء للصلاة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السيّد؛ على أنّ غيرها مثلها </w:t>
      </w:r>
      <w:r>
        <w:rPr>
          <w:rStyle w:val="FootnoteAnchor"/>
          <w:rtl w:val="true"/>
        </w:rPr>
        <w:footnoteReference w:id="1079"/>
      </w:r>
      <w:r>
        <w:rPr>
          <w:rFonts w:ascii="Amiri" w:hAnsi="Amiri" w:eastAsia="Amiri" w:cs="Amiri"/>
          <w:color w:val="111111"/>
          <w:sz w:val="28"/>
          <w:sz w:val="28"/>
          <w:szCs w:val="28"/>
          <w:rtl w:val="true"/>
          <w:lang w:bidi="ar-SA"/>
        </w:rPr>
        <w:t>استنادا إلى الأخبار المعارضة، و المشهور حملوا بعضها على أنّ المراد غسل الجنابة؛ لأنّه الشائع الغالب من الأفراد، فلا بعد في حمل المطلق عليه، و طرحوا بعضها؛ لضعف السند، مضافا إلى عدم مقاومته للمرسلة؛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الحمل على أنّه لا يحتاج إلى وضوء قبل الغسل أو بعده حتّى يتحقّق الغسل، بل الغسل متحقّق من دون توقّف عليه، و إن كان يتوقّف استباحة الصلاة على وضوء لا سيّما على القول بأنّ الغسل واجب لنفسه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3601560_3804643083"/>
      <w:bookmarkStart w:id="401" w:name="_Toc148"/>
      <w:bookmarkEnd w:id="400"/>
      <w:r>
        <w:rPr>
          <w:rtl w:val="true"/>
        </w:rPr>
        <w:t>[</w:t>
      </w:r>
      <w:r>
        <w:rPr>
          <w:rtl w:val="true"/>
        </w:rPr>
        <w:t>باب علّة غسل الجنابة و ثوابه</w:t>
      </w:r>
      <w:r>
        <w:rPr>
          <w:rtl w:val="true"/>
        </w:rPr>
        <w:t>]</w:t>
      </w:r>
      <w:bookmarkEnd w:id="4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الغائط يخرج من فضلة الطعام الذي يأكله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في ذلك الوضوء</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وجوب الوضوء إنّما هو للصلاة و غيرها، لا لنفسه على ما 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ما شذّ منهم، كما يشير إليه عبارة الذكرى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هذه الرواية، و الرواية الآتية </w:t>
      </w:r>
      <w:r>
        <w:rPr>
          <w:rStyle w:val="FootnoteAnchor"/>
          <w:rtl w:val="true"/>
        </w:rPr>
        <w:footnoteReference w:id="1083"/>
      </w:r>
      <w:r>
        <w:rPr>
          <w:rFonts w:ascii="Amiri" w:hAnsi="Amiri" w:eastAsia="Amiri" w:cs="Amiri"/>
          <w:color w:val="111111"/>
          <w:sz w:val="28"/>
          <w:sz w:val="28"/>
          <w:szCs w:val="28"/>
          <w:rtl w:val="true"/>
          <w:lang w:bidi="ar-SA"/>
        </w:rPr>
        <w:t>أنّ الغسل أيضا وجوبه من قبيل</w:t>
      </w:r>
    </w:p>
    <w:p>
      <w:pPr>
        <w:pStyle w:val="BookText"/>
        <w:rPr/>
      </w:pPr>
      <w:r>
        <w:rPr>
          <w:rFonts w:ascii="Amiri" w:hAnsi="Amiri" w:eastAsia="Amiri" w:cs="Amiri"/>
          <w:color w:val="111111"/>
          <w:sz w:val="28"/>
          <w:sz w:val="28"/>
          <w:szCs w:val="28"/>
          <w:rtl w:val="true"/>
          <w:lang w:bidi="ar-SA"/>
        </w:rPr>
        <w:t>وجوب الوضوء؛ لأنّه صلّى اللّه عليه و آله و سلم فرّق بين وجوبهما بما فرّق، فيظهر أنّهما من عالم واحد، و من نوع واحد، إلّا أنّ الفرق بما ذكر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الوضوء واجبا للغير خاصّة، و الغسل واجبا لنفسه من جهة مجرّد صدور الحدث لم يكن بينهما مناسبة و مشابهة، حتّى يحتاج التفريق بينهما بما فرّق في الروايتين، فتأمّل جدّا</w:t>
      </w:r>
      <w:r>
        <w:rPr>
          <w:rFonts w:eastAsia="Amiri" w:cs="Amiri" w:ascii="Amiri" w:hAnsi="Amiri"/>
          <w:color w:val="111111"/>
          <w:sz w:val="28"/>
          <w:szCs w:val="28"/>
          <w:rtl w:val="true"/>
          <w:lang w:bidi="ar-SA"/>
        </w:rPr>
        <w:t>!</w:t>
      </w:r>
      <w:bookmarkStart w:id="402" w:name="pg2470_12565"/>
    </w:p>
    <w:p>
      <w:pPr>
        <w:pStyle w:val="Heading4"/>
        <w:numPr>
          <w:ilvl w:val="3"/>
          <w:numId w:val="1"/>
        </w:numPr>
        <w:rPr/>
      </w:pPr>
      <w:bookmarkStart w:id="403" w:name="__RefHeading___Toc3601562_3804643083"/>
      <w:bookmarkStart w:id="404" w:name="_Toc149"/>
      <w:bookmarkEnd w:id="402"/>
      <w:bookmarkEnd w:id="403"/>
      <w:r>
        <w:rPr>
          <w:rtl w:val="true"/>
        </w:rPr>
        <w:t>[</w:t>
      </w:r>
      <w:r>
        <w:rPr>
          <w:rtl w:val="true"/>
        </w:rPr>
        <w:t>أبواب التيمّم</w:t>
      </w:r>
      <w:r>
        <w:rPr>
          <w:rtl w:val="true"/>
        </w:rPr>
        <w:t>]</w:t>
      </w:r>
      <w:bookmarkEnd w:id="404"/>
    </w:p>
    <w:p>
      <w:pPr>
        <w:pStyle w:val="Heading5"/>
        <w:numPr>
          <w:ilvl w:val="4"/>
          <w:numId w:val="1"/>
        </w:numPr>
        <w:rPr/>
      </w:pPr>
      <w:bookmarkStart w:id="405" w:name="__RefHeading___Toc3601564_3804643083"/>
      <w:bookmarkStart w:id="406" w:name="_Toc150"/>
      <w:bookmarkEnd w:id="405"/>
      <w:r>
        <w:rPr>
          <w:rtl w:val="true"/>
        </w:rPr>
        <w:t>[</w:t>
      </w:r>
      <w:r>
        <w:rPr>
          <w:rtl w:val="true"/>
        </w:rPr>
        <w:t>باب ما يوجب التيمّم</w:t>
      </w:r>
      <w:r>
        <w:rPr>
          <w:rtl w:val="true"/>
        </w:rPr>
        <w:t>]</w:t>
      </w:r>
      <w:bookmarkEnd w:id="4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حمران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قوم أصابته جنابة في السفر، و ليس معه ماء يكفيه للغسل، أ يتوضّأ بعضهم</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من هذه الأخبار أنّ التيمّم بدل من الغسل مطلقا، و أنّه مع المكنة من ماء الوضوء يتيمّم مطلقا؛ سواء أحدث أصغر بعد التيمّم الأوّل و تيمّم بعده، أم يكون تيمّمه الأوّل كما هو المشهور، بل كاد أن يكون إجماعا، و خالف في ذلك السيّد؛ فحكم بالوضوء بعد التيمّم الأوّل و وقوع الأصغر </w:t>
      </w:r>
      <w:r>
        <w:rPr>
          <w:rStyle w:val="FootnoteAnchor"/>
          <w:rtl w:val="true"/>
        </w:rPr>
        <w:footnoteReference w:id="1085"/>
      </w:r>
      <w:r>
        <w:rPr>
          <w:rFonts w:ascii="Amiri" w:hAnsi="Amiri" w:eastAsia="Amiri" w:cs="Amiri"/>
          <w:color w:val="111111"/>
          <w:sz w:val="28"/>
          <w:sz w:val="28"/>
          <w:szCs w:val="28"/>
          <w:rtl w:val="true"/>
          <w:lang w:bidi="ar-SA"/>
        </w:rPr>
        <w:t>، و إن لم يتمكّن من الوضوء يتيمّم بدلا منه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منه و من غيره أنّ التيمّم بدل من الغسل مطلقا؛ لأنّهم عليهم السّلام ما نبّهوا على تعيّن التيمّم و جعل ما بقي بدلا من الوضوء، بل الظاهر كون جميع التيمّمات على</w:t>
      </w:r>
    </w:p>
    <w:p>
      <w:pPr>
        <w:pStyle w:val="BookText"/>
        <w:rPr/>
      </w:pPr>
      <w:r>
        <w:rPr>
          <w:rFonts w:ascii="IRNazanin" w:hAnsi="IRNazanin" w:eastAsia="IRNazanin"/>
          <w:color w:val="111111"/>
          <w:sz w:val="28"/>
          <w:sz w:val="28"/>
          <w:szCs w:val="28"/>
          <w:rtl w:val="true"/>
          <w:lang w:bidi="fa-IR"/>
        </w:rPr>
        <w:t>نحو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صحيحة محمّد الآتية أظهر دلالة </w:t>
      </w:r>
      <w:r>
        <w:rPr>
          <w:rStyle w:val="FootnoteAnchor"/>
          <w:rtl w:val="true"/>
        </w:rPr>
        <w:footnoteReference w:id="1086"/>
      </w:r>
      <w:r>
        <w:rPr>
          <w:rFonts w:ascii="Amiri" w:hAnsi="Amiri" w:eastAsia="Amiri" w:cs="Amiri"/>
          <w:color w:val="111111"/>
          <w:sz w:val="28"/>
          <w:sz w:val="28"/>
          <w:szCs w:val="28"/>
          <w:rtl w:val="true"/>
          <w:lang w:bidi="ar-SA"/>
        </w:rPr>
        <w:t xml:space="preserve">، و تأتي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منها تدلّ أيضا بالتقريب الذي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الاستصحاب، و ثبوت بقاء الحدث الأكبر، و عدم رفعه بالإجماع المنقول بخبر الواحد، و الأخبار الدالّة على أنّ حدث الجنابة إنّما هو من خروج المني، أو التقاء الختانين </w:t>
      </w:r>
      <w:r>
        <w:rPr>
          <w:rStyle w:val="FootnoteAnchor"/>
          <w:rtl w:val="true"/>
        </w:rPr>
        <w:footnoteReference w:id="1087"/>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أجنب نفسه فعليه أن يغتسل على ما كان منه، و إن احتلم تيمّم</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هذان الخبران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ما ستعرف ممّا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البتّة، و يمكن حملهما على أنّ من أجنب نفسه عمدا و يكون مجدورا يكون حاله حالة الأصحاء، فلا يضرّه الغسل؛ لأنّ المجدور الذي يضرّه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العادة 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منه الجماع و لا يشتهيه، بحيث يكون شبقا إلى أن يقع منه هذا الفعل، مع خوف الضرر بنفسه الفعل، و ما يغسل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أنّ المرتكب شبق شديد، و مثل هذا لا يضرّه الغسل عادة، بخلاف من يحتلم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الأوّل و إن لم يذكر فيه أنّه مجدور، إلّا أنّه في الظنّ اتّحاد الخبرين، مع</w:t>
      </w:r>
    </w:p>
    <w:p>
      <w:pPr>
        <w:pStyle w:val="BookText"/>
        <w:rPr/>
      </w:pPr>
      <w:r>
        <w:rPr>
          <w:rFonts w:ascii="Amiri" w:hAnsi="Amiri" w:eastAsia="Amiri" w:cs="Amiri"/>
          <w:color w:val="111111"/>
          <w:sz w:val="28"/>
          <w:sz w:val="28"/>
          <w:szCs w:val="28"/>
          <w:rtl w:val="true"/>
          <w:lang w:bidi="ar-SA"/>
        </w:rPr>
        <w:t>أنّ الاحتمال في مقام التوجيه كاف،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عليّ الماء فغسّلوني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ما في الخبرين </w:t>
      </w:r>
      <w:r>
        <w:rPr>
          <w:rStyle w:val="FootnoteAnchor"/>
          <w:rtl w:val="true"/>
        </w:rPr>
        <w:footnoteReference w:id="1091"/>
      </w:r>
      <w:r>
        <w:rPr>
          <w:rFonts w:ascii="Amiri" w:hAnsi="Amiri" w:eastAsia="Amiri" w:cs="Amiri"/>
          <w:color w:val="111111"/>
          <w:sz w:val="28"/>
          <w:sz w:val="28"/>
          <w:szCs w:val="28"/>
          <w:rtl w:val="true"/>
          <w:lang w:bidi="ar-SA"/>
        </w:rPr>
        <w:t>فإنّ المعصوم عليه السّلام منزّه عن الاحتلام و عن أن يجامع في هذه الحالة، سيّما الحالة التي لا يمكنه غسل جسده، بل أمر الغلمان أن يغسّلوا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ستعرف من الامور المانعة عن العمل بهذه الأخبار، مع أنّه لم يعمل بها أحد من الفقهاء؛ لعدم القيد بتعمّد الجنابة، و ظهور عدمه،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الأخبار على البرد القليل و المشقّة اليسيرة؛ فإنّ العقل قاض بوجوب دفع الضرر المظنون الذي لا يسهل تحمّله عادة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1093"/>
      </w:r>
      <w:r>
        <w:rPr>
          <w:rFonts w:ascii="Amiri" w:hAnsi="Amiri" w:eastAsia="Amiri" w:cs="Amiri"/>
          <w:color w:val="111111"/>
          <w:sz w:val="28"/>
          <w:sz w:val="28"/>
          <w:szCs w:val="28"/>
          <w:rtl w:val="true"/>
          <w:lang w:bidi="ar-SA"/>
        </w:rPr>
        <w:t>، و القطع الحاصل من تتبّع تضاعيف أحكام الفقه المسلّمة التي تدلّ عليها الأدلّة الشرعيّة، و كذا الأخبار الواردة في مبحث التيمّم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منهم عليهم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 فاعرضوه على سائر أحكامنا، فإن وجدتموه لا يشبهها و لا يوافقها فاطرحوه</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ورد في أخبار لا تحصى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 فاعرضوه على كتاب اللّه، فما لم تجدوه موافقا له فهو زخرف</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 على الحائط</w:t>
      </w:r>
      <w:r>
        <w:rPr>
          <w:rFonts w:eastAsia="IRNazanin" w:cs="IRNazanin"/>
          <w:color w:val="111111"/>
          <w:sz w:val="28"/>
          <w:szCs w:val="28"/>
          <w:rtl w:val="true"/>
          <w:lang w:bidi="fa-IR"/>
        </w:rPr>
        <w:t xml:space="preserve">» </w:t>
      </w:r>
      <w:r>
        <w:rPr>
          <w:rStyle w:val="FootnoteAnchor"/>
          <w:rtl w:val="true"/>
        </w:rPr>
        <w:footnoteReference w:id="1096"/>
      </w:r>
      <w:r>
        <w:rPr>
          <w:rFonts w:ascii="Amiri" w:hAnsi="Amiri" w:eastAsia="Amiri" w:cs="Amiri"/>
          <w:color w:val="111111"/>
          <w:sz w:val="28"/>
          <w:sz w:val="28"/>
          <w:szCs w:val="28"/>
          <w:rtl w:val="true"/>
          <w:lang w:bidi="ar-SA"/>
        </w:rPr>
        <w:t>،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ورد منهم عليهم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الحديث على سنّة الرسول صلّى اللّه عليه و آله و سلم، فإن لم يوافقه فاطرحوه</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 عند العامّة و الخاصّة كونه من الرسول صلّى اللّه عليه و آله و سلم، و كذا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على الملّة الحنفيّة السهلة</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و أمثالها من الأحاديث المعلومة الصدور عنه صلّى اللّه عليه و آله و سلم، أو المتّفق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صادرة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موافقتها لظاهر القرآن؛ مثل يُرِيدُ اللّٰهُ بِكُمُ الْيُسْرَ وَ لٰا يُرِيدُ بِكُمُ الْعُسْرَ </w:t>
      </w:r>
      <w:r>
        <w:rPr>
          <w:rStyle w:val="FootnoteAnchor"/>
          <w:rtl w:val="true"/>
        </w:rPr>
        <w:footnoteReference w:id="1099"/>
      </w:r>
      <w:r>
        <w:rPr>
          <w:rFonts w:ascii="Amiri" w:hAnsi="Amiri" w:eastAsia="Amiri" w:cs="Amiri"/>
          <w:color w:val="111111"/>
          <w:sz w:val="28"/>
          <w:sz w:val="28"/>
          <w:szCs w:val="28"/>
          <w:rtl w:val="true"/>
          <w:lang w:bidi="ar-SA"/>
        </w:rPr>
        <w:t xml:space="preserve">و وَ مٰا جَعَلَ عَلَيْكُمْ فِي الدِّينِ مِنْ حَرَجٍ </w:t>
      </w:r>
      <w:r>
        <w:rPr>
          <w:rStyle w:val="FootnoteAnchor"/>
          <w:rtl w:val="true"/>
        </w:rPr>
        <w:footnoteReference w:id="1100"/>
      </w:r>
      <w:r>
        <w:rPr>
          <w:rFonts w:ascii="Amiri" w:hAnsi="Amiri" w:eastAsia="Amiri" w:cs="Amiri"/>
          <w:color w:val="111111"/>
          <w:sz w:val="28"/>
          <w:sz w:val="28"/>
          <w:szCs w:val="28"/>
          <w:rtl w:val="true"/>
          <w:lang w:bidi="ar-SA"/>
        </w:rPr>
        <w:t xml:space="preserve">و وَ لٰا تُلْقُوا بِأَيْدِيكُمْ إِلَى التَّهْلُكَةِ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ذلك؛ مثل وَ إِنْ كُنْتُمْ مَرْضىٰ أَوْ عَلىٰ سَفَرٍ أَوْ جٰاءَ أَحَدٌ مِنْكُمْ مِنَ الْغٰائِطِ أَوْ لٰامَسْتُمُ النِّسٰاءَ فَلَمْ تَجِدُوا مٰاءً فَتَيَمَّمُوا صَعِيداً الآية </w:t>
      </w:r>
      <w:r>
        <w:rPr>
          <w:rStyle w:val="FootnoteAnchor"/>
          <w:rtl w:val="true"/>
        </w:rPr>
        <w:footnoteReference w:id="1102"/>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ما ذكرنا الصحاح الدالّة على كون التراب بمنزلة الماء </w:t>
      </w:r>
      <w:r>
        <w:rPr>
          <w:rStyle w:val="FootnoteAnchor"/>
          <w:rtl w:val="true"/>
        </w:rPr>
        <w:footnoteReference w:id="1103"/>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bookmarkStart w:id="407" w:name="pg2470_12569"/>
    </w:p>
    <w:p>
      <w:pPr>
        <w:pStyle w:val="BookText"/>
        <w:rPr/>
      </w:pPr>
      <w:bookmarkEnd w:id="407"/>
      <w:r>
        <w:rPr>
          <w:rFonts w:ascii="Amiri" w:hAnsi="Amiri" w:eastAsia="Amiri" w:cs="Amiri"/>
          <w:color w:val="111111"/>
          <w:sz w:val="28"/>
          <w:sz w:val="28"/>
          <w:szCs w:val="28"/>
          <w:rtl w:val="true"/>
          <w:lang w:bidi="ar-SA"/>
        </w:rPr>
        <w:t>هذا مع كون الجماع مباحا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معارضة هذه للأخبار </w:t>
      </w:r>
      <w:r>
        <w:rPr>
          <w:rStyle w:val="FootnoteAnchor"/>
          <w:rtl w:val="true"/>
        </w:rPr>
        <w:footnoteReference w:id="1104"/>
      </w:r>
      <w:r>
        <w:rPr>
          <w:rFonts w:ascii="Amiri" w:hAnsi="Amiri" w:eastAsia="Amiri" w:cs="Amiri"/>
          <w:color w:val="111111"/>
          <w:sz w:val="28"/>
          <w:sz w:val="28"/>
          <w:szCs w:val="28"/>
          <w:rtl w:val="true"/>
          <w:lang w:bidi="ar-SA"/>
        </w:rPr>
        <w:t xml:space="preserve">الدالّة على إصابته 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يغتسل،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البعض و اعتبار سند بعض اخر و انجبار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الأصحاب، بل و عمل المسلمين في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فيها امور مضعّفة لها، مع قطع النظر عمّا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حملهما على من أجنب نفسه متعمّدا؛ إذ لا وجه للإعادة بدون ذلك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 بعيد، مع أنّه لا شاهد له، و لا قاعدة، و لا إشارة، و التعمّد مع حلّيّة الجماع ليس بتقصير، مع أنّ المقصّر يعاقب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فالحمل على الاستحباب له وجه، سيّما مع التسامح في أدلّته، فتأمّل</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3601566_3804643083"/>
      <w:bookmarkStart w:id="409" w:name="_Toc151"/>
      <w:bookmarkEnd w:id="408"/>
      <w:r>
        <w:rPr>
          <w:rtl w:val="true"/>
        </w:rPr>
        <w:t>[</w:t>
      </w:r>
      <w:r>
        <w:rPr>
          <w:rtl w:val="true"/>
        </w:rPr>
        <w:t>باب أحكام التيمّم و المتيمّم</w:t>
      </w:r>
      <w:r>
        <w:rPr>
          <w:rtl w:val="true"/>
        </w:rPr>
        <w:t>]</w:t>
      </w:r>
      <w:bookmarkEnd w:id="4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أمطار السماء، و نحوه </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بالطريق السابق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على ذلك و إشعار به، كما لا يخفى على المنصف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معارضته للإجماعات المنقولة </w:t>
      </w:r>
      <w:r>
        <w:rPr>
          <w:rStyle w:val="FootnoteAnchor"/>
          <w:rtl w:val="true"/>
        </w:rPr>
        <w:footnoteReference w:id="1107"/>
      </w:r>
      <w:r>
        <w:rPr>
          <w:rFonts w:ascii="Amiri" w:hAnsi="Amiri" w:eastAsia="Amiri" w:cs="Amiri"/>
          <w:color w:val="111111"/>
          <w:sz w:val="28"/>
          <w:sz w:val="28"/>
          <w:szCs w:val="28"/>
          <w:rtl w:val="true"/>
          <w:lang w:bidi="ar-SA"/>
        </w:rPr>
        <w:t xml:space="preserve">و الأخبار الدالّة على بطلان الصلاة بالحدث في أثنائها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يأتي الماء و هو جنب، و قد صلّى،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و لا يعيد الصلاة</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شهادة على أنّ التيمّم لا يرفع الحدث كما هو المشهور </w:t>
      </w:r>
      <w:r>
        <w:rPr>
          <w:rStyle w:val="FootnoteAnchor"/>
          <w:rtl w:val="true"/>
        </w:rPr>
        <w:footnoteReference w:id="1110"/>
      </w:r>
      <w:r>
        <w:rPr>
          <w:rFonts w:ascii="Amiri" w:hAnsi="Amiri" w:eastAsia="Amiri" w:cs="Amiri"/>
          <w:color w:val="111111"/>
          <w:sz w:val="28"/>
          <w:sz w:val="28"/>
          <w:szCs w:val="28"/>
          <w:rtl w:val="true"/>
          <w:lang w:bidi="ar-SA"/>
        </w:rPr>
        <w:t>، حيث أطلق لفظ الجنب على من صلّى بالتيمّم، و المعصوم عليه السّلام قرّره عليه، و سيجي‌ء في باب صفة إمام الجماعة ما هو أظهر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 لمن صلّى بالتيمّم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تصلّي بالناس و 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جنبا بعد التيمّم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سيجي‌ء في اخر هذا الباب أيضا ما دلّ،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 قوما و هو جنب و قد تيمّم، و هم على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أمثاله يدلّ على أنّ التيمّم لا يرفع الحدث، بل يحصل الإباحة، كما هو المفتى به في المشهور بين الفقهاء </w:t>
      </w:r>
      <w:r>
        <w:rPr>
          <w:rStyle w:val="FootnoteAnchor"/>
          <w:rtl w:val="true"/>
        </w:rPr>
        <w:footnoteReference w:id="1113"/>
      </w:r>
      <w:r>
        <w:rPr>
          <w:rFonts w:ascii="Amiri" w:hAnsi="Amiri" w:eastAsia="Amiri" w:cs="Amiri"/>
          <w:color w:val="111111"/>
          <w:sz w:val="28"/>
          <w:sz w:val="28"/>
          <w:szCs w:val="28"/>
          <w:rtl w:val="true"/>
          <w:lang w:bidi="ar-SA"/>
        </w:rPr>
        <w:t>فيلزم الجنب التيمّم لإباحة صلاته، و إن تيمّم ثمّ أحدث حدثا أصغر، فلا يجوز له الوضوء، سيّما و أن يدخل به في الصلاة و تحصل الإباحة في دخول الصلاة به، فتأمّل جدّا</w:t>
      </w:r>
      <w:r>
        <w:rPr>
          <w:rFonts w:eastAsia="Amiri" w:cs="Amiri" w:ascii="Amiri" w:hAnsi="Amiri"/>
          <w:color w:val="111111"/>
          <w:sz w:val="28"/>
          <w:szCs w:val="28"/>
          <w:rtl w:val="true"/>
          <w:lang w:bidi="ar-SA"/>
        </w:rPr>
        <w:t>!!</w:t>
      </w:r>
      <w:bookmarkStart w:id="410" w:name="pg2470_12571"/>
    </w:p>
    <w:p>
      <w:pPr>
        <w:pStyle w:val="Heading5"/>
        <w:numPr>
          <w:ilvl w:val="4"/>
          <w:numId w:val="1"/>
        </w:numPr>
        <w:rPr/>
      </w:pPr>
      <w:bookmarkStart w:id="411" w:name="__RefHeading___Toc3601568_3804643083"/>
      <w:bookmarkStart w:id="412" w:name="_Toc152"/>
      <w:bookmarkEnd w:id="410"/>
      <w:bookmarkEnd w:id="411"/>
      <w:r>
        <w:rPr>
          <w:rtl w:val="true"/>
        </w:rPr>
        <w:t>[</w:t>
      </w:r>
      <w:r>
        <w:rPr>
          <w:rtl w:val="true"/>
        </w:rPr>
        <w:t>باب صفة التيمّم</w:t>
      </w:r>
      <w:r>
        <w:rPr>
          <w:rtl w:val="true"/>
        </w:rPr>
        <w:t>]</w:t>
      </w:r>
      <w:bookmarkEnd w:id="41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يعد مسح جبينيه و لا كفّيه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لم يكرّر في المسح، كما يكرّر في غسل الوجه و اليدين في الوضوء، فيدلّ على عدم التكرار في المسح، كما أفتى به الأصحاب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فالصواب في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المرّتين على الاستحباب، و الاكتفاء في الوجوب بالمرّة من غير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الطهارتين</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أنّ السؤال وقع عن الكيفيّة، فالجواب عن الكيفيّة بضربتين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بهما و بالمسح على الجبهة 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يقال بأنّ الكلّ داخل فيها سوى إحدى الضربتين؛ بأن يكون المراد من الضربتين أنّ إحداهما داخلة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البعض الآخر؛ إذ الجواب بأمر خارج عن الكيفيّة فاسد، سيّما أن يكون بعبارة واحدة بجعل بعضها واجبة 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المستحبّ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الثالث حكم اخر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عليه السّلام في مقام المجادلة مع العامّة، بأنّه يلزمهم أن يجعلوا التيمّم من حيث موضع القطع عندهم، لا أن يجعلوه من الذراع؛ إذ لو كان مراده تعالى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المرافق، كما قال في الوضوء، و لم يكتف بالإطلاق، كما اكتفى في السرقة</w:t>
      </w:r>
      <w:r>
        <w:rPr>
          <w:rFonts w:eastAsia="Amiri" w:cs="Amiri" w:ascii="Amiri" w:hAnsi="Amiri"/>
          <w:color w:val="111111"/>
          <w:sz w:val="28"/>
          <w:szCs w:val="28"/>
          <w:rtl w:val="true"/>
          <w:lang w:bidi="ar-SA"/>
        </w:rPr>
        <w:t>.</w:t>
      </w:r>
      <w:bookmarkStart w:id="413" w:name="pg2470_12572"/>
    </w:p>
    <w:p>
      <w:pPr>
        <w:pStyle w:val="Heading4"/>
        <w:numPr>
          <w:ilvl w:val="3"/>
          <w:numId w:val="1"/>
        </w:numPr>
        <w:rPr/>
      </w:pPr>
      <w:bookmarkStart w:id="414" w:name="__RefHeading___Toc3601570_3804643083"/>
      <w:bookmarkStart w:id="415" w:name="_Toc153"/>
      <w:bookmarkEnd w:id="413"/>
      <w:bookmarkEnd w:id="414"/>
      <w:r>
        <w:rPr>
          <w:rtl w:val="true"/>
        </w:rPr>
        <w:t>[</w:t>
      </w:r>
      <w:r>
        <w:rPr>
          <w:rtl w:val="true"/>
        </w:rPr>
        <w:t>أبواب قضاء التفث و التزيّن</w:t>
      </w:r>
      <w:r>
        <w:rPr>
          <w:rtl w:val="true"/>
        </w:rPr>
        <w:t>]</w:t>
      </w:r>
      <w:bookmarkEnd w:id="415"/>
    </w:p>
    <w:p>
      <w:pPr>
        <w:pStyle w:val="Heading5"/>
        <w:numPr>
          <w:ilvl w:val="4"/>
          <w:numId w:val="1"/>
        </w:numPr>
        <w:rPr/>
      </w:pPr>
      <w:bookmarkStart w:id="416" w:name="__RefHeading___Toc3601572_3804643083"/>
      <w:bookmarkStart w:id="417" w:name="_Toc154"/>
      <w:bookmarkEnd w:id="416"/>
      <w:r>
        <w:rPr>
          <w:rtl w:val="true"/>
        </w:rPr>
        <w:t>[</w:t>
      </w:r>
      <w:r>
        <w:rPr>
          <w:rtl w:val="true"/>
        </w:rPr>
        <w:t>باب حلق الرأس و جزّ شعره و فرقه إذا ترك</w:t>
      </w:r>
      <w:r>
        <w:rPr>
          <w:rtl w:val="true"/>
        </w:rPr>
        <w:t>]</w:t>
      </w:r>
      <w:bookmarkEnd w:id="4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معنيي الحلق هنا حلق العانة، كما يشعر به تمام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حلق الرأس أيضا</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يؤيّده أنّ الأصحاب أفتوا بحلق الرأس يوم الجمعة، مع أنّ تجويز كون الصادق عليه السّلام كان يحلق عانته فيه ما فيه</w:t>
      </w:r>
      <w:r>
        <w:rPr>
          <w:rFonts w:eastAsia="Amiri" w:cs="Amiri" w:ascii="Amiri" w:hAnsi="Amiri"/>
          <w:color w:val="111111"/>
          <w:sz w:val="28"/>
          <w:szCs w:val="28"/>
          <w:rtl w:val="true"/>
          <w:lang w:bidi="ar-SA"/>
        </w:rPr>
        <w:t>.</w:t>
      </w:r>
      <w:bookmarkStart w:id="418" w:name="pg2470_12573"/>
    </w:p>
    <w:p>
      <w:pPr>
        <w:pStyle w:val="Heading2"/>
        <w:numPr>
          <w:ilvl w:val="1"/>
          <w:numId w:val="1"/>
        </w:numPr>
        <w:rPr/>
      </w:pPr>
      <w:bookmarkStart w:id="419" w:name="__RefHeading___Toc3601574_3804643083"/>
      <w:bookmarkStart w:id="420" w:name="_Toc155"/>
      <w:bookmarkEnd w:id="418"/>
      <w:bookmarkEnd w:id="419"/>
      <w:r>
        <w:rPr>
          <w:rtl w:val="true"/>
        </w:rPr>
        <w:t>كتاب الصلاة</w:t>
      </w:r>
      <w:bookmarkEnd w:id="42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3601576_3804643083"/>
      <w:bookmarkStart w:id="422" w:name="_Toc156"/>
      <w:bookmarkEnd w:id="421"/>
      <w:r>
        <w:rPr>
          <w:rtl w:val="true"/>
        </w:rPr>
        <w:t>اشارة</w:t>
      </w:r>
      <w:bookmarkStart w:id="423" w:name="pg2470_12575"/>
      <w:bookmarkEnd w:id="422"/>
    </w:p>
    <w:p>
      <w:pPr>
        <w:pStyle w:val="Heading3"/>
        <w:numPr>
          <w:ilvl w:val="2"/>
          <w:numId w:val="1"/>
        </w:numPr>
        <w:rPr/>
      </w:pPr>
      <w:bookmarkStart w:id="424" w:name="__RefHeading___Toc3601578_3804643083"/>
      <w:bookmarkStart w:id="425" w:name="_Toc157"/>
      <w:bookmarkEnd w:id="423"/>
      <w:bookmarkEnd w:id="424"/>
      <w:r>
        <w:rPr>
          <w:rtl w:val="true"/>
        </w:rPr>
        <w:t>[</w:t>
      </w:r>
      <w:r>
        <w:rPr>
          <w:rtl w:val="true"/>
        </w:rPr>
        <w:t>أبواب فضل الصلاة و فرضها</w:t>
      </w:r>
      <w:r>
        <w:rPr>
          <w:rtl w:val="true"/>
        </w:rPr>
        <w:t>]</w:t>
      </w:r>
      <w:bookmarkEnd w:id="425"/>
    </w:p>
    <w:p>
      <w:pPr>
        <w:pStyle w:val="Heading4"/>
        <w:numPr>
          <w:ilvl w:val="3"/>
          <w:numId w:val="1"/>
        </w:numPr>
        <w:rPr/>
      </w:pPr>
      <w:bookmarkStart w:id="426" w:name="__RefHeading___Toc3601580_3804643083"/>
      <w:bookmarkStart w:id="427" w:name="_Toc158"/>
      <w:bookmarkEnd w:id="426"/>
      <w:r>
        <w:rPr>
          <w:rtl w:val="true"/>
        </w:rPr>
        <w:t>[</w:t>
      </w:r>
      <w:r>
        <w:rPr>
          <w:rtl w:val="true"/>
        </w:rPr>
        <w:t>باب الفرض في الصلاة</w:t>
      </w:r>
      <w:r>
        <w:rPr>
          <w:rtl w:val="true"/>
        </w:rPr>
        <w:t>]</w:t>
      </w:r>
      <w:bookmarkEnd w:id="4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الفرض في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و الطهور، و القبلة، و التوجّه، و الركوع، و السجود، و الدعاء،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هذا الباب تدلّ على وجوب الطهور في الصلاة، و توقّفها عليه، كما اتّفق عليه أفهام الفقهاء و فتاواهم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3601582_3804643083"/>
      <w:bookmarkStart w:id="429" w:name="_Toc159"/>
      <w:bookmarkEnd w:id="428"/>
      <w:r>
        <w:rPr>
          <w:rtl w:val="true"/>
        </w:rPr>
        <w:t>[</w:t>
      </w:r>
      <w:r>
        <w:rPr>
          <w:rtl w:val="true"/>
        </w:rPr>
        <w:t>باب حدّ المسير الذي يقصّر فيه الصلاة</w:t>
      </w:r>
      <w:r>
        <w:rPr>
          <w:rtl w:val="true"/>
        </w:rPr>
        <w:t>]</w:t>
      </w:r>
      <w:bookmarkEnd w:id="42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غاية الظهور في أنّ التقصير واجب في بريد، لا التخيير، بملاحظة ما سيجي‌ء من أنّ التقصير الوارد في القرآن عزيمة لا رخصة، بل الأخبار الآتية أيضا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كانوا ساروا أقلّ من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فليتمّوا الصلاة أقاموا أو 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فليقصّروا</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بظاهره يدلّ على عدم اعتبار بلوغ حدّ الترخّص بعد ما مضوا، بل يقصّرون من الحين، و سيجي‌ء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تدري كيف صارت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التقصير في بريدين، و لا يكون في أقلّ من ذلك، فلمّا كانوا قد ساروا بريدا و أرادوا أن ينصرفوا بريدا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التقصير، و إن كانوا قد ساروا أقلّ من ذلك لم يكن لهم إلّا إتمام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بلغوا الموضع الذي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مصرهم الذي خرجوا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إنّما قصّروا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يشكّوا في مسيرهم، و أنّ السير سيجد بهم في السفر، فلمّا جاءت العلّة في مقامهم دون البريد صاروا هكذا</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فوائد كثيرة لا يخفى على المتأمّل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القادسيّة كانت أربعة فراسخ فصاعدا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القادسيّة على خمسة فراسخ من الكوفة، على ما ذكر بعض أهل اللغة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رأيت القادسيّة،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أدنى ما تقصّر فيه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غاية الظهور في أنّ ذهاب الأربعة لا يكفي، بل لا بدّ من ذهاب ثمانية فراسخ، و أنّ ضمّ الإياب غير نافع،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لوجوب القصر لا لجوازه، و أمره بالإتمام أمر في مقام توهّم الحظر، و يشير إليه أنّ الراوي لا يريد القصر و الإفطار في شهر رمضان، و لذا ما كان يخرج و إن كان يضرّه العود،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صم، لأيّ شي‌ء تدخل الضرر أو عدم النفع على نفسك، مع أنّه لا مضايقة في الصوم، و إتمام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السابق أمر بالقصر للخروج إلى القادسيّة، و هو أيضا في مقام رفع توهّم الحظر، و لذا أفتى أكثر القدماء بالتخيير بين القصر و الإتمام في الأربعة </w:t>
      </w:r>
      <w:r>
        <w:rPr>
          <w:rStyle w:val="FootnoteAnchor"/>
          <w:rtl w:val="true"/>
        </w:rPr>
        <w:footnoteReference w:id="1127"/>
      </w:r>
      <w:r>
        <w:rPr>
          <w:rFonts w:ascii="Amiri" w:hAnsi="Amiri" w:eastAsia="Amiri" w:cs="Amiri"/>
          <w:color w:val="111111"/>
          <w:sz w:val="28"/>
          <w:sz w:val="28"/>
          <w:szCs w:val="28"/>
          <w:rtl w:val="true"/>
          <w:lang w:bidi="ar-SA"/>
        </w:rPr>
        <w:t xml:space="preserve">، مع عدم قصد الرجوع ليومه، أو مع قصده، إلّا أنّه لم يتحقّق من جهة مانع، أو بداء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الأربعة مع قصد الرجوع ليومه نادر، سيّما أن يتحقّق الرجوع، فيصير أندر فلا يجوز حمل المطلقات على مثله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صلّى قصرا بسبب قصد الرجوع ليومه، ثمّ حصل مانع أو بداء، فهل تصحّ تلك الصلاة أم لا؟ فهو كلام اخر و إن كان الأظهر عدم لزوم الإعادة، و مع ذلك هو أيضا فرض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على التخيير حينئذ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التي ستذكر، و الإجماع الذي سننقله عن الصدوق </w:t>
      </w:r>
      <w:r>
        <w:rPr>
          <w:rStyle w:val="FootnoteAnchor"/>
          <w:rtl w:val="true"/>
        </w:rPr>
        <w:footnoteReference w:id="1129"/>
      </w:r>
      <w:r>
        <w:rPr>
          <w:rFonts w:ascii="Amiri" w:hAnsi="Amiri" w:eastAsia="Amiri" w:cs="Amiri"/>
          <w:color w:val="111111"/>
          <w:sz w:val="28"/>
          <w:sz w:val="28"/>
          <w:szCs w:val="28"/>
          <w:rtl w:val="true"/>
          <w:lang w:bidi="ar-SA"/>
        </w:rPr>
        <w:t xml:space="preserve">، و ينادي ذلك بأنّ هذا التخيير كان مشهورا بين الشيعة بنحو كانوا يعدّونه من العقائد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أيضا صحيحة عمران بن محمّد الآتية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اختار المصنّف التخيير فيما إذا قطع الثمانية بإحدى القواطع، بحيث صار السفر أربع فراسخ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يتوجّه عليه؛ الأخبار الدالّة على المنع 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أقلّ من ثمانية، و عدم جوازه إذا كانت المسافة أربعة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حمل ما دلّ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صحيحة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فاسد، أمّا إجماع الشيعة المنقول،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الوضوح، و أمّا ما دلّ على حكم القادسيّة، فهو أيضا ظاهر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فساد الجمع الذي ذكره هنا، سيّما مع كونه مخالفا لما سيجي‌ء من اختياره التخيير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حمل الحديث على الحكم الفاسد و هو إتمام الصلاة و الصوم في الضيعة من حيث أنّها ضيعة، فيه ما فيه؛ أو الضيعة التي تكون وطنه، و فيه أيضا ما فيه؛ لبعد إرادة ذلك غاية البعد، بل فساده؛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داع على عدم الخروج،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يمكنه الصيام و إن كان بينه و بين الضيعة مسافة، فتأمّل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يمكن أن يستدلّ للأكثر أنّ بعض الأخبار دلّ على وجوب القصر، فيما لم</w:t>
      </w:r>
    </w:p>
    <w:p>
      <w:pPr>
        <w:pStyle w:val="BookText"/>
        <w:rPr/>
      </w:pPr>
      <w:r>
        <w:rPr>
          <w:rFonts w:ascii="Amiri" w:hAnsi="Amiri" w:eastAsia="Amiri" w:cs="Amiri"/>
          <w:color w:val="111111"/>
          <w:sz w:val="28"/>
          <w:sz w:val="28"/>
          <w:szCs w:val="28"/>
          <w:rtl w:val="true"/>
          <w:lang w:bidi="ar-SA"/>
        </w:rPr>
        <w:t xml:space="preserve">يرد الرجوع ليومه، كأخبار عرفات </w:t>
      </w:r>
      <w:r>
        <w:rPr>
          <w:rStyle w:val="FootnoteAnchor"/>
          <w:rtl w:val="true"/>
        </w:rPr>
        <w:footnoteReference w:id="1132"/>
      </w:r>
      <w:r>
        <w:rPr>
          <w:rFonts w:ascii="Amiri" w:hAnsi="Amiri" w:eastAsia="Amiri" w:cs="Amiri"/>
          <w:color w:val="111111"/>
          <w:sz w:val="28"/>
          <w:sz w:val="28"/>
          <w:szCs w:val="28"/>
          <w:rtl w:val="true"/>
          <w:lang w:bidi="ar-SA"/>
        </w:rPr>
        <w:t xml:space="preserve">، و بعضها يدلّ على وجوب الإتمام، مثل موثّقة عمّار الآتية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الرجوع من يومه بخبر محمّد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ذكرناه إنّما هو صريح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مدار الصدوق و المفيد على الفتوى بمضمونه، بل في الغالب فتواهم بنقل عين عبارته، على وجه يحصل القطع بأنّه مأخوذ منه، و أمّا الشيخ فربّما لا يتفطّن بالمستند حين تأليفه، فيأتي من قبل نفسه، ما يجعله من الكتب الأربعة، كما فعله في نجاسة عرق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و وجوب الجمعة على التخيير عند فقد الإمام و نائبه، و غير ذلك، بل ربّما يصرّح بأنّ المستند ما كان الذي ذكره في كتابه الحديث </w:t>
      </w:r>
      <w:r>
        <w:rPr>
          <w:rStyle w:val="FootnoteAnchor"/>
          <w:rtl w:val="true"/>
        </w:rPr>
        <w:footnoteReference w:id="1135"/>
      </w:r>
      <w:r>
        <w:rPr>
          <w:rFonts w:ascii="Amiri" w:hAnsi="Amiri" w:eastAsia="Amiri" w:cs="Amiri"/>
          <w:color w:val="111111"/>
          <w:sz w:val="28"/>
          <w:sz w:val="28"/>
          <w:szCs w:val="28"/>
          <w:rtl w:val="true"/>
          <w:lang w:bidi="ar-SA"/>
        </w:rPr>
        <w:t>، بل الذي ذكره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خفي أنّ رواية محمّد </w:t>
      </w:r>
      <w:r>
        <w:rPr>
          <w:rStyle w:val="FootnoteAnchor"/>
          <w:rtl w:val="true"/>
        </w:rPr>
        <w:footnoteReference w:id="1136"/>
      </w:r>
      <w:r>
        <w:rPr>
          <w:rFonts w:ascii="Amiri" w:hAnsi="Amiri" w:eastAsia="Amiri" w:cs="Amiri"/>
          <w:color w:val="111111"/>
          <w:sz w:val="28"/>
          <w:sz w:val="28"/>
          <w:szCs w:val="28"/>
          <w:rtl w:val="true"/>
          <w:lang w:bidi="ar-SA"/>
        </w:rPr>
        <w:t>فيها إشعار بما ذكره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التقصير واجب في ثمانية فراسخ، و إن كان سفرك بريدا، و أردت أن ترجع من يومك قصّر؛ لأنّ ذهابك و مجيئك بريدان،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سافرت إلى موضع مقدار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الرجوع من يومك فأنت بالخيار؛ إن شئت أتممت، و إن شئت قصّرت</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الصدوق في أماليه جعل ما ذكر من دين الإماميّة </w:t>
      </w:r>
      <w:r>
        <w:rPr>
          <w:rStyle w:val="FootnoteAnchor"/>
          <w:rtl w:val="true"/>
        </w:rPr>
        <w:footnoteReference w:id="1138"/>
      </w:r>
      <w:r>
        <w:rPr>
          <w:rFonts w:ascii="Amiri" w:hAnsi="Amiri" w:eastAsia="Amiri" w:cs="Amiri"/>
          <w:color w:val="111111"/>
          <w:sz w:val="28"/>
          <w:sz w:val="28"/>
          <w:szCs w:val="28"/>
          <w:rtl w:val="true"/>
          <w:lang w:bidi="ar-SA"/>
        </w:rPr>
        <w:t>، و عدّه منه،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أيضا هكذا </w:t>
      </w:r>
      <w:r>
        <w:rPr>
          <w:rStyle w:val="FootnoteAnchor"/>
          <w:rtl w:val="true"/>
        </w:rPr>
        <w:footnoteReference w:id="1139"/>
      </w:r>
      <w:r>
        <w:rPr>
          <w:rFonts w:ascii="Amiri" w:hAnsi="Amiri" w:eastAsia="Amiri" w:cs="Amiri"/>
          <w:color w:val="111111"/>
          <w:sz w:val="28"/>
          <w:sz w:val="28"/>
          <w:szCs w:val="28"/>
          <w:rtl w:val="true"/>
          <w:lang w:bidi="ar-SA"/>
        </w:rPr>
        <w:t xml:space="preserve">، و المفيد </w:t>
      </w:r>
      <w:r>
        <w:rPr>
          <w:rStyle w:val="FootnoteAnchor"/>
          <w:rtl w:val="true"/>
        </w:rPr>
        <w:footnoteReference w:id="1140"/>
      </w:r>
      <w:r>
        <w:rPr>
          <w:rFonts w:ascii="Amiri" w:hAnsi="Amiri" w:eastAsia="Amiri" w:cs="Amiri"/>
          <w:color w:val="111111"/>
          <w:sz w:val="28"/>
          <w:sz w:val="28"/>
          <w:szCs w:val="28"/>
          <w:rtl w:val="true"/>
          <w:lang w:bidi="ar-SA"/>
        </w:rPr>
        <w:t xml:space="preserve">، و الشيخ في كتب فتاواه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بإعادة الصلاة ينافيه ما في الخبر الآتي، و إن وافقه خبر أبي ولّاد الذي يأتي في أواخر الباب، و يمكن حمله على الاستحباب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الحمل على فراسخ أهل خراسان، بأنّ الفرسخ منهم فرسخان شرعيّان، و الراوي من أهل مرو، فلعلّه ذكر له بالنسبة إلى أهل بلاده، أو أنّ الراوي نقل بالمعنى مناسبا لفرسخهم،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الفطحيّة،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في حاجة، فيسير خمسة فراسخ أو ستّة، فيأتي قرية فينزل فيها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ظاهرها أنّ مسيرة خمسة أو ستّة فراسخ لا تكفي، و إن كان مع الإياب في غير هذا اليوم، و حملها على ما إذا لم يرد الرجوع أصلا، أو يريد، إلّا أنّه بعد إقامة عشرة منويّة بعيد جدّا، فيمكن للمشهور أن يجعلوا هذه الرواية أمارة اخرى على إرادة الرجوع ليومه في الأخبار الدالّة على اعتبار الإياب مع الذهاب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بعيد؛ إذ لم يستفصل عليه السّلام أنّه إلى خمسة أو ستّة كان بنيّة أو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بل الظاهر كونه بنيّة، إلّا أنّ سيره لم يصر ثمانية، و لذا</w:t>
      </w:r>
      <w:bookmarkStart w:id="430" w:name="pg2470_12581"/>
    </w:p>
    <w:p>
      <w:pPr>
        <w:pStyle w:val="BookText"/>
        <w:rPr/>
      </w:pPr>
      <w:bookmarkEnd w:id="430"/>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سألت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مسافرا حتّى يسير من منزله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كما ذكره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مسافرا حتّى يكون ذلك السير من قصده و بنيّته؛ إذ عرفت أنّ قصد أربعة يكفي للقصر تخييرا أو حتما، فكيف إذا كان ستّة؟ و أيضا المسافر من غير نيّة إذا بلغ ثمانية يقصّر حتّى يرجع إلى منزله، بحكم الخبر </w:t>
      </w:r>
      <w:r>
        <w:rPr>
          <w:rStyle w:val="FootnoteAnchor"/>
          <w:rtl w:val="true"/>
        </w:rPr>
        <w:footnoteReference w:id="1145"/>
      </w:r>
      <w:r>
        <w:rPr>
          <w:rFonts w:ascii="Amiri" w:hAnsi="Amiri" w:eastAsia="Amiri" w:cs="Amiri"/>
          <w:color w:val="111111"/>
          <w:sz w:val="28"/>
          <w:sz w:val="28"/>
          <w:szCs w:val="28"/>
          <w:rtl w:val="true"/>
          <w:lang w:bidi="ar-SA"/>
        </w:rPr>
        <w:t>الذي استدلّ عليه لما قال،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بعد اثني عشر ميلا؟</w:t>
      </w:r>
    </w:p>
    <w:p>
      <w:pPr>
        <w:pStyle w:val="BookText"/>
        <w:rPr/>
      </w:pP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يخرج في حاجة و هو لا يريد السفر، فيمضي في ذلك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يظهر من هذه الرواية أنّ بعد بلوغ حدّ المسافة يقصّر من غير اعتبار حدّ الترخّص بعد البلوغ، و ابتداء القصر من حين البلوغ، لكنّ الإشكال في أنّه بعد ما سافر سفر القصر أصلا، بل إلى الحين كان سفر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 قليلا من اخر الثمانية كان طيّه بالقصد، فمنتهى السفر كان سفرا و بالقصد، و المسافر مسافر بالقصد حينئذ، و الرجوع مقصود جزما، فيقصّر إلى أن يصل بيته، فتأمّل</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3601584_3804643083"/>
      <w:bookmarkStart w:id="432" w:name="_Toc160"/>
      <w:bookmarkEnd w:id="431"/>
      <w:r>
        <w:rPr>
          <w:rtl w:val="true"/>
        </w:rPr>
        <w:t>[</w:t>
      </w:r>
      <w:r>
        <w:rPr>
          <w:rtl w:val="true"/>
        </w:rPr>
        <w:t>باب أنّه متى يشرع المسافر في التقصير أو يعود إلى التمام</w:t>
      </w:r>
      <w:r>
        <w:rPr>
          <w:rtl w:val="true"/>
        </w:rPr>
        <w:t>]</w:t>
      </w:r>
      <w:bookmarkEnd w:id="432"/>
    </w:p>
    <w:p>
      <w:pPr>
        <w:pStyle w:val="Heading5"/>
        <w:numPr>
          <w:ilvl w:val="4"/>
          <w:numId w:val="1"/>
        </w:numPr>
        <w:rPr/>
      </w:pPr>
      <w:bookmarkStart w:id="433" w:name="__RefHeading___Toc3601586_3804643083"/>
      <w:bookmarkStart w:id="434" w:name="_Toc161"/>
      <w:bookmarkEnd w:id="433"/>
      <w:r>
        <w:rPr>
          <w:rtl w:val="true"/>
        </w:rPr>
        <w:t>[</w:t>
      </w:r>
      <w:r>
        <w:rPr>
          <w:rtl w:val="true"/>
        </w:rPr>
        <w:t>بيان حدّ الترخّص</w:t>
      </w:r>
      <w:r>
        <w:rPr>
          <w:rtl w:val="true"/>
        </w:rPr>
        <w:t>]</w:t>
      </w:r>
      <w:bookmarkEnd w:id="43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أكثر أصحابنا، فأشكل عليهم التوفيق بينه و بين عدم سماع</w:t>
      </w:r>
    </w:p>
    <w:p>
      <w:pPr>
        <w:pStyle w:val="BookText"/>
        <w:rPr/>
      </w:pPr>
      <w:r>
        <w:rPr>
          <w:rFonts w:ascii="Amiri" w:hAnsi="Amiri" w:eastAsia="Amiri" w:cs="Amiri"/>
          <w:color w:val="111111"/>
          <w:sz w:val="28"/>
          <w:sz w:val="28"/>
          <w:szCs w:val="28"/>
          <w:rtl w:val="true"/>
          <w:lang w:bidi="ar-SA"/>
        </w:rPr>
        <w:t xml:space="preserve">الأذان، كما في الخبر الآتي لتفاوت ما بين الأمرين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منشأ فهمهم أنّ المعصوم عليه السّلام في صدد بيان تعريف حدّ الترخّص للمسافر، حتّى يشرع في التقصير و الإفطار، و تواريه من البيوت إنّما يعرفه أهل البيوت لا هو، و معرفة أهل البيوت لا تنفعه؛ إذ لا ينفعه إلّا ما يعرفه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التواري من باب التفاعل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التفاعل من الطرفين و إن جعل أحدهما فاعلا و الآخر مفعولا، كما هو الحال في باب المفاعلة أيضا، و في الحديث جعل الطرف الآخر نفس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ناظر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تقدير في الكلام،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السفر الغيبة عن الوطن و المنزل، لا عن الناظر، فلذا اعتبر الشارع تواري المسافر من نفس البيوت، فإذا توارى عن البيوت تكون البيوت متوارية أيضا بحكم التفاعل، فيجعل تواري البيوت حدّ ترخّصه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تواريه عن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إظهارا لسرّ الحكم، و الحكمة في اختيار خصوص هذا الحدّ؛ الترخّص، و هو أنّ هذا القصر لا يكون إلّا للمسافر، و المسافر هو الذي لا يكون حاضرا في وطنه و بيته، بل يكون غائبا عنه بعنوان الضرب في الأرض، فمتى لم يخف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لم يكن غائبا عنها، بل هو يعدّ من الحاضرين، بخلاف ما إذا خفي عنها؛ فإنّه حينئذ غاب عنها و الغائب لا يكون حاضرا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المسافر في مقابل الحاضر فإذا خفي عنه البيوت عرف أنّه خفي عنها، و إن كان يمكن أن يعرف خفاؤه من أهل البيوت بأن لا يرى أحدا منهم، لكن من أين يعرف أنّ هناك أحد منهم لكن لا يراهم إلّا بنوع من التخمين، و الاعتماد عليه خلاف الأصل و الظاهر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العبرة إنّما تكون بالبيت، لا بأهل البيت؛ لأنّ الحاضر من هو في بيته و غير غائب عنه، لا عن أهل بيته؛ إذ ربّما كانوا معه في السفر، و ينبّه على ذلك ما سيجي‌ء في الأخبار من أنّ الأعراب يتمّون؛ لأنّ بيوتهم و منازلهم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ظهر أنّ حدّ الترخّص إنّما يعتبر للخروج من المنزل لا مطلقا، مثل أن يكون الهائم </w:t>
      </w:r>
      <w:r>
        <w:rPr>
          <w:rStyle w:val="FootnoteAnchor"/>
          <w:rtl w:val="true"/>
        </w:rPr>
        <w:footnoteReference w:id="1148"/>
      </w:r>
      <w:r>
        <w:rPr>
          <w:rFonts w:ascii="Amiri" w:hAnsi="Amiri" w:eastAsia="Amiri" w:cs="Amiri"/>
          <w:color w:val="111111"/>
          <w:sz w:val="28"/>
          <w:sz w:val="28"/>
          <w:szCs w:val="28"/>
          <w:rtl w:val="true"/>
          <w:lang w:bidi="ar-SA"/>
        </w:rPr>
        <w:t xml:space="preserve">قصد المسافة في أثناء السفر، و العاصي رجع عن عصيانه في الأثناء، فإنّهم يقصّرون بمجرّد القصد و الرجوع، كما دلّ عليه الأخبار </w:t>
      </w:r>
      <w:r>
        <w:rPr>
          <w:rStyle w:val="FootnoteAnchor"/>
          <w:rtl w:val="true"/>
        </w:rPr>
        <w:footnoteReference w:id="1149"/>
      </w:r>
      <w:r>
        <w:rPr>
          <w:rFonts w:ascii="Amiri" w:hAnsi="Amiri" w:eastAsia="Amiri" w:cs="Amiri"/>
          <w:color w:val="111111"/>
          <w:sz w:val="28"/>
          <w:sz w:val="28"/>
          <w:szCs w:val="28"/>
          <w:rtl w:val="true"/>
          <w:lang w:bidi="ar-SA"/>
        </w:rPr>
        <w:t xml:space="preserve">و ينبّه على ذلك ما سيجي‌ء من أنّ البدوي يتمّ لأنّ بيوته معه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ناوي الإقامة و المتردد إلى ثلاثين، فيمكن أن يكون حكمها حكم المتوطّن؛ لعموم المنزلة الوارد في الأخبار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الأذان فأتمّ</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حمّاد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المسافر الأذان أتمّ</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هذه الأخبار، و خبر ابن سنان بالتخيير ممكن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التخيير ممّا لم يقل به أحد من المتقدّمين و المتأخّرين من فقهائنا الماهرين</w:t>
      </w:r>
    </w:p>
    <w:p>
      <w:pPr>
        <w:pStyle w:val="BookText"/>
        <w:rPr/>
      </w:pPr>
      <w:r>
        <w:rPr>
          <w:rFonts w:ascii="Amiri" w:hAnsi="Amiri" w:eastAsia="Amiri" w:cs="Amiri"/>
          <w:color w:val="111111"/>
          <w:sz w:val="28"/>
          <w:sz w:val="28"/>
          <w:szCs w:val="28"/>
          <w:rtl w:val="true"/>
          <w:lang w:bidi="ar-SA"/>
        </w:rPr>
        <w:t>الخبيرين المطّلعين، النقّادين للأخبار، القريبين لعهد الشارع، و مع ذلك مخالف لظاهر جميع الأخبار؛ لأنّ الظاهر من كلّ واحد واحد منها التعيين، و مخالف أيضا للعمومات الدالّة على وجوب الصلاة تماما، و الدالّة على وجوبها قصرا؛ إذ كلّ منها يقتضي التعيّن فيصير مرجوحا في النظر، و مجرّد الاحتمال و تساويه لا يجوّز الفتوى و الحكم، فضلا عن أن يكون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القول إمّا بالقصر مطلقا كما عليه علي بن بابويه </w:t>
      </w:r>
      <w:r>
        <w:rPr>
          <w:rStyle w:val="FootnoteAnchor"/>
          <w:rtl w:val="true"/>
        </w:rPr>
        <w:footnoteReference w:id="1155"/>
      </w:r>
      <w:r>
        <w:rPr>
          <w:rFonts w:ascii="Amiri" w:hAnsi="Amiri" w:eastAsia="Amiri" w:cs="Amiri"/>
          <w:color w:val="111111"/>
          <w:sz w:val="28"/>
          <w:sz w:val="28"/>
          <w:szCs w:val="28"/>
          <w:rtl w:val="true"/>
          <w:lang w:bidi="ar-SA"/>
        </w:rPr>
        <w:t xml:space="preserve">، أو الإتمام مطلقا كما عليه معظم الفقهاء و جلّهم </w:t>
      </w:r>
      <w:r>
        <w:rPr>
          <w:rStyle w:val="FootnoteAnchor"/>
          <w:rtl w:val="true"/>
        </w:rPr>
        <w:footnoteReference w:id="1156"/>
      </w:r>
      <w:r>
        <w:rPr>
          <w:rFonts w:ascii="Amiri" w:hAnsi="Amiri" w:eastAsia="Amiri" w:cs="Amiri"/>
          <w:color w:val="111111"/>
          <w:sz w:val="28"/>
          <w:sz w:val="28"/>
          <w:szCs w:val="28"/>
          <w:rtl w:val="true"/>
          <w:lang w:bidi="ar-SA"/>
        </w:rPr>
        <w:t xml:space="preserve">، أو الإتمام في الخروج و القصر في الدخول إلى أن يدخل بيته كما عليه بعضهم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 خلاف صريح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من اعتبار حدّ الترخّص </w:t>
      </w:r>
      <w:r>
        <w:rPr>
          <w:rStyle w:val="FootnoteAnchor"/>
          <w:rtl w:val="true"/>
        </w:rPr>
        <w:footnoteReference w:id="1158"/>
      </w:r>
      <w:r>
        <w:rPr>
          <w:rFonts w:ascii="Amiri" w:hAnsi="Amiri" w:eastAsia="Amiri" w:cs="Amiri"/>
          <w:color w:val="111111"/>
          <w:sz w:val="28"/>
          <w:sz w:val="28"/>
          <w:szCs w:val="28"/>
          <w:rtl w:val="true"/>
          <w:lang w:bidi="ar-SA"/>
        </w:rPr>
        <w:t xml:space="preserve">، و كذا ظاهر القرآن من اشتراط القصر بالضرب في الأرض </w:t>
      </w:r>
      <w:r>
        <w:rPr>
          <w:rStyle w:val="FootnoteAnchor"/>
          <w:rtl w:val="true"/>
        </w:rPr>
        <w:footnoteReference w:id="1159"/>
      </w:r>
      <w:r>
        <w:rPr>
          <w:rFonts w:ascii="Amiri" w:hAnsi="Amiri" w:eastAsia="Amiri" w:cs="Amiri"/>
          <w:color w:val="111111"/>
          <w:sz w:val="28"/>
          <w:sz w:val="28"/>
          <w:szCs w:val="28"/>
          <w:rtl w:val="true"/>
          <w:lang w:bidi="ar-SA"/>
        </w:rPr>
        <w:t>و وقوعه كونه بعده، و معلوم أنّ من هو في باب بيته أو عليه لا يصدق أنّه 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الأخبار متواترة في كون القصر للمسافر، و الإتمام للحاضر </w:t>
      </w:r>
      <w:r>
        <w:rPr>
          <w:rStyle w:val="FootnoteAnchor"/>
          <w:rtl w:val="true"/>
        </w:rPr>
        <w:footnoteReference w:id="1160"/>
      </w:r>
      <w:r>
        <w:rPr>
          <w:rFonts w:ascii="Amiri" w:hAnsi="Amiri" w:eastAsia="Amiri" w:cs="Amiri"/>
          <w:color w:val="111111"/>
          <w:sz w:val="28"/>
          <w:sz w:val="28"/>
          <w:szCs w:val="28"/>
          <w:rtl w:val="true"/>
          <w:lang w:bidi="ar-SA"/>
        </w:rPr>
        <w:t>، و لا شبهة في أنّ من هو في باب بيته قاعد لا يقال في العرف أنّه الآن مسافر، سيّما في الرجوع، بل المستفاد من الأخبار أنّ القصر يكون في السفر، و معلوم أنّه الآن ليس في السفر، بل هو حاضر، و المتمّم في السفر كالمقصّر في الحضر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عند رجوعه يصدق عليه أنّه قدم من سفره، و قدم بلده، و يظهر أنّ من قدم من سفره أو قدم بلده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حال الثالث، و أنّ خير الامور أوسطها، مضافا إلى أنّ الثالث مخالف لصحيحة ابن سنان المعمول بها عند المعظم، و المشتهرة بين الأصحاب، الموافقة للكتاب، و ظواهر المتواترة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ما دلّ على القصر؛ إلى أن يدخل بيته؛ لما عرفت من مضعّفاته و مقوّياتها، مضافا إلى ما سنذكر في رواية محمّد و ما ماثلها من عدم الفرق بين الدخول و الخروج، و أنّ من يجب عليه التمام و لم يصلّ إلى أن سافر و بالعكس، بل المعتبر بالنسبة إليه حال الأداء لا الوجوب،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يمكن حمل هذه الأخبار على أنّ المراد بمن دخل بيته، من دخل حدّ الترخّص في أنّ الشارع جعل قبل حدّ الترخّص داخلا في البيت، و لذا ورد في غير واحد من الأخبار أنّ من خرج من بيته أو من بلده يجب عليه القصر </w:t>
      </w:r>
      <w:r>
        <w:rPr>
          <w:rStyle w:val="FootnoteAnchor"/>
          <w:rtl w:val="true"/>
        </w:rPr>
        <w:footnoteReference w:id="1161"/>
      </w:r>
      <w:r>
        <w:rPr>
          <w:rFonts w:ascii="Amiri" w:hAnsi="Amiri" w:eastAsia="Amiri" w:cs="Amiri"/>
          <w:color w:val="111111"/>
          <w:sz w:val="28"/>
          <w:sz w:val="28"/>
          <w:szCs w:val="28"/>
          <w:rtl w:val="true"/>
          <w:lang w:bidi="ar-SA"/>
        </w:rPr>
        <w:t>و معلوم أنّ المراد الوصول إلى حدّ الترخّص، بل الآن متعارف،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يجب عليه القصر، و من دخله يجب عليه التمام، و لا نريد إلّا بوصول حدّ الترخّص،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اخر الباب الآتي روايتان تدلّان على المذهب المشهور، و مضمونهما أنّ أهل مكّة إذا زاروا البيت يجب عليهم التمام </w:t>
      </w:r>
      <w:r>
        <w:rPr>
          <w:rStyle w:val="FootnoteAnchor"/>
          <w:rtl w:val="true"/>
        </w:rPr>
        <w:footnoteReference w:id="1162"/>
      </w:r>
      <w:r>
        <w:rPr>
          <w:rFonts w:ascii="Amiri" w:hAnsi="Amiri" w:eastAsia="Amiri" w:cs="Amiri"/>
          <w:color w:val="111111"/>
          <w:sz w:val="28"/>
          <w:sz w:val="28"/>
          <w:szCs w:val="28"/>
          <w:rtl w:val="true"/>
          <w:lang w:bidi="ar-SA"/>
        </w:rPr>
        <w:t xml:space="preserve">، و إن كان مضى في الباب الماضي روايتان تتضمّنان أنّ أهل مكّة إذا زاروا البيت و رجعوا منازلهم يجب عليهم التمام </w:t>
      </w:r>
      <w:r>
        <w:rPr>
          <w:rStyle w:val="FootnoteAnchor"/>
          <w:rtl w:val="true"/>
        </w:rPr>
        <w:footnoteReference w:id="1163"/>
      </w:r>
      <w:r>
        <w:rPr>
          <w:rFonts w:ascii="Amiri" w:hAnsi="Amiri" w:eastAsia="Amiri" w:cs="Amiri"/>
          <w:color w:val="111111"/>
          <w:sz w:val="28"/>
          <w:sz w:val="28"/>
          <w:szCs w:val="28"/>
          <w:rtl w:val="true"/>
          <w:lang w:bidi="ar-SA"/>
        </w:rPr>
        <w:t>، فيمكن حملهما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رجعوا إلى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دخلوا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زاروا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bookmarkStart w:id="435" w:name="pg2470_12586"/>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العمل على المشهور،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يدخل من سفره، و قد دخل وقت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ركعتين، فإن خرج إلى سفر و قد دخل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أربعا</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الأخبار ظاهرة في مذهب علي بن بابويه، من اتّحاد حال الدخول و الخروج في عدم اعتبار حدّ الترخّص، و بعد ثبوت اعتباره في الخروج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غيره من الفقهاء، و يظهر من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ظاهرة في المذهب المشهور من مساواة الدخول و الخروج في اعتباره، كما يدلّ عليه صحيحة ابن سنان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على ما اختاره بعض منهم في الفرق بين الدخول و الخروج في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دون الأوّل؛ لأنّه لو كان كذلك لكان اللازم التنبيه بالفرق في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أشهر، و أظهر في العمل، يعني رواية إسماعيل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العمومات المتواترة في أنّ المسافر يقصر و الحاضر يتمّ </w:t>
      </w:r>
      <w:r>
        <w:rPr>
          <w:rStyle w:val="FootnoteAnchor"/>
          <w:rtl w:val="true"/>
        </w:rPr>
        <w:footnoteReference w:id="1167"/>
      </w:r>
      <w:r>
        <w:rPr>
          <w:rFonts w:ascii="Amiri" w:hAnsi="Amiri" w:eastAsia="Amiri" w:cs="Amiri"/>
          <w:color w:val="111111"/>
          <w:sz w:val="28"/>
          <w:sz w:val="28"/>
          <w:szCs w:val="28"/>
          <w:rtl w:val="true"/>
          <w:lang w:bidi="ar-SA"/>
        </w:rPr>
        <w:t>، و متأيّدة بالإجماع، فتدبّر</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3601588_3804643083"/>
      <w:bookmarkStart w:id="437" w:name="_Toc162"/>
      <w:bookmarkEnd w:id="436"/>
      <w:r>
        <w:rPr>
          <w:rtl w:val="true"/>
        </w:rPr>
        <w:t>[</w:t>
      </w:r>
      <w:r>
        <w:rPr>
          <w:rtl w:val="true"/>
        </w:rPr>
        <w:t>باب عزم الإقامة في السفر و التردّد فيها</w:t>
      </w:r>
      <w:r>
        <w:rPr>
          <w:rtl w:val="true"/>
        </w:rPr>
        <w:t>]</w:t>
      </w:r>
      <w:bookmarkEnd w:id="43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أقام بمكّة أو المدينة خمسا؛ فإنّه يستحبّ له الإتمام، كما يأتي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لأنّ الشافعي قال بالأربعة من غير احتساب يومي الدخول و الخروج، فترجع الخمسة بالتلفيق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يتمّ في أقل من عشرة إلّا بمكّة و المدينة</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المشهور، أنّ مكّة و المدينة يستحبّ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قصد الإقامة </w:t>
      </w:r>
      <w:r>
        <w:rPr>
          <w:rStyle w:val="FootnoteAnchor"/>
          <w:rtl w:val="true"/>
        </w:rPr>
        <w:footnoteReference w:id="1171"/>
      </w:r>
      <w:r>
        <w:rPr>
          <w:rFonts w:ascii="Amiri" w:hAnsi="Amiri" w:eastAsia="Amiri" w:cs="Amiri"/>
          <w:color w:val="111111"/>
          <w:sz w:val="28"/>
          <w:sz w:val="28"/>
          <w:szCs w:val="28"/>
          <w:rtl w:val="true"/>
          <w:lang w:bidi="ar-SA"/>
        </w:rPr>
        <w:t xml:space="preserve">، و هذه الرواية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ما لم ينو إقامة خمسة أيّام، فظاهرها يضرّ المشهور،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نيّة إقامة الخمسة يجب الإتمام، لكنّهم لا يفتون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هذا الحكم منهم عليهم السّلام للاتّقاء؛ لأنّ الشيعة كانوا يقصّرون في مكّة و المدينة، و هذا مخالف للتقيّة، فأمرهم بالإتمام من أجل الخوف من العامّة، كما سيجي‌ء صريحا، و هاهنا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أقام خمسا فليتمّ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كانوا يقيمون فيها مقدار خمسة أيّام عادة إن لم ينووا الإقامة، و سيجي‌ء في صحيحة ابن وهب ما ينبغي أن يلاحظ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نويت حين دخلت المدينة أن اقيم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يدلّ على مذهب الصدوق من وجوب القصر في المواطن</w:t>
      </w:r>
    </w:p>
    <w:p>
      <w:pPr>
        <w:pStyle w:val="BookText"/>
        <w:rPr/>
      </w:pPr>
      <w:r>
        <w:rPr>
          <w:rFonts w:ascii="Amiri" w:hAnsi="Amiri" w:eastAsia="Amiri" w:cs="Amiri"/>
          <w:color w:val="111111"/>
          <w:sz w:val="28"/>
          <w:sz w:val="28"/>
          <w:szCs w:val="28"/>
          <w:rtl w:val="true"/>
          <w:lang w:bidi="ar-SA"/>
        </w:rPr>
        <w:t xml:space="preserve">الأربعة </w:t>
      </w:r>
      <w:r>
        <w:rPr>
          <w:rStyle w:val="FootnoteAnchor"/>
          <w:rtl w:val="true"/>
        </w:rPr>
        <w:footnoteReference w:id="1174"/>
      </w:r>
      <w:r>
        <w:rPr>
          <w:rFonts w:ascii="Amiri" w:hAnsi="Amiri" w:eastAsia="Amiri" w:cs="Amiri"/>
          <w:color w:val="111111"/>
          <w:sz w:val="28"/>
          <w:sz w:val="28"/>
          <w:szCs w:val="28"/>
          <w:rtl w:val="true"/>
          <w:lang w:bidi="ar-SA"/>
        </w:rPr>
        <w:t xml:space="preserve">، و كذا صحيحة زرارة الآتية </w:t>
      </w:r>
      <w:r>
        <w:rPr>
          <w:rStyle w:val="FootnoteAnchor"/>
          <w:rtl w:val="true"/>
        </w:rPr>
        <w:footnoteReference w:id="1175"/>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الظاهر من الخروج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المتوقّع الحصول، و هو السفر إلى بيته أو بلد اخر، بقرينة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إنّما تستعمل في مثل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المراد مجرّد الخروج اللغوي، لكان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يخرج، كما لا يخفى على الفطن، مع التأمّل في الثاني أيضا في مثل المقام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بدا لي بعد ألا أقيم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ظاهر أنّ المراد منه أسافر منها، فيكون الظاهر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 أن تقصر 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تسافر السفر الذي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المراد من إقامته عشرا، قطعه حركة سفره بهذا المقدار لأن يتمّ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القطع بعد ما عزمت على القطع، و ظاهر أنّ مراده أنّه بدا له في قطعه حركة سفره، أي ألا يقطع بتلك الحركة، و يرفع اليد عن ذلك القطع، و يا بنى على عدم القطع، و عدم القطع عنه هو البناء على حركة سفره على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أسافر منها، كما قلنا، و منه يظهر أنّ المراد من الخروج هو ما ذكرناه، و أنّ الخروج هو إحداث حركة سفره التي قطعها قبل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الخروج هو إحداث السفر، بالقرينة التي عرفت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ظهر من بعض الأخبار أنّ حكم المقيم عشرا بعنوان العزم، حكم من هو في بلده و وطنه، كما أفتى به الفقهاء </w:t>
      </w:r>
      <w:r>
        <w:rPr>
          <w:rStyle w:val="FootnoteAnchor"/>
          <w:rtl w:val="true"/>
        </w:rPr>
        <w:footnoteReference w:id="1176"/>
      </w:r>
      <w:r>
        <w:rPr>
          <w:rFonts w:ascii="Amiri" w:hAnsi="Amiri" w:eastAsia="Amiri" w:cs="Amiri"/>
          <w:color w:val="111111"/>
          <w:sz w:val="28"/>
          <w:sz w:val="28"/>
          <w:szCs w:val="28"/>
          <w:rtl w:val="true"/>
          <w:lang w:bidi="ar-SA"/>
        </w:rPr>
        <w:t>، و معلوم أنّ من كان في وطنه لا يقصر حتّى</w:t>
      </w:r>
    </w:p>
    <w:p>
      <w:pPr>
        <w:pStyle w:val="BookText"/>
        <w:rPr/>
      </w:pPr>
      <w:r>
        <w:rPr>
          <w:rFonts w:ascii="Amiri" w:hAnsi="Amiri" w:eastAsia="Amiri" w:cs="Amiri"/>
          <w:color w:val="111111"/>
          <w:sz w:val="28"/>
          <w:sz w:val="28"/>
          <w:szCs w:val="28"/>
          <w:rtl w:val="true"/>
          <w:lang w:bidi="ar-SA"/>
        </w:rPr>
        <w:t xml:space="preserve">يسافر سفر القطع، لا أنّه بمجرّد الخروج اللغوي يقصر، و تمام التحقيق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دلّ على ما أفتى الفقهاء به من أنّ ناوي الإقامة بمنزلة المتوطّن؛ ما ورد من أنّ من نوى الإقامة فهو بمنزلة أهل مكّة </w:t>
      </w:r>
      <w:r>
        <w:rPr>
          <w:rStyle w:val="FootnoteAnchor"/>
          <w:rtl w:val="true"/>
        </w:rPr>
        <w:footnoteReference w:id="1178"/>
      </w:r>
      <w:r>
        <w:rPr>
          <w:rFonts w:ascii="Amiri" w:hAnsi="Amiri" w:eastAsia="Amiri" w:cs="Amiri"/>
          <w:color w:val="111111"/>
          <w:sz w:val="28"/>
          <w:sz w:val="28"/>
          <w:szCs w:val="28"/>
          <w:rtl w:val="true"/>
          <w:lang w:bidi="ar-SA"/>
        </w:rPr>
        <w:t>، فإنّ عموم المنزلة يقتضي مساواة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الأصل التمام، و القصر مشروط بسفر مشروط بشروط تحقّقها في ناوي الإقامة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المتبادر من المسافة المشترطة أن يكون يقع القصر في مجموعها، فلاحظ الأخبار،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عليه السّلام يومئذ بمكّة فأتيته فقصصت عليه القصّة،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التقصير</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حملها على أنّه المقام من غير تعيين كونه عشرة أيّام أو أقلّ أو أزيد، كما هو مدلول عبارة الراوي السائل، أو يكون مراده من المقام مقام خمسة أيّام؛ لما ستسمع من أنّ المقام خمسة أيّام في مكّة يوجب التمام، على ما ورد في روايتي محمّد بن مسلم السابقتين </w:t>
      </w:r>
      <w:r>
        <w:rPr>
          <w:rStyle w:val="FootnoteAnchor"/>
          <w:rtl w:val="true"/>
        </w:rPr>
        <w:footnoteReference w:id="1180"/>
      </w:r>
      <w:r>
        <w:rPr>
          <w:rFonts w:ascii="Amiri" w:hAnsi="Amiri" w:eastAsia="Amiri" w:cs="Amiri"/>
          <w:color w:val="111111"/>
          <w:sz w:val="28"/>
          <w:sz w:val="28"/>
          <w:szCs w:val="28"/>
          <w:rtl w:val="true"/>
          <w:lang w:bidi="ar-SA"/>
        </w:rPr>
        <w:t xml:space="preserve">، مع أنّ إقامة خمسة أيام مذهب الشافعي و غيره من العامّة </w:t>
      </w:r>
      <w:r>
        <w:rPr>
          <w:rStyle w:val="FootnoteAnchor"/>
          <w:rtl w:val="true"/>
        </w:rPr>
        <w:footnoteReference w:id="1181"/>
      </w:r>
      <w:r>
        <w:rPr>
          <w:rFonts w:ascii="Amiri" w:hAnsi="Amiri" w:eastAsia="Amiri" w:cs="Amiri"/>
          <w:color w:val="111111"/>
          <w:sz w:val="28"/>
          <w:sz w:val="28"/>
          <w:szCs w:val="28"/>
          <w:rtl w:val="true"/>
          <w:lang w:bidi="ar-SA"/>
        </w:rPr>
        <w:t>، فربّما كان مشهورا معروفا عنده</w:t>
      </w:r>
      <w:r>
        <w:rPr>
          <w:rFonts w:eastAsia="Amiri" w:cs="Amiri" w:ascii="Amiri" w:hAnsi="Amiri"/>
          <w:color w:val="111111"/>
          <w:sz w:val="28"/>
          <w:szCs w:val="28"/>
          <w:rtl w:val="true"/>
          <w:lang w:bidi="ar-SA"/>
        </w:rPr>
        <w:t>.</w:t>
      </w:r>
      <w:bookmarkStart w:id="438" w:name="pg2470_12590"/>
    </w:p>
    <w:p>
      <w:pPr>
        <w:pStyle w:val="BookText"/>
        <w:rPr/>
      </w:pPr>
      <w:bookmarkEnd w:id="438"/>
      <w:r>
        <w:rPr>
          <w:rFonts w:ascii="Amiri" w:hAnsi="Amiri" w:eastAsia="Amiri" w:cs="Amiri"/>
          <w:color w:val="111111"/>
          <w:sz w:val="28"/>
          <w:sz w:val="28"/>
          <w:szCs w:val="28"/>
          <w:rtl w:val="true"/>
          <w:lang w:bidi="ar-SA"/>
        </w:rPr>
        <w:t>و بالجملة؛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عشرة أيّام، حتّى يتحقّق الإشكال، و الأصل عدم زيادة ما زاد عن ألفاظ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الزيادة لا يتعيّن كونها عشرة؛ لأنّ تبادر ذلك الآن عندنا لا يقتضي التبادر في ذلك الزمان عند كلّ شخص، بل هو باطل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أتممت الصلاة، أي لأن 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بعد ما قصّ عليه عليه السّلام قصّته و ما جاء به من الخبر من المنزل ظهر أنّه لم يكن ناوي الإقامة حقيقة؛ لما ظهر من قصّته و 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هذه الرواية أيضا ظاهرة في مذهب الصدوق من وجوب القصر في الحرمين، إلّا أن يقصد الإقامة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3601590_3804643083"/>
      <w:bookmarkStart w:id="440" w:name="_Toc163"/>
      <w:bookmarkEnd w:id="439"/>
      <w:r>
        <w:rPr>
          <w:rtl w:val="true"/>
        </w:rPr>
        <w:t>[</w:t>
      </w:r>
      <w:r>
        <w:rPr>
          <w:rtl w:val="true"/>
        </w:rPr>
        <w:t>باب من يخرج إلى ضيعته أو يمرّ بها أو ينزل على بعض أهله</w:t>
      </w:r>
      <w:r>
        <w:rPr>
          <w:rtl w:val="true"/>
        </w:rPr>
        <w:t>]</w:t>
      </w:r>
      <w:bookmarkEnd w:id="440"/>
    </w:p>
    <w:p>
      <w:pPr>
        <w:pStyle w:val="Heading5"/>
        <w:numPr>
          <w:ilvl w:val="4"/>
          <w:numId w:val="1"/>
        </w:numPr>
        <w:rPr/>
      </w:pPr>
      <w:bookmarkStart w:id="441" w:name="__RefHeading___Toc3601592_3804643083"/>
      <w:bookmarkStart w:id="442" w:name="_Toc164"/>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مشكل؛ لتضمّنه التقصير في خمسة فراسخ؛ إذ الإياب هنا غير معتبر؛ لأنّه سفران، إلّا أن يحمل على ما يأتي في اخر الباب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تأمّل؛ لأنّ الظاهر منها سفر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الضيعة بيته و وطنه، بحيث يصدق عليه، كونه فيها أنّه حاضر و غير مسافر يمكن أن يقال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سفران، و مجرّد وجوب الإتمام أو جوازه لا يجعل السفر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الإشكال في الإتمام في الضيعة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أو خصوص التقيّة، فتأمّل</w:t>
      </w:r>
      <w:r>
        <w:rPr>
          <w:rFonts w:eastAsia="Amiri" w:cs="Amiri" w:ascii="Amiri" w:hAnsi="Amiri"/>
          <w:color w:val="111111"/>
          <w:sz w:val="28"/>
          <w:szCs w:val="28"/>
          <w:rtl w:val="true"/>
          <w:lang w:bidi="ar-SA"/>
        </w:rPr>
        <w:t>!</w:t>
      </w:r>
      <w:bookmarkStart w:id="443" w:name="pg2470_12591"/>
    </w:p>
    <w:p>
      <w:pPr>
        <w:pStyle w:val="BookText"/>
        <w:rPr/>
      </w:pPr>
      <w:bookmarkEnd w:id="44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أبا الحسن الأوّل عليه السّلام عن الدار تكون للرجل بمصر، أو الضيعة، فيمرّ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ممّا قد سكنه أتمّ فيه الصلاة، و إن كان ممّا لم يسكنه فليقصّر</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السكنى من حيث هو سكنى غير معتبر إجماعا، بل لا بدّ من كونه بعنوان الاستيطان، فالمراد أن جعله وطنه أو اتّخذ وطنه و أمثالها، و 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ذلك على الاكتفاء باستيطان ستّة أشهر في الملك خاصّة، أو معنى جعله و اتّخاذه وطنا البناء على كون جميع عمره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فالمتبادر جعله وطنه مدّة عمره، لا أنّه بدا له في ذلك و جعل 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إلّا أنّه أقام فيه ستّة أشهر لا أقلّ، فإنّه يتمّ حينئذ؛ إذ شمول الحديث لما ذكر بعيد؛ لما عرفت من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الشمول، فهو من الفروض النادرة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الحديث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لا يقاوم ما دلّ على الاستمرار التجدّدي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كثرته و ندرة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 للاصول و العمومات، و موافقة تلك الأخبار الكثيرة، فتدبّر</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601594_3804643083"/>
      <w:bookmarkStart w:id="445" w:name="_Toc165"/>
      <w:bookmarkEnd w:id="444"/>
      <w:r>
        <w:rPr>
          <w:rtl w:val="true"/>
        </w:rPr>
        <w:t>[</w:t>
      </w:r>
      <w:r>
        <w:rPr>
          <w:rtl w:val="true"/>
        </w:rPr>
        <w:t>اعتبار الاستيطان في المنزل</w:t>
      </w:r>
      <w:r>
        <w:rPr>
          <w:rtl w:val="true"/>
        </w:rPr>
        <w:t>]</w:t>
      </w:r>
      <w:bookmarkEnd w:id="44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البقباق،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ينزل على بعض أهله يوما و ليلة أو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يقصّر الصلاة</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متّحدة مع الرواية السابقة عن البقباق </w:t>
      </w:r>
      <w:r>
        <w:rPr>
          <w:rStyle w:val="FootnoteAnchor"/>
          <w:rtl w:val="true"/>
        </w:rPr>
        <w:footnoteReference w:id="1186"/>
      </w:r>
      <w:r>
        <w:rPr>
          <w:rFonts w:ascii="Amiri" w:hAnsi="Amiri" w:eastAsia="Amiri" w:cs="Amiri"/>
          <w:color w:val="111111"/>
          <w:sz w:val="28"/>
          <w:sz w:val="28"/>
          <w:szCs w:val="28"/>
          <w:rtl w:val="true"/>
          <w:lang w:bidi="ar-SA"/>
        </w:rPr>
        <w:t>، بل في الظنّ أنّها كذلك، إلّا أنّه في أحد الطرفين وقع تفاوت من جهة النقل بالمعنى، كما هو الحال في كثير من المتعارضات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 احبّه، و حذف مثل هذا العائد شائع، و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الصلاة هو الذي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استفهاما إنكاريّا، أو يكون فعل التعجّب، و لمّا كان يؤدّي ذلك إلى بعد، نقله بالمعنى،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البقباق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للتخيير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الصادق عليه السّلام أمر بالتقصير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ورد أنّه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إذا كان روى الروايتين جميعا عن المعصوم عليه السّلام،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بزيع،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ينو مقام عشرة أيّام، إلّا أن يكون له فيها منزل يستوطنه</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صريح في أنّ الملك لا يكفي للإتمام، بل لا بدّ من منزل يستوطنه، و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اعتبار الضيعة في الإتمام، بل لا بدّ من الاستيطان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الاستيطان لا يتحقّق إلّا في المنزل صرّح باشتراط المنزل لتحقّق</w:t>
      </w:r>
    </w:p>
    <w:p>
      <w:pPr>
        <w:pStyle w:val="BookText"/>
        <w:rPr/>
      </w:pPr>
      <w:r>
        <w:rPr>
          <w:rFonts w:ascii="Amiri" w:hAnsi="Amiri" w:eastAsia="Amiri" w:cs="Amiri"/>
          <w:color w:val="111111"/>
          <w:sz w:val="28"/>
          <w:sz w:val="28"/>
          <w:szCs w:val="28"/>
          <w:rtl w:val="true"/>
          <w:lang w:bidi="ar-SA"/>
        </w:rPr>
        <w:t xml:space="preserve">الاستيطان دفعا لتوهّم كون الاستقرار و الإقامة في موضع توطّنا، و إن لم يكن له فيه منزل و مسكن توطّن فيه، و لا بدّ له على كون المنزل ملكا له، كما عليه بعض الفقهاء </w:t>
      </w:r>
      <w:r>
        <w:rPr>
          <w:rStyle w:val="FootnoteAnchor"/>
          <w:rtl w:val="true"/>
        </w:rPr>
        <w:footnoteReference w:id="1188"/>
      </w:r>
      <w:r>
        <w:rPr>
          <w:rFonts w:ascii="Amiri" w:hAnsi="Amiri" w:eastAsia="Amiri" w:cs="Amiri"/>
          <w:color w:val="111111"/>
          <w:sz w:val="28"/>
          <w:sz w:val="28"/>
          <w:szCs w:val="28"/>
          <w:rtl w:val="true"/>
          <w:lang w:bidi="ar-SA"/>
        </w:rPr>
        <w:t>لأنّ الضيعة ظاهرة في الملكيّة، و كون المنزل في الضيعة ظاهر في كونه من جملتها، فيصير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من جملة الضيعة المذكورة منزل له، كما لا يدلّ على كون الضيعة شرطا، كذا لا يدلّ على كون المنزل الذي من جملتها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السؤال عن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توجب التمام أم لا، و أجاب المعصوم عليه السّلام بأنّها لا توجب الاشتراط أن يكون فيها منزل له، دلّ على أنّ اعتبار المنزل ليس من جهة كونه ملكا، بل من جهة كونه منزلا يستوطنه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التوفيق التامّ بين جميع أخبار هذا الباب، فاحملها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بين القصر و الإتمام؛ ليندفع به الإشكال الذي أشرنا إليه في حديث عمران بن محمّد، و يتوافق خبرا البقباق المتعارضان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يقصّر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 منهما، و العلم عند اللّه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المستفاد من الآية </w:t>
      </w:r>
      <w:r>
        <w:rPr>
          <w:rStyle w:val="FootnoteAnchor"/>
          <w:rtl w:val="true"/>
        </w:rPr>
        <w:footnoteReference w:id="1190"/>
      </w:r>
      <w:r>
        <w:rPr>
          <w:rFonts w:ascii="Amiri" w:hAnsi="Amiri" w:eastAsia="Amiri" w:cs="Amiri"/>
          <w:color w:val="111111"/>
          <w:sz w:val="28"/>
          <w:sz w:val="28"/>
          <w:szCs w:val="28"/>
          <w:rtl w:val="true"/>
          <w:lang w:bidi="ar-SA"/>
        </w:rPr>
        <w:t xml:space="preserve">و الأخبار المتواترة </w:t>
      </w:r>
      <w:r>
        <w:rPr>
          <w:rStyle w:val="FootnoteAnchor"/>
          <w:rtl w:val="true"/>
        </w:rPr>
        <w:footnoteReference w:id="1191"/>
      </w:r>
      <w:r>
        <w:rPr>
          <w:rFonts w:ascii="Amiri" w:hAnsi="Amiri" w:eastAsia="Amiri" w:cs="Amiri"/>
          <w:color w:val="111111"/>
          <w:sz w:val="28"/>
          <w:sz w:val="28"/>
          <w:szCs w:val="28"/>
          <w:rtl w:val="true"/>
          <w:lang w:bidi="ar-SA"/>
        </w:rPr>
        <w:t xml:space="preserve">و إجماع المسلمين </w:t>
      </w:r>
      <w:r>
        <w:rPr>
          <w:rStyle w:val="FootnoteAnchor"/>
          <w:rtl w:val="true"/>
        </w:rPr>
        <w:footnoteReference w:id="1192"/>
      </w:r>
      <w:r>
        <w:rPr>
          <w:rFonts w:ascii="Amiri" w:hAnsi="Amiri" w:eastAsia="Amiri" w:cs="Amiri"/>
          <w:color w:val="111111"/>
          <w:sz w:val="28"/>
          <w:sz w:val="28"/>
          <w:szCs w:val="28"/>
          <w:rtl w:val="true"/>
          <w:lang w:bidi="ar-SA"/>
        </w:rPr>
        <w:t>أنّ القصر شرطه أن يكون المكلّف مسافرا، إلّا في موضع الخوف؛ لأنّه ربّما جوّز فيه القصر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المسافر إنّما هو الرجل الذي لا يكون حاضرا، بل الذي يخرج من بيته و يضرب في الأرض، بل السفر أيضا لا يكفي إلّا أن تكون مسافته ثمانية</w:t>
      </w:r>
    </w:p>
    <w:p>
      <w:pPr>
        <w:pStyle w:val="BookText"/>
        <w:rPr/>
      </w:pPr>
      <w:r>
        <w:rPr>
          <w:rFonts w:ascii="Amiri" w:hAnsi="Amiri" w:eastAsia="Amiri" w:cs="Amiri"/>
          <w:color w:val="111111"/>
          <w:sz w:val="28"/>
          <w:sz w:val="28"/>
          <w:szCs w:val="28"/>
          <w:rtl w:val="true"/>
          <w:lang w:bidi="ar-SA"/>
        </w:rPr>
        <w:t>فراسخ بالنحو المقرّر الوفاقي، و الخلافي، و هو أيضا لا يكفي إلّا أن يكون ناويا لتلك المسافة بعنوان العزم، و عدم تردّد أصلا، و هو أيضا لا يكفي حتّى يخرج من البلد و يصل إلى حدّ الترخّص، إلى غير ذلك من الشرائط المعلومة، و أنّه لو اخلّ شرط من تلك الشرائط يتعيّن الإتمام؛ فالإتمام هو الأصل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أيضا من الأدلّة المتواترة أنّ القصر لا يجوز إلّا بتحقّق شرائط أصلها، و عمدتها المسافرة، بل في الباب الآتي أنّ من جملة تلك الشرائط أن لا يكون السفر عمله و صنيعته، و ألا يكون منزله معه، و يجي‌ء أيضا في باب علّة التقصير أنّ العلّة فيه هو السفر و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هذه كيف يبقى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لم يكن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وطنه و بيته لغة و عرفا قطعا لم يتحقّق منه حركة أصلا فضلا عن المسافرة المشروطة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و لم يخرج إلى حدّ الترخّص مطلقا، و بيته و منزله معه، بل هو في منزله مستقرّ كمنزله و وطنه يكون عليه القصر ما لم ينو إقامة عشرة أو يمضي ثلاثون يوما متردّدا، سيّما إذا خرج عن حدّ الترخّص ثمّ رجع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أنّ الناس في زمان الرسول صلّى اللّه عليه و آله و سلم إلى الآن أعلاهم ليس لهم بيت ملكا يسكن فيه، بل و لا غير البيت من الأملاك، فكيف يجوّز أحد أنّ مثله دائم السفر، و عادم الحضر، و فاقد البيت و المنزل الذي معه أبدا و مطلقا؟</w:t>
      </w:r>
    </w:p>
    <w:p>
      <w:pPr>
        <w:pStyle w:val="BookText"/>
        <w:rPr/>
      </w:pPr>
      <w:r>
        <w:rPr>
          <w:rFonts w:ascii="Amiri" w:hAnsi="Amiri" w:eastAsia="Amiri" w:cs="Amiri"/>
          <w:color w:val="111111"/>
          <w:sz w:val="28"/>
          <w:sz w:val="28"/>
          <w:szCs w:val="28"/>
          <w:rtl w:val="true"/>
          <w:lang w:bidi="ar-SA"/>
        </w:rPr>
        <w:t>و كيف يجوّز أحد أنّ غير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بيته حاضر، و لعلّه لم يسافر مدّة عمره و ما فارق بيته و منزله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الواجب عليه القصر دون التمام؟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فساد ما قال بعض الفقهاء من أنّ الملك شرط في الوطن </w:t>
      </w:r>
      <w:r>
        <w:rPr>
          <w:rStyle w:val="FootnoteAnchor"/>
          <w:rtl w:val="true"/>
        </w:rPr>
        <w:footnoteReference w:id="1193"/>
      </w:r>
      <w:r>
        <w:rPr>
          <w:rFonts w:ascii="Amiri" w:hAnsi="Amiri" w:eastAsia="Amiri" w:cs="Amiri"/>
          <w:color w:val="111111"/>
          <w:sz w:val="28"/>
          <w:sz w:val="28"/>
          <w:szCs w:val="28"/>
          <w:rtl w:val="true"/>
          <w:lang w:bidi="ar-SA"/>
        </w:rPr>
        <w:t>، بل من تأمّل أبواب القصر و الإتمام و أحكامهما في الصلاة علم أنّ غالب الأخبار</w:t>
      </w:r>
    </w:p>
    <w:p>
      <w:pPr>
        <w:pStyle w:val="BookText"/>
        <w:rPr/>
      </w:pPr>
      <w:r>
        <w:rPr>
          <w:rFonts w:ascii="Amiri" w:hAnsi="Amiri" w:eastAsia="Amiri" w:cs="Amiri"/>
          <w:color w:val="111111"/>
          <w:sz w:val="28"/>
          <w:sz w:val="28"/>
          <w:szCs w:val="28"/>
          <w:rtl w:val="true"/>
          <w:lang w:bidi="ar-SA"/>
        </w:rPr>
        <w:t>الواردة فيها تنادي بفساد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أخبار هذا الباب، فمنها ما تدلّ على الإتمام في الملك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بعض، على ما سمعت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تدلّ على أنّ الملكيّة شرط،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 غير أرضك فقصّر</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لا يدلّ على الاشتراط؛ لأنّ الراوي سأل عن حال من خرج من بيته، و سافر جزما، و تحقّقت شرائط السفر الذي يقصّر فيه، أنّه إذا اتّفق أن يكون في عرض مسافة أرضه و ملكه الذي ملكه، هل حاله حال غير أرضه أم لا؟</w:t>
      </w:r>
    </w:p>
    <w:p>
      <w:pPr>
        <w:pStyle w:val="BookText"/>
        <w:rPr/>
      </w:pPr>
      <w:r>
        <w:rPr>
          <w:rFonts w:ascii="Amiri" w:hAnsi="Amiri" w:eastAsia="Amiri" w:cs="Amiri"/>
          <w:color w:val="111111"/>
          <w:sz w:val="28"/>
          <w:sz w:val="28"/>
          <w:szCs w:val="28"/>
          <w:rtl w:val="true"/>
          <w:lang w:bidi="ar-SA"/>
        </w:rPr>
        <w:t>فأجيب بأنّه ليس حاله حاله، بل الرواية مشيرة إلى عدم الاشتراط؛ فإنّ وطن الرجل غير أرضه،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هذه الأخبار معارضة بما دلّ على عدم جواز الإتمام في الملك إلّا بعد الاستيطان </w:t>
      </w:r>
      <w:r>
        <w:rPr>
          <w:rStyle w:val="FootnoteAnchor"/>
          <w:rtl w:val="true"/>
        </w:rPr>
        <w:footnoteReference w:id="1197"/>
      </w:r>
      <w:r>
        <w:rPr>
          <w:rFonts w:ascii="Amiri" w:hAnsi="Amiri" w:eastAsia="Amiri" w:cs="Amiri"/>
          <w:color w:val="111111"/>
          <w:sz w:val="28"/>
          <w:sz w:val="28"/>
          <w:szCs w:val="28"/>
          <w:rtl w:val="true"/>
          <w:lang w:bidi="ar-SA"/>
        </w:rPr>
        <w:t xml:space="preserve">، فإمّا أن تكون مقيّدة بالاستيطان، أو تكون مبنيّة على الاتّقاء من العامّة، و لذا أمروا بالإتمام في ضياع بني العمّ </w:t>
      </w:r>
      <w:r>
        <w:rPr>
          <w:rStyle w:val="FootnoteAnchor"/>
          <w:rtl w:val="true"/>
        </w:rPr>
        <w:footnoteReference w:id="1198"/>
      </w:r>
      <w:r>
        <w:rPr>
          <w:rFonts w:ascii="IRNazanin" w:hAnsi="IRNazanin" w:eastAsia="IRNazanin"/>
          <w:color w:val="111111"/>
          <w:sz w:val="28"/>
          <w:sz w:val="28"/>
          <w:szCs w:val="28"/>
          <w:rtl w:val="true"/>
          <w:lang w:bidi="fa-IR"/>
        </w:rPr>
        <w:t>، و هذا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التخيير لا وجه له، و لم يقل به أحد و لا اشير إلى كونه وجه جمع أصلا، بل هو أمر غريب بالنسبة إلى الأخبار و كلام الفقهاء جميعا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البقباق </w:t>
      </w:r>
      <w:r>
        <w:rPr>
          <w:rStyle w:val="FootnoteAnchor"/>
          <w:rtl w:val="true"/>
        </w:rPr>
        <w:footnoteReference w:id="1199"/>
      </w:r>
      <w:r>
        <w:rPr>
          <w:rFonts w:ascii="Amiri" w:hAnsi="Amiri" w:eastAsia="Amiri" w:cs="Amiri"/>
          <w:color w:val="111111"/>
          <w:sz w:val="28"/>
          <w:sz w:val="28"/>
          <w:szCs w:val="28"/>
          <w:rtl w:val="true"/>
          <w:lang w:bidi="ar-SA"/>
        </w:rPr>
        <w:t>، فلا إشارة فيها إلى الملك أصلا، بل الظاهر منها كون المنزل و البيت بيت بعض أهله، فإن وجب مراعاة الفتاوى فسد ما احتمله من التخيير البتّة، و إلّا فلا وجه للحمل على خلاف ظاهره أصلا؛ لجواز أن يكون</w:t>
      </w:r>
    </w:p>
    <w:p>
      <w:pPr>
        <w:pStyle w:val="BookText"/>
        <w:rPr/>
      </w:pPr>
      <w:r>
        <w:rPr>
          <w:rFonts w:ascii="Amiri" w:hAnsi="Amiri" w:eastAsia="Amiri" w:cs="Amiri"/>
          <w:color w:val="111111"/>
          <w:sz w:val="28"/>
          <w:sz w:val="28"/>
          <w:szCs w:val="28"/>
          <w:rtl w:val="true"/>
          <w:lang w:bidi="ar-SA"/>
        </w:rPr>
        <w:t xml:space="preserve">التخيير في النزول على بعض الأهل، كما صرّح بالإتمام في ضياع بني العمّ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مراعاة الفتاوى يكون الحمل على الاتّقاء متعيّنا، كما في ضياع بني العمّ، و لا يخفى على المتأمّل في أحاديث مبحث القصر قرب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صحيحة ابن بزيع </w:t>
      </w:r>
      <w:r>
        <w:rPr>
          <w:rStyle w:val="FootnoteAnchor"/>
          <w:rtl w:val="true"/>
        </w:rPr>
        <w:footnoteReference w:id="1201"/>
      </w:r>
      <w:r>
        <w:rPr>
          <w:rFonts w:ascii="Amiri" w:hAnsi="Amiri" w:eastAsia="Amiri" w:cs="Amiri"/>
          <w:color w:val="111111"/>
          <w:sz w:val="28"/>
          <w:sz w:val="28"/>
          <w:szCs w:val="28"/>
          <w:rtl w:val="true"/>
          <w:lang w:bidi="ar-SA"/>
        </w:rPr>
        <w:t>، و ما ماثلها، فلا دلالة فيها على الاشتراط؛ لأنّ المنزل أعمّ من الملك لغة و عرفا، مع أنّه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هل يقصّر في ضيعته؟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يكن فيها وطن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ما لم يكن ملك له يستوطنه،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إضافة الضيعة إلى صاحبها، فلا إشارة فيها إلى اشتراط الملك بوجه من الوجوه؛ و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الفطحيّة </w:t>
      </w:r>
      <w:r>
        <w:rPr>
          <w:rStyle w:val="FootnoteAnchor"/>
          <w:rtl w:val="true"/>
        </w:rPr>
        <w:footnoteReference w:id="1202"/>
      </w:r>
      <w:r>
        <w:rPr>
          <w:rFonts w:ascii="Amiri" w:hAnsi="Amiri" w:eastAsia="Amiri" w:cs="Amiri"/>
          <w:color w:val="111111"/>
          <w:sz w:val="28"/>
          <w:sz w:val="28"/>
          <w:szCs w:val="28"/>
          <w:rtl w:val="true"/>
          <w:lang w:bidi="ar-SA"/>
        </w:rPr>
        <w:t>، ففيها أنّها تنادي بعدم اعتبار الاستيطان المخالفة للأدلّة القطعيّة التي أشرنا إليها، فحملها على الاتّقاء متعيّن،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في جميع ما دلّ على الإتمام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مالك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 بقرية فيها أهله أو ماله أتمّ، إذا أراد أن يقيم فيها يوما أو ليلة </w:t>
      </w:r>
      <w:r>
        <w:rPr>
          <w:rStyle w:val="FootnoteAnchor"/>
          <w:rtl w:val="true"/>
        </w:rPr>
        <w:footnoteReference w:id="1203"/>
      </w:r>
      <w:r>
        <w:rPr>
          <w:rFonts w:ascii="Amiri" w:hAnsi="Amiri" w:eastAsia="Amiri" w:cs="Amiri"/>
          <w:color w:val="111111"/>
          <w:sz w:val="28"/>
          <w:sz w:val="28"/>
          <w:szCs w:val="28"/>
          <w:rtl w:val="true"/>
          <w:lang w:bidi="ar-SA"/>
        </w:rPr>
        <w:t>، فاعتبر مطلق المال، و مذهبه هو المذهب المشهور و المتداول في زمان صدور هذه الأخبار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خالي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جماعة من العامّة، و نقل عن شرح السنّة،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 على من أمعن النظر فيها أنّ المعصومين عليهم السّلام أمروا بالإتمام لأجل الملكيّة، و من جهة الملكيّة، لا التوطّن، و أنّ الأخبار المعارضة إنّما يكون نظرها ردّ هذا المذهب و منع هذا الأمر، و أنّ السائلين إنّما كانوا يسألون عن هذا المعنى، و كانوا عليهم السّلام يجيبونهم عن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تقييدها بالاستيطان لأجل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لأنّ النخلة لا تستوطن و لا يمكن استيطانها، و لا ينفع استيطان ما تحتها ممّا هو ملك الغير؛ لأنّه ليس استيطان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يظهر منها اعتبار الملك بحصول 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يجوز الإتمام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حين الإتمام متوطّنا فيه، بل الشارع جعله وطنا له، لا أنّ الوطن منحصر فيه، فلا يدلّ على اشتراط الملكيّة أصلا و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يظهر منها اشتراط الملكيّة فلا بدّ من حملها و توجيهها و القول بأنّ روايات عمّار مشوّشة مضطربة غالبا؛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الاستاذ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الأخبار وجد أنّ الإتمام دائر مع التوطّن، من غير مدخليّة للملكيّة، و حمل استيطان الستّة على حصول الوطن العرفي غالبا به، إذا لم يكن الوطن الدائمي الذي جميع الأوقات هو فيه، و يكون منشأ للاشتباه في كونه أيضا من جملة الوطن الذي حكم الشارع بالإتمام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إذا توطّن في موضع كلّ سنة ستّة أشهر هو أيضا وطنه، و أقلّ ما يتحقّق به الوطن غالبا هو هذا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الأخبار الدالّة على اعتبار الملكيّة في غاية الظهور في عدم اشتراط الإقامة عشرة أيّام، و لا اشتراط للتوطّن، مع أنّ ناوي الإقامة؛ عليه التمام مطلقا، من غير مدخليّة الملك، و كذا من كان في وطنه؛ لأنّه غير مسافر، و القصر لا يجب</w:t>
      </w:r>
    </w:p>
    <w:p>
      <w:pPr>
        <w:pStyle w:val="BookText"/>
        <w:rPr/>
      </w:pPr>
      <w:r>
        <w:rPr>
          <w:rFonts w:ascii="Amiri" w:hAnsi="Amiri" w:eastAsia="Amiri" w:cs="Amiri"/>
          <w:color w:val="111111"/>
          <w:sz w:val="28"/>
          <w:sz w:val="28"/>
          <w:szCs w:val="28"/>
          <w:rtl w:val="true"/>
          <w:lang w:bidi="ar-SA"/>
        </w:rPr>
        <w:t>إلّا بشرط السفر، و كون المكلّف غير حاضر، و كونه في غير وطنه، فمع أحد الضدّين يكون الملك لغوا،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حاجة لما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بين الأخبار بتقيّد ما دلّ على اعتبار الملك بمن نيّته إقامة العشرة، أو كون الملك وطنه </w:t>
      </w:r>
      <w:r>
        <w:rPr>
          <w:rStyle w:val="FootnoteAnchor"/>
          <w:rtl w:val="true"/>
        </w:rPr>
        <w:footnoteReference w:id="1206"/>
      </w:r>
      <w:r>
        <w:rPr>
          <w:rFonts w:ascii="Amiri" w:hAnsi="Amiri" w:eastAsia="Amiri" w:cs="Amiri"/>
          <w:color w:val="111111"/>
          <w:sz w:val="28"/>
          <w:sz w:val="28"/>
          <w:szCs w:val="28"/>
          <w:rtl w:val="true"/>
          <w:lang w:bidi="ar-SA"/>
        </w:rPr>
        <w:t xml:space="preserve">، مع ما عرفت من أنّ ناوي الإقامة و المتوطّن؛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يكونا في ملكهم، و لا مدخليّة للملك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يجب علينا ترك العمل بهذه الأخبار من وجوه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لما عليه الشيعة؛ حيث 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 اشتهر بين الأصحاب، و دع الشاذّ النادر</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موافقتها لمذهب العامّة، و قد ورد في الأخبار المتواترة وجوب ترك العمل بمثلها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لظاهر القرآن </w:t>
      </w:r>
      <w:r>
        <w:rPr>
          <w:rStyle w:val="FootnoteAnchor"/>
          <w:rtl w:val="true"/>
        </w:rPr>
        <w:footnoteReference w:id="1209"/>
      </w:r>
      <w:r>
        <w:rPr>
          <w:rFonts w:ascii="Amiri" w:hAnsi="Amiri" w:eastAsia="Amiri" w:cs="Amiri"/>
          <w:color w:val="111111"/>
          <w:sz w:val="28"/>
          <w:sz w:val="28"/>
          <w:szCs w:val="28"/>
          <w:rtl w:val="true"/>
          <w:lang w:bidi="ar-SA"/>
        </w:rPr>
        <w:t>من القصر على المسافر مطلقا و إن كان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مخالفتها للعمومات الدالّة على وجوب القصر على المسافر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للأخبار الدالّة على أنّ المعتبر هو التوطّن لا الملك، مع كونها معمولة بها عند الشيعة، و مخالفة للتقيّة، و موافقة للقرآن و الأخبار المتواترة، و هذه الأخبار واضحة الدلالة في عدم اعتبار الملك مع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توهّم بعضهم في رواية ابن بزيع أنّها تدلّ على اشتراط الملكيّة، كما تدلّ على اشتراط التوطّن؛ حيث قال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له فيها منزل يستوطنه</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إذ المتبادر من المنزل و كونه له؛ أن يكون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التوهّم فاسد؛ لأنّ ابن بزيع سأل عن رجل يقصّر في ضيعته و ملكه،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ابن بزيع في نظره أنّ ذلك غير جائز و حرام، و المعروف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القصر، لكن من جهة عدم اليقين في ذلك سأل عن حاله، فأجاب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منع و لا حرمة فيه كما يتخيّل من نظائره، ثمّ أظهر عليه السّلام بأنّ المنع إنّما هو في خصوص قصد الإقامة، أو يكون له منزل يستوطنه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مثل الأخبار السابقة صريح في أنّ الملك لا عبرة به أصلا، بل لا بدّ مع كونه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منزل له يستوطنه،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الملكيّة،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المنزل مع كون الضيعة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ينادي بأنّ الملكيّة ليست بشرط، إنّما هي فرض فرضها الراوي، و المعصوم عليه السّلام لم يشترط هذا الفرض، بل اشترط مع وجود هذا الفرض أمرا اخر، و هو المنزل له، و غير مأخوذ في المنزل كونه ملكا، و ليس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لأنّ الظاهر أنّ المنزل من جملة الضيعة، و الضيعة ملك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له في ملكه، و من جملة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فإذا كان الكلّ ملكا، فاللام للاختصاص، و على فرض كونه للملك لا يفيد الاشتراط؛ لأنّ الراوي فرض الملكيّة،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 جملة ما فرضت منزل، فعلى تقدير أن يكون هذا المنزل ملكا له لا يفيد اشتراط ملكيّته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يفيد</w:t>
      </w:r>
      <w:bookmarkStart w:id="446" w:name="pg2470_12600"/>
    </w:p>
    <w:p>
      <w:pPr>
        <w:pStyle w:val="BookText"/>
        <w:rPr/>
      </w:pPr>
      <w:bookmarkEnd w:id="446"/>
      <w:r>
        <w:rPr>
          <w:rFonts w:ascii="Amiri" w:hAnsi="Amiri" w:eastAsia="Amiri" w:cs="Amiri"/>
          <w:color w:val="111111"/>
          <w:sz w:val="28"/>
          <w:sz w:val="28"/>
          <w:szCs w:val="28"/>
          <w:rtl w:val="true"/>
          <w:lang w:bidi="ar-SA"/>
        </w:rPr>
        <w:t>اشتراط منزليّته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شكّ في أنّ المعصوم عليه السّلام اشترط المنزليّة، لا أنّه اشترط الملكيّة، و هذا واضح بحمد اللّه، مع أنّ المعصوم عليه السّلام اشترط للإتمام نيّة الإقامة و الاستيطان، و كلّ منهما مستقلّ في علّية الإتمام، غير شرط الملك، كما عرفت</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601596_3804643083"/>
      <w:bookmarkStart w:id="448" w:name="_Toc166"/>
      <w:bookmarkEnd w:id="447"/>
      <w:r>
        <w:rPr>
          <w:rtl w:val="true"/>
        </w:rPr>
        <w:t>[</w:t>
      </w:r>
      <w:r>
        <w:rPr>
          <w:rtl w:val="true"/>
        </w:rPr>
        <w:t>باب من كان السفر عمله أو منزله معه</w:t>
      </w:r>
      <w:r>
        <w:rPr>
          <w:rtl w:val="true"/>
        </w:rPr>
        <w:t>]</w:t>
      </w:r>
      <w:bookmarkEnd w:id="4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لا يقصّرون، و ذلك أنّ منازلهم معهم</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محاسنه عن أبيه، عن سليمان الجعفري، عمّن ذكره،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سافر فعليه القصر و الإفطار غير الملّاح، فإنّه في بيته، و هو يتردّد حيث شاء</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3601598_3804643083"/>
      <w:bookmarkStart w:id="450" w:name="_Toc167"/>
      <w:bookmarkEnd w:id="449"/>
      <w:r>
        <w:rPr>
          <w:rtl w:val="true"/>
        </w:rPr>
        <w:t>[</w:t>
      </w:r>
      <w:r>
        <w:rPr>
          <w:rtl w:val="true"/>
        </w:rPr>
        <w:t>باب من كان سفره باطلا</w:t>
      </w:r>
      <w:r>
        <w:rPr>
          <w:rtl w:val="true"/>
        </w:rPr>
        <w:t>]</w:t>
      </w:r>
      <w:bookmarkEnd w:id="4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مسافرا ممّن يجب عليه التقصير مال من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لوجب عليه التمام؛ لطلب الصيد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دلالة على عدم اشتراط حدّ الترخّص للقصر في مثل هذه الصورة، و على عدم اشتراط قصد المسافة فيما بقي، بل يكفي كون المجموع مسافة، كما اختاره</w:t>
      </w:r>
      <w:bookmarkStart w:id="451" w:name="pg2470_12601"/>
    </w:p>
    <w:p>
      <w:pPr>
        <w:pStyle w:val="BookText"/>
        <w:rPr/>
      </w:pPr>
      <w:bookmarkEnd w:id="451"/>
      <w:r>
        <w:rPr>
          <w:rFonts w:ascii="IRNazanin" w:hAnsi="IRNazanin" w:eastAsia="IRNazanin"/>
          <w:color w:val="111111"/>
          <w:sz w:val="28"/>
          <w:sz w:val="28"/>
          <w:szCs w:val="28"/>
          <w:rtl w:val="true"/>
          <w:lang w:bidi="fa-IR"/>
        </w:rPr>
        <w:t xml:space="preserve">بعض </w:t>
      </w:r>
      <w:r>
        <w:rPr>
          <w:rStyle w:val="FootnoteAnchor"/>
          <w:rtl w:val="true"/>
        </w:rPr>
        <w:footnoteReference w:id="1215"/>
      </w:r>
      <w:r>
        <w:rPr>
          <w:rFonts w:ascii="Amiri" w:hAnsi="Amiri" w:eastAsia="Amiri" w:cs="Amiri"/>
          <w:color w:val="111111"/>
          <w:sz w:val="28"/>
          <w:sz w:val="28"/>
          <w:szCs w:val="28"/>
          <w:rtl w:val="true"/>
          <w:lang w:bidi="ar-SA"/>
        </w:rPr>
        <w:t>، لكن الدلالة و السند ضعيفان</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3601600_3804643083"/>
      <w:bookmarkStart w:id="453" w:name="_Toc168"/>
      <w:bookmarkEnd w:id="452"/>
      <w:r>
        <w:rPr>
          <w:rtl w:val="true"/>
        </w:rPr>
        <w:t>[</w:t>
      </w:r>
      <w:r>
        <w:rPr>
          <w:rtl w:val="true"/>
        </w:rPr>
        <w:t>باب إتمام الصلاة في الحرم الأربعة</w:t>
      </w:r>
      <w:r>
        <w:rPr>
          <w:rtl w:val="true"/>
        </w:rPr>
        <w:t>]</w:t>
      </w:r>
      <w:bookmarkEnd w:id="4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أسأله عن إتمام الصلاة في الحرمين،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يحبّ إكثار الصلاة في الحرمين، فأكثر فيهما و أتمّ</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الأئمّة عليهم السّلام أمرونا بمراعاة قواعد في الأخبار المتعارضة، و أوجبوا علينا التمسّك بها، و المدار في الفقه على ذلك، و أنّ قاعدة واحدة تكفي، فضلا عن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كتاب اللّه تعالى، و قد عرفت أنّ مقتضاه وجوب القصر مطلقا، بعد تفسير أهل البيت عليهم السّلام، و لا شكّ في أنّ جواز الإتمام مخالف له، فوجب علينا ضربه على الحائط، و عدم اعتباره أصلا بمقتضى الأخبار المتواترة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على سائر أحاديثهم عليهم السّلام فإن وافقها يؤخذ به، و لا شكّ في أنّ سائر أحاديثهم وجوب القصر مطلقا على المسافر، و بالغوا في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الشهرة بين الأصحاب؛ إذ يظهر من صحيحة علي بن</w:t>
      </w:r>
    </w:p>
    <w:p>
      <w:pPr>
        <w:pStyle w:val="BookText"/>
        <w:rPr/>
      </w:pPr>
      <w:r>
        <w:rPr>
          <w:rFonts w:ascii="Amiri" w:hAnsi="Amiri" w:eastAsia="Amiri" w:cs="Amiri"/>
          <w:color w:val="111111"/>
          <w:sz w:val="28"/>
          <w:sz w:val="28"/>
          <w:szCs w:val="28"/>
          <w:rtl w:val="true"/>
          <w:lang w:bidi="ar-SA"/>
        </w:rPr>
        <w:t xml:space="preserve">مهزيار </w:t>
      </w:r>
      <w:r>
        <w:rPr>
          <w:rStyle w:val="FootnoteAnchor"/>
          <w:rtl w:val="true"/>
        </w:rPr>
        <w:footnoteReference w:id="1218"/>
      </w:r>
      <w:r>
        <w:rPr>
          <w:rFonts w:ascii="Amiri" w:hAnsi="Amiri" w:eastAsia="Amiri" w:cs="Amiri"/>
          <w:color w:val="111111"/>
          <w:sz w:val="28"/>
          <w:sz w:val="28"/>
          <w:szCs w:val="28"/>
          <w:rtl w:val="true"/>
          <w:lang w:bidi="ar-SA"/>
        </w:rPr>
        <w:t>، و غيرها أنّ القصر كان هو المشهور بين أصحاب الراوي و المعصوم عليه السّلام، و العبرة بهذه الشهرة، لا شهرة المتأخّرين عنهم، إلّا أن تكون شهرتهم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شهرة أصحاب الراوي التي لم يرد النصّ إلّا باعتبارها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أنّه سأل أيّوب بن نوح عن تقصير الصلاة في هذه الأماكن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و صفوان يقصّر، و ابن أبي عمير و جميع أصحابنا يقصّرون </w:t>
      </w:r>
      <w:r>
        <w:rPr>
          <w:rStyle w:val="FootnoteAnchor"/>
          <w:rtl w:val="true"/>
        </w:rPr>
        <w:footnoteReference w:id="1219"/>
      </w:r>
      <w:r>
        <w:rPr>
          <w:rFonts w:ascii="Amiri" w:hAnsi="Amiri" w:eastAsia="Amiri" w:cs="Amiri"/>
          <w:color w:val="111111"/>
          <w:sz w:val="28"/>
          <w:sz w:val="28"/>
          <w:szCs w:val="28"/>
          <w:rtl w:val="true"/>
          <w:lang w:bidi="ar-SA"/>
        </w:rPr>
        <w:t>، و الأئمّة عليهم السّلام أمروا بالأخذ بالشهرة بين الأصحاب الذين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ذكروا في وجوب القصر تشمل المقام، و كذا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تصدّق، و هل يرضى أحد أن تردّ عليه صدقته؟</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من الأخبار الصريحة في أنّ تجويز الإتمام كان اتّقاء على الشيعة، و إلّا فهذه الأماكن مثل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لما لا يمكن توجيهه، مثل صحيحة أبي ولّاد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العامّة، حيث أمروا عليهم السّلام بترك ما وافق قولهم </w:t>
      </w:r>
      <w:r>
        <w:rPr>
          <w:rStyle w:val="FootnoteAnchor"/>
          <w:rtl w:val="true"/>
        </w:rPr>
        <w:footnoteReference w:id="1222"/>
      </w:r>
      <w:r>
        <w:rPr>
          <w:rFonts w:ascii="Amiri" w:hAnsi="Amiri" w:eastAsia="Amiri" w:cs="Amiri"/>
          <w:color w:val="111111"/>
          <w:sz w:val="28"/>
          <w:sz w:val="28"/>
          <w:szCs w:val="28"/>
          <w:rtl w:val="true"/>
          <w:lang w:bidi="ar-SA"/>
        </w:rPr>
        <w:t xml:space="preserve">، و أنّه خطأ، و لا شكّ في أنّ قولهم عدم وجوب القصر، و وجوب القصر مخالف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رشدا واجب الاتّباع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قيل من أنّ جواز التمام في خصوص الأماكن الأربعة ليس موافقا لرأي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الموافق مطلق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قطعا؛ لأنّ وجوب القصر في هذه الأماكن</w:t>
      </w:r>
    </w:p>
    <w:p>
      <w:pPr>
        <w:pStyle w:val="BookText"/>
        <w:rPr/>
      </w:pPr>
      <w:r>
        <w:rPr>
          <w:rFonts w:ascii="Amiri" w:hAnsi="Amiri" w:eastAsia="Amiri" w:cs="Amiri"/>
          <w:color w:val="111111"/>
          <w:sz w:val="28"/>
          <w:sz w:val="28"/>
          <w:szCs w:val="28"/>
          <w:rtl w:val="true"/>
          <w:lang w:bidi="ar-SA"/>
        </w:rPr>
        <w:t>مخالف لقول العامّة بالبديهة، فالرشد فيه جزما، فيجب اتّباعه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من المقدّمات المذكورة لا يمكن التأمّل فيه جزما، و هذا القدر يكفينا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ما ورد من إباحة التمام في هذه الأماكن </w:t>
      </w:r>
      <w:r>
        <w:rPr>
          <w:rStyle w:val="FootnoteAnchor"/>
          <w:rtl w:val="true"/>
        </w:rPr>
        <w:footnoteReference w:id="1223"/>
      </w:r>
      <w:r>
        <w:rPr>
          <w:rFonts w:ascii="Amiri" w:hAnsi="Amiri" w:eastAsia="Amiri" w:cs="Amiri"/>
          <w:color w:val="111111"/>
          <w:sz w:val="28"/>
          <w:sz w:val="28"/>
          <w:szCs w:val="28"/>
          <w:rtl w:val="true"/>
          <w:lang w:bidi="ar-SA"/>
        </w:rPr>
        <w:t xml:space="preserve">، فهل هو موافق للعامّة أو مخالف؟ فكلام اخر، فنقول ما دلّ على أنّ المكلّف إن شاء أتمّ و إن شاء قصّر </w:t>
      </w:r>
      <w:r>
        <w:rPr>
          <w:rStyle w:val="FootnoteAnchor"/>
          <w:rtl w:val="true"/>
        </w:rPr>
        <w:footnoteReference w:id="1224"/>
      </w:r>
      <w:r>
        <w:rPr>
          <w:rFonts w:ascii="Amiri" w:hAnsi="Amiri" w:eastAsia="Amiri" w:cs="Amiri"/>
          <w:color w:val="111111"/>
          <w:sz w:val="28"/>
          <w:sz w:val="28"/>
          <w:szCs w:val="28"/>
          <w:rtl w:val="true"/>
          <w:lang w:bidi="ar-SA"/>
        </w:rPr>
        <w:t>، فهو عين مذهب العامّة يقينا؛ لأنّ إثبات الشي‌ء لا ينفي ما عداه، ففي كلّ موضع موضع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إلّا تفريع الجزئي على الكلّي، و الفرع على القاعدة، بل جميع ما نحمله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ذلك الحمل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ما ورد من أنّ الصلاة تقصّر في ثلاث برد و مسيرة يومين </w:t>
      </w:r>
      <w:r>
        <w:rPr>
          <w:rStyle w:val="FootnoteAnchor"/>
          <w:rtl w:val="true"/>
        </w:rPr>
        <w:footnoteReference w:id="1225"/>
      </w:r>
      <w:r>
        <w:rPr>
          <w:rFonts w:ascii="Amiri" w:hAnsi="Amiri" w:eastAsia="Amiri" w:cs="Amiri"/>
          <w:color w:val="111111"/>
          <w:sz w:val="28"/>
          <w:sz w:val="28"/>
          <w:szCs w:val="28"/>
          <w:rtl w:val="true"/>
          <w:lang w:bidi="ar-SA"/>
        </w:rPr>
        <w:t>نحمله على التقيّة؟</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يقولون بذلك في الصلاة و الصوم جميعا، لا خصوص الصلاة، فلا يمكن الحمل على التقيّة، و كذا ما لو ورد من جواز المسح على الخفّين في الحضر أو السفر نحمله على التقيّة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يقولون في السفر و الحضر، و المدار في الحمل على التقيّة على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الموافقة للعامّة و الأوفقيّة لهم مغاير لكون الشي‌ء هو هو بعينه، ألا ترى إلى رواية مسمع و ما فيها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يرى لهذين الحرمين ما لا يراه لغيرهما</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لا يصلح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يوافق التخيير في الأربعة، كيف و قد أتى</w:t>
      </w:r>
    </w:p>
    <w:p>
      <w:pPr>
        <w:pStyle w:val="BookText"/>
        <w:rPr/>
      </w:pPr>
      <w:r>
        <w:rPr>
          <w:rFonts w:ascii="Amiri" w:hAnsi="Amiri" w:eastAsia="Amiri" w:cs="Amiri"/>
          <w:color w:val="111111"/>
          <w:sz w:val="28"/>
          <w:sz w:val="28"/>
          <w:szCs w:val="28"/>
          <w:rtl w:val="true"/>
          <w:lang w:bidi="ar-SA"/>
        </w:rPr>
        <w:t xml:space="preserve">به دليلا له، و كذا الحال في غيرها من الروايات المختصّة بالحرمين، كما أتوا برواية حسين الدالّة على الثلاثة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الأخبار الدالّة على أنّ الإتمام في أربع مواطن؛ فإنّها في غاية الظهور في الاختصاص؟</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في الأخبار الدالّة على التخيير و أفضليّة الإتمام هو قول أهل السنّة، و أمّا ما ذكرت من الأخبار، فلم يظهر بعد المراد منها؛ إذ يمكن أن يكون المراد منها ما ذكره الصدوق من قصد الإقامة و الإتمام </w:t>
      </w:r>
      <w:r>
        <w:rPr>
          <w:rStyle w:val="FootnoteAnchor"/>
          <w:rtl w:val="true"/>
        </w:rPr>
        <w:footnoteReference w:id="1228"/>
      </w:r>
      <w:r>
        <w:rPr>
          <w:rFonts w:ascii="Amiri" w:hAnsi="Amiri" w:eastAsia="Amiri" w:cs="Amiri"/>
          <w:color w:val="111111"/>
          <w:sz w:val="28"/>
          <w:sz w:val="28"/>
          <w:szCs w:val="28"/>
          <w:rtl w:val="true"/>
          <w:lang w:bidi="ar-SA"/>
        </w:rPr>
        <w:t>، كما يشير إليه لفظ المذخور؛ فإنّ الذخيرة لا تناسب إلّا ذلك، لا أن يكون المراد في هذه الأماكن يختار الإتمام و إكثار الصلاة و يذخره لنفسه، فيكون اختيار الإتمام لأجل الإذخار مخصوصا بهذه الأماكن، لا نفس التخيير؛ فإنّ الاذخار و المذخور به لا يناسب التخيير أصلا و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بنيت على أنّ اختياره الإتمام من جهة أنّ له التخيير، فتصير هذه الأخبار موافقة لقول العامّة البتّة، و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مهزيار و أمثالها، ستعرف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 أنّ الإتمام من سرّ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مخزون علم اللّه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التخيير، و أنّ الإتمام على أيّ وجه من سرّ اللّه، و الذي أظهروا عليهم السّلام لنا من جهة الاتّقاء، فلعلّ هذا هو السرّ، بل هو الظاهر، فلاحظ</w:t>
      </w:r>
    </w:p>
    <w:p>
      <w:pPr>
        <w:pStyle w:val="BookText"/>
        <w:rPr/>
      </w:pPr>
      <w:r>
        <w:rPr>
          <w:rFonts w:ascii="Amiri" w:hAnsi="Amiri" w:eastAsia="Amiri" w:cs="Amiri"/>
          <w:color w:val="111111"/>
          <w:sz w:val="28"/>
          <w:sz w:val="28"/>
          <w:szCs w:val="28"/>
          <w:rtl w:val="true"/>
          <w:lang w:bidi="ar-SA"/>
        </w:rPr>
        <w:t xml:space="preserve">ما قالوا ممّا ستعرف، على أنّه على تقدير أن يكون المراد هو الإتمام بعنوان اختياره على القصر، و أنّه فرع التخيير، فيصير أفضليّة اختيار الإتمام و محبّة ذلك، و المبالغة و الاهتمام من جهة فضل الصلاة في هذه الأماكن، أو محبّة إكثار الصلاة فيها سرّ آل محمّد عليهم السّلام و مخزون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فتصير هذه الأخبار أيضا مثل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مرادنا من التقيّة هو الاتّقاء يعني كانوا عليهم السّلام، يأمرون الشيعة بالإتمام في هذه الأماكن من جهة وجود العامّة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خلوّها عنهم، إذ الحسين عليه السّلام كان أهل السنة يزورونه و يجتمعون عند مرقده، كما هو الحال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هذه الأخبار لا تخلو من ضعف في السند، أو قصور في الدلالة، أو ظهور علاج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تعني بالحرمين؟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التعليل للأمر بالإتمام فالعلّة منصوصة و هي حجّة، فيلزم أن يكون كلّ موضع في صلواته فضل أن يتمّ الصلاة فيه، و هذا فاسد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القصر واجب عندنا جزما، و الواجب كيف يرفع اليد عنه من جهة فضله، مع أنّ كثيرا من مواضع الفضل ليس فيه تمام أصلا، بل أكثر، لا سيّما لا إتمام فيه، بل كاد أن يكون كلّها، و كذا كلّ مواضع الإتمام أو جلّها ليس فيه فضل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الفرض الإلهي كيف يناسبه أن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احبّ لك أن تكثر الصلاة، فمن هذا احبّ أن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حملت على أنّ المراد الإتمام بعد الإقامة، تندفع</w:t>
      </w:r>
    </w:p>
    <w:p>
      <w:pPr>
        <w:pStyle w:val="BookText"/>
        <w:rPr/>
      </w:pPr>
      <w:r>
        <w:rPr>
          <w:rFonts w:ascii="Amiri" w:hAnsi="Amiri" w:eastAsia="Amiri" w:cs="Amiri"/>
          <w:color w:val="111111"/>
          <w:sz w:val="28"/>
          <w:sz w:val="28"/>
          <w:szCs w:val="28"/>
          <w:rtl w:val="true"/>
          <w:lang w:bidi="ar-SA"/>
        </w:rPr>
        <w:t xml:space="preserve">الحزازات، و يقال أنّها مبنيّة على طريقة أهل السنّة؛ لأنّهم عليهم السّلام كانوا يخافون من وقوع توقيعهم بيد أعدائهم، و لذا في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توقيعات يكون تقيّة، أو اضطرابا، أو حزازة، و صرّح بذلك جدّي؛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القصر و الإتمام على التخيير و فضيلة الصلاة تصير منشأ لاختيار الإتمام و إكثار الصلاة فيه،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احبّ أن يختار الإتمام، و الإكثار من الصلاة، فتكون واردة على سبيل التقيّة و الموافقة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ذكرنا، الكلام في رواية إبراهيم بن شيبة، و غيرها من الأخبار المتضمّنة بقولهم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 أن تفعل كذا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زر الطيّب و أتمّ الصلاة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يرون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الضعفة؛ الضعفاء في الدين، و فيه ما فيه؛ لما عرفت من أنّ أعاظم فقهاء الشيعة الذين ورد في جلالتهم ما لا يفيه الدفاتر كانوا متّفقين على رأي التقصير، بل هم عليهم السّلام أمروا أعاظمهم ليقصّروا، مثل محمّد بن إسماعيل بن بزيع، و معاوية بن وهب و غيرهما من أعاظم الشيعة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يضعف عن أربع ركعات، و فيه أيضا ما فيه؛ لما عرفت من أنّ كلّ الشيعة كانوا يفعلون، و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يلائمه، مع أنّ الظاهر من</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فعلهم، 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يضعف الإتمام، مع أنّه تفصيل غريب لم يقل به أحدنا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الضعفة الذين استضعفوا في الأرض، يعني الأئمّة عليهم السّلام و شيعتهم، أو لا يستطيع 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لا يجوّز الإتمام إلّا بعد قصد إقامة العشرة، فيكون إشارة إلى أنّ أمرهم عليهم السّلام بالإتمام إنّما هو بعد قصد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استتروا عليهم السّلام ذلك من الناس؛ لأنّ تخصيص بعض البلاد بالإتمام دون بعض ليس معهودا بين الناس، بل كان خلاف رأيهم </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الفعل غير القول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بعضها به دون بعض عين مذهب أهل السنّة و القول بالتخيير؛ فإنّ المخيّر ربّما يتمّ و ربّما يقصّر، سيّما إذا كان إتمامه في الحرمين؛ لفضلهما و حثّ كثرة الصلاة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في غاية البعد، بل شي‌ء لا يرضى به المتأمّل، لأنّ الناس ما كانوا يدورون معهم بحيث يلاحظون أنّهم كانوا يقصّرون في غير مكّة و يتمّون فيها من دون قصد إقامة، و ما كانوا يقصدون الإقامة في غيرها حتّى يتحقّق خلاف التقيّة، بل المناسب للتقيّة الإتمام بلا شكّ، و عدم القصر بلا تأمّل؛ فإنّ مذهبهم التخيير و أفضليّة الإتمام في أيّ مكان و مقام، إلّا أنّ غالب اختيارهم الإتمام، و كان القصر شعار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المراد أنّا نتمّ في حال الخفية أيضا، فيكون الأمر بالإتمام لأجل الناس</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أيضا تورية، و يكون مرادهم استترنا أنفسنا من الناس كي</w:t>
      </w:r>
    </w:p>
    <w:p>
      <w:pPr>
        <w:pStyle w:val="BookText"/>
        <w:rPr/>
      </w:pPr>
      <w:r>
        <w:rPr>
          <w:rFonts w:ascii="Amiri" w:hAnsi="Amiri" w:eastAsia="Amiri" w:cs="Amiri"/>
          <w:color w:val="111111"/>
          <w:sz w:val="28"/>
          <w:sz w:val="28"/>
          <w:szCs w:val="28"/>
          <w:rtl w:val="true"/>
          <w:lang w:bidi="ar-SA"/>
        </w:rPr>
        <w:t>يتلائم الأخبار،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الاستفهام الإنكاري، أي ألا كنت أنا و من مضى من آبائي أتممنا الصلاة و استترنا بهذا من الناس ليكون تصديق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المناسب؛ لأنّ هشاما كان من الثقات الأجلّة؛ ما كان يكذب، و مع ذلك ما كانوا عليهم السّلام يكذّبون أمثال هؤلاء الأعاظم بمثل هذا التكذيب، كما لا يخفى على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سيجي‌ء أنّهم عليهم السّلام صرّحوا بأنّ الإتمام الذي قلنا إنّما هو من خوف الناس، فكيف يقول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في أنّ أمرهم بالإتمام لأجل الاتّقاء على الشيعة، كما سيجي‌ء تصريحهم عليهم السّلام بذلك، مضافا إلى ظهور ذلك من الخارج أيضا بحيث لا خفاء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الحديث أيضا ربّما لا يرى المصلحة بأن يقول مرّ الحق، و تكون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البجلي أيضا بالإتمام لئلّا يجترئ على ترك التقيّة من أجمعهم في فعل مرّ الحق، و لذا رؤي عليه السّلام بأن قال ما قال، و لا يخفى على الفطن أنّه تورية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يشير إلى ذلك أنّ هذا البجلي هو الذي قال 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الصلاة في الحرمين و إن لم تصلّ إلّا صلاة</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فظهر أنّه من جملة من كان يصلّي ركعتين و يأخذ نعاله ليخرج، و الناس يستقبلونه، فكيف يتأتّى له عليه السّلام أن يظهر له ما أظهر لمعاوية بن وهب و هشام؟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ينبّه على ذلك أيضا أنّ العلم حاصل لنا بأنّهم حينما كانوا في مكّة كانوا ناوين الإقامة، و لو لم يحصل العلم بذلك فالظنّ لا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التقصير في الحرمين و التمام،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 حتّى تجمع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 أتمّوا بالمدينة بخمس،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أصحابكم هؤلاء كانوا يقدمون فيخرجون من المسجد عند الصلاة فكرهت ذلك لهم، فلذلك قلته</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مع أنّا نرى بالوجدان و العيان الخوف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الأماكن 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لقصد إقامة خمس، كما مرّ في صحيحة محمّد بن مسلم </w:t>
      </w:r>
      <w:r>
        <w:rPr>
          <w:rStyle w:val="FootnoteAnchor"/>
          <w:rtl w:val="true"/>
        </w:rPr>
        <w:footnoteReference w:id="1238"/>
      </w:r>
      <w:r>
        <w:rPr>
          <w:rFonts w:ascii="Amiri" w:hAnsi="Amiri" w:eastAsia="Amiri" w:cs="Amiri"/>
          <w:color w:val="111111"/>
          <w:sz w:val="28"/>
          <w:sz w:val="28"/>
          <w:szCs w:val="28"/>
          <w:rtl w:val="true"/>
          <w:lang w:bidi="ar-SA"/>
        </w:rPr>
        <w:t xml:space="preserve">، 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من أنّ المراد منه إقامة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من هذا أنّ حكمهم بالإتمام بقصد إقامة خمس تقيّة و اتّقاء لأمر الحقّ، كما يظهر من رواية ابن مسلم الماضية في أيّام عزم الإقامة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ذلك بخمس أنفس، أو المراد في الصلوات الخمس،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من حصل بالحرمين ينبغي له أن يعزم على مقام عشرة أيّام و يتمّ الصلاة فيهما </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مراد الشيخ </w:t>
      </w:r>
      <w:r>
        <w:rPr>
          <w:rStyle w:val="FootnoteAnchor"/>
          <w:rtl w:val="true"/>
        </w:rPr>
        <w:footnoteReference w:id="1241"/>
      </w:r>
      <w:r>
        <w:rPr>
          <w:rFonts w:ascii="Amiri" w:hAnsi="Amiri" w:eastAsia="Amiri" w:cs="Amiri"/>
          <w:color w:val="111111"/>
          <w:sz w:val="28"/>
          <w:sz w:val="28"/>
          <w:szCs w:val="28"/>
          <w:rtl w:val="true"/>
          <w:lang w:bidi="ar-SA"/>
        </w:rPr>
        <w:t>أنّ التوالي في العشرة ليس بشرط في هذين الموضعين؛ لأنّ المتبادر من العشرة هي المتوالية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يشترط التوالي في العشرة، بحيث لا يخرج بينها إلى محلّ الترخّص أم لا؟ </w:t>
      </w:r>
      <w:r>
        <w:rPr>
          <w:rStyle w:val="FootnoteAnchor"/>
          <w:rtl w:val="true"/>
        </w:rPr>
        <w:footnoteReference w:id="124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قدم مكّة، فأقام على إحرامه،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فليقصّر الصلاة ما دام محرما</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أيضا دليل الصدوق </w:t>
      </w:r>
      <w:r>
        <w:rPr>
          <w:rStyle w:val="FootnoteAnchor"/>
          <w:rtl w:val="true"/>
        </w:rPr>
        <w:footnoteReference w:id="1244"/>
      </w:r>
      <w:r>
        <w:rPr>
          <w:rFonts w:ascii="Amiri" w:hAnsi="Amiri" w:eastAsia="Amiri" w:cs="Amiri"/>
          <w:color w:val="111111"/>
          <w:sz w:val="28"/>
          <w:sz w:val="28"/>
          <w:szCs w:val="28"/>
          <w:rtl w:val="true"/>
          <w:lang w:bidi="ar-SA"/>
        </w:rPr>
        <w:t>، 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ينوي الإقامة؛ لأنّه يريد الذهاب إلى عرفات</w:t>
      </w:r>
      <w:r>
        <w:rPr>
          <w:rFonts w:eastAsia="Amiri" w:cs="Amiri" w:ascii="Amiri" w:hAnsi="Amiri"/>
          <w:color w:val="111111"/>
          <w:sz w:val="28"/>
          <w:szCs w:val="28"/>
          <w:rtl w:val="true"/>
          <w:lang w:bidi="ar-SA"/>
        </w:rPr>
        <w:t>.</w:t>
      </w:r>
      <w:bookmarkStart w:id="454" w:name="pg2470_12611"/>
    </w:p>
    <w:p>
      <w:pPr>
        <w:pStyle w:val="Heading3"/>
        <w:numPr>
          <w:ilvl w:val="2"/>
          <w:numId w:val="1"/>
        </w:numPr>
        <w:rPr/>
      </w:pPr>
      <w:bookmarkStart w:id="455" w:name="__RefHeading___Toc3601602_3804643083"/>
      <w:bookmarkStart w:id="456" w:name="_Toc169"/>
      <w:bookmarkEnd w:id="454"/>
      <w:bookmarkEnd w:id="455"/>
      <w:r>
        <w:rPr>
          <w:rtl w:val="true"/>
        </w:rPr>
        <w:t>[</w:t>
      </w:r>
      <w:r>
        <w:rPr>
          <w:rtl w:val="true"/>
        </w:rPr>
        <w:t>أبواب مواقيت الصلاة</w:t>
      </w:r>
      <w:r>
        <w:rPr>
          <w:rtl w:val="true"/>
        </w:rPr>
        <w:t>]</w:t>
      </w:r>
      <w:bookmarkEnd w:id="456"/>
    </w:p>
    <w:p>
      <w:pPr>
        <w:pStyle w:val="Heading4"/>
        <w:numPr>
          <w:ilvl w:val="3"/>
          <w:numId w:val="1"/>
        </w:numPr>
        <w:rPr/>
      </w:pPr>
      <w:bookmarkStart w:id="457" w:name="__RefHeading___Toc3601604_3804643083"/>
      <w:bookmarkStart w:id="458" w:name="_Toc170"/>
      <w:bookmarkEnd w:id="457"/>
      <w:r>
        <w:rPr>
          <w:rtl w:val="true"/>
        </w:rPr>
        <w:t>[</w:t>
      </w:r>
      <w:r>
        <w:rPr>
          <w:rtl w:val="true"/>
        </w:rPr>
        <w:t>باب أنّ علامة تمام استتار القرص ذهاب الحمرة من المشرق</w:t>
      </w:r>
      <w:r>
        <w:rPr>
          <w:rtl w:val="true"/>
        </w:rPr>
        <w:t>]</w:t>
      </w:r>
      <w:bookmarkEnd w:id="4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كفى استتار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الوقت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ربّما يظهر من بعض الأخبار الآتية أنّ ما ورد من الاكتفاء بمجرّد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بعنوان التقيّة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3601606_3804643083"/>
      <w:bookmarkStart w:id="460" w:name="_Toc171"/>
      <w:bookmarkEnd w:id="459"/>
      <w:r>
        <w:rPr>
          <w:rtl w:val="true"/>
        </w:rPr>
        <w:t>[</w:t>
      </w:r>
      <w:r>
        <w:rPr>
          <w:rtl w:val="true"/>
        </w:rPr>
        <w:t>باب تأخير المغرب عن استتار القرص للاحتياط</w:t>
      </w:r>
      <w:r>
        <w:rPr>
          <w:rtl w:val="true"/>
        </w:rPr>
        <w:t>]</w:t>
      </w:r>
      <w:bookmarkEnd w:id="4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بالمغرب قليلا؛ فإنّ الشمس تغيب من عندكم قبل أن تغيب من عندنا</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أنّ أرض الكوفة، من حيث كونها خالية عن الجبال و التلال و استوائها، إذا غاب قرص الشمس يتحقّق بمجرّد ذلك غيبوبتها، بخلاف أرض</w:t>
      </w:r>
    </w:p>
    <w:p>
      <w:pPr>
        <w:pStyle w:val="BookText"/>
        <w:rPr/>
      </w:pPr>
      <w:r>
        <w:rPr>
          <w:rFonts w:ascii="Amiri" w:hAnsi="Amiri" w:eastAsia="Amiri" w:cs="Amiri"/>
          <w:color w:val="111111"/>
          <w:sz w:val="28"/>
          <w:sz w:val="28"/>
          <w:szCs w:val="28"/>
          <w:rtl w:val="true"/>
          <w:lang w:bidi="ar-SA"/>
        </w:rPr>
        <w:t xml:space="preserve">الحجاز خصوصا مكّة و المدينة، فإنّ الشمس إذا غابت فيها لا يتحقّق بمجرّد ذلك غيبوبة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 التلال،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الشمس بالمرّة،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عن نظرنا، عند ما يكون على وجه الأرض و الموضع المنخفض،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بالمرتفع نرى الشمس بأعيننا، و نحن في أرضنا، فلو كان المرتفع في الكوفة لكان يظهر عليهم أيضا أنّ الشمس لم تغب عنهم بالمرّة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مراعاة هذا المعنى أولى و أحوط على ما يظهر من بعض الأخبار </w:t>
      </w:r>
      <w:r>
        <w:rPr>
          <w:rStyle w:val="FootnoteAnchor"/>
          <w:rtl w:val="true"/>
        </w:rPr>
        <w:footnoteReference w:id="1248"/>
      </w:r>
      <w:r>
        <w:rPr>
          <w:rFonts w:ascii="Amiri" w:hAnsi="Amiri" w:eastAsia="Amiri" w:cs="Amiri"/>
          <w:color w:val="111111"/>
          <w:sz w:val="28"/>
          <w:sz w:val="28"/>
          <w:szCs w:val="28"/>
          <w:rtl w:val="true"/>
          <w:lang w:bidi="ar-SA"/>
        </w:rPr>
        <w:t xml:space="preserve">، أو متعيّن، كما يقول المشهور </w:t>
      </w:r>
      <w:r>
        <w:rPr>
          <w:rStyle w:val="FootnoteAnchor"/>
          <w:rtl w:val="true"/>
        </w:rPr>
        <w:footnoteReference w:id="1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المعارض على التقيّة أو الاتّقاء، كما يشير إليه رواية جارود </w:t>
      </w:r>
      <w:r>
        <w:rPr>
          <w:rStyle w:val="FootnoteAnchor"/>
          <w:rtl w:val="true"/>
        </w:rPr>
        <w:footnoteReference w:id="1250"/>
      </w:r>
      <w:r>
        <w:rPr>
          <w:rFonts w:ascii="Amiri" w:hAnsi="Amiri" w:eastAsia="Amiri" w:cs="Amiri"/>
          <w:color w:val="111111"/>
          <w:sz w:val="28"/>
          <w:sz w:val="28"/>
          <w:szCs w:val="28"/>
          <w:rtl w:val="true"/>
          <w:lang w:bidi="ar-SA"/>
        </w:rPr>
        <w:t>و الشهرة بين الأصحاب، و الأوّل أظهر، بحسب مدلول الأخبار</w:t>
      </w:r>
      <w:r>
        <w:rPr>
          <w:rFonts w:eastAsia="Amiri" w:cs="Amiri" w:ascii="Amiri" w:hAnsi="Amiri"/>
          <w:color w:val="111111"/>
          <w:sz w:val="28"/>
          <w:szCs w:val="28"/>
          <w:rtl w:val="true"/>
          <w:lang w:bidi="ar-SA"/>
        </w:rPr>
        <w:t>.</w:t>
      </w:r>
      <w:bookmarkStart w:id="461" w:name="pg2470_12613"/>
    </w:p>
    <w:p>
      <w:pPr>
        <w:pStyle w:val="Heading3"/>
        <w:numPr>
          <w:ilvl w:val="2"/>
          <w:numId w:val="1"/>
        </w:numPr>
        <w:rPr/>
      </w:pPr>
      <w:bookmarkStart w:id="462" w:name="__RefHeading___Toc3601608_3804643083"/>
      <w:bookmarkStart w:id="463" w:name="_Toc172"/>
      <w:bookmarkEnd w:id="461"/>
      <w:bookmarkEnd w:id="462"/>
      <w:r>
        <w:rPr>
          <w:rtl w:val="true"/>
        </w:rPr>
        <w:t>[</w:t>
      </w:r>
      <w:r>
        <w:rPr>
          <w:rtl w:val="true"/>
        </w:rPr>
        <w:t>أبواب لباس المصلّي و مكانه و القبلة و النداء</w:t>
      </w:r>
      <w:r>
        <w:rPr>
          <w:rtl w:val="true"/>
        </w:rPr>
        <w:t>]</w:t>
      </w:r>
      <w:bookmarkEnd w:id="463"/>
    </w:p>
    <w:p>
      <w:pPr>
        <w:pStyle w:val="Heading4"/>
        <w:numPr>
          <w:ilvl w:val="3"/>
          <w:numId w:val="1"/>
        </w:numPr>
        <w:rPr/>
      </w:pPr>
      <w:bookmarkStart w:id="464" w:name="__RefHeading___Toc3601610_3804643083"/>
      <w:bookmarkStart w:id="465" w:name="_Toc173"/>
      <w:bookmarkEnd w:id="464"/>
      <w:r>
        <w:rPr>
          <w:rtl w:val="true"/>
        </w:rPr>
        <w:t>[</w:t>
      </w:r>
      <w:r>
        <w:rPr>
          <w:rtl w:val="true"/>
        </w:rPr>
        <w:t>باب الصلاة في جلد الميتة و ما لا يعلم ذكاته</w:t>
      </w:r>
      <w:r>
        <w:rPr>
          <w:rtl w:val="true"/>
        </w:rPr>
        <w:t>]</w:t>
      </w:r>
      <w:bookmarkEnd w:id="4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قول اللّه عزّ و جلّ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Style w:val="FootnoteAnchor"/>
          <w:rtl w:val="true"/>
        </w:rPr>
        <w:footnoteReference w:id="1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من جلد حمار ميّت</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عنهم عليهم السّلام تكذيب هذا </w:t>
      </w:r>
      <w:r>
        <w:rPr>
          <w:rStyle w:val="FootnoteAnchor"/>
          <w:rtl w:val="true"/>
        </w:rPr>
        <w:footnoteReference w:id="1253"/>
      </w:r>
      <w:r>
        <w:rPr>
          <w:rFonts w:ascii="Amiri" w:hAnsi="Amiri" w:eastAsia="Amiri" w:cs="Amiri"/>
          <w:color w:val="111111"/>
          <w:sz w:val="28"/>
          <w:sz w:val="28"/>
          <w:szCs w:val="28"/>
          <w:rtl w:val="true"/>
          <w:lang w:bidi="ar-SA"/>
        </w:rPr>
        <w:t>، و أنّ نبي اللّه تعالى أعظم شأنا من أن يصلّي أو يلبس جلد ميّت، و أنّ هذا من أكاذيب العامّة، فلعلّ هذا ورد مورد التقيّة إن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مرخّص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ستر الرجلين بها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عدم البأس في النعل و الخفّ لعدم كونهما ممّا يتمّ الصلاة، و نجاست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مانع منه للصلاة بالإجماع </w:t>
      </w:r>
      <w:r>
        <w:rPr>
          <w:rStyle w:val="FootnoteAnchor"/>
          <w:rtl w:val="true"/>
        </w:rPr>
        <w:footnoteReference w:id="1255"/>
      </w:r>
      <w:r>
        <w:rPr>
          <w:rFonts w:ascii="IRNazanin" w:hAnsi="IRNazanin" w:eastAsia="IRNazanin"/>
          <w:color w:val="111111"/>
          <w:sz w:val="28"/>
          <w:sz w:val="28"/>
          <w:szCs w:val="28"/>
          <w:rtl w:val="true"/>
          <w:lang w:bidi="fa-IR"/>
        </w:rPr>
        <w:t xml:space="preserve">و الأخبار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bookmarkStart w:id="466" w:name="pg2470_12614"/>
    </w:p>
    <w:p>
      <w:pPr>
        <w:pStyle w:val="Heading4"/>
        <w:numPr>
          <w:ilvl w:val="3"/>
          <w:numId w:val="1"/>
        </w:numPr>
        <w:rPr/>
      </w:pPr>
      <w:bookmarkStart w:id="467" w:name="__RefHeading___Toc3601612_3804643083"/>
      <w:bookmarkStart w:id="468" w:name="_Toc174"/>
      <w:bookmarkEnd w:id="466"/>
      <w:bookmarkEnd w:id="467"/>
      <w:r>
        <w:rPr>
          <w:rtl w:val="true"/>
        </w:rPr>
        <w:t>[</w:t>
      </w:r>
      <w:r>
        <w:rPr>
          <w:rtl w:val="true"/>
        </w:rPr>
        <w:t>باب صلاة كلّ من الرجل و المرأة بحذاء الآخر أو قريبا منه</w:t>
      </w:r>
      <w:r>
        <w:rPr>
          <w:rtl w:val="true"/>
        </w:rPr>
        <w:t>]</w:t>
      </w:r>
      <w:bookmarkEnd w:id="468"/>
    </w:p>
    <w:p>
      <w:pPr>
        <w:pStyle w:val="Heading5"/>
        <w:numPr>
          <w:ilvl w:val="4"/>
          <w:numId w:val="1"/>
        </w:numPr>
        <w:rPr/>
      </w:pPr>
      <w:bookmarkStart w:id="469" w:name="__RefHeading___Toc3601614_3804643083"/>
      <w:bookmarkStart w:id="470" w:name="_Toc175"/>
      <w:bookmarkEnd w:id="469"/>
      <w:r>
        <w:rPr>
          <w:rtl w:val="true"/>
        </w:rPr>
        <w:t>[</w:t>
      </w:r>
      <w:r>
        <w:rPr>
          <w:rtl w:val="true"/>
        </w:rPr>
        <w:t>مكان المصلّي</w:t>
      </w:r>
      <w:r>
        <w:rPr>
          <w:rtl w:val="true"/>
        </w:rPr>
        <w:t>]</w:t>
      </w:r>
      <w:bookmarkEnd w:id="4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أن يحمل على الرخصة، و ما تقدّم على الكراهة </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الظنّ أنّ هذه الرواية </w:t>
      </w:r>
      <w:r>
        <w:rPr>
          <w:rStyle w:val="FootnoteAnchor"/>
          <w:rtl w:val="true"/>
        </w:rPr>
        <w:footnoteReference w:id="1258"/>
      </w:r>
      <w:r>
        <w:rPr>
          <w:rFonts w:ascii="Amiri" w:hAnsi="Amiri" w:eastAsia="Amiri" w:cs="Amiri"/>
          <w:color w:val="111111"/>
          <w:sz w:val="28"/>
          <w:sz w:val="28"/>
          <w:szCs w:val="28"/>
          <w:rtl w:val="true"/>
          <w:lang w:bidi="ar-SA"/>
        </w:rPr>
        <w:t xml:space="preserve">متّحدة مع رواية جميل الآتية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و الحكم بالتصحيف فيها حكم بالتصحيف في هذه أيضا</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3601616_3804643083"/>
      <w:bookmarkStart w:id="472" w:name="_Toc176"/>
      <w:bookmarkEnd w:id="471"/>
      <w:r>
        <w:rPr>
          <w:rtl w:val="true"/>
        </w:rPr>
        <w:t>[</w:t>
      </w:r>
      <w:r>
        <w:rPr>
          <w:rtl w:val="true"/>
        </w:rPr>
        <w:t>باب ما يستتر به المصلّي</w:t>
      </w:r>
      <w:r>
        <w:rPr>
          <w:rtl w:val="true"/>
        </w:rPr>
        <w:t>]</w:t>
      </w:r>
      <w:bookmarkEnd w:id="4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يستتر به المصلّي ممّن يمرّ بين يديه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ما ذكره أنّ الاستتار لأجل خصوص مرور المارّ، و ليس كذلك؛ إذ مرّ في باب ما لا ينبغي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و ما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جعفر الصريحة في الاستتار لوقوف الحمار قدّامه </w:t>
      </w:r>
      <w:r>
        <w:rPr>
          <w:rStyle w:val="FootnoteAnchor"/>
          <w:rtl w:val="true"/>
        </w:rPr>
        <w:footnoteReference w:id="1261"/>
      </w:r>
      <w:r>
        <w:rPr>
          <w:rFonts w:ascii="Amiri" w:hAnsi="Amiri" w:eastAsia="Amiri" w:cs="Amiri"/>
          <w:color w:val="111111"/>
          <w:sz w:val="28"/>
          <w:sz w:val="28"/>
          <w:szCs w:val="28"/>
          <w:rtl w:val="true"/>
          <w:lang w:bidi="ar-SA"/>
        </w:rPr>
        <w:t>، و في هذا الباب أكثر رواياته مطلقة، و ليس بينها و بين المقيّد تعارض حتّى يحمل المطلقة عليه، سيّما مع ورود ما هو صريح في التعميم</w:t>
      </w:r>
      <w:r>
        <w:rPr>
          <w:rFonts w:eastAsia="Amiri" w:cs="Amiri" w:ascii="Amiri" w:hAnsi="Amiri"/>
          <w:color w:val="111111"/>
          <w:sz w:val="28"/>
          <w:szCs w:val="28"/>
          <w:rtl w:val="true"/>
          <w:lang w:bidi="ar-SA"/>
        </w:rPr>
        <w:t>.</w:t>
      </w:r>
      <w:bookmarkStart w:id="473" w:name="pg2470_12615"/>
    </w:p>
    <w:p>
      <w:pPr>
        <w:pStyle w:val="Heading4"/>
        <w:numPr>
          <w:ilvl w:val="3"/>
          <w:numId w:val="1"/>
        </w:numPr>
        <w:rPr/>
      </w:pPr>
      <w:bookmarkStart w:id="474" w:name="__RefHeading___Toc3601618_3804643083"/>
      <w:bookmarkStart w:id="475" w:name="_Toc177"/>
      <w:bookmarkEnd w:id="473"/>
      <w:bookmarkEnd w:id="474"/>
      <w:r>
        <w:rPr>
          <w:rtl w:val="true"/>
        </w:rPr>
        <w:t>[</w:t>
      </w:r>
      <w:r>
        <w:rPr>
          <w:rtl w:val="true"/>
        </w:rPr>
        <w:t>باب أدب المساجد و توقيرها و توقير القبلة</w:t>
      </w:r>
      <w:r>
        <w:rPr>
          <w:rtl w:val="true"/>
        </w:rPr>
        <w:t>]</w:t>
      </w:r>
      <w:bookmarkEnd w:id="4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الصحاري،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دارا فبقيت عرصة، فبناها بيت غلّة أ يوقفه على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أوقفوا على بيت النار</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المجوس على رداءة دينهم، و فساد اعتقادهم، و عدم الاعتناء التامّ منهم بالنسبة إليه تعالى يوقفون على بيت النار، فما لكم تسألون عن جواز الوقف على المساجد؟ مع أنّكم تدرون أنّ الوقف أمر جائز و على حسب ما يوقف أهل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فلا حاجة إلى ما ذكره المؤلّف </w:t>
      </w:r>
      <w:r>
        <w:rPr>
          <w:rStyle w:val="FootnoteAnchor"/>
          <w:rtl w:val="true"/>
        </w:rPr>
        <w:footnoteReference w:id="1263"/>
      </w:r>
      <w:r>
        <w:rPr>
          <w:rFonts w:ascii="IRNazanin" w:hAnsi="IRNazanin" w:eastAsia="IRNazanin"/>
          <w:color w:val="111111"/>
          <w:sz w:val="28"/>
          <w:sz w:val="28"/>
          <w:szCs w:val="28"/>
          <w:rtl w:val="true"/>
          <w:lang w:bidi="fa-IR"/>
        </w:rPr>
        <w:t>، و لا وجه،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الصدوق نقل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الوقوف على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فإنّ المجوس</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لعلّه نقل بالمعنى على مقتضى 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تقدير أن تكون الرواية كما نقله، فما قاله المؤلّف متعيّن، فتأمّل</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3601620_3804643083"/>
      <w:bookmarkStart w:id="477" w:name="_Toc178"/>
      <w:bookmarkEnd w:id="476"/>
      <w:r>
        <w:rPr>
          <w:rtl w:val="true"/>
        </w:rPr>
        <w:t>[</w:t>
      </w:r>
      <w:r>
        <w:rPr>
          <w:rtl w:val="true"/>
        </w:rPr>
        <w:t>باب معرفة القبلة و قبلة المتحيّر</w:t>
      </w:r>
      <w:r>
        <w:rPr>
          <w:rtl w:val="true"/>
        </w:rPr>
        <w:t>]</w:t>
      </w:r>
      <w:bookmarkEnd w:id="4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الاعتراض من المخالفين دلالة واضحة على عدم جواز الاجتهاد عند الإماميّة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في هذا الكلام منه تعريض بالنسبة إلى المجتهدين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w:t>
      </w:r>
      <w:bookmarkStart w:id="478" w:name="pg2470_12616"/>
    </w:p>
    <w:p>
      <w:pPr>
        <w:pStyle w:val="BookText"/>
        <w:rPr/>
      </w:pPr>
      <w:bookmarkEnd w:id="478"/>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تبعوا العامّة في اختيارهم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الاجتهاد الذي كان من خواصّ العامّة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بالرأي و الاستحسان و الظنون التي لم تستند إلى دليل شرعي، أمّا الاجتهاد بمعنى استفراغ الوسع في تحصيل الحكم من دليل ظنّي مستند إلى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طريقة فقهائنا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لأنّ العبرة إنّما يكون بذلك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شبهة في انسداد باب العلم بتفاصيل الأحكام الفقهيّة، و كون الطريق منحصرا في الظنّ المذكور، مع أنّ البناء في معرفة القبلة ليس إلّا على الظنون بالقياس إلى غير الحاضرين للمسجد الحرام، أو الحرم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معصوم عليه السّلام، أو استند إلى قوله عليه السّلام أو فعله، و لا يكاد يتحقّق مثلهم، فلم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أطبقت السماء، كنّا و أنتم سواء </w:t>
      </w:r>
      <w:r>
        <w:rPr>
          <w:rStyle w:val="FootnoteAnchor"/>
          <w:rtl w:val="true"/>
        </w:rPr>
        <w:footnoteReference w:id="12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ففيه شهادة على أنّه ليس المراد من الاجتهاد العمل مطلقا، بل بما ذكرنا</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3601622_3804643083"/>
      <w:bookmarkStart w:id="480" w:name="_Toc179"/>
      <w:bookmarkEnd w:id="479"/>
      <w:r>
        <w:rPr>
          <w:rtl w:val="true"/>
        </w:rPr>
        <w:t>[</w:t>
      </w:r>
      <w:r>
        <w:rPr>
          <w:rtl w:val="true"/>
        </w:rPr>
        <w:t>باب صفة الأذان و الإقامة</w:t>
      </w:r>
      <w:r>
        <w:rPr>
          <w:rtl w:val="true"/>
        </w:rPr>
        <w:t>]</w:t>
      </w:r>
      <w:bookmarkEnd w:id="4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ذلك في أصل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ذكرت ذلك ليعرف بهذه الزيادة المتّهمون بالتفويض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عدم كونه من أجزاء الأذان، كما أنّ الصلاة على النبي صلّى اللّه عليه و آله و سلم ليست جزءا منه، و إن كانت عند ذكره صلّى اللّه عليه و آله و سلم و لأجله، و على فرض ورودها في خبر لا يجعلها جزءا، بل يجعلها من ذكر محمّد رسول اللّه صلّى اللّه عليه و آله و سلم، فأيّ مانع من أن يكون ما</w:t>
      </w:r>
    </w:p>
    <w:p>
      <w:pPr>
        <w:pStyle w:val="BookText"/>
        <w:rPr/>
      </w:pPr>
      <w:r>
        <w:rPr>
          <w:rFonts w:ascii="Amiri" w:hAnsi="Amiri" w:eastAsia="Amiri" w:cs="Amiri"/>
          <w:color w:val="111111"/>
          <w:sz w:val="28"/>
          <w:sz w:val="28"/>
          <w:szCs w:val="28"/>
          <w:rtl w:val="true"/>
          <w:lang w:bidi="ar-SA"/>
        </w:rPr>
        <w:t xml:space="preserve">ورد في بعض رواياتهم من هذا القبيل بأن يكون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مرغوبا فيه، مندوبا إليه 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ببالي أنّه ورد حديث عن النبي صلّى اللّه عليه و آله و سلم بذلك،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بل يظهر ذلك من العمومات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ذكر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روي في شواذّ من الأخبار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يعمل عليه في أذان و لا إقامة، فمن عمل به كان مخطئا </w:t>
      </w:r>
      <w:r>
        <w:rPr>
          <w:rStyle w:val="FootnoteAnchor"/>
          <w:rtl w:val="true"/>
        </w:rPr>
        <w:footnoteReference w:id="126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فلعمري اعترف بورود أخبار متعدّدة بذلك، فلو كانت تذكر لكان البناء و العمل على ما ذكرنا للمسامحة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حمل ما ورد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أثناء الصلاة فيمن نسي الإقامة و ذكر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ورد من الأمر بالوضوء مع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أمثال ما ذكر، بل و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مانع من حمل تلك الشواذّ أيضا على الاستحباب، بل لو ذكر هو أو الصدوق خبرا منها لكان البناء الآن على ما ذكر البتّة من جهة التسامح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عند الأخباريّين قطعي الصدور عن المعصوم عليه السّلام، كما هو حالهم و طريقتهم في الأخبار التي ذكرها المشايخ و طعنوا عليها بعدم الحجيّة، بل بعدم الصدور عن المعصوم عليه السّلام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على تقدير تسليم عدم الاستحباب، فأيّ مانع من ذكره لا بنيّة كونه</w:t>
      </w:r>
      <w:bookmarkStart w:id="481" w:name="pg2470_12618"/>
    </w:p>
    <w:p>
      <w:pPr>
        <w:pStyle w:val="BookText"/>
        <w:rPr/>
      </w:pPr>
      <w:bookmarkEnd w:id="481"/>
      <w:r>
        <w:rPr>
          <w:rFonts w:ascii="Amiri" w:hAnsi="Amiri" w:eastAsia="Amiri" w:cs="Amiri"/>
          <w:color w:val="111111"/>
          <w:sz w:val="28"/>
          <w:sz w:val="28"/>
          <w:szCs w:val="28"/>
          <w:rtl w:val="true"/>
          <w:lang w:bidi="ar-SA"/>
        </w:rPr>
        <w:t>جزء الأذان، و لا بنيّة كونه مستحبّا، بل بمجرّد التيمّن و التبرّك؟</w:t>
      </w:r>
    </w:p>
    <w:p>
      <w:pPr>
        <w:pStyle w:val="BookText"/>
        <w:rPr/>
      </w:pPr>
      <w:r>
        <w:rPr>
          <w:rFonts w:ascii="Amiri" w:hAnsi="Amiri" w:eastAsia="Amiri" w:cs="Amiri"/>
          <w:color w:val="111111"/>
          <w:sz w:val="28"/>
          <w:sz w:val="28"/>
          <w:szCs w:val="28"/>
          <w:rtl w:val="true"/>
          <w:lang w:bidi="ar-SA"/>
        </w:rPr>
        <w:t xml:space="preserve">قصارى ما يتخيّل كونه مكروها؛ لما قاله بعض الفقهاء من كراهة الكلام في أثناء الأذان </w:t>
      </w:r>
      <w:r>
        <w:rPr>
          <w:rStyle w:val="FootnoteAnchor"/>
          <w:rtl w:val="true"/>
        </w:rPr>
        <w:footnoteReference w:id="1270"/>
      </w:r>
      <w:r>
        <w:rPr>
          <w:rFonts w:ascii="Amiri" w:hAnsi="Amiri" w:eastAsia="Amiri" w:cs="Amiri"/>
          <w:color w:val="111111"/>
          <w:sz w:val="28"/>
          <w:sz w:val="28"/>
          <w:szCs w:val="28"/>
          <w:rtl w:val="true"/>
          <w:lang w:bidi="ar-SA"/>
        </w:rPr>
        <w:t xml:space="preserve">، لكن لم نجد عليه حديثا، بل ظاهر الأخبار عدم البأس منه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ظهر أنّه لو ذكره ذاكر لا من جهة التبرّك لم يكن فيه ضرر، بل لعلّه لم يكن فيه 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جوّز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 و آله خير البريّة</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و أمثالها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أمثال ما ذكر بأدون حالا من الكلام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مانع منه في أثناء الأذان، فكيف يكون أمثال ما ذكر ممنوعا عنها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3601624_3804643083"/>
      <w:bookmarkStart w:id="483" w:name="_Toc180"/>
      <w:bookmarkEnd w:id="482"/>
      <w:r>
        <w:rPr>
          <w:rtl w:val="true"/>
        </w:rPr>
        <w:t>[</w:t>
      </w:r>
      <w:r>
        <w:rPr>
          <w:rtl w:val="true"/>
        </w:rPr>
        <w:t>باب شرائط الأذان و الإقامة و آدابهما</w:t>
      </w:r>
      <w:r>
        <w:rPr>
          <w:rtl w:val="true"/>
        </w:rPr>
        <w:t>]</w:t>
      </w:r>
      <w:bookmarkEnd w:id="4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صالح،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أحدكم الإقامة و هو ماش، و لا راكب، و لا مضطجع، إلّا أن يكون مريضا، و ليتمكّن في الإقامة كما يتمكّن في الصلاة، فإنّه إذا أخذ في الإقامة فهو في صلاة</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تكبيرة الافتتاح تسميتها بالافتتاح في أخبار لا تحصى </w:t>
      </w:r>
      <w:r>
        <w:rPr>
          <w:rStyle w:val="FootnoteAnchor"/>
          <w:rtl w:val="true"/>
        </w:rPr>
        <w:footnoteReference w:id="1274"/>
      </w:r>
      <w:r>
        <w:rPr>
          <w:rFonts w:ascii="Amiri" w:hAnsi="Amiri" w:eastAsia="Amiri" w:cs="Amiri"/>
          <w:color w:val="111111"/>
          <w:sz w:val="28"/>
          <w:sz w:val="28"/>
          <w:szCs w:val="28"/>
          <w:rtl w:val="true"/>
          <w:lang w:bidi="ar-SA"/>
        </w:rPr>
        <w:t>، فيدلّ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أنّ الدخول في الصلاة بتلك التكبيرة، و كذا يدلّ عليه ما دلّ على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بعد الإقامة </w:t>
      </w:r>
      <w:r>
        <w:rPr>
          <w:rStyle w:val="FootnoteAnchor"/>
          <w:rtl w:val="true"/>
        </w:rPr>
        <w:footnoteReference w:id="1275"/>
      </w:r>
      <w:r>
        <w:rPr>
          <w:rFonts w:ascii="Amiri" w:hAnsi="Amiri" w:eastAsia="Amiri" w:cs="Amiri"/>
          <w:color w:val="111111"/>
          <w:sz w:val="28"/>
          <w:sz w:val="28"/>
          <w:szCs w:val="28"/>
          <w:rtl w:val="true"/>
          <w:lang w:bidi="ar-SA"/>
        </w:rPr>
        <w:t xml:space="preserve">، و غير ذلك، مع أنّه أيضا إجماعي، و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الأخبار </w:t>
      </w:r>
      <w:r>
        <w:rPr>
          <w:rStyle w:val="FootnoteAnchor"/>
          <w:rtl w:val="true"/>
        </w:rPr>
        <w:footnoteReference w:id="1276"/>
      </w:r>
      <w:r>
        <w:rPr>
          <w:rFonts w:ascii="Amiri" w:hAnsi="Amiri" w:eastAsia="Amiri" w:cs="Amiri"/>
          <w:color w:val="111111"/>
          <w:sz w:val="28"/>
          <w:sz w:val="28"/>
          <w:szCs w:val="28"/>
          <w:rtl w:val="true"/>
          <w:lang w:bidi="ar-SA"/>
        </w:rPr>
        <w:t>دليل على أنّ ما يحرم في الصلاة إنّما يحرم بالدخول في تلك التكبيرة، لا بالدخول بالإقامة، فتدبّر</w:t>
      </w:r>
      <w:r>
        <w:rPr>
          <w:rFonts w:eastAsia="Amiri" w:cs="Amiri" w:ascii="Amiri" w:hAnsi="Amiri"/>
          <w:color w:val="111111"/>
          <w:sz w:val="28"/>
          <w:szCs w:val="28"/>
          <w:rtl w:val="true"/>
          <w:lang w:bidi="ar-SA"/>
        </w:rPr>
        <w:t>!</w:t>
      </w:r>
      <w:bookmarkStart w:id="484" w:name="pg2470_12620"/>
    </w:p>
    <w:p>
      <w:pPr>
        <w:pStyle w:val="Heading3"/>
        <w:numPr>
          <w:ilvl w:val="2"/>
          <w:numId w:val="1"/>
        </w:numPr>
        <w:rPr/>
      </w:pPr>
      <w:bookmarkStart w:id="485" w:name="__RefHeading___Toc3601626_3804643083"/>
      <w:bookmarkStart w:id="486" w:name="_Toc181"/>
      <w:bookmarkEnd w:id="484"/>
      <w:bookmarkEnd w:id="485"/>
      <w:r>
        <w:rPr>
          <w:rtl w:val="true"/>
        </w:rPr>
        <w:t>[</w:t>
      </w:r>
      <w:r>
        <w:rPr>
          <w:rtl w:val="true"/>
        </w:rPr>
        <w:t>أبواب صفة الصلاة و أذكارها و تعقيبها و آدابها و عللها</w:t>
      </w:r>
      <w:r>
        <w:rPr>
          <w:rtl w:val="true"/>
        </w:rPr>
        <w:t>]</w:t>
      </w:r>
      <w:bookmarkEnd w:id="486"/>
    </w:p>
    <w:p>
      <w:pPr>
        <w:pStyle w:val="Heading4"/>
        <w:numPr>
          <w:ilvl w:val="3"/>
          <w:numId w:val="1"/>
        </w:numPr>
        <w:rPr/>
      </w:pPr>
      <w:bookmarkStart w:id="487" w:name="__RefHeading___Toc3601628_3804643083"/>
      <w:bookmarkStart w:id="488" w:name="_Toc182"/>
      <w:bookmarkEnd w:id="487"/>
      <w:r>
        <w:rPr>
          <w:rtl w:val="true"/>
        </w:rPr>
        <w:t>[</w:t>
      </w:r>
      <w:r>
        <w:rPr>
          <w:rtl w:val="true"/>
        </w:rPr>
        <w:t>باب القيام إلى الصلاة و الافتتاح بالتكبير</w:t>
      </w:r>
      <w:r>
        <w:rPr>
          <w:rtl w:val="true"/>
        </w:rPr>
        <w:t>]</w:t>
      </w:r>
      <w:bookmarkEnd w:id="4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القيام إلى الصلاة و الافتتاح بالتكبير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تسمية هذه التكبيرة بتكبيرة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الأخبار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الدخول في الصلاة بهذه التكبيرة، لا بالإقامة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دخل في الإقامة، فقد دخل في الصلاة</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الإقامة من الصلاة</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فجميع ما ذكر هناك مجازات، كما هو إجماعي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حرمة محرّمات الصلاة في هذه التكبيرة، لا بالدخول في الإقامة، كما ورد في بعض الأخبار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bookmarkStart w:id="489" w:name="pg2470_12621"/>
    </w:p>
    <w:p>
      <w:pPr>
        <w:pStyle w:val="Heading4"/>
        <w:numPr>
          <w:ilvl w:val="3"/>
          <w:numId w:val="1"/>
        </w:numPr>
        <w:rPr/>
      </w:pPr>
      <w:bookmarkStart w:id="490" w:name="__RefHeading___Toc3601630_3804643083"/>
      <w:bookmarkStart w:id="491" w:name="_Toc183"/>
      <w:bookmarkEnd w:id="489"/>
      <w:bookmarkEnd w:id="490"/>
      <w:r>
        <w:rPr>
          <w:rtl w:val="true"/>
        </w:rPr>
        <w:t>[</w:t>
      </w:r>
      <w:r>
        <w:rPr>
          <w:rtl w:val="true"/>
        </w:rPr>
        <w:t>باب قراءة البسملة و الجهر بها</w:t>
      </w:r>
      <w:r>
        <w:rPr>
          <w:rtl w:val="true"/>
        </w:rPr>
        <w:t>]</w:t>
      </w:r>
      <w:bookmarkEnd w:id="4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يقرأ بِسْمِ اللّٰهِ الرَّحْمٰنِ الرَّحِيمِ</w:t>
      </w:r>
    </w:p>
    <w:p>
      <w:pPr>
        <w:pStyle w:val="BookText"/>
        <w:rPr/>
      </w:pPr>
      <w:r>
        <w:rPr>
          <w:rFonts w:ascii="Amiri" w:hAnsi="Amiri" w:eastAsia="Amiri" w:cs="Amiri"/>
          <w:color w:val="111111"/>
          <w:sz w:val="28"/>
          <w:sz w:val="28"/>
          <w:szCs w:val="28"/>
          <w:rtl w:val="true"/>
          <w:lang w:bidi="ar-SA"/>
        </w:rPr>
        <w:t>حين يريد يقرأ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شاء سرّا، و إن شاء جهرا،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فيقرؤها مع السورة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ظاهرها التقيّة و الاتّقاء؛ لأنّه عليه السّلام لم يستفصل أنّ هذا في الجهريّة، أو الإخفاتيّة و مع هذا لا تأمّل للفقهاء في كون الجهر في غاية المطلوبيّة و نهاية تأكّد استحبابه، بل و ظاهر الصدوق في أماليه كون وجوب الجهر بها حينئذ من دين الإماميّة الذي لا بدّ من الإقرار به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ظهر من الأخبار و غيرها كونه شعار أهل البيت عليهم السّلام، و شعار شيعتهم </w:t>
      </w:r>
      <w:r>
        <w:rPr>
          <w:rStyle w:val="FootnoteAnchor"/>
          <w:rtl w:val="true"/>
        </w:rPr>
        <w:footnoteReference w:id="1284"/>
      </w:r>
      <w:r>
        <w:rPr>
          <w:rFonts w:ascii="Amiri" w:hAnsi="Amiri" w:eastAsia="Amiri" w:cs="Amiri"/>
          <w:color w:val="111111"/>
          <w:sz w:val="28"/>
          <w:sz w:val="28"/>
          <w:szCs w:val="28"/>
          <w:rtl w:val="true"/>
          <w:lang w:bidi="ar-SA"/>
        </w:rPr>
        <w:t xml:space="preserve">، و أنّه من علامة المؤمن </w:t>
      </w:r>
      <w:r>
        <w:rPr>
          <w:rStyle w:val="FootnoteAnchor"/>
          <w:rtl w:val="true"/>
        </w:rPr>
        <w:footnoteReference w:id="1285"/>
      </w:r>
      <w:r>
        <w:rPr>
          <w:rFonts w:ascii="Amiri" w:hAnsi="Amiri" w:eastAsia="Amiri" w:cs="Amiri"/>
          <w:color w:val="111111"/>
          <w:sz w:val="28"/>
          <w:sz w:val="28"/>
          <w:szCs w:val="28"/>
          <w:rtl w:val="true"/>
          <w:lang w:bidi="ar-SA"/>
        </w:rPr>
        <w:t xml:space="preserve">، و في الخطبة الطويلة التي شكا أمير المؤمنين عليه السّلام من أصحابه لأنّه عليه السّلام لو أمرهم بالجهر بها إذن لتفرّقوا عنه، في جملة امور كثيرة شكا من أصحابه فيها، بما ذكر من العبادة، و كلّها واجبات و محرّمات، إلى غير ذلك ممّا ورد في الجهر بها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جميع ذلك، كيف يبادر المعصوم عليه السّلام بإظهار التخيير المطلق الخالي عن الرجحان من سؤال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جدّا فيها، استدلّ بها بعض على عدم وجوبه </w:t>
      </w:r>
      <w:r>
        <w:rPr>
          <w:rStyle w:val="FootnoteAnchor"/>
          <w:rtl w:val="true"/>
        </w:rPr>
        <w:footnoteReference w:id="1287"/>
      </w:r>
      <w:r>
        <w:rPr>
          <w:rFonts w:ascii="Amiri" w:hAnsi="Amiri" w:eastAsia="Amiri" w:cs="Amiri"/>
          <w:color w:val="111111"/>
          <w:sz w:val="28"/>
          <w:sz w:val="28"/>
          <w:szCs w:val="28"/>
          <w:rtl w:val="true"/>
          <w:lang w:bidi="ar-SA"/>
        </w:rPr>
        <w:t>، و فيه ما فيه</w:t>
      </w:r>
      <w:r>
        <w:rPr>
          <w:rFonts w:eastAsia="Amiri" w:cs="Amiri" w:ascii="Amiri" w:hAnsi="Amiri"/>
          <w:color w:val="111111"/>
          <w:sz w:val="28"/>
          <w:szCs w:val="28"/>
          <w:rtl w:val="true"/>
          <w:lang w:bidi="ar-SA"/>
        </w:rPr>
        <w:t>.</w:t>
      </w:r>
      <w:bookmarkStart w:id="492" w:name="pg2470_12622"/>
    </w:p>
    <w:p>
      <w:pPr>
        <w:pStyle w:val="Heading4"/>
        <w:numPr>
          <w:ilvl w:val="3"/>
          <w:numId w:val="1"/>
        </w:numPr>
        <w:rPr/>
      </w:pPr>
      <w:bookmarkStart w:id="493" w:name="__RefHeading___Toc3601632_3804643083"/>
      <w:bookmarkStart w:id="494" w:name="_Toc184"/>
      <w:bookmarkEnd w:id="492"/>
      <w:bookmarkEnd w:id="493"/>
      <w:r>
        <w:rPr>
          <w:rtl w:val="true"/>
        </w:rPr>
        <w:t>[</w:t>
      </w:r>
      <w:r>
        <w:rPr>
          <w:rtl w:val="true"/>
        </w:rPr>
        <w:t>باب تكرير السورة و تبعيضها</w:t>
      </w:r>
      <w:r>
        <w:rPr>
          <w:rtl w:val="true"/>
        </w:rPr>
        <w:t>]</w:t>
      </w:r>
      <w:bookmarkEnd w:id="4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و يأتي في الباب الآتي أيضا ما يدلّ على جواز التبعيض، و ما يدلّ على كراهته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تأمّل في كون المراد تعليم الجواز في كلّ الأحوال، أو في الجملة، و غير خفي أنّ الفعل لا عموم فيه، فمفاده هو في الجملة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على أزيد من الجواز حال التقيّة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مبادرته عليه السّلام بإظهار العلّة تنادي بأنّه كان خلاف طريقتهم عليهم السّلام، بل خلاف طريقة الشيعة أيضا؛ لأنّ ما وافقهما لا يبادر فيه بإظهار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إشارة أيضا إلى أنّ ما فعله ليس بغير علّة، بل معلّل، ألا ترى أنّه عليه السّلام هل تعلّل بأنّي لم قرأت الحمد، أ و لم ركعت، و هكذا إلى غيرهما ممّا هو في ماهيّة الصلاة، فأظهر عليه السّلام أنّه ليس إلّا معلّلا، و ليس من قبيل سائر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إظهاره عليه السّلام كون ما يعلم هو الجواز مطلقا أو في الجملة التي هي مفاد نفس الفعل يشير إلى كون المقام مقاما لا يناسبه الإظهار، و الشيعة كانوا لمّا يرون أمثال هذا يتفطّنون، و يبنون على أنّه من جراب النورة، و لذا فهموا كذلك، و أجمعوا على عدم جواز البعض، إلّا شاذّ منهم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ادّعى جماعة منهم الإجماع على وجوب سورة كاملة؛ ادّعاه الصدوق في أماليه </w:t>
      </w:r>
      <w:r>
        <w:rPr>
          <w:rStyle w:val="FootnoteAnchor"/>
          <w:rtl w:val="true"/>
        </w:rPr>
        <w:footnoteReference w:id="1290"/>
      </w:r>
      <w:r>
        <w:rPr>
          <w:rFonts w:ascii="Amiri" w:hAnsi="Amiri" w:eastAsia="Amiri" w:cs="Amiri"/>
          <w:color w:val="111111"/>
          <w:sz w:val="28"/>
          <w:sz w:val="28"/>
          <w:szCs w:val="28"/>
          <w:rtl w:val="true"/>
          <w:lang w:bidi="ar-SA"/>
        </w:rPr>
        <w:t xml:space="preserve">، و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 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و شعار الشيعة</w:t>
      </w:r>
      <w:bookmarkStart w:id="495" w:name="pg2470_12623"/>
    </w:p>
    <w:p>
      <w:pPr>
        <w:pStyle w:val="BookText"/>
        <w:rPr/>
      </w:pPr>
      <w:bookmarkEnd w:id="495"/>
      <w:r>
        <w:rPr>
          <w:rFonts w:ascii="Amiri" w:hAnsi="Amiri" w:eastAsia="Amiri" w:cs="Amiri"/>
          <w:color w:val="111111"/>
          <w:sz w:val="28"/>
          <w:sz w:val="28"/>
          <w:szCs w:val="28"/>
          <w:rtl w:val="true"/>
          <w:lang w:bidi="ar-SA"/>
        </w:rPr>
        <w:t xml:space="preserve">في الأعصار و الأمصار، كما أنّ التبعيض صار شعار العامّة </w:t>
      </w:r>
      <w:r>
        <w:rPr>
          <w:rStyle w:val="FootnoteAnchor"/>
          <w:rtl w:val="true"/>
        </w:rPr>
        <w:footnoteReference w:id="1293"/>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التبعيض </w:t>
      </w:r>
      <w:r>
        <w:rPr>
          <w:rStyle w:val="FootnoteAnchor"/>
          <w:rtl w:val="true"/>
        </w:rPr>
        <w:footnoteReference w:id="1294"/>
      </w:r>
      <w:r>
        <w:rPr>
          <w:rFonts w:ascii="Amiri" w:hAnsi="Amiri" w:eastAsia="Amiri" w:cs="Amiri"/>
          <w:color w:val="111111"/>
          <w:sz w:val="28"/>
          <w:sz w:val="28"/>
          <w:szCs w:val="28"/>
          <w:rtl w:val="true"/>
          <w:lang w:bidi="ar-SA"/>
        </w:rPr>
        <w:t>،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 دلّ على وجوب السورة يكون بحدّ التواتر أثبته المصنّف في أبواب كثيرة، فلاحظ مجموع أبواب كتاب الصلاة من أوّلها إلى اخرها تجد، فمن أراد الاطّلاع عليها، فعليه بشرحنا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 أو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3601634_3804643083"/>
      <w:bookmarkStart w:id="497" w:name="_Toc185"/>
      <w:bookmarkEnd w:id="496"/>
      <w:r>
        <w:rPr>
          <w:rtl w:val="true"/>
        </w:rPr>
        <w:t>[</w:t>
      </w:r>
      <w:r>
        <w:rPr>
          <w:rtl w:val="true"/>
        </w:rPr>
        <w:t>باب الركوع و الذكر فيه و بعده</w:t>
      </w:r>
      <w:r>
        <w:rPr>
          <w:rtl w:val="true"/>
        </w:rPr>
        <w:t>]</w:t>
      </w:r>
      <w:bookmarkEnd w:id="4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القول في الركوع و السجود ثلاث تسبيحات، أو قدرهنّ مترسّلا، و ليس له و لا كرامة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 سبح سبح</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بضمّ السين، و سكون الباء، و المراد أنّهم من غاية الاستعجال و الاندماج لا يظهرون من سبحان اللّه إلّا سبح، أو مبالغة في اندماجهم كأنّهم لا يظهرون منها إلّا سبح، و هو الأظهر</w:t>
      </w:r>
      <w:r>
        <w:rPr>
          <w:rFonts w:eastAsia="Amiri" w:cs="Amiri" w:ascii="Amiri" w:hAnsi="Amiri"/>
          <w:color w:val="111111"/>
          <w:sz w:val="28"/>
          <w:szCs w:val="28"/>
          <w:rtl w:val="true"/>
          <w:lang w:bidi="ar-SA"/>
        </w:rPr>
        <w:t>.</w:t>
      </w:r>
      <w:bookmarkStart w:id="498" w:name="pg2470_12624"/>
    </w:p>
    <w:p>
      <w:pPr>
        <w:pStyle w:val="Heading4"/>
        <w:numPr>
          <w:ilvl w:val="3"/>
          <w:numId w:val="1"/>
        </w:numPr>
        <w:rPr/>
      </w:pPr>
      <w:bookmarkStart w:id="499" w:name="__RefHeading___Toc3601636_3804643083"/>
      <w:bookmarkStart w:id="500" w:name="_Toc186"/>
      <w:bookmarkEnd w:id="498"/>
      <w:bookmarkEnd w:id="499"/>
      <w:r>
        <w:rPr>
          <w:rtl w:val="true"/>
        </w:rPr>
        <w:t>[</w:t>
      </w:r>
      <w:r>
        <w:rPr>
          <w:rtl w:val="true"/>
        </w:rPr>
        <w:t>باب ما يسجد عليه و ما يكره</w:t>
      </w:r>
      <w:r>
        <w:rPr>
          <w:rtl w:val="true"/>
        </w:rPr>
        <w:t>]</w:t>
      </w:r>
      <w:bookmarkEnd w:id="5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هذا الحديث جواز السجود على الثوب دون المسح في بعض الأحوال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دلالة فيه؛ لأنّ الراوي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تحت الرجل حصير أو بارية أو غيرهما ممّا يصحّ السجود عليه، حتّى لا يسجد على كمّ قميصه، بل يسجد عليها، بل ليس تحته إلّا ما لا يصح السجود عليه، فهل يجوز حينئذ أن يسجد على كمّه أو لا يجوز؟</w:t>
      </w:r>
    </w:p>
    <w:p>
      <w:pPr>
        <w:pStyle w:val="BookText"/>
        <w:rPr/>
      </w:pPr>
      <w:r>
        <w:rPr>
          <w:rFonts w:ascii="Amiri" w:hAnsi="Amiri" w:eastAsia="Amiri" w:cs="Amiri"/>
          <w:color w:val="111111"/>
          <w:sz w:val="28"/>
          <w:sz w:val="28"/>
          <w:szCs w:val="28"/>
          <w:rtl w:val="true"/>
          <w:lang w:bidi="ar-SA"/>
        </w:rPr>
        <w:t xml:space="preserve">بل لا بدّ من السجود على ما تحته الذي ليس ملبوسه، فأجاب عليه السّلام بأنّه لا بأس بأن يسجد في الصورة التي سئلت على كمّ قميصه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من جهة أنّه إذا لم يتأتّ ما يصحّ السجود عليه لم يكن فرق بين الملبوس و غيره، لا أنّه لا بدّ أن يسجد على ملبوسه، كما توهّمه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كأنّه كان من القطن، أو الكتّان،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أنّه الحصير الطبري كما صرّح به العلّامة المجلسي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 و كذلك مولانا مراد التفريشي في شرحه </w:t>
      </w:r>
      <w:r>
        <w:rPr>
          <w:rStyle w:val="FootnoteAnchor"/>
          <w:rtl w:val="true"/>
        </w:rPr>
        <w:footnoteReference w:id="1303"/>
      </w:r>
      <w:r>
        <w:rPr>
          <w:rFonts w:ascii="Amiri" w:hAnsi="Amiri" w:eastAsia="Amiri" w:cs="Amiri"/>
          <w:color w:val="111111"/>
          <w:sz w:val="28"/>
          <w:sz w:val="28"/>
          <w:szCs w:val="28"/>
          <w:rtl w:val="true"/>
          <w:lang w:bidi="ar-SA"/>
        </w:rPr>
        <w:t>عليه أيضا</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3601638_3804643083"/>
      <w:bookmarkStart w:id="502" w:name="_Toc187"/>
      <w:bookmarkEnd w:id="501"/>
      <w:r>
        <w:rPr>
          <w:rtl w:val="true"/>
        </w:rPr>
        <w:t>[</w:t>
      </w:r>
      <w:r>
        <w:rPr>
          <w:rtl w:val="true"/>
        </w:rPr>
        <w:t>باب فضل التعقيب و أدناه</w:t>
      </w:r>
      <w:r>
        <w:rPr>
          <w:rtl w:val="true"/>
        </w:rPr>
        <w:t>]</w:t>
      </w:r>
      <w:bookmarkEnd w:id="50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بكلّ مكان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bookmarkStart w:id="503" w:name="pg2470_12625"/>
    </w:p>
    <w:p>
      <w:pPr>
        <w:pStyle w:val="BookText"/>
        <w:rPr/>
      </w:pPr>
      <w:bookmarkEnd w:id="503"/>
      <w:r>
        <w:rPr>
          <w:rFonts w:ascii="Amiri" w:hAnsi="Amiri" w:eastAsia="Amiri" w:cs="Amiri"/>
          <w:color w:val="111111"/>
          <w:sz w:val="28"/>
          <w:sz w:val="28"/>
          <w:szCs w:val="28"/>
          <w:rtl w:val="true"/>
          <w:lang w:bidi="ar-SA"/>
        </w:rPr>
        <w:t>ظاهر هذا الخبر و أمثاله كون التسليم داخلا في الصلاة</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3601640_3804643083"/>
      <w:bookmarkStart w:id="505" w:name="_Toc188"/>
      <w:bookmarkEnd w:id="504"/>
      <w:r>
        <w:rPr>
          <w:rtl w:val="true"/>
        </w:rPr>
        <w:t>[</w:t>
      </w:r>
      <w:r>
        <w:rPr>
          <w:rtl w:val="true"/>
        </w:rPr>
        <w:t>باب ما يقال بعد كلّ صلاة</w:t>
      </w:r>
      <w:r>
        <w:rPr>
          <w:rtl w:val="true"/>
        </w:rPr>
        <w:t>]</w:t>
      </w:r>
      <w:bookmarkEnd w:id="50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سهو النبي صلّى اللّه عليه و آله و سلم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شهادة على ورود هذه الأخبار مورد التقيّة</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3601642_3804643083"/>
      <w:bookmarkStart w:id="507" w:name="_Toc189"/>
      <w:bookmarkEnd w:id="506"/>
      <w:r>
        <w:rPr>
          <w:rtl w:val="true"/>
        </w:rPr>
        <w:t>[</w:t>
      </w:r>
      <w:r>
        <w:rPr>
          <w:rtl w:val="true"/>
        </w:rPr>
        <w:t>باب السهو في تكبيرة الافتتاح و القيام</w:t>
      </w:r>
      <w:r>
        <w:rPr>
          <w:rtl w:val="true"/>
        </w:rPr>
        <w:t>]</w:t>
      </w:r>
      <w:bookmarkEnd w:id="5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يعفور، عن أبي عبد اللّه عليه السّلام إنّه قال في الرجل يصلّي فلم يفتتح بالتكبير هل يجزيه تكبيرة الركوع؟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صحيحة زرارة التي رواها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منتصبا؛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يقم صلبه فلا صلاة له، و اخشع ببصر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للّه</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508" w:name="pg2470_12626"/>
    </w:p>
    <w:p>
      <w:pPr>
        <w:pStyle w:val="Heading4"/>
        <w:numPr>
          <w:ilvl w:val="3"/>
          <w:numId w:val="1"/>
        </w:numPr>
        <w:rPr/>
      </w:pPr>
      <w:bookmarkStart w:id="509" w:name="__RefHeading___Toc3601644_3804643083"/>
      <w:bookmarkStart w:id="510" w:name="_Toc190"/>
      <w:bookmarkEnd w:id="508"/>
      <w:bookmarkEnd w:id="509"/>
      <w:r>
        <w:rPr>
          <w:rtl w:val="true"/>
        </w:rPr>
        <w:t>[</w:t>
      </w:r>
      <w:r>
        <w:rPr>
          <w:rtl w:val="true"/>
        </w:rPr>
        <w:t>باب الشكّ في أجزاء الصلاة</w:t>
      </w:r>
      <w:r>
        <w:rPr>
          <w:rtl w:val="true"/>
        </w:rPr>
        <w:t>]</w:t>
      </w:r>
      <w:bookmarkEnd w:id="5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 إن شكّ في السجود بعد ما قام فليمض، كلّ شي‌ء شكّ فيه ممّا قد جاوزه و 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عدم الخروج عن المحلّ و الدخول في غيره بالهويّ و النهوض، بل إنّما تؤمي إلى خروجهما عن الأفعال التي تعلّقت بها الطلب الشرعي، و كونهما مطلوبين من باب المقدّمة، و إن طلبهما الشارع، و أنّ الدخول في المقدّمة غير كاف،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البصري بالإتيان بالسجود، المبتني على بقاء محلّه، و حكم في الثاني </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ما فيه؛ فإنّ رفع الرأس من السجود مثل رفعه من الركوع في كونهما من متعلّقهما، و عدم خروجهما عن محلّهما في حكم الشكّ و إن استتمّ قائما في الأوّل، و جالسا في الثاني، و إن كانا خارجين عن الانحناء و الوضع، و لذا 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يدخل في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الإتيان بالركوع نصّا </w:t>
      </w:r>
      <w:r>
        <w:rPr>
          <w:rStyle w:val="FootnoteAnchor"/>
          <w:rtl w:val="true"/>
        </w:rPr>
        <w:footnoteReference w:id="1312"/>
      </w:r>
      <w:r>
        <w:rPr>
          <w:rFonts w:ascii="IRNazanin" w:hAnsi="IRNazanin" w:eastAsia="IRNazanin"/>
          <w:color w:val="111111"/>
          <w:sz w:val="28"/>
          <w:sz w:val="28"/>
          <w:szCs w:val="28"/>
          <w:rtl w:val="true"/>
          <w:lang w:bidi="fa-IR"/>
        </w:rPr>
        <w:t xml:space="preserve">و إجماعا </w:t>
      </w:r>
      <w:r>
        <w:rPr>
          <w:rStyle w:val="FootnoteAnchor"/>
          <w:rtl w:val="true"/>
        </w:rPr>
        <w:footnoteReference w:id="1313"/>
      </w:r>
      <w:r>
        <w:rPr>
          <w:rFonts w:ascii="Amiri" w:hAnsi="Amiri" w:eastAsia="Amiri" w:cs="Amiri"/>
          <w:color w:val="111111"/>
          <w:sz w:val="28"/>
          <w:sz w:val="28"/>
          <w:szCs w:val="28"/>
          <w:rtl w:val="true"/>
          <w:lang w:bidi="ar-SA"/>
        </w:rPr>
        <w:t>، و لو كان فعلا اخر لزم المضيّ بمجرّد الدخول فيه، فضلا عن آخره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الفائدة في ارتكاب العناية بالتزام كون النهوض في ذلك الخبر لا عن جلوس، و اتّفق بين الرفع و الجلوس، أو بين الجلوس و الانتصاب مع أنّه لا يدري أنّ هذا الانتصاب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الركوع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هذا هو السبب في اعتبار الشكّ فيه</w:t>
      </w:r>
      <w:bookmarkStart w:id="511" w:name="pg2470_12627"/>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الجلوس و رفع الرأس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أنّه مطمئنّ على بنائه على أنّه من الركوع، و لا يدري صحّة بنائه أم 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القدر كاف لتحقّق الدخول في الغير، فيحمل حكاية السجود على أنّه غير مطمئنّ أصلا؛ لأنّ رفع الرأس من السجود متعدّد، فلا يدري من الأوّل هو أم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أنّ الهويّ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الاعتضاد بأنّه هو البتّة متعقّب عن الركوع، فلا اعتبار للشكّ ترجيحا للظاهر على الأصل، كما ورد نظيره في الشكّ في التكبيرة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الرفع من السجود، فلا يتحقّق ظهور يكون أقوى من الأصل؛ لحكاية التعدّد،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شكّ حين الهويّ أنّه هويّ إلى الركوع أو السجود؛ يجب الركوع ثمّ الرفع، و الهويّ إلى السجود، فتأمّل</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3601646_3804643083"/>
      <w:bookmarkStart w:id="513" w:name="_Toc191"/>
      <w:bookmarkEnd w:id="512"/>
      <w:r>
        <w:rPr>
          <w:rtl w:val="true"/>
        </w:rPr>
        <w:t>[</w:t>
      </w:r>
      <w:r>
        <w:rPr>
          <w:rtl w:val="true"/>
        </w:rPr>
        <w:t>باب السهو في أعداد الركعات</w:t>
      </w:r>
      <w:r>
        <w:rPr>
          <w:rtl w:val="true"/>
        </w:rPr>
        <w:t>]</w:t>
      </w:r>
      <w:bookmarkEnd w:id="5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السائل من سهوه صلّى اللّه عليه و آله و سلم مع كونه معصوما عن الخطأ، فأجابه بأنّه كان في ذلك مصلحة للامّة بأن يفقهوا بمثل هذه الامور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مضى في باب كيفيّة الغسل ما يظهر منه الجواب و بيان تجويز الإسهاء بما يكفي للعاقل الفطن الذي قلبه خالص عن المنافيات لظهور الحقّ عليه، فلاحظ و تأمّل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نزيد هنا،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الفقاهة بإسهاء النبي صلّى اللّه عليه و آله و سلم، بل بقوله صلّى اللّه عليه و آله و سلم بلا شبهة سها أ و لم يسه ظهر من كلامه عليه السّلام ما يعرف به علاج السهو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إلى إيقاع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أفضل الرسل، و أقرب العباد، الذي تنام عينه و لا ينام قلبه، الغريق في محبّة ربّه و عبادته و خدمته، و مع ذلك الربّ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صلّى اللّه عليه و آله و سلم حجّة على خلقه كقوله، بالوفاق و الآيات القرآنيّة و الأخبار </w:t>
      </w:r>
      <w:r>
        <w:rPr>
          <w:rStyle w:val="FootnoteAnchor"/>
          <w:rtl w:val="true"/>
        </w:rPr>
        <w:footnoteReference w:id="1316"/>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اتَّبِعُوهُ </w:t>
      </w:r>
      <w:r>
        <w:rPr>
          <w:rStyle w:val="FootnoteAnchor"/>
          <w:rtl w:val="true"/>
        </w:rPr>
        <w:footnoteReference w:id="1317"/>
      </w:r>
      <w:r>
        <w:rPr>
          <w:rFonts w:ascii="Amiri" w:hAnsi="Amiri" w:eastAsia="Amiri" w:cs="Amiri"/>
          <w:color w:val="111111"/>
          <w:sz w:val="28"/>
          <w:sz w:val="28"/>
          <w:szCs w:val="28"/>
          <w:rtl w:val="true"/>
          <w:lang w:bidi="ar-SA"/>
        </w:rPr>
        <w:t xml:space="preserve">و لِنَعْلَمَ مَنْ يَتَّبِعُ الرَّسُولَ مِمَّنْ يَنْقَلِبُ عَلىٰ عَقِبَيْهِ </w:t>
      </w:r>
      <w:r>
        <w:rPr>
          <w:rStyle w:val="FootnoteAnchor"/>
          <w:rtl w:val="true"/>
        </w:rPr>
        <w:footnoteReference w:id="1318"/>
      </w:r>
      <w:r>
        <w:rPr>
          <w:rFonts w:ascii="Amiri" w:hAnsi="Amiri" w:eastAsia="Amiri" w:cs="Amiri"/>
          <w:color w:val="111111"/>
          <w:sz w:val="28"/>
          <w:sz w:val="28"/>
          <w:szCs w:val="28"/>
          <w:rtl w:val="true"/>
          <w:lang w:bidi="ar-SA"/>
        </w:rPr>
        <w:t xml:space="preserve">و أَ فَمَنْ يَهْدِي إِلَى الْحَقِّ أَحَقُّ أَنْ يُتَّبَعَ </w:t>
      </w:r>
      <w:r>
        <w:rPr>
          <w:rStyle w:val="FootnoteAnchor"/>
          <w:rtl w:val="true"/>
        </w:rPr>
        <w:footnoteReference w:id="131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الخطأ الذي هو خلاف الحقّ، و لا يهدي إلى الحقّ إلّا أن يهديه ذو الشمالين، فذو الشمالين أحقّ أن يتّبع من الرسول صلّى اللّه عليه و آله و سلم، بل هو حجّة على الرسول صلّى اللّه عليه و آله و سلم؛ حيث هداه إلى الحقّ، و الرسول صلّى اللّه عليه و آله و سلم اهتدي به، فهو صلّى اللّه عليه و آله و سلم رعيّة ذي الشمالين و تابع له و مأموم له، و ذو الشمالين إمامه و هاد له، و لو لاه لكان ضالّا، بل كان ضالّا قبل هدى اللّه البتّة، و كذا باقي من صلّى خلفه حتّى ذي الشمالين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كان لذي الشمالين عليه صلّى اللّه عليه و آله و سلم نعمة و منّة، و هو أفضل من الرسول صلّى اللّه عليه و آله و سلم في هذا، و اتّفقوا على الخطأ و الضلال أو أجمعوا هداهم اللّه بذي الشمالين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لأنّ المعلّم الهادي أفضل من المتعلّم المهتدي، و كان صلّى اللّه عليه و آله و سلم ضالّا جاء إلى ذي الشمالين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الشنائع الظاهرة، التي أشرنا إليها سابقا </w:t>
      </w:r>
      <w:r>
        <w:rPr>
          <w:rStyle w:val="FootnoteAnchor"/>
          <w:rtl w:val="true"/>
        </w:rPr>
        <w:footnoteReference w:id="1320"/>
      </w:r>
      <w:r>
        <w:rPr>
          <w:rFonts w:ascii="Amiri" w:hAnsi="Amiri" w:eastAsia="Amiri" w:cs="Amiri"/>
          <w:color w:val="111111"/>
          <w:sz w:val="28"/>
          <w:sz w:val="28"/>
          <w:szCs w:val="28"/>
          <w:rtl w:val="true"/>
          <w:lang w:bidi="ar-SA"/>
        </w:rPr>
        <w:t>، و سنشير إلى بعض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معه</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يفارق الحقّ أبدا</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و أمثال ذلك، و لا شكّ في أنّ الرسول صلّى اللّه عليه و آله و سلم لم يكن أنقص من علي عليه السّلام، بل كان أفضل في فضائل كثيرة، بل لعلّه عليه السّلام كان من جملة المأمومين المقتدين بالرسول صلّى اللّه عليه و آله و سلم؛ لأنّه عليه السّلام كان ملازما له، فصلاته كانت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أشرنا إليه إنّما هو إشارة، و العاقل يكفيه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من أنّهم يعلّمون أنّ البشر لا ينفكّ عن السهو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 كان من لوازم البشريّة، و منافيات الربوبيّة ما لا تحصى و لا تخفى، فأيّ حاجة إلى هذه المنقصة، مع ما فيها من المفاسد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يتأتّى لخصمكم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أوقع أنبياءه في الفسوق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ذكرتم،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جوابكم لهم، فهو جوابكم لنا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الأحوال المشتركة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فيه ما فيه؛ إذ يقع على غيره السهو من الشيطان، و الترك من العصيان، و كذا الزيادة و التغيير، و كذا جميع ذلك من جهة الجهل، و غير ذلك، و من جملة ذلك نقص الخلقة، كالتمتام </w:t>
      </w:r>
      <w:r>
        <w:rPr>
          <w:rStyle w:val="FootnoteAnchor"/>
          <w:rtl w:val="true"/>
        </w:rPr>
        <w:footnoteReference w:id="1325"/>
      </w:r>
      <w:r>
        <w:rPr>
          <w:rFonts w:ascii="IRNazanin" w:hAnsi="IRNazanin" w:eastAsia="IRNazanin"/>
          <w:color w:val="111111"/>
          <w:sz w:val="28"/>
          <w:sz w:val="28"/>
          <w:szCs w:val="28"/>
          <w:rtl w:val="true"/>
          <w:lang w:bidi="fa-IR"/>
        </w:rPr>
        <w:t xml:space="preserve">، و الفأفاء </w:t>
      </w:r>
      <w:r>
        <w:rPr>
          <w:rStyle w:val="FootnoteAnchor"/>
          <w:rtl w:val="true"/>
        </w:rPr>
        <w:footnoteReference w:id="1326"/>
      </w:r>
      <w:r>
        <w:rPr>
          <w:rFonts w:ascii="IRNazanin" w:hAnsi="IRNazanin" w:eastAsia="IRNazanin"/>
          <w:color w:val="111111"/>
          <w:sz w:val="28"/>
          <w:sz w:val="28"/>
          <w:szCs w:val="28"/>
          <w:rtl w:val="true"/>
          <w:lang w:bidi="fa-IR"/>
        </w:rPr>
        <w:t>، و أمثالهما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أنّك عرفت أنّ فعله صلّى اللّه عليه و آله و سلم حجّة كقوله، فالمانع في القول موجود في فعله بالبديهة، سيّما صلاته، حيث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فالمأمومون أوجب اللّه و رسوله صلّى اللّه عليه و آله و سلم عليهم فعل الخطأ، و أنّ ما هم بالخطإ و أغراهم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بأنّه 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تقول بأنّه مانع بالنسبة إلى قوله صلّى اللّه عليه و آله و سلم؛ فإنّ خصمكم أيضا يجوّز على الرسول صلّى اللّه عليه و آله و سلم الخطأ في القول أيضا و يجوّز عليه الاجتهاد،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جواب لكم تجيبونه، مع تجويزكم عدم المانع بالنسبة إلى الفعل الذي هو حجّة أيضا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تبليغ أحكام اللّه تعالى غير منحصر في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و تقريره صلّى اللّه عليه و آله و سلم أيضا، و فعله صلّى اللّه عليه و آله و سلم حجّة و إن كان في مقام عبادة ربّه؛ لما عرفت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للإجماع من الشيعة، و لأنّه لا معنى لكون فعله الذي لم يكن مشتركا بينه و بين الخلق حجّة على الخلق، و ما كان مشتركا لم يكن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في فساد ما ذكره من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قوله صلّى اللّه عليه و آله و سلم و فعله ورود هذه الروايات، و إن كان فعله أيضا حجّة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فيلزمكم تجويز الخطأ في القول أيضا؛ لاشتراكه مع الفعل في تحقّق التبليغ، و يلزمكم القول بعدم عصمته في القول أيضا؛ إذ ما دلّ على عصمته في القول برهان عقلي يقيني شامل للفعل أيضا، و البرهان اليقيني لا يقبل التخصيص قطعا؛ لأنّ التخصيص هو استعمال لفظ العام في الخاصّ، أو إخراج الخاصّ عن العام قبل الحكم، و لا شكّ في كون ذلك من خواصّ الظواهر و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أجبتم به في طرف الفعل يهدم بنيان ذلك البرهان من الأصل و الأساس، إلّا أن تقولوا بعدم العصمة في القول أيضا و تخرجوا عمّا هو طريقة الشيعة و مذهبهم، و فيه ما فيه، و لذا ما جوّز الصدوق عدم العصمة في تبليغ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الروايات مخالف للقرآن، و ما يخالفه يجب طرحه عقلا و نقلا </w:t>
      </w:r>
      <w:r>
        <w:rPr>
          <w:rStyle w:val="FootnoteAnchor"/>
          <w:rtl w:val="true"/>
        </w:rPr>
        <w:footnoteReference w:id="1328"/>
      </w:r>
      <w:r>
        <w:rPr>
          <w:rFonts w:ascii="Amiri" w:hAnsi="Amiri" w:eastAsia="Amiri" w:cs="Amiri"/>
          <w:color w:val="111111"/>
          <w:sz w:val="28"/>
          <w:sz w:val="28"/>
          <w:szCs w:val="28"/>
          <w:rtl w:val="true"/>
          <w:lang w:bidi="ar-SA"/>
        </w:rPr>
        <w:t xml:space="preserve">كما أشرنا، و مع ذلك مخالف للعقل، كما هو ظاهر و أشرنا، و مثله يجب طرحه عقلا و نقلا و إجماعا، و النقل هو الأخبار المتواترة الدالّة على أنّ العقل حجّة مطلقا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من الأخبار يقينا، كما عرفت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يخالف الأخبار الدالّة على كونه صلّى اللّه عليه و آله و سلم و سائر الأئمة عليهم السّلام معصومين مطلقا قبل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يخالف ما سيجي‌ء من أنّه صلّى اللّه عليه و آله و سلم لم يسجد سجدتي السهو، فإنّ هذه الأخبار صريحة في أنّه صلّى اللّه عليه و آله و سلم سجد سجدتي السهو </w:t>
      </w:r>
      <w:r>
        <w:rPr>
          <w:rStyle w:val="FootnoteAnchor"/>
          <w:rtl w:val="true"/>
        </w:rPr>
        <w:footnoteReference w:id="1330"/>
      </w:r>
      <w:r>
        <w:rPr>
          <w:rFonts w:ascii="Amiri" w:hAnsi="Amiri" w:eastAsia="Amiri" w:cs="Amiri"/>
          <w:color w:val="111111"/>
          <w:sz w:val="28"/>
          <w:sz w:val="28"/>
          <w:szCs w:val="28"/>
          <w:rtl w:val="true"/>
          <w:lang w:bidi="ar-SA"/>
        </w:rPr>
        <w:t>، مع أنّ الظاهر أنّ المراد أنّه صلّى اللّه عليه و آله و سلم ما سها حتّى يحتاج إلى سجدتي السهو</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أمثال ما ذكرنا من الأخبار موافقة لرأي الشيعة و مخالفة لطريقة العامّة، و ما ذكرت من الروايات بالعكس، و ورد في الأخبار المتواترة الأمر بأخذ ما خالف العامّة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الرشد في خلافهم</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من الحنفيّة في شي‌ء</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العقل أيضا و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يمنع العمل بما ذكرتم من الروايات أنّ الرسول صلّى اللّه عليه و آله و سلم كان أعداؤه من اليهود و النصارى و المشركين في غاية الكثرة، و كانوا يتمنّون صدور زلّة و 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منقصة من الرسول صلّى اللّه عليه و آله و سلم، سواء كانت الزلّة بحسب الواقع أو بحسب مشتهى أنفسهم، بحيث يتيسّر لهم جعلها زلّة و منقصة عند العوامّ تنفيرا لهم عن الرسول صلّى اللّه عليه و آله و سلم، و تعييرا له صلّى اللّه عليه و آله و سلم و لامّته، مع ذلك لم يذكر أحد منهم ذلك عن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أرباب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منقصة بالنسبة إليه و موجب لحطّ مرتبته عن مرتبة الرسالة؛ لأنّه يوجب خطائه في تبليغ حكم اللّه تعالى على حسب 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كان يمكنهم مثل ذلك منقصة له، و وسيلة لحطّ رتبته و نقص منزلته في نظر الناس، و إن لم يكن بحسب الواقع خطأ و منقصة؛ إذ قد عرفت أنّه عند أرباب العقول منقصة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كانوا في مقام الامتحان يسألون الرسول صلّى اللّه عليه و آله و سلم عن الخفيّات، فإذا وجدوه مطّلعا عليها أذعنوا بكونه رسولا، فكيف إذا وجدوه غفل عن حال نفسه، و جهل في أمر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في نظر الناس أنّ النسيان من تسلّط الشيطان، لا من جهة الرحمن، فهو أعظم الوسائل لأعداء الرسول صلّى اللّه عليه و آله و سلم في حطّه و منقصته؛ لأنّ تسلّط الشيطان من أعظم منافيات الرسالة، و موجبات الحطّ و المنقصة، و مع ذلك لم يجعل أحد منهم ذلك وسيلة و تشنيعا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في جوابهم أنّ هذا النسيان ليس من النسيانات المتعارفة، كيف ينفع، و كيف يسكنهم، مع أنّه في نفسه منقصة عند الناس، موجب لنفرتهم عنه صلّى اللّه عليه و آله و سلم، بحيث لا ينفعهم دعوى كونه من اللّه تعالى، سيّما و كون الدعوى من الرسول صلّى اللّه عليه و آله و سلم</w:t>
      </w:r>
    </w:p>
    <w:p>
      <w:pPr>
        <w:pStyle w:val="BookText"/>
        <w:rPr/>
      </w:pP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أنّك عرفت عن كونه من اللّه أيضا لا ينفع، بل كثير من الامور التي تقول بوجوب براءة الرسول صلّى اللّه عليه و آله و سلم عنها أقلّ منقصة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صلّى اللّه عليه و آله و سلم لم يقل للناس أنّ هذا نسيان من اللّه، و لم يذكره أحد من الرواة منه صلّى اللّه عليه و آله و سلم، و لم يعهد منه، و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ما ذكرنا حال أعدائه و حال سائر الناس، و أمّا حال المخلصين له صلّى اللّه عليه و آله و سلم فغير خفيّ أنّهم ذكروا و ضبطوا جميع حركاته و سكناته و أفعاله، سيّما ما يكون متضمّنا لأحكام اللّه تعالى، مظهرا لها، و لم ينقل أحد منهم هذه الواقعة عن الرسول صلّى اللّه عليه و آله و سلم، سوى ما نسبوه إلى رجل مجهول النسب، مجهول الشخص، مع أنّه صلّى اللّه عليه و آله و سلم كان إمام قوم كثيرين، فكيف لم ينقل عن أحد منهم ذلك؟ حتّى أنّهم ذكروا أنّ أبا بكر و عمر شهدا عند الرسول صلّى اللّه عليه و آله و سلم و صدّقا ذا الشمالين، فقبل منهما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أعجب من هذا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أقصرت الصلاة أم نسيت </w:t>
      </w:r>
      <w:r>
        <w:rPr>
          <w:rStyle w:val="FootnoteAnchor"/>
          <w:rtl w:val="true"/>
        </w:rPr>
        <w:footnoteReference w:id="13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أنّ هذا كذب صريح، و هو صلّى اللّه عليه و آله و سلم منزّه عنه قطعا، بل شنائع ما ذكره العامّة من الرواية في غاية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المقام مقام تعرّض الكلّ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جملتها أنّ الرجل الذي نقلوا أنّه الراوي مات في زمان الرسول صلّى اللّه عليه و آله و سلم قبل أن تصير الصلاة أربع ركعات، على ما صرّح به المفيد أو المرتضى في الرسالة في الردّ على الصدوق </w:t>
      </w:r>
      <w:r>
        <w:rPr>
          <w:rStyle w:val="FootnoteAnchor"/>
          <w:rtl w:val="true"/>
        </w:rPr>
        <w:footnoteReference w:id="1335"/>
      </w:r>
      <w:r>
        <w:rPr>
          <w:rFonts w:ascii="Amiri" w:hAnsi="Amiri" w:eastAsia="Amiri" w:cs="Amiri"/>
          <w:color w:val="111111"/>
          <w:sz w:val="28"/>
          <w:sz w:val="28"/>
          <w:szCs w:val="28"/>
          <w:rtl w:val="true"/>
          <w:lang w:bidi="ar-SA"/>
        </w:rPr>
        <w:t>، من أراد الاطّلاع فليلاحظ تلك الرسالة؛ فإنّه يظهر منها غاية الظهور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من المخترعات التي لا أصل لها</w:t>
      </w:r>
      <w:r>
        <w:rPr>
          <w:rFonts w:eastAsia="Amiri" w:cs="Amiri" w:ascii="Amiri" w:hAnsi="Amiri"/>
          <w:color w:val="111111"/>
          <w:sz w:val="28"/>
          <w:szCs w:val="28"/>
          <w:rtl w:val="true"/>
          <w:lang w:bidi="ar-SA"/>
        </w:rPr>
        <w:t>.</w:t>
      </w:r>
      <w:bookmarkStart w:id="514" w:name="pg2470_12634"/>
    </w:p>
    <w:p>
      <w:pPr>
        <w:pStyle w:val="BookText"/>
        <w:rPr/>
      </w:pPr>
      <w:bookmarkEnd w:id="514"/>
      <w:r>
        <w:rPr>
          <w:rFonts w:ascii="Amiri" w:hAnsi="Amiri" w:eastAsia="Amiri" w:cs="Amiri"/>
          <w:color w:val="111111"/>
          <w:sz w:val="28"/>
          <w:sz w:val="28"/>
          <w:szCs w:val="28"/>
          <w:rtl w:val="true"/>
          <w:lang w:bidi="ar-SA"/>
        </w:rPr>
        <w:t>و ما ورد في أخبارنا، فإنّما هو تقيّة منهم عليهم السّلام؛ فإنّ العامّة في غاية الشدّة و المبالغة في وقوع هذه الحكاية، فلو وقع من أحد من الشيعة تأمّل فيها لكانوا يقتلونه، و يلزم منه المفاسد، فلو صحّ تشديدهم عليهم السّلام في الإنكار على منكرها، فلا شكّ في أنّه لضرب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المقام لا يشبع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تأليف رسالة مبسوطة، لكن أظنّ أنّ العاقل يكفيه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اعيد </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المراد منه التفهيم بعنوان الإشارة؛ لأنّ القول و التكلّم بعد معلوميّة النقيصة تكلّم عمدا، فتبطل الصلاة به بالإجماع و الأخبار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على النوافل </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الأظهر حمل أحد المتعارضين على التقيّة؛ للاختلاف العظيم بين العراقيّين من العامّة و الحجازيّين منهم، و لعلّ هذه الأخبار محمولة على التقيّة؛ لاشتهار خلافها بين الشيعة</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3601648_3804643083"/>
      <w:bookmarkStart w:id="516" w:name="_Toc192"/>
      <w:bookmarkEnd w:id="515"/>
      <w:r>
        <w:rPr>
          <w:rtl w:val="true"/>
        </w:rPr>
        <w:t>[</w:t>
      </w:r>
      <w:r>
        <w:rPr>
          <w:rtl w:val="true"/>
        </w:rPr>
        <w:t>باب سهو المسافر في التقصير أو جهله به</w:t>
      </w:r>
      <w:r>
        <w:rPr>
          <w:rtl w:val="true"/>
        </w:rPr>
        <w:t>]</w:t>
      </w:r>
      <w:bookmarkEnd w:id="51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صلّى و هو مسافر فأتمّ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فليعد، و إن كان الوقت قد مضى فلا</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شامل لصورتي السهو و الجهل، فالعمد بطريق أولى، بالقياس إلى الإعادة، لا عدم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دليل صالح في أنّ الجاهل يعيد في الوقت، لكن صحيحة زرارة و ابن مسلم </w:t>
      </w:r>
      <w:r>
        <w:rPr>
          <w:rStyle w:val="FootnoteAnchor"/>
          <w:rtl w:val="true"/>
        </w:rPr>
        <w:footnoteReference w:id="1340"/>
      </w:r>
      <w:r>
        <w:rPr>
          <w:rFonts w:ascii="Amiri" w:hAnsi="Amiri" w:eastAsia="Amiri" w:cs="Amiri"/>
          <w:color w:val="111111"/>
          <w:sz w:val="28"/>
          <w:sz w:val="28"/>
          <w:szCs w:val="28"/>
          <w:rtl w:val="true"/>
          <w:lang w:bidi="ar-SA"/>
        </w:rPr>
        <w:t xml:space="preserve">أقوى منها بحسب الدلالة و فتوى المعظم، و أنّ رواية الباقر عليه السّلام </w:t>
      </w:r>
      <w:r>
        <w:rPr>
          <w:rStyle w:val="FootnoteAnchor"/>
          <w:rtl w:val="true"/>
        </w:rPr>
        <w:footnoteReference w:id="1341"/>
      </w:r>
      <w:r>
        <w:rPr>
          <w:rFonts w:ascii="Amiri" w:hAnsi="Amiri" w:eastAsia="Amiri" w:cs="Amiri"/>
          <w:color w:val="111111"/>
          <w:sz w:val="28"/>
          <w:sz w:val="28"/>
          <w:szCs w:val="28"/>
          <w:rtl w:val="true"/>
          <w:lang w:bidi="ar-SA"/>
        </w:rPr>
        <w:t xml:space="preserve">أبعد من التقيّة، و أوفق للحقّ عقلا و نقلا، كما حقّق في محلّه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مقتضى الجمع بين الأخبار تقييد هذه الصحيحة بها، و البناء على الاستحباب مسامحة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w:t>
      </w:r>
      <w:r>
        <w:rPr>
          <w:rStyle w:val="FootnoteAnchor"/>
          <w:rtl w:val="true"/>
        </w:rPr>
        <w:footnoteReference w:id="1343"/>
      </w:r>
      <w:r>
        <w:rPr>
          <w:rFonts w:ascii="Amiri" w:hAnsi="Amiri" w:eastAsia="Amiri" w:cs="Amiri"/>
          <w:color w:val="111111"/>
          <w:sz w:val="28"/>
          <w:sz w:val="28"/>
          <w:szCs w:val="28"/>
          <w:rtl w:val="true"/>
          <w:lang w:bidi="ar-SA"/>
        </w:rPr>
        <w:t>المراد منه النهار، بقرينة هذه الصحيحة، و أنّ الإعادة ربّما كان ظاهرا، في المعنى الاصطلاحي المقابل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المغرب لا تقصير فيه، فمن قصّر كان عليه الإعادة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العمومات متواترة في كون المغرب ثلاث ركعات، و مقتضاه عدم إجزاء الركعتين منها، خصوصا بعد ملاحظة الإجماع </w:t>
      </w:r>
      <w:r>
        <w:rPr>
          <w:rStyle w:val="FootnoteAnchor"/>
          <w:rtl w:val="true"/>
        </w:rPr>
        <w:footnoteReference w:id="1345"/>
      </w:r>
      <w:r>
        <w:rPr>
          <w:rFonts w:ascii="Amiri" w:hAnsi="Amiri" w:eastAsia="Amiri" w:cs="Amiri"/>
          <w:color w:val="111111"/>
          <w:sz w:val="28"/>
          <w:sz w:val="28"/>
          <w:szCs w:val="28"/>
          <w:rtl w:val="true"/>
          <w:lang w:bidi="ar-SA"/>
        </w:rPr>
        <w:t xml:space="preserve">و الأخبار الدالّة على عدم القصر في المغرب مطلقة </w:t>
      </w:r>
      <w:r>
        <w:rPr>
          <w:rStyle w:val="FootnoteAnchor"/>
          <w:rtl w:val="true"/>
        </w:rPr>
        <w:footnoteReference w:id="1346"/>
      </w:r>
      <w:r>
        <w:rPr>
          <w:rFonts w:ascii="Amiri" w:hAnsi="Amiri" w:eastAsia="Amiri" w:cs="Amiri"/>
          <w:color w:val="111111"/>
          <w:sz w:val="28"/>
          <w:sz w:val="28"/>
          <w:szCs w:val="28"/>
          <w:rtl w:val="true"/>
          <w:lang w:bidi="ar-SA"/>
        </w:rPr>
        <w:t xml:space="preserve">،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لتخصيصها، بل الإجماع لا يتخصّص، فتأمّل</w:t>
      </w:r>
      <w:r>
        <w:rPr>
          <w:rFonts w:eastAsia="Amiri" w:cs="Amiri" w:ascii="Amiri" w:hAnsi="Amiri"/>
          <w:color w:val="111111"/>
          <w:sz w:val="28"/>
          <w:szCs w:val="28"/>
          <w:rtl w:val="true"/>
          <w:lang w:bidi="ar-SA"/>
        </w:rPr>
        <w:t>!</w:t>
      </w:r>
      <w:bookmarkStart w:id="517" w:name="pg2470_12636"/>
    </w:p>
    <w:p>
      <w:pPr>
        <w:pStyle w:val="Heading4"/>
        <w:numPr>
          <w:ilvl w:val="3"/>
          <w:numId w:val="1"/>
        </w:numPr>
        <w:rPr/>
      </w:pPr>
      <w:bookmarkStart w:id="518" w:name="__RefHeading___Toc3601650_3804643083"/>
      <w:bookmarkStart w:id="519" w:name="_Toc193"/>
      <w:bookmarkEnd w:id="517"/>
      <w:bookmarkEnd w:id="518"/>
      <w:r>
        <w:rPr>
          <w:rtl w:val="true"/>
        </w:rPr>
        <w:t>[</w:t>
      </w:r>
      <w:r>
        <w:rPr>
          <w:rtl w:val="true"/>
        </w:rPr>
        <w:t>باب الشكّ في الغداة و المغرب و في الركعتين الأوّلتين من الرباعيّة</w:t>
      </w:r>
      <w:r>
        <w:rPr>
          <w:rtl w:val="true"/>
        </w:rPr>
        <w:t>]</w:t>
      </w:r>
      <w:bookmarkEnd w:id="5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الأخبار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الطعن فيها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ممّا ينافيها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يشير إلى ذلك ما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بركعة</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و كذا رواية عنبسة،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ركعة واحدة، يقرأ فيها</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يشير أيضا أنّ الحسين راوي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الإعادة في الشكّ في الفجر و الجمعة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3601652_3804643083"/>
      <w:bookmarkStart w:id="521" w:name="_Toc194"/>
      <w:bookmarkEnd w:id="520"/>
      <w:r>
        <w:rPr>
          <w:rtl w:val="true"/>
        </w:rPr>
        <w:t>[</w:t>
      </w:r>
      <w:r>
        <w:rPr>
          <w:rtl w:val="true"/>
        </w:rPr>
        <w:t>باب الشكّ فيما زاد على الركعتين</w:t>
      </w:r>
      <w:r>
        <w:rPr>
          <w:rtl w:val="true"/>
        </w:rPr>
        <w:t>]</w:t>
      </w:r>
      <w:bookmarkEnd w:id="5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يدخل الشكّ في اليقين </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أحرز الثنتين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يقع من المصلّي شكّ أصلا من ابتداء الثنتين إلى انتهائه، و كذلك الثلاث، و كانت نفسه مطمئنّة على كونهما اثنتين في السؤال الأوّل، ثمّ عرضه الشكّ في أنّ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الأوّل أم الثاني في الرباعيّة، فشكّ حينئذ في كون اليقين الماضي هل هو ثنتان أو أربع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أنّ المصلّي حين فعله فعلا أذكر لهذا الفعل منه بعده </w:t>
      </w:r>
      <w:r>
        <w:rPr>
          <w:rStyle w:val="FootnoteAnchor"/>
          <w:rtl w:val="true"/>
        </w:rPr>
        <w:footnoteReference w:id="1352"/>
      </w:r>
      <w:r>
        <w:rPr>
          <w:rFonts w:ascii="Amiri" w:hAnsi="Amiri" w:eastAsia="Amiri" w:cs="Amiri"/>
          <w:color w:val="111111"/>
          <w:sz w:val="28"/>
          <w:sz w:val="28"/>
          <w:szCs w:val="28"/>
          <w:rtl w:val="true"/>
          <w:lang w:bidi="ar-SA"/>
        </w:rPr>
        <w:t>أي بعد الفراغ</w:t>
      </w:r>
    </w:p>
    <w:p>
      <w:pPr>
        <w:pStyle w:val="BookText"/>
        <w:rPr/>
      </w:pPr>
      <w:r>
        <w:rPr>
          <w:rFonts w:ascii="Amiri" w:hAnsi="Amiri" w:eastAsia="Amiri" w:cs="Amiri"/>
          <w:color w:val="111111"/>
          <w:sz w:val="28"/>
          <w:sz w:val="28"/>
          <w:szCs w:val="28"/>
          <w:rtl w:val="true"/>
          <w:lang w:bidi="ar-SA"/>
        </w:rPr>
        <w:t>و الدخول في الغير، مثل التشهّد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الاطمئنان السابق يستصحب شرعا نصوصا و اعتبارا، و من الجهات المذكورة يحصل ظنّ بالأقلّ، فلأجل هذا يا بني عليه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مذهب العامّة من البناء على الأقلّ في الشكّ المساوي طرفاه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بما ذكرنا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من كلّ واحد واحد من فقراته لا ما ذكره المؤلّف من العنايات الشديدة البعيدة الموجبة لطرح الحديث، و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الراوي روى بعينه الرواية الآتية </w:t>
      </w:r>
      <w:r>
        <w:rPr>
          <w:rStyle w:val="FootnoteAnchor"/>
          <w:rtl w:val="true"/>
        </w:rPr>
        <w:footnoteReference w:id="1354"/>
      </w:r>
      <w:r>
        <w:rPr>
          <w:rFonts w:ascii="IRNazanin" w:hAnsi="IRNazanin" w:eastAsia="IRNazanin"/>
          <w:color w:val="111111"/>
          <w:sz w:val="28"/>
          <w:sz w:val="28"/>
          <w:szCs w:val="28"/>
          <w:rtl w:val="true"/>
          <w:lang w:bidi="fa-IR"/>
        </w:rPr>
        <w:t>فلا تغافل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الشكّ</w:t>
      </w:r>
      <w:r>
        <w:rPr>
          <w:rFonts w:eastAsia="Amiri" w:cs="Amiri" w:ascii="Amiri" w:hAnsi="Amiri"/>
          <w:color w:val="111111"/>
          <w:sz w:val="28"/>
          <w:szCs w:val="28"/>
          <w:rtl w:val="true"/>
          <w:lang w:bidi="ar-SA"/>
        </w:rPr>
        <w:t xml:space="preserve">» .. </w:t>
      </w:r>
      <w:r>
        <w:rPr>
          <w:rStyle w:val="FootnoteAnchor"/>
          <w:rtl w:val="true"/>
        </w:rPr>
        <w:footnoteReference w:id="135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أنّه لا يجعل الأوّلتين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يخلط أحدهما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اليقين؛ يعني لا يعتدّ بالرابعة المشكوك فيها</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من اليقين؛ اليقين بشغل الذمّة و وجوب الإتيان بالمأمور به على وجهه و على النحو الذي امر به، و المراد من الشكّ مجرّد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رأي العامّة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الزيادة حينئذ و تساوي احتمال النقيصة و التماميّة،</w:t>
      </w:r>
    </w:p>
    <w:p>
      <w:pPr>
        <w:pStyle w:val="BookText"/>
        <w:rPr/>
      </w:pPr>
      <w:r>
        <w:rPr>
          <w:rFonts w:ascii="Amiri" w:hAnsi="Amiri" w:eastAsia="Amiri" w:cs="Amiri"/>
          <w:color w:val="111111"/>
          <w:sz w:val="28"/>
          <w:sz w:val="28"/>
          <w:szCs w:val="28"/>
          <w:rtl w:val="true"/>
          <w:lang w:bidi="ar-SA"/>
        </w:rPr>
        <w:t>و هو بعينه معنى الشكّ فلا بدّ من الإتمام و السلام، مراعاة لاحتمال التمام، و لا بدّ أيضا من البناء على الأقلّ بعد السلام و الإتيان بما بقي، كما هو رأي الشيعة، و المستفاد من أخبارهم، منها الصحيح السابق، و الصحيح الآتي مع اتّحاد الراوي و المسئول و المسئول عنه، مضافا إلى ما يظهر من هذا الصحيح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قائم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البناء على الأقلّ يوجب الإتيان بما بقي، على ما هو ضروري الدين، فلا حاجة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تعيين فاتحة الكتاب ينادي بالفصل، و كونها ركعتي الاحتياط؛ لأنّ التخيير بينها و بين التسبيح من ضروريّات مذهب الشيعة، بل مرّ عن زرارة في رواياته عن الأئمّة عليهم السّلام تعيين التسبيح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الثلاث ليست بمتيقّن؛ لاحتمال الأربعة، و اليقين لا يجمع مع احتمال الغير، مع أنّ استئناف الصلاة ليس نقضا للثلاث بالشك في الرابعة، بل لعدم الإتيان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لم يقل بالإعادة حتّى يمنع عنها، مع كون زرارة فقيها قبل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لعلّ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ركعة الاحتياط في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هو متعيّن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يفعله العامّة،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بالإتيان بركعة اخرى </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ما فيه من العناية و التعسّف، سيّما و من المسلّمات أنّ المعرّف باللام إذا</w:t>
      </w:r>
    </w:p>
    <w:p>
      <w:pPr>
        <w:pStyle w:val="BookText"/>
        <w:rPr/>
      </w:pPr>
      <w:r>
        <w:rPr>
          <w:rFonts w:ascii="Amiri" w:hAnsi="Amiri" w:eastAsia="Amiri" w:cs="Amiri"/>
          <w:color w:val="111111"/>
          <w:sz w:val="28"/>
          <w:sz w:val="28"/>
          <w:szCs w:val="28"/>
          <w:rtl w:val="true"/>
          <w:lang w:bidi="ar-SA"/>
        </w:rPr>
        <w:t>ذكر مرّتين يكون الآخر عين الأوّل، 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واحد في يسرين </w:t>
      </w:r>
      <w:r>
        <w:rPr>
          <w:rStyle w:val="FootnoteAnchor"/>
          <w:rtl w:val="true"/>
        </w:rPr>
        <w:footnoteReference w:id="1359"/>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إِنَّ مَعَ الْعُسْرِ يُسْراً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العلاء،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استوى وهمه في الثلاث و الأربع سلّم و صلّى ركعتين و أربع سجدات بفاتحة الكتاب، و هو جالس يقصّر في التشهّد</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الظاهر من الأخبار كفاية مجرّد الوهم من دون اشتراط قوّة فيه، فلم يبق تردّد حينئذ، مع أنّه خلاف فتوى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سقوط شي‌ء بعد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لأنّ السؤال إنّما وقع عن الشكّ، فلا وجه للجواب عن الظنّ و الاقتصار فيه، و اقتضاء مطابقة الجواب للسؤال أنّ الشكّ يوجب البناء على الأكثر، ثمّ صلاة الاحتياط، و إن كان الشكّ يوهمه أنّه في الثالثة، إلّا أنّه في قلبه من الرابعة شي‌ء يقاوم وهمه، و يصير به شاكّا،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التسليم بينه و بين نفسه عدم الإجهار حرمة للصلاة باحتمال البعض، و كون الاحتياط تتمّة، و يكون ذلك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ذلك لأجل التقيّة؛ لأنّ العامّة يبنون على الأقلّ، فتأمّل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سهل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تلبّس عليه الأعداد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bookmarkStart w:id="522" w:name="pg2470_12640"/>
    </w:p>
    <w:p>
      <w:pPr>
        <w:pStyle w:val="BookText"/>
        <w:rPr/>
      </w:pPr>
      <w:bookmarkEnd w:id="522"/>
      <w:r>
        <w:rPr>
          <w:rFonts w:ascii="Amiri" w:hAnsi="Amiri" w:eastAsia="Amiri" w:cs="Amiri"/>
          <w:color w:val="111111"/>
          <w:sz w:val="28"/>
          <w:sz w:val="28"/>
          <w:szCs w:val="28"/>
          <w:rtl w:val="true"/>
          <w:lang w:bidi="ar-SA"/>
        </w:rPr>
        <w:t>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على يقينه</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يوهم كلامه ذلك، و إلّا فالقرينة في كلامه موجودة أنّه لا يريد هذا؛ لعدم الفائدة في ركعة قائما و ركعتين جالسا بلا شبهة، و لأنّ الظاهر أنّه إشارة إلى رواية البجلي، عن أبي إبراهيم عليه السّلام </w:t>
      </w:r>
      <w:r>
        <w:rPr>
          <w:rStyle w:val="FootnoteAnchor"/>
          <w:rtl w:val="true"/>
        </w:rPr>
        <w:footnoteReference w:id="1364"/>
      </w:r>
      <w:r>
        <w:rPr>
          <w:rFonts w:ascii="Amiri" w:hAnsi="Amiri" w:eastAsia="Amiri" w:cs="Amiri"/>
          <w:color w:val="111111"/>
          <w:sz w:val="28"/>
          <w:sz w:val="28"/>
          <w:szCs w:val="28"/>
          <w:rtl w:val="true"/>
          <w:lang w:bidi="ar-SA"/>
        </w:rPr>
        <w:t xml:space="preserve">، و رواية سهل بن اليسع إلى ما رواه الشيخ عنه عن الرضا عليه السّلام </w:t>
      </w:r>
      <w:r>
        <w:rPr>
          <w:rStyle w:val="FootnoteAnchor"/>
          <w:rtl w:val="true"/>
        </w:rPr>
        <w:footnoteReference w:id="1365"/>
      </w:r>
      <w:r>
        <w:rPr>
          <w:rFonts w:ascii="Amiri" w:hAnsi="Amiri" w:eastAsia="Amiri" w:cs="Amiri"/>
          <w:color w:val="111111"/>
          <w:sz w:val="28"/>
          <w:sz w:val="28"/>
          <w:szCs w:val="28"/>
          <w:rtl w:val="true"/>
          <w:lang w:bidi="ar-SA"/>
        </w:rPr>
        <w:t>في الشكّ بين الثنتين و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الروايتان غير ما ذكرنا فظاهر عبارته حكم كثير الشكّ؛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سهل بن اليسع في ذلك عن الرضا عليه السّلام </w:t>
      </w:r>
      <w:r>
        <w:rPr>
          <w:rStyle w:val="FootnoteAnchor"/>
          <w:rtl w:val="true"/>
        </w:rPr>
        <w:footnoteReference w:id="1366"/>
      </w:r>
      <w:r>
        <w:rPr>
          <w:rFonts w:ascii="Amiri" w:hAnsi="Amiri" w:eastAsia="Amiri" w:cs="Amiri"/>
          <w:color w:val="111111"/>
          <w:sz w:val="28"/>
          <w:sz w:val="28"/>
          <w:szCs w:val="28"/>
          <w:rtl w:val="true"/>
          <w:lang w:bidi="ar-SA"/>
        </w:rPr>
        <w:t xml:space="preserve">، و أشار بذلك إلى ما رواه مقدّما عليه، و هو رواية علي بن أبي حمزة </w:t>
      </w:r>
      <w:r>
        <w:rPr>
          <w:rStyle w:val="FootnoteAnchor"/>
          <w:rtl w:val="true"/>
        </w:rPr>
        <w:footnoteReference w:id="1367"/>
      </w:r>
      <w:r>
        <w:rPr>
          <w:rFonts w:ascii="Amiri" w:hAnsi="Amiri" w:eastAsia="Amiri" w:cs="Amiri"/>
          <w:color w:val="111111"/>
          <w:sz w:val="28"/>
          <w:sz w:val="28"/>
          <w:szCs w:val="28"/>
          <w:rtl w:val="true"/>
          <w:lang w:bidi="ar-SA"/>
        </w:rPr>
        <w:t>التي سيذكرها المصنّف في باب من لا يعتدّ بشكّه، و سيجي‌ء أنّ المراد منها كثير الشكّ</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3601654_3804643083"/>
      <w:bookmarkStart w:id="524" w:name="_Toc195"/>
      <w:bookmarkEnd w:id="523"/>
      <w:r>
        <w:rPr>
          <w:rtl w:val="true"/>
        </w:rPr>
        <w:t>[</w:t>
      </w:r>
      <w:r>
        <w:rPr>
          <w:rtl w:val="true"/>
        </w:rPr>
        <w:t>باب سائر مواضع سجدتي السهو و صفتهما</w:t>
      </w:r>
      <w:r>
        <w:rPr>
          <w:rtl w:val="true"/>
        </w:rPr>
        <w:t>]</w:t>
      </w:r>
      <w:bookmarkEnd w:id="5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ترك سجدة فقد نقص</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كلام الشيخ</w:t>
      </w:r>
      <w:r>
        <w:rPr>
          <w:rFonts w:eastAsia="Amiri" w:cs="Amiri" w:ascii="Amiri" w:hAnsi="Amiri"/>
          <w:color w:val="111111"/>
          <w:sz w:val="28"/>
          <w:szCs w:val="28"/>
          <w:rtl w:val="true"/>
          <w:lang w:bidi="ar-SA"/>
        </w:rPr>
        <w:t>.</w:t>
      </w:r>
      <w:bookmarkStart w:id="525" w:name="pg2470_12641"/>
    </w:p>
    <w:p>
      <w:pPr>
        <w:pStyle w:val="Heading4"/>
        <w:numPr>
          <w:ilvl w:val="3"/>
          <w:numId w:val="1"/>
        </w:numPr>
        <w:rPr/>
      </w:pPr>
      <w:bookmarkStart w:id="526" w:name="__RefHeading___Toc3601656_3804643083"/>
      <w:bookmarkStart w:id="527" w:name="_Toc196"/>
      <w:bookmarkEnd w:id="525"/>
      <w:bookmarkEnd w:id="526"/>
      <w:r>
        <w:rPr>
          <w:rtl w:val="true"/>
        </w:rPr>
        <w:t>[</w:t>
      </w:r>
      <w:r>
        <w:rPr>
          <w:rtl w:val="true"/>
        </w:rPr>
        <w:t>باب من لا يعتدّ بشكّه و علاج السهو و الشكّ</w:t>
      </w:r>
      <w:r>
        <w:rPr>
          <w:rtl w:val="true"/>
        </w:rPr>
        <w:t>]</w:t>
      </w:r>
      <w:bookmarkEnd w:id="5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ممّا لا بدّ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يفعل فعلا تخيّر </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بعيد، بل الظاهر البناء على وقوع المشكوك فيه؛ إن كان الشكّ في 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المصحّح، إن كان في الزيادة، كما ذكره الفقهاء </w:t>
      </w:r>
      <w:r>
        <w:rPr>
          <w:rStyle w:val="FootnoteAnchor"/>
          <w:rtl w:val="true"/>
        </w:rPr>
        <w:footnoteReference w:id="137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صريح فيما ذكرنا، فتأمّل</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3601658_3804643083"/>
      <w:bookmarkStart w:id="529" w:name="_Toc197"/>
      <w:bookmarkEnd w:id="528"/>
      <w:r>
        <w:rPr>
          <w:rtl w:val="true"/>
        </w:rPr>
        <w:t>[</w:t>
      </w:r>
      <w:r>
        <w:rPr>
          <w:rtl w:val="true"/>
        </w:rPr>
        <w:t>باب من فاتته صلاة و دخل عليه وقت اخرى</w:t>
      </w:r>
      <w:r>
        <w:rPr>
          <w:rtl w:val="true"/>
        </w:rPr>
        <w:t>]</w:t>
      </w:r>
      <w:bookmarkEnd w:id="5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فريضة</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هذا الخبر لا يمكن الحمل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ضيق وقت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يصير مخالفا لضروريّ الدين؛ لأنّه يلزم قضاء صلاة عمدا على المشهور، بل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تقدير القول باشتراك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أنّ الصدوق قائل به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تعيين المغرب، فالحمل على الشذوذ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واردة على القول بانتهاء وقت المغرب بدخول وقت العشاء، فتكون هذه أيضا محمولة على التقيّة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بينه و بين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بالتخيير ممكن</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أنّه متضمّن لذكر المغرب أيضا، فإن كان الوقت متّسعا فلا وجه لتقديم العشاء؛ لأنّه مخالف للإجماع </w:t>
      </w:r>
      <w:r>
        <w:rPr>
          <w:rStyle w:val="FootnoteAnchor"/>
          <w:rtl w:val="true"/>
        </w:rPr>
        <w:footnoteReference w:id="1375"/>
      </w:r>
      <w:r>
        <w:rPr>
          <w:rFonts w:ascii="Amiri" w:hAnsi="Amiri" w:eastAsia="Amiri" w:cs="Amiri"/>
          <w:color w:val="111111"/>
          <w:sz w:val="28"/>
          <w:sz w:val="28"/>
          <w:szCs w:val="28"/>
          <w:rtl w:val="true"/>
          <w:lang w:bidi="ar-SA"/>
        </w:rPr>
        <w:t xml:space="preserve">و للأخبار الكثيرة </w:t>
      </w:r>
      <w:r>
        <w:rPr>
          <w:rStyle w:val="FootnoteAnchor"/>
          <w:rtl w:val="true"/>
        </w:rPr>
        <w:footnoteReference w:id="1376"/>
      </w:r>
      <w:r>
        <w:rPr>
          <w:rFonts w:ascii="Amiri" w:hAnsi="Amiri" w:eastAsia="Amiri" w:cs="Amiri"/>
          <w:color w:val="111111"/>
          <w:sz w:val="28"/>
          <w:sz w:val="28"/>
          <w:szCs w:val="28"/>
          <w:rtl w:val="true"/>
          <w:lang w:bidi="ar-SA"/>
        </w:rPr>
        <w:t>المعمول بها عند المتقدّمين و المتأخّرين، و إلّا فلا وجه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يأمن</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يؤوّل هذا القول، و يوجّه و يحمل على وقت الضيق، إلّا أنّ الرواية مبنيّة على القول بأنّ وقت المغرب بغيبوبة حمرة الشفق و الربع من الليل، و دخول العشاء بذهاب الحمرة و غيره، فلا يكون حجّة؛ لما دلّ على بطلان القول </w:t>
      </w:r>
      <w:r>
        <w:rPr>
          <w:rStyle w:val="FootnoteAnchor"/>
          <w:rtl w:val="true"/>
        </w:rPr>
        <w:footnoteReference w:id="1378"/>
      </w:r>
      <w:r>
        <w:rPr>
          <w:rFonts w:ascii="Amiri" w:hAnsi="Amiri" w:eastAsia="Amiri" w:cs="Amiri"/>
          <w:color w:val="111111"/>
          <w:sz w:val="28"/>
          <w:sz w:val="28"/>
          <w:szCs w:val="28"/>
          <w:rtl w:val="true"/>
          <w:lang w:bidi="ar-SA"/>
        </w:rPr>
        <w:t>، و يكون محمولا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نام رجل أو نسي أن يصلّي المغرب،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المراد من العشاء الآخرة في رواية جميل </w:t>
      </w:r>
      <w:r>
        <w:rPr>
          <w:rStyle w:val="FootnoteAnchor"/>
          <w:rtl w:val="true"/>
        </w:rPr>
        <w:footnoteReference w:id="1380"/>
      </w:r>
      <w:r>
        <w:rPr>
          <w:rFonts w:ascii="Amiri" w:hAnsi="Amiri" w:eastAsia="Amiri" w:cs="Amiri"/>
          <w:color w:val="111111"/>
          <w:sz w:val="28"/>
          <w:sz w:val="28"/>
          <w:szCs w:val="28"/>
          <w:rtl w:val="true"/>
          <w:lang w:bidi="ar-SA"/>
        </w:rPr>
        <w:t>وقت الضيق لها بقرينته، أو المختصّ بها على حسب ما مرّ</w:t>
      </w:r>
      <w:r>
        <w:rPr>
          <w:rFonts w:eastAsia="Amiri" w:cs="Amiri" w:ascii="Amiri" w:hAnsi="Amiri"/>
          <w:color w:val="111111"/>
          <w:sz w:val="28"/>
          <w:szCs w:val="28"/>
          <w:rtl w:val="true"/>
          <w:lang w:bidi="ar-SA"/>
        </w:rPr>
        <w:t>.</w:t>
      </w:r>
      <w:bookmarkStart w:id="530" w:name="pg2470_12643"/>
    </w:p>
    <w:p>
      <w:pPr>
        <w:pStyle w:val="Heading3"/>
        <w:numPr>
          <w:ilvl w:val="2"/>
          <w:numId w:val="1"/>
        </w:numPr>
        <w:rPr/>
      </w:pPr>
      <w:bookmarkStart w:id="531" w:name="__RefHeading___Toc3601660_3804643083"/>
      <w:bookmarkStart w:id="532" w:name="_Toc198"/>
      <w:bookmarkEnd w:id="530"/>
      <w:bookmarkEnd w:id="531"/>
      <w:r>
        <w:rPr>
          <w:rtl w:val="true"/>
        </w:rPr>
        <w:t>[</w:t>
      </w:r>
      <w:r>
        <w:rPr>
          <w:rtl w:val="true"/>
        </w:rPr>
        <w:t>أبواب فضل صلاة الجمعة و الجماعة و شرائطهما و آدابهما</w:t>
      </w:r>
      <w:r>
        <w:rPr>
          <w:rtl w:val="true"/>
        </w:rPr>
        <w:t>]</w:t>
      </w:r>
      <w:bookmarkEnd w:id="532"/>
    </w:p>
    <w:p>
      <w:pPr>
        <w:pStyle w:val="Heading4"/>
        <w:numPr>
          <w:ilvl w:val="3"/>
          <w:numId w:val="1"/>
        </w:numPr>
        <w:rPr/>
      </w:pPr>
      <w:bookmarkStart w:id="533" w:name="__RefHeading___Toc3601662_3804643083"/>
      <w:bookmarkStart w:id="534" w:name="_Toc199"/>
      <w:bookmarkEnd w:id="533"/>
      <w:r>
        <w:rPr>
          <w:rtl w:val="true"/>
        </w:rPr>
        <w:t>[</w:t>
      </w:r>
      <w:r>
        <w:rPr>
          <w:rtl w:val="true"/>
        </w:rPr>
        <w:t>صلاة الجمعة</w:t>
      </w:r>
      <w:r>
        <w:rPr>
          <w:rtl w:val="true"/>
        </w:rPr>
        <w:t>]</w:t>
      </w:r>
      <w:bookmarkEnd w:id="534"/>
    </w:p>
    <w:p>
      <w:pPr>
        <w:pStyle w:val="Heading5"/>
        <w:numPr>
          <w:ilvl w:val="4"/>
          <w:numId w:val="1"/>
        </w:numPr>
        <w:rPr/>
      </w:pPr>
      <w:bookmarkStart w:id="535" w:name="__RefHeading___Toc3601664_3804643083"/>
      <w:bookmarkStart w:id="536" w:name="_Toc200"/>
      <w:bookmarkEnd w:id="535"/>
      <w:r>
        <w:rPr>
          <w:rtl w:val="true"/>
        </w:rPr>
        <w:t>[</w:t>
      </w:r>
      <w:r>
        <w:rPr>
          <w:rtl w:val="true"/>
        </w:rPr>
        <w:t>باب عمل يوم الجمعة و ليلته و التهيّؤ فيه للصلاة</w:t>
      </w:r>
      <w:r>
        <w:rPr>
          <w:rtl w:val="true"/>
        </w:rPr>
        <w:t>]</w:t>
      </w:r>
      <w:bookmarkEnd w:id="5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مضت الأخبار الواردة في الغسل يوم الجمعة، و التطيّب، و أخذ الشارب، و تقليم الأظفار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ورد في بعض الأخبار أنّ الصادق عليه السّلام، كان يحلق كلّ يوم جمعة </w:t>
      </w:r>
      <w:r>
        <w:rPr>
          <w:rStyle w:val="FootnoteAnchor"/>
          <w:rtl w:val="true"/>
        </w:rPr>
        <w:footnoteReference w:id="1382"/>
      </w:r>
      <w:r>
        <w:rPr>
          <w:rFonts w:ascii="Amiri" w:hAnsi="Amiri" w:eastAsia="Amiri" w:cs="Amiri"/>
          <w:color w:val="111111"/>
          <w:sz w:val="28"/>
          <w:sz w:val="28"/>
          <w:szCs w:val="28"/>
          <w:rtl w:val="true"/>
          <w:lang w:bidi="ar-SA"/>
        </w:rPr>
        <w:t>، و قد مرّ</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3601666_3804643083"/>
      <w:bookmarkStart w:id="538" w:name="_Toc201"/>
      <w:bookmarkEnd w:id="537"/>
      <w:r>
        <w:rPr>
          <w:rtl w:val="true"/>
        </w:rPr>
        <w:t>[</w:t>
      </w:r>
      <w:r>
        <w:rPr>
          <w:rtl w:val="true"/>
        </w:rPr>
        <w:t>باب وقت صلاة الجمعة و عصرها</w:t>
      </w:r>
      <w:r>
        <w:rPr>
          <w:rtl w:val="true"/>
        </w:rPr>
        <w:t>]</w:t>
      </w:r>
      <w:bookmarkEnd w:id="53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بالظلّ الأوّل، ما قبل الزوال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كذلك، بل المراد الفي‌ء الزائد إلى قدر الشراك؛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و سلم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تزول الشمس قدر شراك</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ظاهر في أنّ</w:t>
      </w:r>
    </w:p>
    <w:p>
      <w:pPr>
        <w:pStyle w:val="BookText"/>
        <w:rPr/>
      </w:pPr>
      <w:r>
        <w:rPr>
          <w:rFonts w:ascii="Amiri" w:hAnsi="Amiri" w:eastAsia="Amiri" w:cs="Amiri"/>
          <w:color w:val="111111"/>
          <w:sz w:val="28"/>
          <w:sz w:val="28"/>
          <w:szCs w:val="28"/>
          <w:rtl w:val="true"/>
          <w:lang w:bidi="ar-SA"/>
        </w:rPr>
        <w:t>المراد أنّه صلّى اللّه عليه و آله و سلم كان شروعه في الصلاة ذلك الحين، لأنّ الصلاة اسم مركّب أوّله تكبيرة الافتتاح، فظاهره أنّ تكبيرة الافتتاح كانت تفعل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فظهر أنّ طلب نزوله كان ذلك الحين لأجل أن يشرع في الصلاة، كما يظهر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الظهور من الخارج أنّ النزول من المنبر بعد الفراغ من الخطبتين، و الشروع في الصلاة بعد النزول، و أنّه لا يفرّق بين الخطبة و الصلاة، إلّا بمقدار النزول و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صلاة حتّى ينزل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معلوم أنّه لا يفرّق بين أجزاء الصلاة، سيّما و أن يكون التفريق بمقدار ابتداء النزول إلى انتهاء الفي‌ء قدر شراك، فإذا كان شروعه في الصلاة بعد ما يمضي قدر شراك من الفي‌ء،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بعد نزوله، و نزوله بعد فراغه من الخطبة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بين ذلك تفريقا و فاصلة أصلا، على ما دلّ عليه الرواية، و ظهر من الخارج، سيّما الفاصلة الزائدة الطويلة، فظهر أنّ خطبته كانت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كون المراد من الظلّ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الحاصل بعد زوال الشمس إلى أن يصير قدر شراك، و الظلّ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ذكر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صلاة حتّى ينزل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و لو كان المراد ما ذكره المصنّف لكان المناسب التعليل بخلاف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الدوام، و أنّ ذلك كان عادته، فلو كان ذلك عادته صلّى اللّه عليه و آله و سلم لاشتهر اشتهار الشمس، سيّما و الجمعة كانت ممّا يعمّ به البلوى و يكثر إلى ذكرها الحاجة، و مع ذلك يفعل صلّى اللّه عليه و آله و سلم بمشهد عظيم من الناس جهارا على رءوس الأشهاد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الأئمّة عليهم السّلام أطبقوا على خلاف ذلك، إلّا من شذّ، و الأخبار أيضا في</w:t>
      </w:r>
      <w:bookmarkStart w:id="539" w:name="pg2470_12645"/>
    </w:p>
    <w:p>
      <w:pPr>
        <w:pStyle w:val="BookText"/>
        <w:rPr/>
      </w:pPr>
      <w:bookmarkEnd w:id="539"/>
      <w:r>
        <w:rPr>
          <w:rFonts w:ascii="Amiri" w:hAnsi="Amiri" w:eastAsia="Amiri" w:cs="Amiri"/>
          <w:color w:val="111111"/>
          <w:sz w:val="28"/>
          <w:sz w:val="28"/>
          <w:szCs w:val="28"/>
          <w:rtl w:val="true"/>
          <w:lang w:bidi="ar-SA"/>
        </w:rPr>
        <w:t xml:space="preserve">غاية الكثرة في خلافه </w:t>
      </w:r>
      <w:r>
        <w:rPr>
          <w:rStyle w:val="FootnoteAnchor"/>
          <w:rtl w:val="true"/>
        </w:rPr>
        <w:footnoteReference w:id="1385"/>
      </w:r>
      <w:r>
        <w:rPr>
          <w:rFonts w:ascii="Amiri" w:hAnsi="Amiri" w:eastAsia="Amiri" w:cs="Amiri"/>
          <w:color w:val="111111"/>
          <w:sz w:val="28"/>
          <w:sz w:val="28"/>
          <w:szCs w:val="28"/>
          <w:rtl w:val="true"/>
          <w:lang w:bidi="ar-SA"/>
        </w:rPr>
        <w:t xml:space="preserve">، لو لم نقل بتواترها، و القرآن العظيم أيضا ينادي بخلاف ذلك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الأخبار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خالف القرآن زخرف</w:t>
      </w:r>
      <w:r>
        <w:rPr>
          <w:rFonts w:eastAsia="Amiri" w:cs="Amiri" w:ascii="Amiri" w:hAnsi="Amiri"/>
          <w:color w:val="111111"/>
          <w:sz w:val="28"/>
          <w:szCs w:val="28"/>
          <w:rtl w:val="true"/>
          <w:lang w:bidi="ar-SA"/>
        </w:rPr>
        <w:t xml:space="preserve">» </w:t>
      </w:r>
      <w:r>
        <w:rPr>
          <w:rStyle w:val="FootnoteAnchor"/>
          <w:rtl w:val="true"/>
        </w:rPr>
        <w:footnoteReference w:id="13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على عرض الحائط</w:t>
      </w:r>
      <w:r>
        <w:rPr>
          <w:rFonts w:eastAsia="IRNazanin" w:cs="IRNazanin"/>
          <w:color w:val="111111"/>
          <w:sz w:val="28"/>
          <w:szCs w:val="28"/>
          <w:rtl w:val="true"/>
          <w:lang w:bidi="fa-IR"/>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إلى غير ذلك ممّا ذكر، و كذلك الحال في الخبر الشاذّ و المخالف للسنّة و الأخبار المتكاثرة </w:t>
      </w:r>
      <w:r>
        <w:rPr>
          <w:rStyle w:val="FootnoteAnchor"/>
          <w:rtl w:val="true"/>
        </w:rPr>
        <w:footnoteReference w:id="1389"/>
      </w:r>
      <w:r>
        <w:rPr>
          <w:rFonts w:ascii="Amiri" w:hAnsi="Amiri" w:eastAsia="Amiri" w:cs="Amiri"/>
          <w:color w:val="111111"/>
          <w:sz w:val="28"/>
          <w:sz w:val="28"/>
          <w:szCs w:val="28"/>
          <w:rtl w:val="true"/>
          <w:lang w:bidi="ar-SA"/>
        </w:rPr>
        <w:t>، و غير ذلك، و اللّه يعلم</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3601668_3804643083"/>
      <w:bookmarkStart w:id="541" w:name="_Toc202"/>
      <w:bookmarkEnd w:id="540"/>
      <w:r>
        <w:rPr>
          <w:rtl w:val="true"/>
        </w:rPr>
        <w:t>[</w:t>
      </w:r>
      <w:r>
        <w:rPr>
          <w:rtl w:val="true"/>
        </w:rPr>
        <w:t>باب وجوب صلاة الجمعة و شرائطها</w:t>
      </w:r>
      <w:r>
        <w:rPr>
          <w:rtl w:val="true"/>
        </w:rPr>
        <w:t>]</w:t>
      </w:r>
      <w:bookmarkEnd w:id="5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واجبة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الغداة في أهله أدرك الجمعة، و كان رسول اللّه صلّى اللّه عليه و آله و سلم إنّما يصلّى العصر في وقت الظهر في سائر الأيّام، كي إذا قضوا الصلاة مع رسول اللّه صلّى اللّه عليه و آله و سلم رجعوا إلى رحالهم قبل الليل، و ذلك سنّة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و نظائرها واضحة الدلالة في بطلان مذهب القائلين بوجوب الجمعة عينا في زمان الغيبة،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سوى الشرائط الوفاقيّة؛ كون إمامها إمام الجماعة، و أقلّ الواجب من الخطبتين، من دون اشتراط الإمام عليه السّلام أو من نصبه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دلالتها أنّها صريحة في أنّ من صلّى الغداة في أهله، و يدرك الجمعة إن سعى إليها يجب عليه السعي إليها، و ظاهرها 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وجوب هذا السعي عامّ يشمل كلّ من أدرك الجمعة،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العموم لغة، فيشمل من يكون عند الإمام القابل للجماعة، و إتيان أقلّ الخطبة و عدد يجب بهم انعقاد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أهل كلّ موضع يمكن فيه عقد الجمعة على رأيهم، و العامّ حجّة، فكيف يجب عليهم عينا أن يحضروا الجمعة من فرسخين أو ما دون؟</w:t>
      </w:r>
    </w:p>
    <w:p>
      <w:pPr>
        <w:pStyle w:val="BookText"/>
        <w:rPr/>
      </w:pPr>
      <w:r>
        <w:rPr>
          <w:rFonts w:ascii="Amiri" w:hAnsi="Amiri" w:eastAsia="Amiri" w:cs="Amiri"/>
          <w:color w:val="111111"/>
          <w:sz w:val="28"/>
          <w:sz w:val="28"/>
          <w:szCs w:val="28"/>
          <w:rtl w:val="true"/>
          <w:lang w:bidi="ar-SA"/>
        </w:rPr>
        <w:t>و معنى الوجوب العيني أنّهم إن تركوا السعي إليها يدخلون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لهذا على رأي هؤلاء؛ إذ يجوز لهم أن يفعلوا عندهم، و لا يسعون إلى درك ما هي على فرسخين أو ما دون، بل تكليفهم بالحضور حينئذ لغو، بل غير مشروع؛ لأنّه تكليف بما لم يكلّف به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تضييع أوقات العمر، و صرف مجموع النهار فيما لا يعني، لا يرضى به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هذه الأخبار و تخصيصها بصورة فقد من هو أهل للجماعة مع العدد خلاف الأصل و الظاهر، بل ربّما يأبى، و الأصل الحمل على الحقيقة و الظاهر إجماعا، و الأدلّة عليه يقينيّة متعدّدة عند الطبع السليم و القاعدة الشرعيّة؛ لأنّ حمل المطلق و العامّ على خصوص غير الأفراد الشائعة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ظاهر أنّ أطراف المدينة إلى الفرسخين كانوا يصلّون الفريضة جماعة، و كان عندهم إمام الجماعة، و الجماعة لم تكن مقصورة، فلم أوجب الشرع الحضور عند الرسول صلّى اللّه عليه و آله و سلم من كلّ طرف إلى فرسخين؟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عرفت من فساد الإيجاب، لو كان يتأتّى من أهل الأطراف الجمعة على طريقة الجماعة و تحقّق العدد، و لا شكّ ما تحقّق به العدد أيضا كثير؛ إذ لم يكن هذا من</w:t>
      </w:r>
    </w:p>
    <w:p>
      <w:pPr>
        <w:pStyle w:val="BookText"/>
        <w:rPr/>
      </w:pPr>
      <w:r>
        <w:rPr>
          <w:rFonts w:ascii="Amiri" w:hAnsi="Amiri" w:eastAsia="Amiri" w:cs="Amiri"/>
          <w:color w:val="111111"/>
          <w:sz w:val="28"/>
          <w:sz w:val="28"/>
          <w:szCs w:val="28"/>
          <w:rtl w:val="true"/>
          <w:lang w:bidi="ar-SA"/>
        </w:rPr>
        <w:t>خصائص النبيّ صلّى اللّه عليه و آله و سلم بالإجماع، 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سنّة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العامّ مخصّص بما إذا وجد المنصوب في أهل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خرج بالإجماع، و بقي الباقي، و العامّ المخصّص حجّة في الباقي، مع أنّ مدار هؤلاء على ذلك سيّما في المقام؛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الجمعة العامّ، خرج عنه خاصّات كثيرة بسبب فقد الشرائط كلّ خاصّ بالنسبة إلى شرط من الشروط المسلّمة، و كثرة التخصيصات يوجب زيادة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بعد تسليم عموماتهم؛ إذ ربّما كان المقصود في أكثر أدلّتهم بيان نفس وجوب الجمعة، لا الشرائط و القيود و الأفراد أيضا،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منها إلى الشرائط و القيود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الأخبار، فلم يتوجّهوا إلى جميع الشرائط، فظهر أنّ المقام كان مقتضى ذكر خصوص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التخصيص غير ظاهر؛ إذ لعلّهم ما كانوا ينصبون شخصا في أقلّ من فرسخين، بل لا تأمّل في أنّ 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إلى الآن ما كان نصب حاكمين في أقلّ من فرسخين، بل و في أزيد من ذلك كثير، كما هو المشاهد من طريقة الرسول صلّى اللّه عليه و آله و سلم و غيره و ظهر ذلك من هذه الرواية و غيرها، و صلاة الجمعة كانت منصب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دلالتها على أنّ بعد الفرسخين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مذهب المشهور بالنحو الذي قرّر، و يضرّ المصنّف و موافقيه بذلك النحو</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 منصوبين في فرسخين يجب على من كان المنصوب نصب لهم أن يشهدوا جمعته أو جمعة منصوب الإمام عليه السّلام، أيّ منصوب يكون، و لا تأبى الروايات عن ذلك؛ إذ مقتضاها وجوب حضور الجمعة المتحقّقة،</w:t>
      </w:r>
    </w:p>
    <w:p>
      <w:pPr>
        <w:pStyle w:val="BookText"/>
        <w:rPr/>
      </w:pPr>
      <w:r>
        <w:rPr>
          <w:rFonts w:ascii="Amiri" w:hAnsi="Amiri" w:eastAsia="Amiri" w:cs="Amiri"/>
          <w:color w:val="111111"/>
          <w:sz w:val="28"/>
          <w:sz w:val="28"/>
          <w:szCs w:val="28"/>
          <w:rtl w:val="true"/>
          <w:lang w:bidi="ar-SA"/>
        </w:rPr>
        <w:t>على قانون الشرع أيّ جمعة تكون، و وجوب حضور إحداها عيني، و التخيير إنّما هو اختيار المكلّف أحد أفراد الواجب العيني، مثل اختيار عتق رقبة المملوك الرومي أو الزنجي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كلّ تكليف من الشرع إنّما وقع بالكلي لا الجزئي الحقيقي، و الامتثال في كلّ تكليف يتحقّق بفعل 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فظاهر الأخبار </w:t>
      </w:r>
      <w:r>
        <w:rPr>
          <w:rStyle w:val="FootnoteAnchor"/>
          <w:rtl w:val="true"/>
        </w:rPr>
        <w:footnoteReference w:id="1392"/>
      </w:r>
      <w:r>
        <w:rPr>
          <w:rFonts w:ascii="Amiri" w:hAnsi="Amiri" w:eastAsia="Amiri" w:cs="Amiri"/>
          <w:color w:val="111111"/>
          <w:sz w:val="28"/>
          <w:sz w:val="28"/>
          <w:szCs w:val="28"/>
          <w:rtl w:val="true"/>
          <w:lang w:bidi="ar-SA"/>
        </w:rPr>
        <w:t>وجوب حضور الجمعة المتحقّقة شرعا، وجوبا عينيّا، سواء تحقّق عدد أمكنهم في الجمعة جماعة بخطبة من دون نصب من الإمام،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رأي المصنّف و موافقيه، مع إمكان الجمعة كذلك لا يكون وجوب السعي إلى الجمعة المتحقّقة إلّا تخييريّا، و العيني منحصر في صورة عدم الإمكان، و هذه الأخبار حجّة عليهم لا لهم كما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يكون في الأمصار غالبا، أطلق أوّلا الحكم بالأربع ركعات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ما فيه؛ لأنّ الإتيان بأقلّ الواجب من الخطبة يقدر عليه كلّ من هو إمام الجماعة و عادل عارف بالصلاة و الجماعة، بل من المحالات العاديّة أن يكون كذلك و لا 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يقوله في الصلاة بكرّات و مرّات، و كذا الشهادتين، و الصلاة على محمّد و آله، و كذا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سورة اخرى، لم يبق إلّا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و يفعله مكرّرا كثيرا و لا يمكنه خصوص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ما يفيد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يمكنه هذا الخصوص جزما؛ لأنّ القدرة على الإنشاء ليست شرطا عند القائلين بالوجوب العيني في زمان الغيبة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المصنّف قلّما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الإمام أو من نصبه، مع وفور</w:t>
      </w:r>
    </w:p>
    <w:p>
      <w:pPr>
        <w:pStyle w:val="BookText"/>
        <w:rPr/>
      </w:pPr>
      <w:r>
        <w:rPr>
          <w:rFonts w:ascii="Amiri" w:hAnsi="Amiri" w:eastAsia="Amiri" w:cs="Amiri"/>
          <w:color w:val="111111"/>
          <w:sz w:val="28"/>
          <w:sz w:val="28"/>
          <w:szCs w:val="28"/>
          <w:rtl w:val="true"/>
          <w:lang w:bidi="ar-SA"/>
        </w:rPr>
        <w:t xml:space="preserve">الإجماعات المنقولة، و كثرة الأخبار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و سيجي‌ء، و هذه الرواية و الرواية السابقة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هذا الشرط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يسقط عنه الجمعة، إلّا أن يعلم عن عجزه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فإذا علّم ذلك علم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فإذا علمه قدر على أن يقوله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الرواة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استفصلوا عن أنّ الخطبة أيّ قدر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يعرفوا العاجز عنه؛ لأنّه مقول بالتشكيك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قوم في قرية ليس لهم من يجمّع بهم، أ يصلّون الظهر يوم الجمعة في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يخافوا</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الصحيحة واضحة الدلالة على عدم وجوب الجمعة عند عدم من يجمّع بهم، و إن كان إماما للجماعة عادلا، على ما أفتى به الفقهاء، و أجمعوا عليه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الخمسة و السبعة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 سبعة</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كلام الصدوق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أصحابه عليه السّلام فكانوا متمكّنين منها في بعض الأحيان، فلذا حثّهم عليها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دلالة واضحة على كون هذه الجمعة مستحبّة، كما فهمه الفقهاء الخبيرون، الشاهدون، المطّلعون على كلّ أحاديثهم و الأدلّة،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للرجل منكم ألّا يخرج من الدنيا إلّا و يتمتّع، و لو مرّة، و يصلّي الجمعة جماعة، و لو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أماليه </w:t>
      </w:r>
      <w:r>
        <w:rPr>
          <w:rStyle w:val="FootnoteAnchor"/>
          <w:rtl w:val="true"/>
        </w:rPr>
        <w:footnoteReference w:id="1400"/>
      </w:r>
      <w:r>
        <w:rPr>
          <w:rFonts w:ascii="Amiri" w:hAnsi="Amiri" w:eastAsia="Amiri" w:cs="Amiri"/>
          <w:color w:val="111111"/>
          <w:sz w:val="28"/>
          <w:sz w:val="28"/>
          <w:szCs w:val="28"/>
          <w:rtl w:val="true"/>
          <w:lang w:bidi="ar-SA"/>
        </w:rPr>
        <w:t xml:space="preserve">بطريق صحيح، و الشيخ؛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قائلا بأنّه دليل لنا على استحباب الجمعة في زمان الغيبة و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الواضحة الدلالة منها ما مرّ، و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وضوح دلالة هذا الخبر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الاستحباب، لأنّ الواجب يلزم على فعله و يشدّد على تركه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غاية جلالته، و عدالته، و فقاهته، و رئاسته على أصحابه المسمّين بالزراريّة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إلى غير ذلك ممّا ورد عنه عليه السّلام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 لا هؤلاء لاندرست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و غير ذلك ممّا هو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يروي مرويا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الجمعة أشدّ الفرائض </w:t>
      </w:r>
      <w:r>
        <w:rPr>
          <w:rStyle w:val="FootnoteAnchor"/>
          <w:rtl w:val="true"/>
        </w:rPr>
        <w:footnoteReference w:id="1404"/>
      </w:r>
      <w:r>
        <w:rPr>
          <w:rFonts w:ascii="Amiri" w:hAnsi="Amiri" w:eastAsia="Amiri" w:cs="Amiri"/>
          <w:color w:val="111111"/>
          <w:sz w:val="28"/>
          <w:sz w:val="28"/>
          <w:szCs w:val="28"/>
          <w:rtl w:val="true"/>
          <w:lang w:bidi="ar-SA"/>
        </w:rPr>
        <w:t xml:space="preserve">، و أنّه متى اجتمع سبعة و لم يخافوا أمّهم بعضهم و خطبهم </w:t>
      </w:r>
      <w:r>
        <w:rPr>
          <w:rStyle w:val="FootnoteAnchor"/>
          <w:rtl w:val="true"/>
        </w:rPr>
        <w:footnoteReference w:id="1405"/>
      </w:r>
      <w:r>
        <w:rPr>
          <w:rFonts w:ascii="Amiri" w:hAnsi="Amiri" w:eastAsia="Amiri" w:cs="Amiri"/>
          <w:color w:val="111111"/>
          <w:sz w:val="28"/>
          <w:sz w:val="28"/>
          <w:szCs w:val="28"/>
          <w:rtl w:val="true"/>
          <w:lang w:bidi="ar-SA"/>
        </w:rPr>
        <w:t>، و غير ذلك ممّا عرفت و ستعرف، و مع ذلك كان يترك الجمعة حتّى حثّه و حثّ من ينو على فعلها بالنحو الذي اعترف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تركهم من جهة التقيّة لكان يكفيهم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حاجة إلى الترغيب؛ فإنّهم كانوا يعلمون أنّ الجمعة من أشدّ الفرائض،</w:t>
      </w:r>
    </w:p>
    <w:p>
      <w:pPr>
        <w:pStyle w:val="BookText"/>
        <w:rPr/>
      </w:pPr>
      <w:r>
        <w:rPr>
          <w:rFonts w:ascii="Amiri" w:hAnsi="Amiri" w:eastAsia="Amiri" w:cs="Amiri"/>
          <w:color w:val="111111"/>
          <w:sz w:val="28"/>
          <w:sz w:val="28"/>
          <w:szCs w:val="28"/>
          <w:rtl w:val="true"/>
          <w:lang w:bidi="ar-SA"/>
        </w:rPr>
        <w:t>مع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في التقيّة أنّ صاحبها يقصّر </w:t>
      </w:r>
      <w:r>
        <w:rPr>
          <w:rStyle w:val="FootnoteAnchor"/>
          <w:rtl w:val="true"/>
        </w:rPr>
        <w:footnoteReference w:id="1406"/>
      </w:r>
      <w:r>
        <w:rPr>
          <w:rFonts w:ascii="Amiri" w:hAnsi="Amiri" w:eastAsia="Amiri" w:cs="Amiri"/>
          <w:color w:val="111111"/>
          <w:sz w:val="28"/>
          <w:sz w:val="28"/>
          <w:szCs w:val="28"/>
          <w:rtl w:val="true"/>
          <w:lang w:bidi="ar-SA"/>
        </w:rPr>
        <w:t xml:space="preserve">، و الْإِنْسٰانُ عَلىٰ نَفْسِهِ بَصِيرَةٌ </w:t>
      </w:r>
      <w:r>
        <w:rPr>
          <w:rStyle w:val="FootnoteAnchor"/>
          <w:rtl w:val="true"/>
        </w:rPr>
        <w:footnoteReference w:id="1407"/>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كانوا يشكون أنّ الشيعة يتركون التقيّة </w:t>
      </w:r>
      <w:r>
        <w:rPr>
          <w:rStyle w:val="FootnoteAnchor"/>
          <w:rtl w:val="true"/>
        </w:rPr>
        <w:footnoteReference w:id="1408"/>
      </w:r>
      <w:r>
        <w:rPr>
          <w:rFonts w:ascii="Amiri" w:hAnsi="Amiri" w:eastAsia="Amiri" w:cs="Amiri"/>
          <w:color w:val="111111"/>
          <w:sz w:val="28"/>
          <w:sz w:val="28"/>
          <w:szCs w:val="28"/>
          <w:rtl w:val="true"/>
          <w:lang w:bidi="ar-SA"/>
        </w:rPr>
        <w:t>، فكيف في المقام صار الأمر بالعكس؟ فلا بدّ أن يكون المعصوم عليه السّلام يسأل عنهم عن سبب الترك،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افعلوا، و هذا أشدّ من الترغيب، بل الترغيب لغو بحت على ما اعتقده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غير خفيّ أنّهم كانوا يتركونها من جهة أنّهم كانوا يعلمون أنّها منصب المعصوم عليه السّلام يفعلها بنفسه أو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يكن عندهم نائبه فهموا من زيادة الحثّ الوجوب، و هو مقصور في أن يفعلوها مع المعصوم عليه السّلام؛ لعدم النائب،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ظننت</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أجاب عليه السّلام بما أجاب يعني أنّ الحثّ بعد بمكانه؛ لأنّي لا اريد إلّا أن يفعلوها جماعة بقدر تمكّنهم منها، لا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مستند الكلام دلالة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العيدين، و ستعرف حالها، و أبسط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شرحنا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 و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 في الجمعة</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دلالة هذه الأخبار المستفيضة على وجوب صلاة الجمعة</w:t>
      </w:r>
    </w:p>
    <w:p>
      <w:pPr>
        <w:pStyle w:val="BookText"/>
        <w:rPr/>
      </w:pPr>
      <w:r>
        <w:rPr>
          <w:rFonts w:ascii="Amiri" w:hAnsi="Amiri" w:eastAsia="Amiri" w:cs="Amiri"/>
          <w:color w:val="111111"/>
          <w:sz w:val="28"/>
          <w:sz w:val="28"/>
          <w:szCs w:val="28"/>
          <w:rtl w:val="true"/>
          <w:lang w:bidi="ar-SA"/>
        </w:rPr>
        <w:t xml:space="preserve">على كلّ مسلم، عدا من استثنى من غير شرط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جعل القدرة على إملاء الخطبة من غير تتعتع، و هذا الشرط لا يعتبره أحد من الفقهاء المتقدّمين، و لا المتأخّرين، بل جعلوا الشرط هو كونه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متأخّرى المتأخّرين جعل الشرط مجرّد القدرة على أقلّ الواجب في الخطبة؛ و 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الشهادتين، و الصلاة على محمّد و آله، 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إمام الجماعة يتأتّى منه القدر المذكور بالبديهة؛ لأنّه يصدر منه في صلواته كرارا و مرارا لا يحصى، سوى لفظ اتّق اللّه أو ما ماثله، فإذا كان عارفا بفقه الصلاة، و جميع أحكامها، و جميع ما ينافى العدالة التي هي شرط الجماعة، و غير ذلك ممّا هو في إمام الجماعة موجود مطلقا أو غالبا كيف يكون عاجزا عن قول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خصوص هذا كيف يوجب التتعتع الذي اعتبره هو و لم يعتبره أحد من الفقهاء؟ مضافا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المفاسد الاخر في الحواشي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انعقاد الجمعة بالاتّفاق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باشتراط السبعة المذكورة </w:t>
      </w:r>
      <w:r>
        <w:rPr>
          <w:rStyle w:val="FootnoteAnchor"/>
          <w:rtl w:val="true"/>
        </w:rPr>
        <w:footnoteReference w:id="1415"/>
      </w:r>
      <w:r>
        <w:rPr>
          <w:rFonts w:ascii="Amiri" w:hAnsi="Amiri" w:eastAsia="Amiri" w:cs="Amiri"/>
          <w:color w:val="111111"/>
          <w:sz w:val="28"/>
          <w:sz w:val="28"/>
          <w:szCs w:val="28"/>
          <w:rtl w:val="true"/>
          <w:lang w:bidi="ar-SA"/>
        </w:rPr>
        <w:t>، فكيف يدّعي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w:t>
      </w:r>
      <w:r>
        <w:rPr>
          <w:rStyle w:val="FootnoteAnchor"/>
          <w:rtl w:val="true"/>
        </w:rPr>
        <w:footnoteReference w:id="1416"/>
      </w:r>
      <w:r>
        <w:rPr>
          <w:rFonts w:ascii="Amiri" w:hAnsi="Amiri" w:eastAsia="Amiri" w:cs="Amiri"/>
          <w:color w:val="111111"/>
          <w:sz w:val="28"/>
          <w:sz w:val="28"/>
          <w:szCs w:val="28"/>
          <w:rtl w:val="true"/>
          <w:lang w:bidi="ar-SA"/>
        </w:rPr>
        <w:t>، بلا شبهة كما لا يخفى على المطّلع</w:t>
      </w:r>
      <w:r>
        <w:rPr>
          <w:rFonts w:eastAsia="Amiri" w:cs="Amiri" w:ascii="Amiri" w:hAnsi="Amiri"/>
          <w:color w:val="111111"/>
          <w:sz w:val="28"/>
          <w:szCs w:val="28"/>
          <w:rtl w:val="true"/>
          <w:lang w:bidi="ar-SA"/>
        </w:rPr>
        <w:t>.</w:t>
      </w:r>
      <w:bookmarkStart w:id="542" w:name="pg2470_12653"/>
    </w:p>
    <w:p>
      <w:pPr>
        <w:pStyle w:val="Heading5"/>
        <w:numPr>
          <w:ilvl w:val="4"/>
          <w:numId w:val="1"/>
        </w:numPr>
        <w:rPr/>
      </w:pPr>
      <w:bookmarkStart w:id="543" w:name="__RefHeading___Toc3601670_3804643083"/>
      <w:bookmarkStart w:id="544" w:name="_Toc203"/>
      <w:bookmarkEnd w:id="542"/>
      <w:bookmarkEnd w:id="543"/>
      <w:r>
        <w:rPr>
          <w:rtl w:val="true"/>
        </w:rPr>
        <w:t>[</w:t>
      </w:r>
      <w:r>
        <w:rPr>
          <w:rtl w:val="true"/>
        </w:rPr>
        <w:t>باب قنوت صلاة الجمعة</w:t>
      </w:r>
      <w:r>
        <w:rPr>
          <w:rtl w:val="true"/>
        </w:rPr>
        <w:t>]</w:t>
      </w:r>
      <w:bookmarkEnd w:id="5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بهذه الرواية حريز عن زرارة، يعني رواية القنوتين </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بطريق صحيح في غاية الصحّة عن زرارة،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فرض اللّه عزّ و جلّ من الجمعة إلى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القراءة فيها جهار، و الغسل فيها واجب، و على الإمام فيها قنوتان؛ قنوت في الركعة الاولى قبل الركوع، و في الثانية بعده</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3601672_3804643083"/>
      <w:bookmarkStart w:id="546" w:name="_Toc204"/>
      <w:bookmarkEnd w:id="545"/>
      <w:r>
        <w:rPr>
          <w:rtl w:val="true"/>
        </w:rPr>
        <w:t>[</w:t>
      </w:r>
      <w:r>
        <w:rPr>
          <w:rtl w:val="true"/>
        </w:rPr>
        <w:t>صلاة الجماعة</w:t>
      </w:r>
      <w:r>
        <w:rPr>
          <w:rtl w:val="true"/>
        </w:rPr>
        <w:t>]</w:t>
      </w:r>
      <w:bookmarkEnd w:id="546"/>
    </w:p>
    <w:p>
      <w:pPr>
        <w:pStyle w:val="Heading5"/>
        <w:numPr>
          <w:ilvl w:val="4"/>
          <w:numId w:val="1"/>
        </w:numPr>
        <w:rPr/>
      </w:pPr>
      <w:bookmarkStart w:id="547" w:name="__RefHeading___Toc3601674_3804643083"/>
      <w:bookmarkStart w:id="548" w:name="_Toc205"/>
      <w:bookmarkEnd w:id="547"/>
      <w:r>
        <w:rPr>
          <w:rtl w:val="true"/>
        </w:rPr>
        <w:t>[</w:t>
      </w:r>
      <w:r>
        <w:rPr>
          <w:rtl w:val="true"/>
        </w:rPr>
        <w:t>باب الرجل يدرك الإمام في أثناء الصلاة أو بعد انقضاء الاولى</w:t>
      </w:r>
      <w:r>
        <w:rPr>
          <w:rtl w:val="true"/>
        </w:rPr>
        <w:t>]</w:t>
      </w:r>
      <w:bookmarkEnd w:id="5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تكون من كلام الصدوق طاب ثراه </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أنّها من كلام الصدوق</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3601676_3804643083"/>
      <w:bookmarkStart w:id="550" w:name="_Toc206"/>
      <w:bookmarkEnd w:id="549"/>
      <w:r>
        <w:rPr>
          <w:rtl w:val="true"/>
        </w:rPr>
        <w:t>[</w:t>
      </w:r>
      <w:r>
        <w:rPr>
          <w:rtl w:val="true"/>
        </w:rPr>
        <w:t>باب ضمان الإمام و سهو المأموم و الإمام</w:t>
      </w:r>
      <w:r>
        <w:rPr>
          <w:rtl w:val="true"/>
        </w:rPr>
        <w:t>]</w:t>
      </w:r>
      <w:bookmarkEnd w:id="5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أن يحمل على الرخصة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أيضا بعيد، لعدم مقاومة هذه الرواية تلك الروايات من حيث السند،</w:t>
      </w:r>
      <w:bookmarkStart w:id="551" w:name="pg2470_12654"/>
    </w:p>
    <w:p>
      <w:pPr>
        <w:pStyle w:val="BookText"/>
        <w:rPr/>
      </w:pPr>
      <w:bookmarkEnd w:id="551"/>
      <w:r>
        <w:rPr>
          <w:rFonts w:ascii="Amiri" w:hAnsi="Amiri" w:eastAsia="Amiri" w:cs="Amiri"/>
          <w:color w:val="111111"/>
          <w:sz w:val="28"/>
          <w:sz w:val="28"/>
          <w:szCs w:val="28"/>
          <w:rtl w:val="true"/>
          <w:lang w:bidi="ar-SA"/>
        </w:rPr>
        <w:t>و من حيث العدد، و من حيث الدلالة؛ لأنّ المستفاد منها المنع عن العود لا الرخصة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لعلّها محمولة على التقيّة، لكون الراوي بتريّا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3601678_3804643083"/>
      <w:bookmarkStart w:id="553" w:name="_Toc207"/>
      <w:bookmarkEnd w:id="552"/>
      <w:r>
        <w:rPr>
          <w:rtl w:val="true"/>
        </w:rPr>
        <w:t>[</w:t>
      </w:r>
      <w:r>
        <w:rPr>
          <w:rtl w:val="true"/>
        </w:rPr>
        <w:t>باب النوادر</w:t>
      </w:r>
      <w:r>
        <w:rPr>
          <w:rtl w:val="true"/>
        </w:rPr>
        <w:t>]</w:t>
      </w:r>
      <w:bookmarkEnd w:id="5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مؤذّن قوم و إمامهم يكون في طريق مكّة و غير ذلك، فيصلّي بهم العصر في وقتها، فيدخل الرجل الذي لا يعرف فيرى أنّها الاولى أ فيجزيه أنّها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عن الإجزاء للمخالف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يتشرّع بشرع العامّة و أيضا عبادتهم عند الشيعة فاسدة؛ لعدم الشرط الذي هو الإيمان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المراد لا يعرف كونها العصر و صلّى الظهر معهم باعتقاد أنّها الظهر، فانكشف أنّها كانت العصر، أ يجزيه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يعني تحسب مكان العصر، و كون هذه صلاة عصره؟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العصر بعد الظهر، و لا يمكن أن يصير قبلها، إن كان لم يصلّ الظهر، و إمّا لأنّها مستحبّة فلا تحسب مكان الفريضة إن كان صلّى الظهر قبل هذه الصلاة، فيكون هذه مفاده، فتأمّل</w:t>
      </w:r>
      <w:r>
        <w:rPr>
          <w:rFonts w:eastAsia="Amiri" w:cs="Amiri" w:ascii="Amiri" w:hAnsi="Amiri"/>
          <w:color w:val="111111"/>
          <w:sz w:val="28"/>
          <w:szCs w:val="28"/>
          <w:rtl w:val="true"/>
          <w:lang w:bidi="ar-SA"/>
        </w:rPr>
        <w:t>!</w:t>
      </w:r>
      <w:bookmarkStart w:id="554" w:name="pg2470_12655"/>
    </w:p>
    <w:p>
      <w:pPr>
        <w:pStyle w:val="Heading3"/>
        <w:numPr>
          <w:ilvl w:val="2"/>
          <w:numId w:val="1"/>
        </w:numPr>
        <w:rPr/>
      </w:pPr>
      <w:bookmarkStart w:id="555" w:name="__RefHeading___Toc3601680_3804643083"/>
      <w:bookmarkStart w:id="556" w:name="_Toc208"/>
      <w:bookmarkEnd w:id="554"/>
      <w:bookmarkEnd w:id="555"/>
      <w:r>
        <w:rPr>
          <w:rtl w:val="true"/>
        </w:rPr>
        <w:t>[</w:t>
      </w:r>
      <w:r>
        <w:rPr>
          <w:rtl w:val="true"/>
        </w:rPr>
        <w:t>أبواب بقيّة الصلوات المفروضات و المسنونات</w:t>
      </w:r>
      <w:r>
        <w:rPr>
          <w:rtl w:val="true"/>
        </w:rPr>
        <w:t>]</w:t>
      </w:r>
      <w:bookmarkEnd w:id="556"/>
    </w:p>
    <w:p>
      <w:pPr>
        <w:pStyle w:val="Heading4"/>
        <w:numPr>
          <w:ilvl w:val="3"/>
          <w:numId w:val="1"/>
        </w:numPr>
        <w:rPr/>
      </w:pPr>
      <w:bookmarkStart w:id="557" w:name="__RefHeading___Toc3601682_3804643083"/>
      <w:bookmarkStart w:id="558" w:name="_Toc209"/>
      <w:bookmarkEnd w:id="557"/>
      <w:r>
        <w:rPr>
          <w:rtl w:val="true"/>
        </w:rPr>
        <w:t>[</w:t>
      </w:r>
      <w:r>
        <w:rPr>
          <w:rtl w:val="true"/>
        </w:rPr>
        <w:t>باب شرائط صلاة العيدين و فرضها</w:t>
      </w:r>
      <w:r>
        <w:rPr>
          <w:rtl w:val="true"/>
        </w:rPr>
        <w:t>]</w:t>
      </w:r>
      <w:bookmarkEnd w:id="5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و صلاة الكسوف فريضة</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في باب التحزّن يوم العيد </w:t>
      </w:r>
      <w:r>
        <w:rPr>
          <w:rStyle w:val="FootnoteAnchor"/>
          <w:rtl w:val="true"/>
        </w:rPr>
        <w:footnoteReference w:id="1424"/>
      </w:r>
      <w:r>
        <w:rPr>
          <w:rFonts w:ascii="Amiri" w:hAnsi="Amiri" w:eastAsia="Amiri" w:cs="Amiri"/>
          <w:color w:val="111111"/>
          <w:sz w:val="28"/>
          <w:sz w:val="28"/>
          <w:szCs w:val="28"/>
          <w:rtl w:val="true"/>
          <w:lang w:bidi="ar-SA"/>
        </w:rPr>
        <w:t xml:space="preserve">ما يظهر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الإمام المعصوم عليه السّلام مضافا إلى موثّقة سماعة الآتية </w:t>
      </w:r>
      <w:r>
        <w:rPr>
          <w:rStyle w:val="FootnoteAnchor"/>
          <w:rtl w:val="true"/>
        </w:rPr>
        <w:footnoteReference w:id="1425"/>
      </w:r>
      <w:r>
        <w:rPr>
          <w:rFonts w:ascii="Amiri" w:hAnsi="Amiri" w:eastAsia="Amiri" w:cs="Amiri"/>
          <w:color w:val="111111"/>
          <w:sz w:val="28"/>
          <w:sz w:val="28"/>
          <w:szCs w:val="28"/>
          <w:rtl w:val="true"/>
          <w:lang w:bidi="ar-SA"/>
        </w:rPr>
        <w:t>، و يظهر منهما أنّ المراد من الإمام ليس إمام الجماعة، بل إمام العيدين أعمّ من أن يكون إمام العصر عليه السّلام أو نائبه أيضا، و هو المنصوب الخاصّ من قبله عليه السّلام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مانع من تنكير الإمام؛ لأنّ إمام العيد لا يجب أن يكون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إذ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مع الإمام أو منصوب من قبله يجوز و يصحّ جزما، فكذا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الإمام</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دعوى الإجماع على اشتراط الإمام أو من نصبه </w:t>
      </w:r>
      <w:r>
        <w:rPr>
          <w:rStyle w:val="FootnoteAnchor"/>
          <w:rtl w:val="true"/>
        </w:rPr>
        <w:footnoteReference w:id="1427"/>
      </w:r>
      <w:r>
        <w:rPr>
          <w:rFonts w:ascii="Amiri" w:hAnsi="Amiri" w:eastAsia="Amiri" w:cs="Amiri"/>
          <w:color w:val="111111"/>
          <w:sz w:val="28"/>
          <w:sz w:val="28"/>
          <w:szCs w:val="28"/>
          <w:rtl w:val="true"/>
          <w:lang w:bidi="ar-SA"/>
        </w:rPr>
        <w:t xml:space="preserve">، كما ادّعوا في الجمعة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يذبح؟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أرض ليس فيها إمام، فاصلّي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وحدك، و لا صلاة إلّا مع إمام</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الإمام ليس العادل الذي يجوز أن يصلّي خلفه جماعة، بل هو المنصوب لصلاة العيد، و هو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متى نذبح في الأرض التي ليس فيها إمام، فمن هذه الجهة أنا اصلّي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 استقبلت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منه عليه السّلام إلى البأس في صلاته بهم جماعة، لأنّ صلاة العيد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منصوبه لا تكون إلّا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الأصل أو منصوب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نصلّي بهم؟ و ما صلّى واحده فليس بصلاة العيد حقيقة؛ لأنّ لصلاة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غير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استفهاما، و سؤالا عن صحّة صلاته بهم أم لا، لأن يذبح بعد انصرافهم عن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استقبلت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ذبحك في الأرض أن يكون وقت استقبال الشمس، و أمّا</w:t>
      </w:r>
    </w:p>
    <w:p>
      <w:pPr>
        <w:pStyle w:val="BookText"/>
        <w:rPr/>
      </w:pPr>
      <w:r>
        <w:rPr>
          <w:rFonts w:ascii="Amiri" w:hAnsi="Amiri" w:eastAsia="Amiri" w:cs="Amiri"/>
          <w:color w:val="111111"/>
          <w:sz w:val="28"/>
          <w:sz w:val="28"/>
          <w:szCs w:val="28"/>
          <w:rtl w:val="true"/>
          <w:lang w:bidi="ar-SA"/>
        </w:rPr>
        <w:t>صلاتك بهم فلا، بل لا بأس أن تصلّي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السؤال لمّا كان متضمّنا لسؤالين؛ أحدهما أنّه هل يصلّي بهم حينئذ؟ و ثانيهما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وقت الذبح حينئذ بعد صلاتي بهم و انصرافي من الصلاة بهم؟ و هذا السؤال مذكور ضمنا، فأجاب عن المذكور صريحا بعدم الجواز، و وجود البأس؛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وحدك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صلاة إلّا بإمام، و أجاب عن المذكور الضمني أنّ وقت الذبح حينئذ إذا استقبلت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ليس تقريرا له و تعيينا لوقتها؛ لأنّ وقتها طلوع الشمس بلا شهبة، و مع ذلك لم يكن سؤال منه عن وقتها أصلا، بل كان يعرف وقتها بلا شبهة، و لذا لم يقل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متى في السؤال الأوّل، و لم يسأل هو أيضا فأبنى على أنّه يرى الإمام عليه السّلام ينصرف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كان يعرف الوقت، مضافا إلى معروفيّته من الخارج بلا شبهة، و لذا سأل عن صلاته بهم، و لم يسأل عن وقت صلاته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السنّة توحيد الصلاة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 معناه محلّ تأمّل، بل الأظهر أنّ الناس التمسوا منه عليه السّلام ألا يصلّي العيد بالناس هو عليه السّلام بنفسه، بل يخلّف رجلا موضع نفسه المقدّسة يصلّي ذلك الرجل بالناس،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السنّة أنّ الموضع الذي يكون الإمام عليه السّلام حاضرا يكون هو بنفسه يصلّي بالناس، و اللّه يعلم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قالوا لعليّ عليه السّلام ألا تخلّف رجلا يصلّي بضعفاء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اخالف السنّة</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bookmarkStart w:id="559" w:name="pg2470_12658"/>
    </w:p>
    <w:p>
      <w:pPr>
        <w:pStyle w:val="BookText"/>
        <w:rPr/>
      </w:pPr>
      <w:bookmarkEnd w:id="559"/>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1432"/>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أنّ الإمام لا يجوز له أن يخلّف من يصلّي بضعفة الناس، ثمّ نقل صحيحة ابن مسلم </w:t>
      </w:r>
      <w:r>
        <w:rPr>
          <w:rStyle w:val="FootnoteAnchor"/>
          <w:rtl w:val="true"/>
        </w:rPr>
        <w:footnoteReference w:id="1434"/>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قالوا لعليّ عليه السّلام ألا تخلّف رجلا يصلّي بضعفة الناس في العيدين في المسجد؟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أكره أن أستنّ سنّة لم يسنّها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3601684_3804643083"/>
      <w:bookmarkStart w:id="561" w:name="_Toc210"/>
      <w:bookmarkEnd w:id="560"/>
      <w:r>
        <w:rPr>
          <w:rtl w:val="true"/>
        </w:rPr>
        <w:t>[</w:t>
      </w:r>
      <w:r>
        <w:rPr>
          <w:rtl w:val="true"/>
        </w:rPr>
        <w:t>باب آداب العيدين</w:t>
      </w:r>
      <w:r>
        <w:rPr>
          <w:rtl w:val="true"/>
        </w:rPr>
        <w:t>]</w:t>
      </w:r>
      <w:bookmarkEnd w:id="5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ينصرف الإمام</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الإمام ليس مجرّد العادل، كما لا يخفى على المتأمّل</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3601686_3804643083"/>
      <w:bookmarkStart w:id="563" w:name="_Toc211"/>
      <w:bookmarkEnd w:id="562"/>
      <w:r>
        <w:rPr>
          <w:rtl w:val="true"/>
        </w:rPr>
        <w:t>[</w:t>
      </w:r>
      <w:r>
        <w:rPr>
          <w:rtl w:val="true"/>
        </w:rPr>
        <w:t>باب تأخير الصلاة إلى الغد إذا صحّت رؤية الهلال بعد الزوال</w:t>
      </w:r>
      <w:r>
        <w:rPr>
          <w:rtl w:val="true"/>
        </w:rPr>
        <w:t>]</w:t>
      </w:r>
      <w:bookmarkEnd w:id="5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الإمام بالإفطار في ذلك اليوم</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أنّ الإمام ليس العادل الذي يجوز أن يصلّي خلفه، بل هو حاكم الشرع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الناس صياما، و لم يروا الهلال، و جاء قوم عدول يشهدون على الرؤية، فليفطروا و ليخرجوا من الغد أوّل النهار إلى عيدهم</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 الحديث مرسلا مقطوعا </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الكليني 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 هذه الروايات، و أفتى به ابن الجنيد </w:t>
      </w:r>
      <w:r>
        <w:rPr>
          <w:rStyle w:val="FootnoteAnchor"/>
          <w:rtl w:val="true"/>
        </w:rPr>
        <w:footnoteReference w:id="1441"/>
      </w:r>
      <w:r>
        <w:rPr>
          <w:rFonts w:ascii="Amiri" w:hAnsi="Amiri" w:eastAsia="Amiri" w:cs="Amiri"/>
          <w:color w:val="111111"/>
          <w:sz w:val="28"/>
          <w:sz w:val="28"/>
          <w:szCs w:val="28"/>
          <w:rtl w:val="true"/>
          <w:lang w:bidi="ar-SA"/>
        </w:rPr>
        <w:t xml:space="preserve">، لكن 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الرؤية من الغد بعد الزوال يفطرون، و فاتت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الأصحاب عليه </w:t>
      </w:r>
      <w:r>
        <w:rPr>
          <w:rStyle w:val="FootnoteAnchor"/>
          <w:rtl w:val="true"/>
        </w:rPr>
        <w:footnoteReference w:id="1442"/>
      </w:r>
      <w:r>
        <w:rPr>
          <w:rFonts w:ascii="Amiri" w:hAnsi="Amiri" w:eastAsia="Amiri" w:cs="Amiri"/>
          <w:color w:val="111111"/>
          <w:sz w:val="28"/>
          <w:sz w:val="28"/>
          <w:szCs w:val="28"/>
          <w:rtl w:val="true"/>
          <w:lang w:bidi="ar-SA"/>
        </w:rPr>
        <w:t>، و ربّما يظهر من كلام خالي العلّامة أنّ هذه الروايات موافقة لمذهب جمع من العامّة؛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فبعضهم ذهبوا إلى أنّه يأتي بها في الغد قضاء، و بعضهم أداء، و بعضهم نفوها مطلقا </w:t>
      </w:r>
      <w:r>
        <w:rPr>
          <w:rStyle w:val="FootnoteAnchor"/>
          <w:rtl w:val="true"/>
        </w:rPr>
        <w:footnoteReference w:id="144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دعاء العيدين بين كلّ تكبيرتين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ربّي أبدا، و الإسلام ديني أبدا، و محمّد نبيّي أبدا</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هذا الخبر، و الأخبار الآتية أنّ القنوت أيضا في الاولى خمسة، و في الثانية أربعة، كما أفتى به الفقهاء </w:t>
      </w:r>
      <w:r>
        <w:rPr>
          <w:rStyle w:val="FootnoteAnchor"/>
          <w:rtl w:val="true"/>
        </w:rPr>
        <w:footnoteReference w:id="1445"/>
      </w:r>
      <w:r>
        <w:rPr>
          <w:rFonts w:ascii="Amiri" w:hAnsi="Amiri" w:eastAsia="Amiri" w:cs="Amiri"/>
          <w:color w:val="111111"/>
          <w:sz w:val="28"/>
          <w:sz w:val="28"/>
          <w:szCs w:val="28"/>
          <w:rtl w:val="true"/>
          <w:lang w:bidi="ar-SA"/>
        </w:rPr>
        <w:t xml:space="preserve">،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تكبّر في الركعة الاولى بسبع تكبيرات، و في الثانية خمس تكبيرات،</w:t>
      </w:r>
      <w:bookmarkStart w:id="564" w:name="pg2470_12660"/>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تكبيرتين</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المراد في الأخبار السابقة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مع، أو بعد، و ذلك لأنّه لمّا كان في شرف البينونة أطلق عليه لفظ البين،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ذلك إلّا في هذه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أدركت مع الإمام من الفريضة</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المراد أنّه بعد ما صار صلاتك مقلوبة، فما أدركت فهو أوّل صلاتك المقلوبة، و ما قضيت فهو اخرها، و ليس الحال فيها حال سائر الفرائض؛ إذ لا تصير مقلوبة بفوت بعضها مع الإمام، بل تجعل ما أدركت مع اخر صلاة الإمام أوّل صلاتك، و تصلّي اخر صلاتك فرادى، و تصير ائتمام المقام، فيصير الفائت مع الإمام قضاء، فائتا عن محلّه، و يتدارك بعد محلّه، فيلزم المقلوبيّة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الفريضة الفرائض اليوميّة؛ لأنّ الإطلاق ينصرف إليها، و يعبّر عنها بلفظ الفريضة على الإطلاق</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3601688_3804643083"/>
      <w:bookmarkStart w:id="566" w:name="_Toc212"/>
      <w:bookmarkEnd w:id="565"/>
      <w:r>
        <w:rPr>
          <w:rtl w:val="true"/>
        </w:rPr>
        <w:t>[</w:t>
      </w:r>
      <w:r>
        <w:rPr>
          <w:rtl w:val="true"/>
        </w:rPr>
        <w:t>باب التحزّن يوم العيدين و أنّ الناس لا يوفّقون لهما</w:t>
      </w:r>
      <w:r>
        <w:rPr>
          <w:rtl w:val="true"/>
        </w:rPr>
        <w:t>]</w:t>
      </w:r>
      <w:bookmarkEnd w:id="56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ما من عيد للمسلمين أضحى و لا فطر إلّا و هو يجدّد لآل محمّد عليهم السّلام فيه حزن،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bookmarkStart w:id="567" w:name="pg2470_12661"/>
    </w:p>
    <w:p>
      <w:pPr>
        <w:pStyle w:val="BookText"/>
        <w:rPr/>
      </w:pPr>
      <w:bookmarkEnd w:id="567"/>
      <w:r>
        <w:rPr>
          <w:rFonts w:ascii="Amiri" w:hAnsi="Amiri" w:eastAsia="Amiri" w:cs="Amiri"/>
          <w:color w:val="111111"/>
          <w:sz w:val="28"/>
          <w:sz w:val="28"/>
          <w:szCs w:val="28"/>
          <w:rtl w:val="true"/>
          <w:lang w:bidi="ar-SA"/>
        </w:rPr>
        <w:t xml:space="preserve">هذه ظاهرة فيما اتّفق عليه الفقهاء من أنّ صلاة العيد منصب الإمام المعصوم عليه السّلام، يفعلها بنفسه أو بنائبه </w:t>
      </w:r>
      <w:r>
        <w:rPr>
          <w:rStyle w:val="FootnoteAnchor"/>
          <w:rtl w:val="true"/>
        </w:rPr>
        <w:footnoteReference w:id="1449"/>
      </w:r>
      <w:r>
        <w:rPr>
          <w:rFonts w:ascii="IRNazanin" w:hAnsi="IRNazanin" w:eastAsia="IRNazanin"/>
          <w:color w:val="111111"/>
          <w:sz w:val="28"/>
          <w:sz w:val="28"/>
          <w:szCs w:val="28"/>
          <w:rtl w:val="true"/>
          <w:lang w:bidi="fa-IR"/>
        </w:rPr>
        <w:t>، و فعل النائب فعل المنوب عنه، و منصبه</w:t>
      </w:r>
      <w:r>
        <w:rPr>
          <w:rFonts w:eastAsia="IRNazanin" w:cs="IRNazanin"/>
          <w:color w:val="111111"/>
          <w:sz w:val="28"/>
          <w:szCs w:val="28"/>
          <w:rtl w:val="true"/>
          <w:lang w:bidi="fa-IR"/>
        </w:rPr>
        <w:t>.</w:t>
      </w:r>
    </w:p>
    <w:p>
      <w:pPr>
        <w:pStyle w:val="Heading4"/>
        <w:numPr>
          <w:ilvl w:val="3"/>
          <w:numId w:val="1"/>
        </w:numPr>
        <w:rPr/>
      </w:pPr>
      <w:bookmarkStart w:id="568" w:name="__RefHeading___Toc3601690_3804643083"/>
      <w:bookmarkStart w:id="569" w:name="_Toc213"/>
      <w:bookmarkEnd w:id="568"/>
      <w:r>
        <w:rPr>
          <w:rtl w:val="true"/>
        </w:rPr>
        <w:t>[</w:t>
      </w:r>
      <w:r>
        <w:rPr>
          <w:rtl w:val="true"/>
        </w:rPr>
        <w:t>باب فرض صلاة الكسوف و كلّ أمر مخوف و تسكين الزلزلة</w:t>
      </w:r>
      <w:r>
        <w:rPr>
          <w:rtl w:val="true"/>
        </w:rPr>
        <w:t>]</w:t>
      </w:r>
      <w:bookmarkEnd w:id="5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الكسوف قبل أن تغيب الشمس، و نخشى فوات الفريضة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اقطعوها و صلّوا الفريضة، و عودوا إلى صلاتكم</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المتبادر و الظاهر من هذه الفريضة هي المغرب، لا العصر؛ لعدم تعارف ترك العصر إلى ما قبل مغيب الشمس، سيّما عند الشيعة، كما يظهر من أخبار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 ينصرف إلى الفروض المتعارفة و الأفراد الشائعة، مع أنّه ترك الاستفصال في مقام السؤال، فلا جرم يكون الفرد المتعارف مرادا جزما، و داخلا في المراد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السائل أنّه دخلنا في صلاة الكسوف قبل أن تغيب الشمس و نخشى من إتمامها؛ إذ بعد التأخير إلى ما قبل المغيب كيف يدخل عاقل في صلاة الكسوف مع خوف فوت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الشدّة في الضيق، و عدمها في الكسوف، على ما هو الغالب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تقديم الفريضة حينئذ إجماعي </w:t>
      </w:r>
      <w:r>
        <w:rPr>
          <w:rStyle w:val="FootnoteAnchor"/>
          <w:rtl w:val="true"/>
        </w:rPr>
        <w:footnoteReference w:id="1451"/>
      </w:r>
      <w:r>
        <w:rPr>
          <w:rFonts w:ascii="IRNazanin" w:hAnsi="IRNazanin" w:eastAsia="IRNazanin"/>
          <w:color w:val="111111"/>
          <w:sz w:val="28"/>
          <w:sz w:val="28"/>
          <w:szCs w:val="28"/>
          <w:rtl w:val="true"/>
          <w:lang w:bidi="fa-IR"/>
        </w:rPr>
        <w:t xml:space="preserve">منصوص </w:t>
      </w:r>
      <w:r>
        <w:rPr>
          <w:rStyle w:val="FootnoteAnchor"/>
          <w:rtl w:val="true"/>
        </w:rPr>
        <w:footnoteReference w:id="145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أنّ المراد هو المغرب،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المكلّف في الكسوف و الإتيان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المراد من فوت الفريضة فوتها عن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منها تقديم الفريضة على الكسوف في أوّل الوقت، كما صرّح به في صحيحة ابن مسلم </w:t>
      </w:r>
      <w:r>
        <w:rPr>
          <w:rStyle w:val="FootnoteAnchor"/>
          <w:rtl w:val="true"/>
        </w:rPr>
        <w:footnoteReference w:id="1453"/>
      </w:r>
      <w:r>
        <w:rPr>
          <w:rFonts w:ascii="Amiri" w:hAnsi="Amiri" w:eastAsia="Amiri" w:cs="Amiri"/>
          <w:color w:val="111111"/>
          <w:sz w:val="28"/>
          <w:sz w:val="28"/>
          <w:szCs w:val="28"/>
          <w:rtl w:val="true"/>
          <w:lang w:bidi="ar-SA"/>
        </w:rPr>
        <w:t xml:space="preserve">، و ذهب إليه الصدوق </w:t>
      </w:r>
      <w:r>
        <w:rPr>
          <w:rStyle w:val="FootnoteAnchor"/>
          <w:rtl w:val="true"/>
        </w:rPr>
        <w:footnoteReference w:id="1454"/>
      </w:r>
      <w:r>
        <w:rPr>
          <w:rFonts w:ascii="Amiri" w:hAnsi="Amiri" w:eastAsia="Amiri" w:cs="Amiri"/>
          <w:color w:val="111111"/>
          <w:sz w:val="28"/>
          <w:sz w:val="28"/>
          <w:szCs w:val="28"/>
          <w:rtl w:val="true"/>
          <w:lang w:bidi="ar-SA"/>
        </w:rPr>
        <w:t xml:space="preserve">، و الشيخ </w:t>
      </w:r>
      <w:r>
        <w:rPr>
          <w:rStyle w:val="FootnoteAnchor"/>
          <w:rtl w:val="true"/>
        </w:rPr>
        <w:footnoteReference w:id="1455"/>
      </w:r>
      <w:r>
        <w:rPr>
          <w:rFonts w:ascii="IRNazanin" w:hAnsi="IRNazanin" w:eastAsia="IRNazanin"/>
          <w:color w:val="111111"/>
          <w:sz w:val="28"/>
          <w:sz w:val="28"/>
          <w:szCs w:val="28"/>
          <w:rtl w:val="true"/>
          <w:lang w:bidi="fa-IR"/>
        </w:rPr>
        <w:t xml:space="preserve">، و ابن البرّاج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ابتلينا بالكسوف بعد المغرب قبل العشاء الآخرة، فإن صلّينا الكسوف خشينا أن تفوتنا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خشيت ذلك فاقطع صلاتك و اقض فريضتك، ثمّ عد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الكسوف اخر الليل، فصلّينا صلاة الكسوف فاتتنا صلاة الليل فبأيّتهما نبدأ،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 و اقض صلاة الليل حين تصبح</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ابتلاؤهم بالكسوف بعد ما صلّوا المغرب، و قبل أن يصلّوا العشاء و هذا هو الظاهر من العبارة، مضافا إلى ترك الاستفصال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لو كانوا لم يصلّوا المغرب جميعا كيف كانوا يتّفقون على تقديم الكسوف ثمّ الاستشكال المذكور؟ بل كان المناسب حينئذ أن يسألوا 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صلّينا المغرب حتّى دخلنا في الكسوف، و يصرّحون بأنّ الذي نخاف فوته هو</w:t>
      </w:r>
    </w:p>
    <w:p>
      <w:pPr>
        <w:pStyle w:val="BookText"/>
        <w:rPr/>
      </w:pPr>
      <w:r>
        <w:rPr>
          <w:rFonts w:ascii="Amiri" w:hAnsi="Amiri" w:eastAsia="Amiri" w:cs="Amiri"/>
          <w:color w:val="111111"/>
          <w:sz w:val="28"/>
          <w:sz w:val="28"/>
          <w:szCs w:val="28"/>
          <w:rtl w:val="true"/>
          <w:lang w:bidi="ar-SA"/>
        </w:rPr>
        <w:t>المغرب؛ لأنّا بعد لم نصلّها؛ فإنّه الأهمّ في الإشكال و الأعظم في الاستشكال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هذه الرواية أيضا تقديم العشاء على الكسوف مع خوف فوتها عن أوّل وقتها ممتدّ جزما، أو مقدار صلاة الكسوف الحاصل في مدّ الوقت، ليس بحيث يمتدّ إلى نصف الليل، فلا معنى لخوف الفوت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فيحمل على ما حملنا عليه رواية الخزّاز، جمعا بين الأخبار، و لعدم القائل بالفصل، فتأمّل</w:t>
      </w:r>
      <w:r>
        <w:rPr>
          <w:rFonts w:eastAsia="Amiri" w:cs="Amiri" w:ascii="Amiri" w:hAnsi="Amiri"/>
          <w:color w:val="111111"/>
          <w:sz w:val="28"/>
          <w:szCs w:val="28"/>
          <w:rtl w:val="true"/>
          <w:lang w:bidi="ar-SA"/>
        </w:rPr>
        <w:t>!</w:t>
      </w:r>
      <w:bookmarkStart w:id="570" w:name="pg2470_12665"/>
    </w:p>
    <w:p>
      <w:pPr>
        <w:pStyle w:val="Heading2"/>
        <w:numPr>
          <w:ilvl w:val="1"/>
          <w:numId w:val="1"/>
        </w:numPr>
        <w:rPr/>
      </w:pPr>
      <w:bookmarkStart w:id="571" w:name="__RefHeading___Toc3601692_3804643083"/>
      <w:bookmarkStart w:id="572" w:name="_Toc214"/>
      <w:bookmarkEnd w:id="570"/>
      <w:bookmarkEnd w:id="571"/>
      <w:r>
        <w:rPr>
          <w:rtl w:val="true"/>
        </w:rPr>
        <w:t>كتاب الزكاة و الخمس و المبرّات</w:t>
      </w:r>
      <w:bookmarkEnd w:id="57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3601694_3804643083"/>
      <w:bookmarkStart w:id="574" w:name="_Toc215"/>
      <w:bookmarkEnd w:id="573"/>
      <w:r>
        <w:rPr>
          <w:rtl w:val="true"/>
        </w:rPr>
        <w:t>اشارة</w:t>
      </w:r>
      <w:bookmarkStart w:id="575" w:name="pg2470_12667"/>
      <w:bookmarkEnd w:id="574"/>
    </w:p>
    <w:p>
      <w:pPr>
        <w:pStyle w:val="Heading3"/>
        <w:numPr>
          <w:ilvl w:val="2"/>
          <w:numId w:val="1"/>
        </w:numPr>
        <w:rPr/>
      </w:pPr>
      <w:bookmarkStart w:id="576" w:name="__RefHeading___Toc3601696_3804643083"/>
      <w:bookmarkStart w:id="577" w:name="_Toc216"/>
      <w:bookmarkEnd w:id="575"/>
      <w:bookmarkEnd w:id="576"/>
      <w:r>
        <w:rPr>
          <w:rtl w:val="true"/>
        </w:rPr>
        <w:t>[</w:t>
      </w:r>
      <w:r>
        <w:rPr>
          <w:rtl w:val="true"/>
        </w:rPr>
        <w:t>أبواب زكاة المال</w:t>
      </w:r>
      <w:r>
        <w:rPr>
          <w:rtl w:val="true"/>
        </w:rPr>
        <w:t>]</w:t>
      </w:r>
      <w:bookmarkEnd w:id="577"/>
    </w:p>
    <w:p>
      <w:pPr>
        <w:pStyle w:val="Heading4"/>
        <w:numPr>
          <w:ilvl w:val="3"/>
          <w:numId w:val="1"/>
        </w:numPr>
        <w:rPr/>
      </w:pPr>
      <w:bookmarkStart w:id="578" w:name="__RefHeading___Toc3601698_3804643083"/>
      <w:bookmarkStart w:id="579" w:name="_Toc217"/>
      <w:bookmarkEnd w:id="578"/>
      <w:r>
        <w:rPr>
          <w:rtl w:val="true"/>
        </w:rPr>
        <w:t>[</w:t>
      </w:r>
      <w:r>
        <w:rPr>
          <w:rtl w:val="true"/>
        </w:rPr>
        <w:t>باب العلّة في وضع الزكاة و قدرها</w:t>
      </w:r>
      <w:r>
        <w:rPr>
          <w:rtl w:val="true"/>
        </w:rPr>
        <w:t>]</w:t>
      </w:r>
      <w:bookmarkEnd w:id="5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لأيّ شي‌ء جعل اللّه الزكاة خمسة و عشرين</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أمثال هذا الخبر ظاهرة في 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امور كثيرة في أداء الزكاة و الصدقات، و صلة الأرحام، و اصطناع المعروف</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غاية كثرتها، بل و بلوغها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كما ستعرف في أبواب هذا الكتاب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كون الزكاة حقّ الفقراء، و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كون مصرفها ثمانية؛ لأنّ العاملين عليها يخدمون الفقراء و يحصّلون حقّهم و يعملون لهم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المؤلّفة؛ فلأنّ تأليفهم لتأسيس نظام الدين، و لا ينتظم أمر الفقراء إلّا به،</w:t>
      </w:r>
    </w:p>
    <w:p>
      <w:pPr>
        <w:pStyle w:val="BookText"/>
        <w:rPr/>
      </w:pPr>
      <w:r>
        <w:rPr>
          <w:rFonts w:ascii="Amiri" w:hAnsi="Amiri" w:eastAsia="Amiri" w:cs="Amiri"/>
          <w:color w:val="111111"/>
          <w:sz w:val="28"/>
          <w:sz w:val="28"/>
          <w:szCs w:val="28"/>
          <w:rtl w:val="true"/>
          <w:lang w:bidi="ar-SA"/>
        </w:rPr>
        <w:t xml:space="preserve">بل ربّما لا يوجدون إلّا به، لما صرّح الصادق عليه السّلام في صحيحة بريد العجلي الآتية في باب مصرف الزكاة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منع الإمام عليه السّلام غير العارف لم يوجد موضع للزكاة</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 و مراده عليه السّلام بغير العارف خصوص المؤلّفة، كما يظهر من كلامه غاية الظهور،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الغارمون؛ فقد ادّعى الأصحاب الإجماع على حاجته إلى الزكاة لقضاء دينه؛ لعدم تمكّنه من القضاء من غيرها </w:t>
      </w:r>
      <w:r>
        <w:rPr>
          <w:rStyle w:val="FootnoteAnchor"/>
          <w:rtl w:val="true"/>
        </w:rPr>
        <w:footnoteReference w:id="1461"/>
      </w:r>
      <w:r>
        <w:rPr>
          <w:rFonts w:ascii="IRNazanin" w:hAnsi="IRNazanin" w:eastAsia="IRNazanin"/>
          <w:color w:val="111111"/>
          <w:sz w:val="28"/>
          <w:sz w:val="28"/>
          <w:szCs w:val="28"/>
          <w:rtl w:val="true"/>
          <w:lang w:bidi="fa-IR"/>
        </w:rPr>
        <w:t xml:space="preserve">، و لعلّه الظاهر من إطلاق لفظ الغارم، و لعلّها الظاهر من الخبر </w:t>
      </w:r>
      <w:r>
        <w:rPr>
          <w:rStyle w:val="FootnoteAnchor"/>
          <w:rtl w:val="true"/>
        </w:rPr>
        <w:footnoteReference w:id="146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نقل بالظهور، فعدم ظهور العموم ظاهر، على ما حقّق في محلّه، و الإجماعات أيضا تعضده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أغمضنا عن الجميع فلا شكّ في عدم مقاومة الإطلاق للمقيّد؛ لأنّ المطلق لا يعارض المقيّد، فضلا عن أن يقاومه، بل يغلب عليه، مع أنّ الأصل عدم الاستحقاق حتّى يثبت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شغل الذمّة اليقيني يستدعي البراءة اليقينيّة كما حقّق و سلّم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الحال في الرقاب؛ لتقييد الأصحاب بعجز المكاتب من أداء مال الكتابة </w:t>
      </w:r>
      <w:r>
        <w:rPr>
          <w:rStyle w:val="FootnoteAnchor"/>
          <w:rtl w:val="true"/>
        </w:rPr>
        <w:footnoteReference w:id="1463"/>
      </w:r>
      <w:r>
        <w:rPr>
          <w:rFonts w:ascii="Amiri" w:hAnsi="Amiri" w:eastAsia="Amiri" w:cs="Amiri"/>
          <w:color w:val="111111"/>
          <w:sz w:val="28"/>
          <w:sz w:val="28"/>
          <w:szCs w:val="28"/>
          <w:rtl w:val="true"/>
          <w:lang w:bidi="ar-SA"/>
        </w:rPr>
        <w:t>، فصار فقيرا، من هذه الجهة؛ لأنّ الفقير هو المحتاج، فهو و الغارمون داخلون في الفقراء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ينحصر الفقراء فيمن لا يملك مئونة سنة له و لعياله؛ لما ستعرف من أنّ من له رأس مال للتجارة فيفيه لمئونة سنة له و لعياله إلّا أنّه متّجر به، و لا يفيه محصوله لمجموع مئونته، بل يبقى قليل لا يفيه، فإنّه فقير جزما، كما أنّ من له مستغلّات عظيمة لا يفي غلّتها للمجموع يكون فقيرا أيضا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فالغريم الذي يجب عليه أداء دينه جزما، و لو بإعطاء مئونة سنة، بل و مئونة أزيد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الأصحاب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فقيرا قطعا، و لا يجب عليه أن يعطي مئونته إذا وجد له زكاة يقضي بها ما يجب عليه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المكاتب؛ فإنّه اشترى نفسه من مولاه، و أوقع العقد عليه فلم يتمكّن من الوفاء لعقده المئونة به، فصار محتاجا فقيرا لغة و عرفا، سيّما مع اشتراط الإيمان فيه، كما عليه الأصحاب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الحال في العبد المؤمن بحسب وجوب دفع الضرر و الضرورة عنه شرعا، فيكون فقيرا محتاجا في دفع هذا الضرر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1466"/>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الذي يشترى و يعتق عند عدم المؤمن المحتاج فالظاهر أنّه ليس بفقير؛ لأنّ مئونته جميعا على مولاه جزما، فهو غنيّ غير فقير، جوّز الشارع أن يشترى من مال الفقير، و يعتق، و يكون ولاؤه للفقير؛ لأنّه اشتري بماله، كما صرّح به المعصوم عليه السّلام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منه صريحا أنّ الزكاة مال الفقراء، و أنّه لذلك يكون ميراثه للفقراء عند</w:t>
      </w:r>
    </w:p>
    <w:p>
      <w:pPr>
        <w:pStyle w:val="BookText"/>
        <w:rPr/>
      </w:pPr>
      <w:r>
        <w:rPr>
          <w:rFonts w:ascii="IRNazanin" w:hAnsi="IRNazanin" w:eastAsia="IRNazanin"/>
          <w:color w:val="111111"/>
          <w:sz w:val="28"/>
          <w:sz w:val="28"/>
          <w:szCs w:val="28"/>
          <w:rtl w:val="true"/>
          <w:lang w:bidi="fa-IR"/>
        </w:rPr>
        <w:t>انعدام ورثته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كذلك الحال في المكاتب و العبد تحت الشدّة؛ لأنّهما بأنفسهما داخلان في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يكون ولاؤهما لأنفسهما؛ لأنّ الزكاة مال الفقراء، و هما فقيران، فيكونان اشتريا من مال أنفسهما بخلاف الأخير؛ فإنّه غير فقير اشتري من مال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مملوك الغير من حيث كون جميع مئونته على الغير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كالزوجة و الأولاد و الوالدين؛ فإنّهم لا يجوز لهم أن يأخذوا الزكاة متى رفع مئونتهم من يجب عليه الرفع، كما قال الأصحاب مجمعين عليه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 السبيل؛ فهو أيضا الآن فقير،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سبيل اللّه؛ فإن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مختصّا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بالجهاد، فحاله حال المؤلّفة في كونه مصلحة الفقير، و إذا أدخلنا الحجّ، فلأنّ الظاهر أنّ شغل الفقير أن يحجّ بمال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فسّره بالجهاد،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قوم من المسلمين ليس عندهم ما يحجّون</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عمّمنا فلأنّ انتظام الدين مصلحة للفقير على ما عرفت في المؤلّفة، مع أنّه إذا وجد الفقراء المؤمنون المحتاجون، فهم أعظم سبل اللّه و أحبّها، بل يقدّم كما حقّق في محلّه، و إن لم يوجدوا فجميع سبل اللّه خير يصرف ما لهم فيعود النفع إليهم أيضا على حسب ما ظهر ممّا قلنا في عتق الرقبة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لا مانع من عود نفع إليهم ليصرف ما لهم فيه، و إن وجد أيضا، مع أنّه كثيرا ما يصرف فيمن هو فقير أو له فقر و حاجة في الذي يدخل الفقراء في</w:t>
      </w:r>
      <w:bookmarkStart w:id="580" w:name="pg2470_12671"/>
    </w:p>
    <w:p>
      <w:pPr>
        <w:pStyle w:val="BookText"/>
        <w:rPr/>
      </w:pPr>
      <w:bookmarkEnd w:id="580"/>
      <w:r>
        <w:rPr>
          <w:rFonts w:ascii="Amiri" w:hAnsi="Amiri" w:eastAsia="Amiri" w:cs="Amiri"/>
          <w:color w:val="111111"/>
          <w:sz w:val="28"/>
          <w:sz w:val="28"/>
          <w:szCs w:val="28"/>
          <w:rtl w:val="true"/>
          <w:lang w:bidi="ar-SA"/>
        </w:rPr>
        <w:t>الانتفاع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السهم بخصوصه منفعة لغير الفقراء أيضا، فلا يضرّ هذه الأخبار المتواترة؛ لأنّ النادر كالمعدوم، خرج ما خرج بالدليل و بقي الباقي، بل لا يكاد يبقى قاعدة كلّية في الفقه إلّا و يتخصّص بنادر أو قليل، و لذا اشتهر أنّه ما من عام إلّا و قد خصّ و تلقّي بالقبول، و لا يخرج العام من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 هذه العمومات؛ العمومات الواردة في أنّه لا تحلّ الصدقة لغنيّ </w:t>
      </w:r>
      <w:r>
        <w:rPr>
          <w:rStyle w:val="FootnoteAnchor"/>
          <w:rtl w:val="true"/>
        </w:rPr>
        <w:footnoteReference w:id="1470"/>
      </w:r>
      <w:r>
        <w:rPr>
          <w:rFonts w:ascii="Amiri" w:hAnsi="Amiri" w:eastAsia="Amiri" w:cs="Amiri"/>
          <w:color w:val="111111"/>
          <w:sz w:val="28"/>
          <w:sz w:val="28"/>
          <w:szCs w:val="28"/>
          <w:rtl w:val="true"/>
          <w:lang w:bidi="ar-SA"/>
        </w:rPr>
        <w:t>لكون النكرة في سياق النفي مفيدا للعموم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يضرّه ما قاله جمع من الأصحاب أنّه لا يشترط الفقر في الغارم الذي يتديّن لإصلاح ذات البين </w:t>
      </w:r>
      <w:r>
        <w:rPr>
          <w:rStyle w:val="FootnoteAnchor"/>
          <w:rtl w:val="true"/>
        </w:rPr>
        <w:footnoteReference w:id="1471"/>
      </w:r>
      <w:r>
        <w:rPr>
          <w:rFonts w:ascii="Amiri" w:hAnsi="Amiri" w:eastAsia="Amiri" w:cs="Amiri"/>
          <w:color w:val="111111"/>
          <w:sz w:val="28"/>
          <w:sz w:val="28"/>
          <w:szCs w:val="28"/>
          <w:rtl w:val="true"/>
          <w:lang w:bidi="ar-SA"/>
        </w:rPr>
        <w:t>لأنّ المتبادر أنّه لا يحلّ أن يأخذها الغنيّ لنفسه بأنّ يستملك و يصرف في مئونته أو مئونة عياله، لا أن يأخذ للمسلمين بأن يصرفها لهم، و قد عرفت أنّ انتظام أمر الفقير موقوف على دفع الفسقة و المفسدة، مضافا إلى ما عرفت من أنّ خروج النادر غير مضرّ، فتأمّل</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3601700_3804643083"/>
      <w:bookmarkStart w:id="582" w:name="_Toc218"/>
      <w:bookmarkEnd w:id="581"/>
      <w:r>
        <w:rPr>
          <w:rtl w:val="true"/>
        </w:rPr>
        <w:t>[</w:t>
      </w:r>
      <w:r>
        <w:rPr>
          <w:rtl w:val="true"/>
        </w:rPr>
        <w:t>باب زكاة الذهب و الفضّة</w:t>
      </w:r>
      <w:r>
        <w:rPr>
          <w:rtl w:val="true"/>
        </w:rPr>
        <w:t>]</w:t>
      </w:r>
      <w:bookmarkEnd w:id="5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و عدّة من أصحابنا، عن أبي جعفر، و أبي عبد اللّه عليه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العشرين مثقالا من الذهب شي‌ء</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bookmarkStart w:id="583" w:name="pg2470_12672"/>
    </w:p>
    <w:p>
      <w:pPr>
        <w:pStyle w:val="BookText"/>
        <w:rPr/>
      </w:pPr>
      <w:bookmarkEnd w:id="583"/>
      <w:r>
        <w:rPr>
          <w:rFonts w:ascii="Amiri" w:hAnsi="Amiri" w:eastAsia="Amiri" w:cs="Amiri"/>
          <w:color w:val="111111"/>
          <w:sz w:val="28"/>
          <w:sz w:val="28"/>
          <w:szCs w:val="28"/>
          <w:rtl w:val="true"/>
          <w:lang w:bidi="ar-SA"/>
        </w:rPr>
        <w:t>هذه الأخبار ظاهرة في 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فالاحتمال جار في الخبر الثاني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أنّ إسحاق بن عمّار كان صيرفيّا </w:t>
      </w:r>
      <w:r>
        <w:rPr>
          <w:rStyle w:val="FootnoteAnchor"/>
          <w:rtl w:val="true"/>
        </w:rPr>
        <w:footnoteReference w:id="1474"/>
      </w:r>
      <w:r>
        <w:rPr>
          <w:rFonts w:ascii="Amiri" w:hAnsi="Amiri" w:eastAsia="Amiri" w:cs="Amiri"/>
          <w:color w:val="111111"/>
          <w:sz w:val="28"/>
          <w:sz w:val="28"/>
          <w:szCs w:val="28"/>
          <w:rtl w:val="true"/>
          <w:lang w:bidi="ar-SA"/>
        </w:rPr>
        <w:t>، و تجارة الصيرفي في الذهب و الفضّة،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عدوله في الجواب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يبعد هذا الاحتمال في الخبر الثاني، فتأمّل جدّا</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3601702_3804643083"/>
      <w:bookmarkStart w:id="585" w:name="_Toc219"/>
      <w:bookmarkEnd w:id="584"/>
      <w:r>
        <w:rPr>
          <w:rtl w:val="true"/>
        </w:rPr>
        <w:t>[</w:t>
      </w:r>
      <w:r>
        <w:rPr>
          <w:rtl w:val="true"/>
        </w:rPr>
        <w:t>باب زكاة الحنطة و الشعير و التمر و الزبيب</w:t>
      </w:r>
      <w:r>
        <w:rPr>
          <w:rtl w:val="true"/>
        </w:rPr>
        <w:t>]</w:t>
      </w:r>
      <w:bookmarkEnd w:id="5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أقلّ ما تجب فيه الزكاة من البرّ، و الشعير، و التمر و الزبيب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أخبار هذا الباب أيضا ظاهرة في 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العنب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تجب عليه إذا صيّره زبيبا؟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الحديث نصّ في وجوب الزكاة في العنب، كما عليه المشهور </w:t>
      </w:r>
      <w:r>
        <w:rPr>
          <w:rStyle w:val="FootnoteAnchor"/>
          <w:rtl w:val="true"/>
        </w:rPr>
        <w:footnoteReference w:id="1477"/>
      </w:r>
      <w:r>
        <w:rPr>
          <w:rFonts w:ascii="Amiri" w:hAnsi="Amiri" w:eastAsia="Amiri" w:cs="Amiri"/>
          <w:color w:val="111111"/>
          <w:sz w:val="28"/>
          <w:sz w:val="28"/>
          <w:szCs w:val="28"/>
          <w:rtl w:val="true"/>
          <w:lang w:bidi="ar-SA"/>
        </w:rPr>
        <w:t>، بل كاد أن يكون وفاقيّا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تخرصوهما و لا تأتوا منهما بشي‌ء</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bookmarkStart w:id="586" w:name="pg2470_12673"/>
    </w:p>
    <w:p>
      <w:pPr>
        <w:pStyle w:val="BookText"/>
        <w:rPr/>
      </w:pPr>
      <w:bookmarkEnd w:id="586"/>
      <w:r>
        <w:rPr>
          <w:rFonts w:ascii="Amiri" w:hAnsi="Amiri" w:eastAsia="Amiri" w:cs="Amiri"/>
          <w:color w:val="111111"/>
          <w:sz w:val="28"/>
          <w:sz w:val="28"/>
          <w:szCs w:val="28"/>
          <w:rtl w:val="true"/>
          <w:lang w:bidi="ar-SA"/>
        </w:rPr>
        <w:t xml:space="preserve">هذا أيضا ظاهر في كون الزكاة على الرطب و البسر أيضا، كما عليه المعظم </w:t>
      </w:r>
      <w:r>
        <w:rPr>
          <w:rStyle w:val="FootnoteAnchor"/>
          <w:rtl w:val="true"/>
        </w:rPr>
        <w:footnoteReference w:id="1479"/>
      </w:r>
      <w:r>
        <w:rPr>
          <w:rFonts w:ascii="Amiri" w:hAnsi="Amiri" w:eastAsia="Amiri" w:cs="Amiri"/>
          <w:color w:val="111111"/>
          <w:sz w:val="28"/>
          <w:sz w:val="28"/>
          <w:szCs w:val="28"/>
          <w:rtl w:val="true"/>
          <w:lang w:bidi="ar-SA"/>
        </w:rPr>
        <w:t>لأنّ الخرص قبل صيرورة التمر تمرا يابسا، كما هو المتعارف، بل بعد اليبس لا يكاد يتحقّق فيه الخرص، لأنّه وقت الجذاذ و القطع، فتأمّل</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3601704_3804643083"/>
      <w:bookmarkStart w:id="588" w:name="_Toc220"/>
      <w:bookmarkEnd w:id="587"/>
      <w:r>
        <w:rPr>
          <w:rtl w:val="true"/>
        </w:rPr>
        <w:t>[</w:t>
      </w:r>
      <w:r>
        <w:rPr>
          <w:rtl w:val="true"/>
        </w:rPr>
        <w:t>باب زكاة الإبل و البقر و الغنم</w:t>
      </w:r>
      <w:r>
        <w:rPr>
          <w:rtl w:val="true"/>
        </w:rPr>
        <w:t>]</w:t>
      </w:r>
      <w:bookmarkEnd w:id="5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البجلي،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قلائص شاة</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الأخبار في هذا الباب أيضا ظاهرة في تعلّق الزكاة بالعين</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601706_3804643083"/>
      <w:bookmarkStart w:id="590" w:name="_Toc221"/>
      <w:bookmarkEnd w:id="589"/>
      <w:r>
        <w:rPr>
          <w:rtl w:val="true"/>
        </w:rPr>
        <w:t>[</w:t>
      </w:r>
      <w:r>
        <w:rPr>
          <w:rtl w:val="true"/>
        </w:rPr>
        <w:t>باب مصرف الزكاة</w:t>
      </w:r>
      <w:r>
        <w:rPr>
          <w:rtl w:val="true"/>
        </w:rPr>
        <w:t>]</w:t>
      </w:r>
      <w:bookmarkEnd w:id="59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محمّد أنّهما قالا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هؤلاء </w:t>
      </w:r>
      <w:r>
        <w:rPr>
          <w:rStyle w:val="FootnoteAnchor"/>
          <w:rtl w:val="true"/>
        </w:rPr>
        <w:footnoteReference w:id="148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لهذا السؤال حصول اليقين لهما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إعطاء الزكاة لغير العارف، حتّى أنّهما رويا عنهم عليهم السّلام أنّ المخالف المستبصر يجب عليه إعادة الزكاة في</w:t>
      </w:r>
    </w:p>
    <w:p>
      <w:pPr>
        <w:pStyle w:val="BookText"/>
        <w:rPr/>
      </w:pPr>
      <w:r>
        <w:rPr>
          <w:rFonts w:ascii="Amiri" w:hAnsi="Amiri" w:eastAsia="Amiri" w:cs="Amiri"/>
          <w:color w:val="111111"/>
          <w:sz w:val="28"/>
          <w:sz w:val="28"/>
          <w:szCs w:val="28"/>
          <w:rtl w:val="true"/>
          <w:lang w:bidi="ar-SA"/>
        </w:rPr>
        <w:t xml:space="preserve">جميع ما مضى من عمره حال ضلالته، من جهة كونها حقّ العارف خاصّة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أنّهما كانا مطّلعين على سلوك علي و الحسن عليهما السّلام، بل الرسول صلّى اللّه عليه و آله و سلم، فإنّهم كانوا يجمعون الزكوات الكثيرة بحيث لا يكاد يحصى، سيّما علي و الحسن عليهما السّلام حال خلافتهما، مع أنّهم كانوا يعطون لغير العارفين،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منافقين أيضا، و أحسنهم إيمانا كان الأنصار، مع أنّه صدر منهم ما صدر في غنائم حرب الحنين </w:t>
      </w:r>
      <w:r>
        <w:rPr>
          <w:rStyle w:val="FootnoteAnchor"/>
          <w:rtl w:val="true"/>
        </w:rPr>
        <w:footnoteReference w:id="1484"/>
      </w:r>
      <w:r>
        <w:rPr>
          <w:rFonts w:ascii="Amiri" w:hAnsi="Amiri" w:eastAsia="Amiri" w:cs="Amiri"/>
          <w:color w:val="111111"/>
          <w:sz w:val="28"/>
          <w:sz w:val="28"/>
          <w:szCs w:val="28"/>
          <w:rtl w:val="true"/>
          <w:lang w:bidi="ar-SA"/>
        </w:rPr>
        <w:t>، و صدر ما صدر بعد الرسول صلّى اللّه عليه و آله و سلم فلذا سألا في هذا الحديث ما سألا، و أجاب عليه السّلام بما أجاب، و لم يجبهما بنعم، و لا بلا، فظهر بلا نهيهما؛ و لأنّ نعم ينافي ما علم منه يقينا من العدم مطلقا، حتّى إن لم يوجد عارف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كان ينافي طريقة الرسول صلّى اللّه عليه و آله و سلم و غيره، فأجاب عليه السّلام بما لا ينافي شيئا منهما، بل يؤكّدهما و يصحّحهما بأنّ الإمام عليه السّلام يعطي من يقرّ له، و أمّا أنت و جميع 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للمثل إن قلنا بأنّه لا يعطى غير العارف، فأجابا بأنّا ندري أنّه كان يعطي جميع هؤلاء، لكن إشكالنا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 و إن لم يعرفوا أم لا؟</w:t>
      </w:r>
    </w:p>
    <w:p>
      <w:pPr>
        <w:pStyle w:val="BookText"/>
        <w:rPr/>
      </w:pPr>
      <w:r>
        <w:rPr>
          <w:rFonts w:ascii="Amiri" w:hAnsi="Amiri" w:eastAsia="Amiri" w:cs="Amiri"/>
          <w:color w:val="111111"/>
          <w:sz w:val="28"/>
          <w:sz w:val="28"/>
          <w:szCs w:val="28"/>
          <w:rtl w:val="true"/>
          <w:lang w:bidi="ar-SA"/>
        </w:rPr>
        <w:t>و عدولك عن جوابنا يشير إلى أنّ هاهنا أمرا اخر تريد رفع إشكالنا فيه؛ إذ من كلماتكم يظهر عدم الجواز مطلقا و بالمرّة حتّى شربة ماء، و هدّدتم و شدّدتم بما شدّدتم، فكيف يجتمع؟ و لا يمكن جمع ما قلتم مع فعل الإمامين عليهما السّلام و الرسول صلّى اللّه عليه و آله و سلم بل هم أولى بالمراعاة في أمثال ذلك، فأجاب عليه السّلام بما أجاب،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لا، كما فعل أوّلا،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أقتصر فيمن يعرف لم يوجد لها موضع</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بديهي أنّ القصر لا يقتضي ذلك، بل يقتضي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بالموضع فيمن لا يعرف خاصّة، فعلم أنّ مراده عليه السّلام أنّ الزكاة موضعها المؤمنون غالبا كما عرفتم من كلماتنا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المؤمنين لا يوجدون إلّا بهداية الرسول صلّى اللّه عليه و آله و سلم و من بعده من الإمام عليه السّلام أيضا بالبديهة، كما لا يخفى على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الاقتصار قال الإمام عليه السّلام، و معلوم أنّ هداية الإمام عليه السّلام يتوقّف على ترغيبه و ترهيبه و سلطنته و انتظام أمره، و هذه الامور لا يتأتّى عادة، إلّا بإعطاء غير العارف؛ لأنّ الناس بأجمعهم من أوّل الأمر لم يكونوا عارفين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رأوا من الإمام عليه السّلام ما رأوا كيف يؤمنون؟ بل و كيف يتركون الإمام عليه السّلام ينتظم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يسعون في عدمه، و يفسدون و لا ينتظم أمره حينئذ، كما وجد و شوهد من زمان آدم عليه السّلام إلى الآن؛ فإنّ النفوس 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صاحب النفس المطمئنّة، و مثله فقليل ما هم، بل و أقلّ من الكبريت الأحمر، و أقلّ، كما هو معلوم عقلا و نقلا من الآيات </w:t>
      </w:r>
      <w:r>
        <w:rPr>
          <w:rStyle w:val="FootnoteAnchor"/>
          <w:rtl w:val="true"/>
        </w:rPr>
        <w:footnoteReference w:id="1485"/>
      </w:r>
      <w:r>
        <w:rPr>
          <w:rFonts w:ascii="IRNazanin" w:hAnsi="IRNazanin" w:eastAsia="IRNazanin"/>
          <w:color w:val="111111"/>
          <w:sz w:val="28"/>
          <w:sz w:val="28"/>
          <w:szCs w:val="28"/>
          <w:rtl w:val="true"/>
          <w:lang w:bidi="fa-IR"/>
        </w:rPr>
        <w:t xml:space="preserve">و الأخبار </w:t>
      </w:r>
      <w:r>
        <w:rPr>
          <w:rStyle w:val="FootnoteAnchor"/>
          <w:rtl w:val="true"/>
        </w:rPr>
        <w:footnoteReference w:id="1486"/>
      </w:r>
      <w:r>
        <w:rPr>
          <w:rFonts w:ascii="Amiri" w:hAnsi="Amiri" w:eastAsia="Amiri" w:cs="Amiri"/>
          <w:color w:val="111111"/>
          <w:sz w:val="28"/>
          <w:sz w:val="28"/>
          <w:szCs w:val="28"/>
          <w:rtl w:val="true"/>
          <w:lang w:bidi="ar-SA"/>
        </w:rPr>
        <w:t>، فالإمام عليه السّلام من هذه الجهة يعطي حتّى يتحقّق المستحقّون الذي هم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صرّح به بعد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فريضة فرضها اللّه تعالى لا يوجد لها أهل</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اخر ما قال، ثمّ شرع في كشف النقاب في تحقيق ما أجاب به أوّلا و ثانيا، و هو أنّ من لا يعرف من الأصناف من الفقراء، و المساكين، و العاملين، و غيرهم لا يجب على الإمام أن يعطيه من سهم الفقراء و المساكين و نحوهما ممّن صرّحنا باشتراط الإيمان و عدم جواز الإعطاء من دون الشرط المذكور جزما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صار الشرط المذكور مطلقا إجماعيّا عند الشيعة </w:t>
      </w:r>
      <w:r>
        <w:rPr>
          <w:rStyle w:val="FootnoteAnchor"/>
          <w:rtl w:val="true"/>
        </w:rPr>
        <w:footnoteReference w:id="1488"/>
      </w:r>
      <w:r>
        <w:rPr>
          <w:rFonts w:ascii="Amiri" w:hAnsi="Amiri" w:eastAsia="Amiri" w:cs="Amiri"/>
          <w:color w:val="111111"/>
          <w:sz w:val="28"/>
          <w:sz w:val="28"/>
          <w:szCs w:val="28"/>
          <w:rtl w:val="true"/>
          <w:lang w:bidi="ar-SA"/>
        </w:rPr>
        <w:t xml:space="preserve">لو لم نقل بكونه ضروريّا متواترا من أخبارهم </w:t>
      </w:r>
      <w:r>
        <w:rPr>
          <w:rStyle w:val="FootnoteAnchor"/>
          <w:rtl w:val="true"/>
        </w:rPr>
        <w:footnoteReference w:id="1489"/>
      </w:r>
      <w:r>
        <w:rPr>
          <w:rFonts w:ascii="Amiri" w:hAnsi="Amiri" w:eastAsia="Amiri" w:cs="Amiri"/>
          <w:color w:val="111111"/>
          <w:sz w:val="28"/>
          <w:sz w:val="28"/>
          <w:szCs w:val="28"/>
          <w:rtl w:val="true"/>
          <w:lang w:bidi="ar-SA"/>
        </w:rPr>
        <w:t>، بل يعطى الفقير غير العارف تأليفا لقلبه،</w:t>
      </w:r>
    </w:p>
    <w:p>
      <w:pPr>
        <w:pStyle w:val="BookText"/>
        <w:rPr/>
      </w:pPr>
      <w:r>
        <w:rPr>
          <w:rFonts w:ascii="Amiri" w:hAnsi="Amiri" w:eastAsia="Amiri" w:cs="Amiri"/>
          <w:color w:val="111111"/>
          <w:sz w:val="28"/>
          <w:sz w:val="28"/>
          <w:szCs w:val="28"/>
          <w:rtl w:val="true"/>
          <w:lang w:bidi="ar-SA"/>
        </w:rPr>
        <w:t xml:space="preserve">و إصلاحا لحالهم كيما يعرفوا كما 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سدّ باب الفتنة، و تحصيل النظام للإمام عليه السّلام و الإسلام، و يقوى به على المشركين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باقي الأصناف، و المجوّز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 كون المؤلّفة قلوبهم عامّا، بل في الرقاب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الأصناف مخصوص بالعارفين كما صرّح به،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واضحا، مع ما قال بأنّهم لا يجوز لهم أن يعطوا غير العارف على حسب ما تواتر منهم عليهم السّلام، و أجمع شيعتهم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فوضح أنّ إعطاء الإمام غير العارف من الأصناف ليس إلّا من جهة لزوم البسط و عموم سهم المؤلّفة، و لأنّ الشيعة في مثل زمان زرارة لا يمكنهم الإعطاء كذلك من سهم المؤلّفة؛ لأنّ هذا السهم ساقط عنهم، كما عليه غير واحد من الفقهاء </w:t>
      </w:r>
      <w:r>
        <w:rPr>
          <w:rStyle w:val="FootnoteAnchor"/>
          <w:rtl w:val="true"/>
        </w:rPr>
        <w:footnoteReference w:id="1490"/>
      </w:r>
      <w:r>
        <w:rPr>
          <w:rFonts w:ascii="Amiri" w:hAnsi="Amiri" w:eastAsia="Amiri" w:cs="Amiri"/>
          <w:color w:val="111111"/>
          <w:sz w:val="28"/>
          <w:sz w:val="28"/>
          <w:szCs w:val="28"/>
          <w:rtl w:val="true"/>
          <w:lang w:bidi="ar-SA"/>
        </w:rPr>
        <w:t xml:space="preserve">، أو من جهة أنّ الإعطاء من هذا السهم لعلّه مخصوص بالإمام كما يشير إليه رواية علي بن إبراهيم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الأصحاب عرّفوا المؤلّفة بأنّهم الكفّار الذين يستمالون للجهاد </w:t>
      </w:r>
      <w:r>
        <w:rPr>
          <w:rStyle w:val="FootnoteAnchor"/>
          <w:rtl w:val="true"/>
        </w:rPr>
        <w:footnoteReference w:id="1492"/>
      </w:r>
      <w:r>
        <w:rPr>
          <w:rFonts w:ascii="Amiri" w:hAnsi="Amiri" w:eastAsia="Amiri" w:cs="Amiri"/>
          <w:color w:val="111111"/>
          <w:sz w:val="28"/>
          <w:sz w:val="28"/>
          <w:szCs w:val="28"/>
          <w:rtl w:val="true"/>
          <w:lang w:bidi="ar-SA"/>
        </w:rPr>
        <w:t xml:space="preserve">مع أنّه عليه السّلام علّل إعطاء الإمام عليه السّلام بأنّهم ليقرّوا له بالطاعة </w:t>
      </w:r>
      <w:r>
        <w:rPr>
          <w:rStyle w:val="FootnoteAnchor"/>
          <w:rtl w:val="true"/>
        </w:rPr>
        <w:footnoteReference w:id="1493"/>
      </w:r>
      <w:r>
        <w:rPr>
          <w:rFonts w:ascii="Amiri" w:hAnsi="Amiri" w:eastAsia="Amiri" w:cs="Amiri"/>
          <w:color w:val="111111"/>
          <w:sz w:val="28"/>
          <w:sz w:val="28"/>
          <w:szCs w:val="28"/>
          <w:rtl w:val="true"/>
          <w:lang w:bidi="ar-SA"/>
        </w:rPr>
        <w:t>، و هذا لا يتمشّى في غيره، فتدبّر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لم يرض الأصحاب بإعطاء غير العارف في صورة عدم العارف</w:t>
      </w:r>
    </w:p>
    <w:p>
      <w:pPr>
        <w:pStyle w:val="BookText"/>
        <w:rPr/>
      </w:pPr>
      <w:r>
        <w:rPr>
          <w:rFonts w:ascii="Amiri" w:hAnsi="Amiri" w:eastAsia="Amiri" w:cs="Amiri"/>
          <w:color w:val="111111"/>
          <w:sz w:val="28"/>
          <w:sz w:val="28"/>
          <w:szCs w:val="28"/>
          <w:rtl w:val="true"/>
          <w:lang w:bidi="ar-SA"/>
        </w:rPr>
        <w:t xml:space="preserve">أيضا كما لا يخفى، و توجّهوا إلى خصوص حال رواية يعقوب بن شعيب </w:t>
      </w:r>
      <w:r>
        <w:rPr>
          <w:rStyle w:val="FootnoteAnchor"/>
          <w:rtl w:val="true"/>
        </w:rPr>
        <w:footnoteReference w:id="1494"/>
      </w:r>
      <w:r>
        <w:rPr>
          <w:rFonts w:ascii="Amiri" w:hAnsi="Amiri" w:eastAsia="Amiri" w:cs="Amiri"/>
          <w:color w:val="111111"/>
          <w:sz w:val="28"/>
          <w:sz w:val="28"/>
          <w:szCs w:val="28"/>
          <w:rtl w:val="true"/>
          <w:lang w:bidi="ar-SA"/>
        </w:rPr>
        <w:t xml:space="preserve">الآتية في الباب، و حكموا بشذوذها و ضعفها و طرحوا </w:t>
      </w:r>
      <w:r>
        <w:rPr>
          <w:rStyle w:val="FootnoteAnchor"/>
          <w:rtl w:val="true"/>
        </w:rPr>
        <w:footnoteReference w:id="1495"/>
      </w:r>
      <w:r>
        <w:rPr>
          <w:rFonts w:ascii="Amiri" w:hAnsi="Amiri" w:eastAsia="Amiri" w:cs="Amiri"/>
          <w:color w:val="111111"/>
          <w:sz w:val="28"/>
          <w:sz w:val="28"/>
          <w:szCs w:val="28"/>
          <w:rtl w:val="true"/>
          <w:lang w:bidi="ar-SA"/>
        </w:rPr>
        <w:t xml:space="preserve">، و لم يتأمّل أحد منهم في حال هذه الرواية أصلا و رأسا، فكيف قال المصنّف ما قال فيها </w:t>
      </w:r>
      <w:r>
        <w:rPr>
          <w:rStyle w:val="FootnoteAnchor"/>
          <w:rtl w:val="true"/>
        </w:rPr>
        <w:footnoteReference w:id="14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يسعهم </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ظاهر في 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ما يجب فيه الزكاة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الصحيحة مستند المشهور من اعتبار مئونة السنة للغناء و عدمها للفقير، و يدلّ على ذلك أيضا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علي بن إسماعيل الدغشي،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قوت يوم، أ يحلّ له أن يسأل؟ و إن اعطي شيئا من قبل أن يسأل أ يحلّ له أن يقبله؟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و عنده قوت شهر و ما يكفيه لسنة من الزكاة، لأنّها إنّما هي من سنة إلى سنة</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أيضا ما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صريحة؛ حيث روى عن يونس بن عمّار أنّه سمع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الزكاة على من عنده قوت السنة، و تجب الفطرة على من عنده قوت السنة</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وسّعه ذلك من عياله و يأخذ البقيّة من الزكاة و يتصرّف بها لا ينفقها</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الصحيحة تدلّ على أنّ من لم يف لمئونته ما حصل له من مستغلّاته أو كسبه أو تجارته لا يجوز له أن يأخذ له أزيد من السنة، و ليس مثل الفقير في جواز أخذه القدر الذي يفيه و أزيد، كما أفتى به بعض الأصحاب </w:t>
      </w:r>
      <w:r>
        <w:rPr>
          <w:rStyle w:val="FootnoteAnchor"/>
          <w:rtl w:val="true"/>
        </w:rPr>
        <w:footnoteReference w:id="1502"/>
      </w:r>
      <w:r>
        <w:rPr>
          <w:rFonts w:ascii="Amiri" w:hAnsi="Amiri" w:eastAsia="Amiri" w:cs="Amiri"/>
          <w:color w:val="111111"/>
          <w:sz w:val="28"/>
          <w:sz w:val="28"/>
          <w:szCs w:val="28"/>
          <w:rtl w:val="true"/>
          <w:lang w:bidi="ar-SA"/>
        </w:rPr>
        <w:t xml:space="preserve">، و وافقه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أخذ البقيّة لا ينافي جواز أخذ الأزيد؛ لأنّ المفهوم مفهوم الوصف، و ليس بحجة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حجّة عند الشيخ </w:t>
      </w:r>
      <w:r>
        <w:rPr>
          <w:rStyle w:val="FootnoteAnchor"/>
          <w:rtl w:val="true"/>
        </w:rPr>
        <w:footnoteReference w:id="1504"/>
      </w:r>
      <w:r>
        <w:rPr>
          <w:rFonts w:ascii="IRNazanin" w:hAnsi="IRNazanin" w:eastAsia="IRNazanin"/>
          <w:color w:val="111111"/>
          <w:sz w:val="28"/>
          <w:sz w:val="28"/>
          <w:szCs w:val="28"/>
          <w:rtl w:val="true"/>
          <w:lang w:bidi="fa-IR"/>
        </w:rPr>
        <w:t xml:space="preserve">و بعض من وافقه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واضحة، لأنّه لو جاز له أخذ غيرها أيضا لاختار المعصوم عليه السّلام في الجواب الشقّ الثاني من احتمال سؤال الراوي؛ إذ لم يسأل إلّا عن حال هذا الشقّ في أنّه يكبّ على الثلاث مائة أو أربع مائة فينفقها، و بعده يأخذ الزكاة أو يأخذ الآن الزكاة مع مالكيّته للقدر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اختار الشقّ الثاني بأن 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الزكاة خوفا من أن يتوهّم متوهّم، بل أجاب باختيار شقّ ثالث، و هو جواز أخذ البقيّة فقط، لا مطلق الأخذ الذي هو كان مطلوب السائل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لم يكن نظر السائل إلى الإطلاق الذي يرجع إلى العموم، و مع ذلك لم</w:t>
      </w:r>
    </w:p>
    <w:p>
      <w:pPr>
        <w:pStyle w:val="BookText"/>
        <w:rPr/>
      </w:pPr>
      <w:r>
        <w:rPr>
          <w:rFonts w:ascii="Amiri" w:hAnsi="Amiri" w:eastAsia="Amiri" w:cs="Amiri"/>
          <w:color w:val="111111"/>
          <w:sz w:val="28"/>
          <w:sz w:val="28"/>
          <w:szCs w:val="28"/>
          <w:rtl w:val="true"/>
          <w:lang w:bidi="ar-SA"/>
        </w:rPr>
        <w:t xml:space="preserve">يجب المعصوم عليه السّلام مطابقا لسؤاله، مع غاية الاختصار، و نهاية وضوح الدلالة، بل اختار الثالث و أطال في الكلام، و لا شبهة في أنّ جوابه هذا في قوّة أن يقال، لا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الثاني الذي هو جواز أخذ الزكاة، بل الذي يجوز له هو أخذ البقيّة بالتطويل و 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ارتكبه في تعريف البقيّة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سيّما بعد معلوميّة أنّ مفهوم الوصف فيه الإشعار الذي بأدنى مؤيّد يصير حجّة، كما هو طريقة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كان مثل الفقير يجوز له الأخذ مطلقا؛ فلم أمر عليه السّلام بأنّه ينظر إلى فضلها، و يقوت بها نفسه و عياله من سعة؟ بل لا بدّ حينئذ من رفعه يده من الأمرين المزبورين، كي لا يتوهّم متوهّم أنّه لا يجوز له إلّا أخذ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بأخذ البقيّة لا يقول بوجوب هذا النظر و يقوت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الإرشاديّة لمعرفة البقيّة بالنسبة إليه، و ليس المعنى أنّه أوّلا يتقوّت هو و من وسعه، و بعد ذلك يتقوّت من لم يسعه من خصوص الزكاة؛ لأنّه عليه السّلام قال في اخر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هو البقيّة من الزكاة لأجل التصرّف 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أنّه يلاحظ القدر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 عياله، فيعلم أنّ القدر الذي يحتاجه لأجل الإنفاق على الكلّ يأخذه من الزكاة، فيتقوّتون بالمجموع مشاعا، كما هو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المعيل على عياله، و هذا هو الظاهر منه، كما لا يخفى على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تقدير أن تقول هذا توجيه، فهو توجيه على أيّ حال، و لا يلزم توجيه باقي الخبر، بلا شبهة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مفهوم الوصف إذا وقع جوابا لسؤال سائل يكون حجّة بلا شبهة، و وفاقي؛ فإنّ السائل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الغنم زكاة أم لا؟ فأجاب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شكّ في كون المراد في غيره لا، 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الفقه،</w:t>
      </w:r>
    </w:p>
    <w:p>
      <w:pPr>
        <w:pStyle w:val="BookText"/>
        <w:rPr/>
      </w:pPr>
      <w:r>
        <w:rPr>
          <w:rFonts w:ascii="Amiri" w:hAnsi="Amiri" w:eastAsia="Amiri" w:cs="Amiri"/>
          <w:color w:val="111111"/>
          <w:sz w:val="28"/>
          <w:sz w:val="28"/>
          <w:szCs w:val="28"/>
          <w:rtl w:val="true"/>
          <w:lang w:bidi="ar-SA"/>
        </w:rPr>
        <w:t>و يتأكّد دلالتها بأخبار اخر، و امور ستعرفها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في جواب سؤال معاوية بن وهب صريح في أنّه لا يأخذ الزكاة، و لا يكبّ،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منه بالجواب عنهما، و اختيار الثالث،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عيال فإن أقبل عليها أكلها عياله، و لم يكتفوا بربحها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الرواية أيضا كالصريحة، و دالّة على ما دلّ عليه صحيحة ابن وهب السابقة </w:t>
      </w:r>
      <w:r>
        <w:rPr>
          <w:rStyle w:val="FootnoteAnchor"/>
          <w:rtl w:val="true"/>
        </w:rPr>
        <w:footnoteReference w:id="1508"/>
      </w:r>
      <w:r>
        <w:rPr>
          <w:rFonts w:ascii="Amiri" w:hAnsi="Amiri" w:eastAsia="Amiri" w:cs="Amiri"/>
          <w:color w:val="111111"/>
          <w:sz w:val="28"/>
          <w:sz w:val="28"/>
          <w:szCs w:val="28"/>
          <w:rtl w:val="true"/>
          <w:lang w:bidi="ar-SA"/>
        </w:rPr>
        <w:t>، مضافا إلى أنّ أخذ الزائد عن المئونة لخصوص من لم يسعه، لا أن يحصل له الغنى مع عدم تعيّنه أصلا لا معنى له، بل و هو محال،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 الروايتين بعض الروايات الاخر </w:t>
      </w:r>
      <w:r>
        <w:rPr>
          <w:rStyle w:val="FootnoteAnchor"/>
          <w:rtl w:val="true"/>
        </w:rPr>
        <w:footnoteReference w:id="1509"/>
      </w:r>
      <w:r>
        <w:rPr>
          <w:rFonts w:ascii="Amiri" w:hAnsi="Amiri" w:eastAsia="Amiri" w:cs="Amiri"/>
          <w:color w:val="111111"/>
          <w:sz w:val="28"/>
          <w:sz w:val="28"/>
          <w:szCs w:val="28"/>
          <w:rtl w:val="true"/>
          <w:lang w:bidi="ar-SA"/>
        </w:rPr>
        <w:t>في الدلالة، فلاحظ و تأمّل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يعضدهما ما ورد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وضعت قوتا للفقراء</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و قولهم عليهم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جعل في أموال الأغنياء ما يكتفون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علم أنّه لم يكفهم لزادهم</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xml:space="preserve">، و إنّه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ألف خمسة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من كلّ ألف غني خمسة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إلى غير ذلك من</w:t>
      </w:r>
    </w:p>
    <w:p>
      <w:pPr>
        <w:pStyle w:val="BookText"/>
        <w:rPr/>
      </w:pPr>
      <w:r>
        <w:rPr>
          <w:rFonts w:ascii="Amiri" w:hAnsi="Amiri" w:eastAsia="Amiri" w:cs="Amiri"/>
          <w:color w:val="111111"/>
          <w:sz w:val="28"/>
          <w:sz w:val="28"/>
          <w:szCs w:val="28"/>
          <w:rtl w:val="true"/>
          <w:lang w:bidi="ar-SA"/>
        </w:rPr>
        <w:t>أمثال ما ذكره،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الزكاة لمحترف</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خرج ما خرج بالوفاق،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يعضدهما أيضا أنّهم كيف يأمرون بإعطاء الآلاف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الالوف لمن عنده مستغلّات عظيمة، أو رأس مال عظيم؛ فإنّ الأحد من بعد الأحد لا يخلو حالهم عن رفع اليد من التجارة و المستغلّ بالمرّة، أو يزيدون عليها مشغولين بالكسب و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منهم عليهم السّلام مذمّة كلّ واحد منهما مذمّة شديدة </w:t>
      </w:r>
      <w:r>
        <w:rPr>
          <w:rStyle w:val="FootnoteAnchor"/>
          <w:rtl w:val="true"/>
        </w:rPr>
        <w:footnoteReference w:id="1514"/>
      </w:r>
      <w:r>
        <w:rPr>
          <w:rFonts w:ascii="Amiri" w:hAnsi="Amiri" w:eastAsia="Amiri" w:cs="Amiri"/>
          <w:color w:val="111111"/>
          <w:sz w:val="28"/>
          <w:sz w:val="28"/>
          <w:szCs w:val="28"/>
          <w:rtl w:val="true"/>
          <w:lang w:bidi="ar-SA"/>
        </w:rPr>
        <w:t>، سيّما الثاني، الذي هو الحرص على تراكم الدنيا و الاشتغال بها و إفناء العمر الذي هو لجمع الآخرة فيها، مع أنّهما ضرّتان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جميع ذلك هذا أشدّ ظلما على الفقراء و المساكين من العبد الذي يشتريه و يعتق، كما سيجي‌ء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أبا عبد اللّه عليه السّلام عنّي السلام و أعلمه أنّه يصيا بني فزع في منامي </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هذه الرواية أنّ شهابا كان تسامح في مراعاة الفقر و غيره ممّا هو سبب لاستحقاق الزكاة،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بالحكم،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جاهلا بالموضوع على ما ورد في صحيحة عبد الرحمن الحجّاج </w:t>
      </w:r>
      <w:r>
        <w:rPr>
          <w:rStyle w:val="FootnoteAnchor"/>
          <w:rtl w:val="true"/>
        </w:rPr>
        <w:footnoteReference w:id="1516"/>
      </w:r>
      <w:r>
        <w:rPr>
          <w:rFonts w:ascii="Amiri" w:hAnsi="Amiri" w:eastAsia="Amiri" w:cs="Amiri"/>
          <w:color w:val="111111"/>
          <w:sz w:val="28"/>
          <w:sz w:val="28"/>
          <w:szCs w:val="28"/>
          <w:rtl w:val="true"/>
          <w:lang w:bidi="ar-SA"/>
        </w:rPr>
        <w:t xml:space="preserve">من كون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من الجاهل بالموضوع؛ لأنّه بعد العلم بالحكم مطلوب منه أن يجتهد في معرفة الموضوع</w:t>
      </w:r>
    </w:p>
    <w:p>
      <w:pPr>
        <w:pStyle w:val="BookText"/>
        <w:rPr/>
      </w:pPr>
      <w:r>
        <w:rPr>
          <w:rFonts w:ascii="Amiri" w:hAnsi="Amiri" w:eastAsia="Amiri" w:cs="Amiri"/>
          <w:color w:val="111111"/>
          <w:sz w:val="28"/>
          <w:sz w:val="28"/>
          <w:szCs w:val="28"/>
          <w:rtl w:val="true"/>
          <w:lang w:bidi="ar-SA"/>
        </w:rPr>
        <w:t>و ليس تقصير شهاب من أنّه كان يعطي زكاته لغير المؤمن؛ لأنّه مع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شهاب من الثقات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يخفى عليه هذا الأمر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الشيعة في زمان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فضلا عن الرجال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يخفى على جميعهم عدم جواز الإعطاء لغير الشيعة، مع أنّه يظهر من بعض الأخبار أنّه كان يعطي أمناء الشيعة حتّى يعطونها الفقراء؟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كان السبب هو هذا كان اللازم على المعصوم عليه السّلام تعليمه عدم جوازه، لأنّه لم يسأل إلّا عن سبب الفزع، و المعصوم صرّح بأنّ السبب عدم وضع الزكاة في موضعها، فكان اللازم عليه أن يعلّمه حينئذ علاج فزعه في النوم و علاج وضع زكاته في موضعها؛ لأنّه لم يكن عارفا بالعلاج، و سأل عن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في مقام الجواب و المعالجة و كيف يكتفي بما ذكره؛ لأنّ الجاهل بالحكم لا طريق له إلى معرفته أصلا بغير الإعلام منهم عليهم السّلام؟ مع أنّه عليه السّلام يعلّم أصحابه الأحكام، سيّما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غاية الظهور أنّ مسامحته كان في الموضوع، و كان عالما بالحكم، و لذا اكتفى بما ذكره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حقيّة قول من قال بأنّ الخطأ في إعطاء الفقير غير معذور مطلقا، كما قال به جماعة </w:t>
      </w:r>
      <w:r>
        <w:rPr>
          <w:rStyle w:val="FootnoteAnchor"/>
          <w:rtl w:val="true"/>
        </w:rPr>
        <w:footnoteReference w:id="1518"/>
      </w:r>
      <w:r>
        <w:rPr>
          <w:rFonts w:ascii="Amiri" w:hAnsi="Amiri" w:eastAsia="Amiri" w:cs="Amiri"/>
          <w:color w:val="111111"/>
          <w:sz w:val="28"/>
          <w:sz w:val="28"/>
          <w:szCs w:val="28"/>
          <w:rtl w:val="true"/>
          <w:lang w:bidi="ar-SA"/>
        </w:rPr>
        <w:t xml:space="preserve">، أو غير معذور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كما قال به آخرون </w:t>
      </w:r>
      <w:r>
        <w:rPr>
          <w:rStyle w:val="FootnoteAnchor"/>
          <w:rtl w:val="true"/>
        </w:rPr>
        <w:footnoteReference w:id="1519"/>
      </w:r>
      <w:r>
        <w:rPr>
          <w:rFonts w:ascii="Amiri" w:hAnsi="Amiri" w:eastAsia="Amiri" w:cs="Amiri"/>
          <w:color w:val="111111"/>
          <w:sz w:val="28"/>
          <w:sz w:val="28"/>
          <w:szCs w:val="28"/>
          <w:rtl w:val="true"/>
          <w:lang w:bidi="ar-SA"/>
        </w:rPr>
        <w:t>، و تكون هذه الصحيحة موافقة لصحيحة ابن أبي عمير، عن الحسين،</w:t>
      </w:r>
      <w:bookmarkStart w:id="591" w:name="pg2470_12683"/>
    </w:p>
    <w:p>
      <w:pPr>
        <w:pStyle w:val="BookText"/>
        <w:rPr/>
      </w:pPr>
      <w:bookmarkEnd w:id="591"/>
      <w:r>
        <w:rPr>
          <w:rFonts w:ascii="Amiri" w:hAnsi="Amiri" w:eastAsia="Amiri" w:cs="Amiri"/>
          <w:color w:val="111111"/>
          <w:sz w:val="28"/>
          <w:sz w:val="28"/>
          <w:szCs w:val="28"/>
          <w:rtl w:val="true"/>
          <w:lang w:bidi="ar-SA"/>
        </w:rPr>
        <w:t xml:space="preserve">عمّن ذكره </w:t>
      </w:r>
      <w:r>
        <w:rPr>
          <w:rStyle w:val="FootnoteAnchor"/>
          <w:rtl w:val="true"/>
        </w:rPr>
        <w:footnoteReference w:id="1520"/>
      </w:r>
      <w:r>
        <w:rPr>
          <w:rFonts w:ascii="Amiri" w:hAnsi="Amiri" w:eastAsia="Amiri" w:cs="Amiri"/>
          <w:color w:val="111111"/>
          <w:sz w:val="28"/>
          <w:sz w:val="28"/>
          <w:szCs w:val="28"/>
          <w:rtl w:val="true"/>
          <w:lang w:bidi="ar-SA"/>
        </w:rPr>
        <w:t xml:space="preserve">، و قد مرّت في الباب السابق، و أنّه معلوم من الآية </w:t>
      </w:r>
      <w:r>
        <w:rPr>
          <w:rStyle w:val="FootnoteAnchor"/>
          <w:rtl w:val="true"/>
        </w:rPr>
        <w:footnoteReference w:id="1521"/>
      </w:r>
      <w:r>
        <w:rPr>
          <w:rFonts w:ascii="Amiri" w:hAnsi="Amiri" w:eastAsia="Amiri" w:cs="Amiri"/>
          <w:color w:val="111111"/>
          <w:sz w:val="28"/>
          <w:sz w:val="28"/>
          <w:szCs w:val="28"/>
          <w:rtl w:val="true"/>
          <w:lang w:bidi="ar-SA"/>
        </w:rPr>
        <w:t xml:space="preserve">و الأخبار المتواترة </w:t>
      </w:r>
      <w:r>
        <w:rPr>
          <w:rStyle w:val="FootnoteAnchor"/>
          <w:rtl w:val="true"/>
        </w:rPr>
        <w:footnoteReference w:id="1522"/>
      </w:r>
      <w:r>
        <w:rPr>
          <w:rFonts w:ascii="Amiri" w:hAnsi="Amiri" w:eastAsia="Amiri" w:cs="Amiri"/>
          <w:color w:val="111111"/>
          <w:sz w:val="28"/>
          <w:sz w:val="28"/>
          <w:szCs w:val="28"/>
          <w:rtl w:val="true"/>
          <w:lang w:bidi="ar-SA"/>
        </w:rPr>
        <w:t>أنّ الزكاة حقّ المؤمن الفقير، و معلوم أنّ المركّب ينتفي بانتفاء الأجزاء، و لذا لم يقل المعصوم عليه السّلام في الجواب أزيد من أنّه لا يضعها في غير موضعها من غير إشارة إلى تعيين أصلا</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601708_3804643083"/>
      <w:bookmarkStart w:id="593" w:name="_Toc222"/>
      <w:bookmarkEnd w:id="592"/>
      <w:r>
        <w:rPr>
          <w:rtl w:val="true"/>
        </w:rPr>
        <w:t>[</w:t>
      </w:r>
      <w:r>
        <w:rPr>
          <w:rtl w:val="true"/>
        </w:rPr>
        <w:t>باب أنّ الزكاة لا تحلّ لبني هاشم إلّا ممّن هو منهم، أو عند الضرورة</w:t>
      </w:r>
      <w:r>
        <w:rPr>
          <w:rtl w:val="true"/>
        </w:rPr>
        <w:t>]</w:t>
      </w:r>
      <w:bookmarkEnd w:id="5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عيص بن القاسم،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اناسا من بني هاشم أتوا رسول اللّه صلّى اللّه عليه و آله و سلم فسألوه أن يستعملهم على صدقات المواشي،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لنا هذا السهم الذي جعله اللّه للعاملين عليها، فنحن أولى به</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الأخبار و أمثالها ظاهرة في كون من حرم عليه الزكاة من هو من أولاد بني هاشم من قبل الأب، لا الامّ فقط</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3601710_3804643083"/>
      <w:bookmarkStart w:id="595" w:name="_Toc223"/>
      <w:bookmarkEnd w:id="594"/>
      <w:r>
        <w:rPr>
          <w:rtl w:val="true"/>
        </w:rPr>
        <w:t>[</w:t>
      </w:r>
      <w:r>
        <w:rPr>
          <w:rtl w:val="true"/>
        </w:rPr>
        <w:t>باب قسمة الزكاة و غيرها</w:t>
      </w:r>
      <w:r>
        <w:rPr>
          <w:rtl w:val="true"/>
        </w:rPr>
        <w:t>]</w:t>
      </w:r>
      <w:bookmarkEnd w:id="59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الفطحيّة، عن أبي عبد اللّه عليه السّلام أنّه سئل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فأغنه</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الأخبار استدلّ المجوّزون لإعطاء الكاسب و صاحب المستغلّ و رأس المال في التجارة، إذا لم يف محصولهم لمئونة سنتهم، ما يفيهم و يزيد عنه، كما هو حال الفقير، و لا دلالة فيها إلّا من جهة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أنّهم تركوا الاستفصال في كيفيّة الإعطاء أنّه هل هو دفعة أو دفعات؟</w:t>
      </w:r>
    </w:p>
    <w:p>
      <w:pPr>
        <w:pStyle w:val="BookText"/>
        <w:rPr/>
      </w:pPr>
      <w:r>
        <w:rPr>
          <w:rFonts w:ascii="Amiri" w:hAnsi="Amiri" w:eastAsia="Amiri" w:cs="Amiri"/>
          <w:color w:val="111111"/>
          <w:sz w:val="28"/>
          <w:sz w:val="28"/>
          <w:szCs w:val="28"/>
          <w:rtl w:val="true"/>
          <w:lang w:bidi="ar-SA"/>
        </w:rPr>
        <w:t>و على الثاني هل حصل لهم مئونة السنة؟ و بعده يعطى أيضا أم لا؟</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المتبادر لمّا كان هو الدفعة لم يستفصلوا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الفقير لم يستفصلوا، و ليس هذا أبعد من الأوّل، سيّما و أن يستدلّ به، بل لعلّه أقوى بملاحظة قولهم عليهم السّلام أغنهم، إذ معناه اجعلهم غنيّين، فلازم ذلك ألا يكونوا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منه لعلّه الفقراء؛ لأنّهم في مقابل الأغنياء، و لعلّ الظاهر منه أنّهم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w:t>
      </w:r>
      <w:r>
        <w:rPr>
          <w:rStyle w:val="FootnoteAnchor"/>
          <w:rtl w:val="true"/>
        </w:rPr>
        <w:footnoteReference w:id="1525"/>
      </w:r>
      <w:r>
        <w:rPr>
          <w:rFonts w:ascii="Amiri" w:hAnsi="Amiri" w:eastAsia="Amiri" w:cs="Amiri"/>
          <w:color w:val="111111"/>
          <w:sz w:val="28"/>
          <w:sz w:val="28"/>
          <w:szCs w:val="28"/>
          <w:rtl w:val="true"/>
          <w:lang w:bidi="ar-SA"/>
        </w:rPr>
        <w:t xml:space="preserve">و كذا الأخبار المتواترة في علّة الزكاة و مستحقّها </w:t>
      </w:r>
      <w:r>
        <w:rPr>
          <w:rStyle w:val="FootnoteAnchor"/>
          <w:rtl w:val="true"/>
        </w:rPr>
        <w:footnoteReference w:id="1526"/>
      </w:r>
      <w:r>
        <w:rPr>
          <w:rFonts w:ascii="Amiri" w:hAnsi="Amiri" w:eastAsia="Amiri" w:cs="Amiri"/>
          <w:color w:val="111111"/>
          <w:sz w:val="28"/>
          <w:sz w:val="28"/>
          <w:szCs w:val="28"/>
          <w:rtl w:val="true"/>
          <w:lang w:bidi="ar-SA"/>
        </w:rPr>
        <w:t>، فهؤلاء المستدلّون صرّحوا بانحصار مصرف الزكاة في الثمانية، و عرّفوا الصنف الذين هم الفقراء بالمعنى الأعمّ من المساكين، فإنّهم الذين لا يملكون مئونة سنتهم، ثمّ ألحقوا بهم من له مستغلّ، و لو كان عظيما، أو رأس مال كذلك لا يفي محصولهم كمال مئونة سنتهم، و إن كانوا محتاجين إلى شي‌ء قليل غاية القلّة للتتمّة من جهة الإجماع و الأخبار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توهّم التدافع بين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من ذلك أن يكون المطلقات في الأخبار شاملة لهم، ألا ترى أنّهم يعرّفون الماء</w:t>
      </w:r>
    </w:p>
    <w:p>
      <w:pPr>
        <w:pStyle w:val="BookText"/>
        <w:rPr/>
      </w:pPr>
      <w:r>
        <w:rPr>
          <w:rFonts w:ascii="Amiri" w:hAnsi="Amiri" w:eastAsia="Amiri" w:cs="Amiri"/>
          <w:color w:val="111111"/>
          <w:sz w:val="28"/>
          <w:sz w:val="28"/>
          <w:szCs w:val="28"/>
          <w:rtl w:val="true"/>
          <w:lang w:bidi="ar-SA"/>
        </w:rPr>
        <w:t xml:space="preserve">الجاري بما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ماء الحمّام من جهة الأخبار أنّ ماء الحمّام مثل الجاري يطهّر بعضه بعضا،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من هذا أنّه لو سأل راو في الرواية عن الجاري و لم يستفصل في جوابهم شمول الجواب لماء الحمّام و مثله أيضا، و لو كان مثل هذا الاستدلال لهم حقّا لزم التدافع،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فرق بين الفتاوى و مدلول الأخبار، و من هذا يعرّفون العقود بما عرّفوا في كتبهم، و لا يجعلون اللفظ الوارد في الأخبار مثل 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مثل الذي ذكرناه ليس بفقير مطلقا بالنسبة إلى القدر الذي يحصل له و غير محتاج جزما، كما أنّهم في الأخبار التي سئلوا عن حال الغنيّ ما استفصلوا، و لم يقولوا بضرره، فكذلك المقام،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كونه أظهر شمولا من الأوّل من أين؟</w:t>
      </w:r>
    </w:p>
    <w:p>
      <w:pPr>
        <w:pStyle w:val="BookText"/>
        <w:rPr/>
      </w:pPr>
      <w:r>
        <w:rPr>
          <w:rFonts w:ascii="Amiri" w:hAnsi="Amiri" w:eastAsia="Amiri" w:cs="Amiri"/>
          <w:color w:val="111111"/>
          <w:sz w:val="28"/>
          <w:sz w:val="28"/>
          <w:szCs w:val="28"/>
          <w:rtl w:val="true"/>
          <w:lang w:bidi="ar-SA"/>
        </w:rPr>
        <w:t>سلّمنا ما يكون ظهور تامّ يكفي في مقام الاستدلال، لعلّه محلّ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لكن كونه أظهر من دلالة صحيحة ابن وهب السابقة </w:t>
      </w:r>
      <w:r>
        <w:rPr>
          <w:rStyle w:val="FootnoteAnchor"/>
          <w:rtl w:val="true"/>
        </w:rPr>
        <w:footnoteReference w:id="1528"/>
      </w:r>
      <w:r>
        <w:rPr>
          <w:rFonts w:ascii="Amiri" w:hAnsi="Amiri" w:eastAsia="Amiri" w:cs="Amiri"/>
          <w:color w:val="111111"/>
          <w:sz w:val="28"/>
          <w:sz w:val="28"/>
          <w:szCs w:val="28"/>
          <w:rtl w:val="true"/>
          <w:lang w:bidi="ar-SA"/>
        </w:rPr>
        <w:t xml:space="preserve">و غيرها من الأخبار من أين؟ بل لا 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الرجل من الزكاة مائة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تغنيه</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يعطى الفاجر إلّا بقدر، و يعطى</w:t>
      </w:r>
      <w:bookmarkStart w:id="596" w:name="pg2470_12686"/>
    </w:p>
    <w:p>
      <w:pPr>
        <w:pStyle w:val="BookText"/>
        <w:rPr/>
      </w:pPr>
      <w:bookmarkEnd w:id="596"/>
      <w:r>
        <w:rPr>
          <w:rFonts w:ascii="Amiri" w:hAnsi="Amiri" w:eastAsia="Amiri" w:cs="Amiri"/>
          <w:color w:val="111111"/>
          <w:sz w:val="28"/>
          <w:sz w:val="28"/>
          <w:szCs w:val="28"/>
          <w:rtl w:val="true"/>
          <w:lang w:bidi="ar-SA"/>
        </w:rPr>
        <w:t xml:space="preserve">المؤمن عشرة آلاف، و روى ما يدلّ عليه، و على العلّة فيه، و هي أنّ المؤمن ينفقه في طاعة اللّه و الفاجر ينفقه في معصيته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3601712_3804643083"/>
      <w:bookmarkStart w:id="598" w:name="_Toc224"/>
      <w:bookmarkEnd w:id="597"/>
      <w:r>
        <w:rPr>
          <w:rtl w:val="true"/>
        </w:rPr>
        <w:t>[</w:t>
      </w:r>
      <w:r>
        <w:rPr>
          <w:rtl w:val="true"/>
        </w:rPr>
        <w:t>باب نقل الزكاة و ضمانها</w:t>
      </w:r>
      <w:r>
        <w:rPr>
          <w:rtl w:val="true"/>
        </w:rPr>
        <w:t>]</w:t>
      </w:r>
      <w:bookmarkEnd w:id="5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لها موضعا، فلم يدفعها إليه، فهو لها ضامن</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هذه الرواية المنع من النقل عند وجدان الموضع؛ لأنّه عليه السّلام جعل المزكّي مثل الوصي، و معلوم أنّه بعد وجدان ربّه يكون عاصيا أيضا إذا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إلى بلد اخر </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يشعر بالبعث لأجل وجدان الشيعة</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3601714_3804643083"/>
      <w:bookmarkStart w:id="600" w:name="_Toc225"/>
      <w:bookmarkEnd w:id="599"/>
      <w:r>
        <w:rPr>
          <w:rtl w:val="true"/>
        </w:rPr>
        <w:t>[</w:t>
      </w:r>
      <w:r>
        <w:rPr>
          <w:rtl w:val="true"/>
        </w:rPr>
        <w:t>باب من يمتنع من أخذ الزكاة</w:t>
      </w:r>
      <w:r>
        <w:rPr>
          <w:rtl w:val="true"/>
        </w:rPr>
        <w:t>]</w:t>
      </w:r>
      <w:bookmarkEnd w:id="6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يستحيي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فاعطيه من الزكاة و لا اسمّي له أنّها من الزكاة؟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 و لا تسمّ له، و لا تذلّ المؤمن</w:t>
      </w:r>
      <w:r>
        <w:rPr>
          <w:rFonts w:eastAsia="IRNazanin" w:cs="IRNazanin"/>
          <w:color w:val="111111"/>
          <w:sz w:val="28"/>
          <w:szCs w:val="28"/>
          <w:rtl w:val="true"/>
          <w:lang w:bidi="fa-IR"/>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الرجل يستحيي عن إظهار كونه زكاة و التصريح به، و يكتفى بالإعطاء ساكتا عن التصريح المذكور، و إن كان الظاهر عنده كونه زكاة،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بالنقدين من الشخص الذي ليس شغله ذلك، و ليس من الأسخياء المتموّلين، من قبيل حاتم أو ال برمك، أو أضعف منهما، بل و ربّما كان ممسكا، كما هو الغالب في المزكّين، و سيّما أن يبعث به إلى الفقير المحتاج، و خصوصا إذا لم يعهد الهديّة منه إليه، سيّما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الاستحياء أمرا مطلوبا شرعا و المؤمن عزيز، قال عليه السّلام ما قال، و أفتى بذلك الأصحاب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ورد في صحيحة محمّد الآتية </w:t>
      </w:r>
      <w:r>
        <w:rPr>
          <w:rStyle w:val="FootnoteAnchor"/>
          <w:rtl w:val="true"/>
        </w:rPr>
        <w:footnoteReference w:id="1535"/>
      </w:r>
      <w:r>
        <w:rPr>
          <w:rFonts w:ascii="Amiri" w:hAnsi="Amiri" w:eastAsia="Amiri" w:cs="Amiri"/>
          <w:color w:val="111111"/>
          <w:sz w:val="28"/>
          <w:sz w:val="28"/>
          <w:szCs w:val="28"/>
          <w:rtl w:val="true"/>
          <w:lang w:bidi="ar-SA"/>
        </w:rPr>
        <w:t>من المنع و التشديد، فمحمول على أنّ الأخذ يستنكف من الأخذ بظنّ كونه زكاة و احتماله أيضا، إلّا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بزكاة فيأخذ حينئذ بالشرط المذكور، و هو عدم كونه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فالمعصوم عليه السّلام منع من ذلك لما فيه من المفاسد، و هي كون ما ذكر كذبا، و الكذب حرام من أشدّ المحرّمات حتّى أنّه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شيعتنا لا يكذبون</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و أيضا ربّما يكون غشّا و تدليسا، و هو أيضا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الإشكال في صحّة كونه زكاة؛ لأنّ الأخذ لا يأخذ إلّا بشرط ألا يكون زكاة، و المعطي أقدم على ذلك و قبل شرطه، و به أعطاه قبولا لشرطه، مصدّقا 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ربّما يتلافى هذا الإحسان، و يتدارك بإهداء عوضه، كما هو الغالب</w:t>
      </w:r>
    </w:p>
    <w:p>
      <w:pPr>
        <w:pStyle w:val="BookText"/>
        <w:rPr/>
      </w:pPr>
      <w:r>
        <w:rPr>
          <w:rFonts w:ascii="Amiri" w:hAnsi="Amiri" w:eastAsia="Amiri" w:cs="Amiri"/>
          <w:color w:val="111111"/>
          <w:sz w:val="28"/>
          <w:sz w:val="28"/>
          <w:szCs w:val="28"/>
          <w:rtl w:val="true"/>
          <w:lang w:bidi="ar-SA"/>
        </w:rPr>
        <w:t>في أمثال هؤلاء، فكيف يأكله؟</w:t>
      </w:r>
    </w:p>
    <w:p>
      <w:pPr>
        <w:pStyle w:val="BookText"/>
        <w:rPr/>
      </w:pPr>
      <w:r>
        <w:rPr>
          <w:rFonts w:ascii="Amiri" w:hAnsi="Amiri" w:eastAsia="Amiri" w:cs="Amiri"/>
          <w:color w:val="111111"/>
          <w:sz w:val="28"/>
          <w:sz w:val="28"/>
          <w:szCs w:val="28"/>
          <w:rtl w:val="true"/>
          <w:lang w:bidi="ar-SA"/>
        </w:rPr>
        <w:t>و مع ذلك إن كان يستحيي عن الزكاة، فتقديم التصريح يكفي له، و إن كان لا يريد أن يأخذ من الخلق شيئا سوى اللّه تعالى، فكيف يأخذ بالتصريح بأنّه ليس بزكاة، و يستنكف عن فريضة اللّه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يرفع حاجته إلّا الأخذ إمّا من الناس بمنّة شديدة، أو من اللّه تعالى بفريضة منه لمثله مقدّرة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جاهلا بهذا المعنى أو غافلا، فلا تغافل كذلك، و اللّه يعلم</w:t>
      </w:r>
      <w:r>
        <w:rPr>
          <w:rFonts w:eastAsia="Amiri" w:cs="Amiri" w:ascii="Amiri" w:hAnsi="Amiri"/>
          <w:color w:val="111111"/>
          <w:sz w:val="28"/>
          <w:szCs w:val="28"/>
          <w:rtl w:val="true"/>
          <w:lang w:bidi="ar-SA"/>
        </w:rPr>
        <w:t>.</w:t>
      </w:r>
      <w:bookmarkStart w:id="601" w:name="pg2470_12689"/>
    </w:p>
    <w:p>
      <w:pPr>
        <w:pStyle w:val="Heading3"/>
        <w:numPr>
          <w:ilvl w:val="2"/>
          <w:numId w:val="1"/>
        </w:numPr>
        <w:rPr/>
      </w:pPr>
      <w:bookmarkStart w:id="602" w:name="__RefHeading___Toc3601716_3804643083"/>
      <w:bookmarkStart w:id="603" w:name="_Toc226"/>
      <w:bookmarkEnd w:id="601"/>
      <w:bookmarkEnd w:id="602"/>
      <w:r>
        <w:rPr>
          <w:rtl w:val="true"/>
        </w:rPr>
        <w:t>[</w:t>
      </w:r>
      <w:r>
        <w:rPr>
          <w:rtl w:val="true"/>
        </w:rPr>
        <w:t>أبواب الخمس و سائر ما يصرف إلى الإمام عليه السّلام</w:t>
      </w:r>
      <w:r>
        <w:rPr>
          <w:rtl w:val="true"/>
        </w:rPr>
        <w:t>]</w:t>
      </w:r>
      <w:bookmarkEnd w:id="603"/>
    </w:p>
    <w:p>
      <w:pPr>
        <w:pStyle w:val="Heading4"/>
        <w:numPr>
          <w:ilvl w:val="3"/>
          <w:numId w:val="1"/>
        </w:numPr>
        <w:rPr/>
      </w:pPr>
      <w:bookmarkStart w:id="604" w:name="__RefHeading___Toc3601718_3804643083"/>
      <w:bookmarkStart w:id="605" w:name="_Toc227"/>
      <w:bookmarkEnd w:id="604"/>
      <w:r>
        <w:rPr>
          <w:rtl w:val="true"/>
        </w:rPr>
        <w:t>[</w:t>
      </w:r>
      <w:r>
        <w:rPr>
          <w:rtl w:val="true"/>
        </w:rPr>
        <w:t>باب غناء الإمام عن أموال الناس و ما له فيها</w:t>
      </w:r>
      <w:r>
        <w:rPr>
          <w:rtl w:val="true"/>
        </w:rPr>
        <w:t>]</w:t>
      </w:r>
      <w:bookmarkEnd w:id="6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لآخذ من أحدكم الدرهم، و إنّي لمن أكثر أهل المدينة مالا، ما اريد بذلك إلّا أن تطهّروا</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يدلّ على وجوب إعطاء الخمس، و إلّا لا يصيرون مطهّرين، و أنّ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Style w:val="FootnoteAnchor"/>
          <w:rtl w:val="true"/>
        </w:rPr>
        <w:footnoteReference w:id="1538"/>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الذين عنى اللّه بذي القربى الذين قرنهم اللّه بنفسه</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ظاهر في الاختصاص فيمن انتسب إليهم من طرف الأب، لا الامّ فقط، فتأمّل</w:t>
      </w:r>
      <w:r>
        <w:rPr>
          <w:rFonts w:eastAsia="Amiri" w:cs="Amiri" w:ascii="Amiri" w:hAnsi="Amiri"/>
          <w:color w:val="111111"/>
          <w:sz w:val="28"/>
          <w:szCs w:val="28"/>
          <w:rtl w:val="true"/>
          <w:lang w:bidi="ar-SA"/>
        </w:rPr>
        <w:t>!</w:t>
      </w:r>
      <w:bookmarkStart w:id="606" w:name="pg2470_12690"/>
    </w:p>
    <w:p>
      <w:pPr>
        <w:pStyle w:val="Heading4"/>
        <w:numPr>
          <w:ilvl w:val="3"/>
          <w:numId w:val="1"/>
        </w:numPr>
        <w:rPr/>
      </w:pPr>
      <w:bookmarkStart w:id="607" w:name="__RefHeading___Toc3601720_3804643083"/>
      <w:bookmarkStart w:id="608" w:name="_Toc228"/>
      <w:bookmarkEnd w:id="606"/>
      <w:bookmarkEnd w:id="607"/>
      <w:r>
        <w:rPr>
          <w:rtl w:val="true"/>
        </w:rPr>
        <w:t>[</w:t>
      </w:r>
      <w:r>
        <w:rPr>
          <w:rtl w:val="true"/>
        </w:rPr>
        <w:t>باب جملة الغنائم و الفوائد و مصارفها</w:t>
      </w:r>
      <w:r>
        <w:rPr>
          <w:rtl w:val="true"/>
        </w:rPr>
        <w:t>]</w:t>
      </w:r>
      <w:bookmarkEnd w:id="608"/>
    </w:p>
    <w:p>
      <w:pPr>
        <w:pStyle w:val="Heading5"/>
        <w:numPr>
          <w:ilvl w:val="4"/>
          <w:numId w:val="1"/>
        </w:numPr>
        <w:rPr/>
      </w:pPr>
      <w:bookmarkStart w:id="609" w:name="__RefHeading___Toc3601722_3804643083"/>
      <w:bookmarkStart w:id="610" w:name="_Toc229"/>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لهم خاصّة من عنده ما يغنيهم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يصيّرهم في موضع الذلّ و المسكنة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ظاهر في وجوب إعطاء الخمس، و أنّه لم يصر حلالا على حسب ما يظهر من بعض الأخبار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الانثى، ليس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بيوتات قريش</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هذا و نحوه على اختصاص الخمس ببني هاشم</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3601724_3804643083"/>
      <w:bookmarkStart w:id="612" w:name="_Toc230"/>
      <w:bookmarkEnd w:id="611"/>
      <w:r>
        <w:rPr>
          <w:rtl w:val="true"/>
        </w:rPr>
        <w:t>[</w:t>
      </w:r>
      <w:r>
        <w:rPr>
          <w:rtl w:val="true"/>
        </w:rPr>
        <w:t>اعتبار الانتساب إلى هاشم بالأب</w:t>
      </w:r>
      <w:r>
        <w:rPr>
          <w:rtl w:val="true"/>
        </w:rPr>
        <w:t>]</w:t>
      </w:r>
      <w:bookmarkEnd w:id="61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للإمام صفو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من هذه الأموال صفوها؛ الجارية الفارهة، و الدابّة الفارهة، و الثوب، و المتاع </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ورد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وعاء لولد الرجل</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 لكن العمدة أنّ الإطلاق ينصرف إلى أولاد الذكور، لا أولاد الإناث كثيرا ما، فإن كان هاشميّا من قبل الأب، أمويّا من قبل الامّ، لا يكون متبادرا من إطلاق لفظ بني اميّة، و كذا العكس لا يتبادر من إطلاق لفظ بني هاشم من كان من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الحسني لا يشمل الحسيني، و بالعكس، مع أنّهما من</w:t>
      </w:r>
    </w:p>
    <w:p>
      <w:pPr>
        <w:pStyle w:val="BookText"/>
        <w:rPr/>
      </w:pPr>
      <w:r>
        <w:rPr>
          <w:rFonts w:ascii="Amiri" w:hAnsi="Amiri" w:eastAsia="Amiri" w:cs="Amiri"/>
          <w:color w:val="111111"/>
          <w:sz w:val="28"/>
          <w:sz w:val="28"/>
          <w:szCs w:val="28"/>
          <w:rtl w:val="true"/>
          <w:lang w:bidi="ar-SA"/>
        </w:rPr>
        <w:t xml:space="preserve">حيث الامّ يكونان بالعكس غالبا، و كذلك الإفرنجي لا يتبادر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 و العجمي و الفارسي لا يتبادر منه علي بن الحسين عليهما السّلام، و قس على ذلك سائر القبائل، مثل بني تميم، و بني طيّ، و بني عديّ و غير ذلك، و إنكار ذلك مكابرة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الإناث أيضا أولاد حقيقة، كما هو الظاهر و الأقرب؛ فإنّ كون الفرد حقيقة لا يستلزم التبادر؛ فإنّ الإنسان الذي له رأسان أو أربعة أيد أو ثلاثة أرجل أو ستّة أصابع إنسان حقيقة، لكن ليس من الأفراد المتبادرة، بل الأنزع و الأغمّ من أفراد الإنسان بلا شبهة، مع أنّ الفقهاء متّفقون على أنّهما يغسلان وجوههما بالنحو الذي يغسل المستوي الخلقة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الأمر في الخروج من الموضع المعتاد في البول و الغائط و الريح، إلى غير ذلك من المسائل الفقهيّة، فإنّ الرجوع فيها إلى الأفراد المتعارفة و المعتادة، حتّى أنّهم لا يجوّزون شراء العبد المريض للوكيل في شراء العبد المطلق، بل المشتري إذا اشترى العبد و ظهر كونه محموما يقولون بخيار الفسخ </w:t>
      </w:r>
      <w:r>
        <w:rPr>
          <w:rStyle w:val="FootnoteAnchor"/>
          <w:rtl w:val="true"/>
        </w:rPr>
        <w:footnoteReference w:id="1546"/>
      </w:r>
      <w:r>
        <w:rPr>
          <w:rFonts w:ascii="Amiri" w:hAnsi="Amiri" w:eastAsia="Amiri" w:cs="Amiri"/>
          <w:color w:val="111111"/>
          <w:sz w:val="28"/>
          <w:sz w:val="28"/>
          <w:szCs w:val="28"/>
          <w:rtl w:val="true"/>
          <w:lang w:bidi="ar-SA"/>
        </w:rPr>
        <w:t>لأنّ المتبادر العبد غير المحموم،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يضرّ ذلك أنّ الحسنين عليهما السّلام و غيرهما من الأئمّة عليهم السّلام، و سائر أولاد فاطمة عليها السّلام أولاد الرسول صلّى اللّه عليه و آله و سلم حقيقة، كما يظهر من أخبار كثيرة </w:t>
      </w:r>
      <w:r>
        <w:rPr>
          <w:rStyle w:val="FootnoteAnchor"/>
          <w:rtl w:val="true"/>
        </w:rPr>
        <w:footnoteReference w:id="1547"/>
      </w:r>
      <w:r>
        <w:rPr>
          <w:rFonts w:ascii="Amiri" w:hAnsi="Amiri" w:eastAsia="Amiri" w:cs="Amiri"/>
          <w:color w:val="111111"/>
          <w:sz w:val="28"/>
          <w:sz w:val="28"/>
          <w:szCs w:val="28"/>
          <w:rtl w:val="true"/>
          <w:lang w:bidi="ar-SA"/>
        </w:rPr>
        <w:t>لما عرفت من أنّ ولد بنت الرجل ولده حقيقة، كولد ابنه، و إن كان المتبادر من الإطلاق هو الولد بغير واسطة، لا بالواسطة و إن كان ولد ابن الرجل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التبادر أيضا في الحسنين و الأئمّة عليهم السّلام، و غيرهم من أولادهم موجود، بل</w:t>
      </w:r>
    </w:p>
    <w:p>
      <w:pPr>
        <w:pStyle w:val="BookText"/>
        <w:rPr/>
      </w:pPr>
      <w:r>
        <w:rPr>
          <w:rFonts w:ascii="Amiri" w:hAnsi="Amiri" w:eastAsia="Amiri" w:cs="Amiri"/>
          <w:color w:val="111111"/>
          <w:sz w:val="28"/>
          <w:sz w:val="28"/>
          <w:szCs w:val="28"/>
          <w:rtl w:val="true"/>
          <w:lang w:bidi="ar-SA"/>
        </w:rPr>
        <w:t>لا يتبادر غيرهم؛ لفقد غيرهم، و الشيوع و الذيوع فيهم، بل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منه صلّى اللّه عليه و آله و سلم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نسل كلّ نبيّ في ظهره، و جعل نسلي في ظهر عليّ عليه السّلام</w:t>
      </w:r>
      <w:r>
        <w:rPr>
          <w:rFonts w:eastAsia="Amiri" w:cs="Amiri" w:ascii="Amiri" w:hAnsi="Amiri"/>
          <w:color w:val="111111"/>
          <w:sz w:val="28"/>
          <w:szCs w:val="28"/>
          <w:rtl w:val="true"/>
          <w:lang w:bidi="ar-SA"/>
        </w:rPr>
        <w:t xml:space="preserve">» </w:t>
      </w:r>
      <w:r>
        <w:rPr>
          <w:rStyle w:val="FootnoteAnchor"/>
          <w:rtl w:val="true"/>
        </w:rPr>
        <w:footnoteReference w:id="1548"/>
      </w:r>
      <w:r>
        <w:rPr>
          <w:rFonts w:ascii="Amiri" w:hAnsi="Amiri" w:eastAsia="Amiri" w:cs="Amiri"/>
          <w:color w:val="111111"/>
          <w:sz w:val="28"/>
          <w:sz w:val="28"/>
          <w:szCs w:val="28"/>
          <w:rtl w:val="true"/>
          <w:lang w:bidi="ar-SA"/>
        </w:rPr>
        <w:t xml:space="preserve">، و الحديث رواه العامّة، و لم أظفر به من طرق الشيعة، و إن احتمل وجوده </w:t>
      </w:r>
      <w:r>
        <w:rPr>
          <w:rStyle w:val="FootnoteAnchor"/>
          <w:rtl w:val="true"/>
        </w:rPr>
        <w:footnoteReference w:id="1549"/>
      </w:r>
      <w:r>
        <w:rPr>
          <w:rFonts w:ascii="Amiri" w:hAnsi="Amiri" w:eastAsia="Amiri" w:cs="Amiri"/>
          <w:color w:val="111111"/>
          <w:sz w:val="28"/>
          <w:sz w:val="28"/>
          <w:szCs w:val="28"/>
          <w:rtl w:val="true"/>
          <w:lang w:bidi="ar-SA"/>
        </w:rPr>
        <w:t xml:space="preserve">، إلّا أنّه لا يجي‌ء ببالي أنّي اطّلعت عليه من طرقهم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 فقد وقع منهم التأمّل في خروج أولاد عليّ عليه السّلام من غير فاطمة عليها السّلام من نسل الرسول صلّى اللّه عليه و آله و سلم، من جهة ظاهر هذا الحديث، لأنّ ظهر عليّ عليه السّلام عامّ يشمل الكلّ، مع احتمال كون المراد خصوص أولاد فاطمة عليها السّلام من جهة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الفرق بين لفظ ولد الرجل، و أولاده، و بني فلان، بأنّ الأوّل حقيقة في الولد بغير الواسطة، ذكرا كان أو انثى من جهة صحّة السلب عرفا؛ إذ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ولده بل ولد ولده، بل الظاهر صحّته في الأولاد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أولاده، بل أولاد أولاده، بل يمكن دعواها في مثل بني زيد، و بني اميّة، و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على الإطلاق علامة عدم الحقيقة، لا على التقييد و لا يصحّ أن يقال في 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ليس بأولاد فلان على الإطلاق و بعنوانه، بل يصحّ أن يقال ليسوا بأولاده، بل هم أولاد أولاده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أنّ المراد سلب الأولاديّة بغير واسطة، لا مطلق الأولاديّة؛ فإنّ المطلق ربّما ينصرف إلى الفرد الشائع، و الكامل، كما هو مسلّم، فربّما يصحّ سلب</w:t>
      </w:r>
    </w:p>
    <w:p>
      <w:pPr>
        <w:pStyle w:val="BookText"/>
        <w:rPr/>
      </w:pPr>
      <w:r>
        <w:rPr>
          <w:rFonts w:ascii="Amiri" w:hAnsi="Amiri" w:eastAsia="Amiri" w:cs="Amiri"/>
          <w:color w:val="111111"/>
          <w:sz w:val="28"/>
          <w:sz w:val="28"/>
          <w:szCs w:val="28"/>
          <w:rtl w:val="true"/>
          <w:lang w:bidi="ar-SA"/>
        </w:rPr>
        <w:t>المقيّد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سلب المطلق، ففي ولد الولد أيضا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ولده و يسكت، فلاحظ استعمالات العرف، و تأمّل جدّا تجد المتبادر من مثل بني هاشم أو بني اميّة و الحسيني، و أولاد الحسنين عليهما السّلام، و أمثالها أولاد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عليه هذا الخبر </w:t>
      </w:r>
      <w:r>
        <w:rPr>
          <w:rStyle w:val="FootnoteAnchor"/>
          <w:rtl w:val="true"/>
        </w:rPr>
        <w:footnoteReference w:id="1550"/>
      </w:r>
      <w:r>
        <w:rPr>
          <w:rFonts w:ascii="Amiri" w:hAnsi="Amiri" w:eastAsia="Amiri" w:cs="Amiri"/>
          <w:color w:val="111111"/>
          <w:sz w:val="28"/>
          <w:sz w:val="28"/>
          <w:szCs w:val="28"/>
          <w:rtl w:val="true"/>
          <w:lang w:bidi="ar-SA"/>
        </w:rPr>
        <w:t xml:space="preserve">، و أنّه ادْعُوهُمْ لِابٰائِهِمْ </w:t>
      </w:r>
      <w:r>
        <w:rPr>
          <w:rStyle w:val="FootnoteAnchor"/>
          <w:rtl w:val="true"/>
        </w:rPr>
        <w:footnoteReference w:id="1551"/>
      </w:r>
      <w:r>
        <w:rPr>
          <w:rFonts w:ascii="Amiri" w:hAnsi="Amiri" w:eastAsia="Amiri" w:cs="Amiri"/>
          <w:color w:val="111111"/>
          <w:sz w:val="28"/>
          <w:sz w:val="28"/>
          <w:szCs w:val="28"/>
          <w:rtl w:val="true"/>
          <w:lang w:bidi="ar-SA"/>
        </w:rPr>
        <w:t xml:space="preserve">و غير ذلك، و اتّفق الفحول عليه، إلّا السيّد رحمه اللّه </w:t>
      </w:r>
      <w:r>
        <w:rPr>
          <w:rStyle w:val="FootnoteAnchor"/>
          <w:rtl w:val="true"/>
        </w:rPr>
        <w:footnoteReference w:id="1552"/>
      </w:r>
      <w:r>
        <w:rPr>
          <w:rFonts w:ascii="Amiri" w:hAnsi="Amiri" w:eastAsia="Amiri" w:cs="Amiri"/>
          <w:color w:val="111111"/>
          <w:sz w:val="28"/>
          <w:sz w:val="28"/>
          <w:szCs w:val="28"/>
          <w:rtl w:val="true"/>
          <w:lang w:bidi="ar-SA"/>
        </w:rPr>
        <w:t>لشبهة عدم الفرق بين كون الفرد حقيقيّا و كونه متبادرا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لغافلة بعض العلماء </w:t>
      </w:r>
      <w:r>
        <w:rPr>
          <w:rStyle w:val="FootnoteAnchor"/>
          <w:rtl w:val="true"/>
        </w:rPr>
        <w:footnoteReference w:id="1553"/>
      </w:r>
      <w:r>
        <w:rPr>
          <w:rFonts w:ascii="Amiri" w:hAnsi="Amiri" w:eastAsia="Amiri" w:cs="Amiri"/>
          <w:color w:val="111111"/>
          <w:sz w:val="28"/>
          <w:sz w:val="28"/>
          <w:szCs w:val="28"/>
          <w:rtl w:val="true"/>
          <w:lang w:bidi="ar-SA"/>
        </w:rPr>
        <w:t>في أمثال زماننا، و متابعة السيّد بعد وضوح القواعد 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الرواية منجبرة بعمل المعظم و فتواهم، بل الظاهر تحقّق الإجماع الواقعي؛ لأنّ الخمس ممّا يعمّ به البلوى، فلو كان حقّا لأولاد البنات و أولاد أولادهم و هكذا، لشاع و اشتهر اشتهار الشمس، على قياس اشتهار نفس الخمس؛ فإنّ الخمس بلا مصرف معيّن لا يكون، فلو كان هؤلاء أيضا مستحقّيه لكانوا يعطونهم و يأخذوا في عرض مدّة ثلاث مائة سنة تقريبا، و يفتون كذلك، و يحكمون بوجوب إيصال الحقّ إلى المستحقّ، و كون التقصير في ذلك حراما، و الرسول صلّى اللّه عليه و آله و سلم و الأئمّة عليهم السّلام كانوا يسعون في إبلاغ الأحكام، و إيصال الحقوق إلى المستحقّين، و العلماء أيضا كانوا كذلك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الفقر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يسعون، بل لحصول</w:t>
      </w:r>
    </w:p>
    <w:p>
      <w:pPr>
        <w:pStyle w:val="BookText"/>
        <w:rPr/>
      </w:pPr>
      <w:r>
        <w:rPr>
          <w:rFonts w:ascii="Amiri" w:hAnsi="Amiri" w:eastAsia="Amiri" w:cs="Amiri"/>
          <w:color w:val="111111"/>
          <w:sz w:val="28"/>
          <w:sz w:val="28"/>
          <w:szCs w:val="28"/>
          <w:rtl w:val="true"/>
          <w:lang w:bidi="ar-SA"/>
        </w:rPr>
        <w:t>الشرافة و إخراج النفس عن الدناءة و الخساسة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للسعي بالنسبة إلى طائفة دون طائفة، و محروميّة طائفة دون طائفة، مع أنّ الأمر صار بالعكس؛ فإنّ الكلّ بناؤهم كان على أنّ المستحقّ خصوص من انتسب بالأب، و أجمعوا على ذلك إلى زمان السيّد المرتضى رحمه اللّه </w:t>
      </w:r>
      <w:r>
        <w:rPr>
          <w:rStyle w:val="FootnoteAnchor"/>
          <w:rtl w:val="true"/>
        </w:rPr>
        <w:footnoteReference w:id="1554"/>
      </w:r>
      <w:r>
        <w:rPr>
          <w:rFonts w:ascii="Amiri" w:hAnsi="Amiri" w:eastAsia="Amiri" w:cs="Amiri"/>
          <w:color w:val="111111"/>
          <w:sz w:val="28"/>
          <w:sz w:val="28"/>
          <w:szCs w:val="28"/>
          <w:rtl w:val="true"/>
          <w:lang w:bidi="ar-SA"/>
        </w:rPr>
        <w:t>، و في زمانه أيضا اتّفقوا على ذلك، و كذا بعد زمانه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السيّد بخصوصه وقع في اشتباه ظاهر، كما عرفت، و خروجه عن الإجماع غير مضر إجماعا، كما اقتضاه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يعضد الرواية المذكورة تتبّع تضاعيف مصارف الزكاة من الفقراء و المساكين و غيرهما؛ إذ يظهر منها ظهورا تامّا كون هذه الجماعة أيضا من جملة الفقراء و المساكين المحتاجين، من غير تفاوت بينهم و بين غيرهم، و كذا باقي الأصناف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الغارمين، و ابن السبيل، و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تتبّع تضاعيف مستحقّ الخمس و من جعله اللّه له، فإنّه ليس بذلك الظهور، بل و لا ظهور، بل و ربّما كان الظاهر منها خلافه، كما لا يخفى على المتتبّع المتأمّل، مع أنّه يظهر من كثير منها كونه حقّ الأئمّة عليهم السّلام </w:t>
      </w:r>
      <w:r>
        <w:rPr>
          <w:rStyle w:val="FootnoteAnchor"/>
          <w:rtl w:val="true"/>
        </w:rPr>
        <w:footnoteReference w:id="1555"/>
      </w:r>
      <w:r>
        <w:rPr>
          <w:rFonts w:ascii="Amiri" w:hAnsi="Amiri" w:eastAsia="Amiri" w:cs="Amiri"/>
          <w:color w:val="111111"/>
          <w:sz w:val="28"/>
          <w:sz w:val="28"/>
          <w:szCs w:val="28"/>
          <w:rtl w:val="true"/>
          <w:lang w:bidi="ar-SA"/>
        </w:rPr>
        <w:t>، خرج ما خرج و بقي الباقي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يعضدها أيضا الاصول، مثل أصالة عدم كون هؤلاء من المستحقّين، و عدم اشتغال ذمّة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المالك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هؤلاء، و عدم اشتراكهم مع المنسوبين من قبل الأب، و إنّ شغل الذمّة اليقيني يستدعي البراءة اليقينيّة، و هي منحصرة في إعطاء المنتسب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بنت الهاشمي ولده حقيقة لا ينفي كونه ولد أبيه أيضا حقيقة بلا شبهة، بل الثاني بديهي، و الأوّل ثبت من الدليل، و الثاني بغير واسطة و الأوّل بواسطة البنت، و الأب يقدّم على الامّ عند التقاوم،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الحسنين عليهما السّلام كما كانا ابني رسول اللّه صلّى اللّه عليه و آله و سلم، كانا أيضا ابني عليّ عليه السّلام بالبديهة، و كذلك الحال في كلّ منتسب إلى هاشم من طرف الامّ دون الأب؛ فإنّه ابن أبيه بالبديهة؛ و ليس من قبيل ولد الملاعنة و ولد الزنا من طرف الأب فقط، بل نسب أبيه باق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بين حكمي النسبين تضادّ و تناف فلا إشكال، كما في تحريم النكاح و استحقاق الإرث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فترجيح طرف نسب الامّ على نسب الأب من دون مرجّح؛ فاسد بالبديهة؛ فإنّ المستفاد من النصوص و الإجماع أنّ مستحقّ الخمس هو الهاشمي، و مستحقّ الزكاة ليس بهاشمي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ولد البنت خاصّة ولدا حقيقيّا، لا جرم يكون ولد بنت غير الهاشمي غير هاشمي حقيقة؛ لعدم اختصاص ما ذكر بخصوص الهاشمي بالنظر إلى الأدلّة،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أن يكون الذي أبوه هاشميّا و أمّه غير هاشميّة يحرم عليه الخمس و يحلّ له الزكاة، بعين ما قاله القائل في طرف الهاشمي و مستحقّ الخمس، و هذا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يتحاشى عنه؛ لأنّه خلاف بديهي المذهب، بل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بأنّه يحلّ عليه الخمس أيضا، فهو خلاف النصوص و الإجماع، و مع ذلك لم لا يقول بذلك فيمن أمّه هاشميّة خاصّة؟ لعدم الفرق بالبديهة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التقاوم يقدّم نسب الأب على نسب الامّ؛ لوجوه كثيرة تقتضي ذلك، فيلزمه القول بذلك فيمن انتسب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بهاشم أيضا؛ لاشتراك</w:t>
      </w:r>
    </w:p>
    <w:p>
      <w:pPr>
        <w:pStyle w:val="BookText"/>
        <w:rPr/>
      </w:pPr>
      <w:r>
        <w:rPr>
          <w:rFonts w:ascii="Amiri" w:hAnsi="Amiri" w:eastAsia="Amiri" w:cs="Amiri"/>
          <w:color w:val="111111"/>
          <w:sz w:val="28"/>
          <w:sz w:val="28"/>
          <w:szCs w:val="28"/>
          <w:rtl w:val="true"/>
          <w:lang w:bidi="ar-SA"/>
        </w:rPr>
        <w:t>الوجوه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مجرّد كون نسب الامّ فيما ذكر حقيقة لا ينفع المرتضى أصلا، إلّا أن يقول بانتفاء النسب من طرف الأب حينئذ، كولد الملاعنة، أو يقول بمغلوبيّة نسب الأب و غالبيّة النسب من طرف الامّ، كما هو الحال في صورة العكس من أنّ نسب الأب يصير غالبا و معتبرا شرعا على النسب من طرف الامّ فيما كان الأب هاشميّا خاصّة،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فاسد بالبديهة، فيلزمه القول بمغلوبيّة النسب من قبل الامّ في جنب نسب الأب، كما عليه غيره من جميع الفقهاء رحمهم اللّه، و لا محيص 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وجوه تقديم نسب الأب،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إذا كان هاشميّا فهو مقدّم بالبديهة، من دون تفاوت بين كون الامّ هاشميّة أو غير هاشميّة، مملوكة، أو يهوديّة، أو مجوسيّة، أو مشركة إن كان الوطء عن شبهة،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الإطلاقات تنصرف إلى المنسوب من قبل الأب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المذكورة المنجبرة بظاهر القرآن، و هو قوله تعالى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ادْعُوهُمْ لِابٰائِهِمْ هُوَ أَقْسَطُ عِنْدَ اللّٰهِ فَإِنْ لَمْ تَعْلَمُوا </w:t>
      </w:r>
      <w:r>
        <w:rPr>
          <w:rStyle w:val="FootnoteAnchor"/>
          <w:rtl w:val="true"/>
        </w:rPr>
        <w:footnoteReference w:id="1556"/>
      </w:r>
      <w:r>
        <w:rPr>
          <w:rFonts w:ascii="Amiri" w:hAnsi="Amiri" w:eastAsia="Amiri" w:cs="Amiri"/>
          <w:color w:val="111111"/>
          <w:sz w:val="28"/>
          <w:sz w:val="28"/>
          <w:szCs w:val="28"/>
          <w:rtl w:val="true"/>
          <w:lang w:bidi="ar-SA"/>
        </w:rPr>
        <w:t xml:space="preserve">الآية، و بظواهر الأخبار المتواترة </w:t>
      </w:r>
      <w:r>
        <w:rPr>
          <w:rStyle w:val="FootnoteAnchor"/>
          <w:rtl w:val="true"/>
        </w:rPr>
        <w:footnoteReference w:id="1557"/>
      </w:r>
      <w:r>
        <w:rPr>
          <w:rFonts w:ascii="Amiri" w:hAnsi="Amiri" w:eastAsia="Amiri" w:cs="Amiri"/>
          <w:color w:val="111111"/>
          <w:sz w:val="28"/>
          <w:sz w:val="28"/>
          <w:szCs w:val="28"/>
          <w:rtl w:val="true"/>
          <w:lang w:bidi="ar-SA"/>
        </w:rPr>
        <w:t>الواردة في مستحقّ الزكاة بعد الآية؛ لظهور شمولها للمقام، بخلاف الأخبار الواردة في مستحقّ الخمس؛ لعدم ظهور شمولها، بل ظهور العدم، كما لا يخفى على الفطن المتأمّل، كما عرفت، و بالشهرة العظيمة، بل الإجماع، و غيره أيضا، كما عرفت</w:t>
      </w:r>
      <w:r>
        <w:rPr>
          <w:rFonts w:eastAsia="Amiri" w:cs="Amiri" w:ascii="Amiri" w:hAnsi="Amiri"/>
          <w:color w:val="111111"/>
          <w:sz w:val="28"/>
          <w:szCs w:val="28"/>
          <w:rtl w:val="true"/>
          <w:lang w:bidi="ar-SA"/>
        </w:rPr>
        <w:t>.</w:t>
      </w:r>
      <w:bookmarkStart w:id="613" w:name="pg2470_12697"/>
    </w:p>
    <w:p>
      <w:pPr>
        <w:pStyle w:val="BookText"/>
        <w:rPr/>
      </w:pPr>
      <w:bookmarkEnd w:id="613"/>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في نظائر المقام في الشرعيّات مثل الإرث و نحوه، و الولاية على الصغير و المجنون و السفيه منه و من أبيه أيضا، بخلاف الامّ و آبائها، و نفقة الولد و كسوته و الرضاع؛ فإنّه على الأب، حتّى أنّ للامّ أن تأخذ الاجرة، و للأب أن يعزلها عنه في الصور المعروفة، و نفقة الحامل، و في القتل و الجناية، و كون الولد بعد الحضانة للأب،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الأب هو الأصل عرفا و عقلا،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اصلم پدر است، كه مادرم رهگذر است</w:t>
      </w:r>
      <w:r>
        <w:rPr>
          <w:rFonts w:eastAsia="IRNazanin" w:cs="IRNazanin"/>
          <w:color w:val="111111"/>
          <w:sz w:val="28"/>
          <w:szCs w:val="28"/>
          <w:rtl w:val="true"/>
          <w:lang w:bidi="fa-IR"/>
        </w:rPr>
        <w:t xml:space="preserve">) </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 المسلّمة عندهم، بالعربيّة و الفارسيّة أو غيرهما، و من الشعر المشهور المسلّم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 بناتنا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الأباعد</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حتّى أنّهم ينسبون ولد الزنا أيضا إلى أبيه؛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نطفة الرجل تتربّى في رحم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التربية بمزج مائها و دم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الحبوب المزروعة، و البيض المحض و غيرهما،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لا بدّ في تصرّفاتها في الولد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الأب، مع أنّ الذكر مقدّم على الانثى مطلقا، حتّى أنّ الانثى نصف الذكر شهادة، و إرثا،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أسباب التقديم كثيرة</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601726_3804643083"/>
      <w:bookmarkStart w:id="615" w:name="_Toc231"/>
      <w:bookmarkEnd w:id="614"/>
      <w:r>
        <w:rPr>
          <w:rtl w:val="true"/>
        </w:rPr>
        <w:t>[</w:t>
      </w:r>
      <w:r>
        <w:rPr>
          <w:rtl w:val="true"/>
        </w:rPr>
        <w:t>باب ما فيه الخمس من الأموال و ما ليس فيه</w:t>
      </w:r>
      <w:r>
        <w:rPr>
          <w:rtl w:val="true"/>
        </w:rPr>
        <w:t>]</w:t>
      </w:r>
      <w:bookmarkEnd w:id="61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تمنّ عليّ ببيان ذلك، لكي لا أكون مقيما على حرام لا صلاة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صوم </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ظاهر في وجوب إعطاء الخمس، و أنّه لو لم يعط لم يكن له صلاة و لا صوم؛ لأنّ المعصوم عليه السّلام قرّر الراوي على معتقده، و 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أحللناه، و لكن أمر اساومكم، بل لو كان كذلك كان الراوي يطّلع على ذلك فلم يسأل كما سأل، أو أنّه كان يعرف مرادهم عليهم السّلام من التحليل أنّه بالنسبة إلى من؟ و في أيّ شي‌ء؟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الرواية، مع الروايات السابقة عليها مع 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صحتها دالة على وجوب إعطاء الخمس، و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سقوط الخمس، و كذا الروايات الآتية، فلعلّ ما ورد من التحليل و الإسقاط إنّما هو لجمع خاصّ، أو وقت خاصّ على ما يشير إلى ذلك بعض الأخبار،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أنصفناكم لو كلّفناكم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 أو إيماء بالنسبة إلى بعض الأشياء، مثل المناكح، و المساكن </w:t>
      </w:r>
      <w:r>
        <w:rPr>
          <w:rStyle w:val="FootnoteAnchor"/>
          <w:rtl w:val="true"/>
        </w:rPr>
        <w:footnoteReference w:id="1564"/>
      </w:r>
      <w:r>
        <w:rPr>
          <w:rFonts w:ascii="Amiri" w:hAnsi="Amiri" w:eastAsia="Amiri" w:cs="Amiri"/>
          <w:color w:val="111111"/>
          <w:sz w:val="28"/>
          <w:sz w:val="28"/>
          <w:szCs w:val="28"/>
          <w:rtl w:val="true"/>
          <w:lang w:bidi="ar-SA"/>
        </w:rPr>
        <w:t>، و الأظهر ذلك، و 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الأخبار في عدم السقوط،</w:t>
      </w:r>
    </w:p>
    <w:p>
      <w:pPr>
        <w:pStyle w:val="BookText"/>
        <w:rPr/>
      </w:pPr>
      <w:r>
        <w:rPr>
          <w:rFonts w:ascii="IRNazanin" w:hAnsi="IRNazanin" w:eastAsia="IRNazanin"/>
          <w:color w:val="111111"/>
          <w:sz w:val="28"/>
          <w:sz w:val="28"/>
          <w:szCs w:val="28"/>
          <w:rtl w:val="true"/>
          <w:lang w:bidi="fa-IR"/>
        </w:rPr>
        <w:t>و وجوب الإعطاء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يعضده ما ورد في غير واحد من الأخبار أنّه عوض الزكاة للمستحقّين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العوض و المعوّض عنه، و بقائهم في الاضطرار و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أشرف الخلق، و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حقوقا و تعظيما و تكريما، و خروج سائر الناس عن الفقر و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ما ورد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أحدهم يثب على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عليهم السّلام و أيتامهم و مساكينهم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أبناء سبيلهم،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مصرف الخمس المذكور فيه هو المصرف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الزكاة </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w:t>
      </w:r>
      <w:r>
        <w:rPr>
          <w:rStyle w:val="FootnoteAnchor"/>
          <w:rtl w:val="true"/>
        </w:rPr>
        <w:footnoteReference w:id="1568"/>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أبي عمير، عن غير واحد،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 المعادن، و الغوص، و الغنيمة، و نسي ابن أبي عمير الخامس،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الذي نسيه هو المال الذي يعلم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 الحرام و لا يعرف أصحاب الحرام فيؤدّيه إليهم، و لا</w:t>
      </w:r>
    </w:p>
    <w:p>
      <w:pPr>
        <w:pStyle w:val="BookText"/>
        <w:rPr/>
      </w:pPr>
      <w:r>
        <w:rPr>
          <w:rFonts w:ascii="Amiri" w:hAnsi="Amiri" w:eastAsia="Amiri" w:cs="Amiri"/>
          <w:color w:val="111111"/>
          <w:sz w:val="28"/>
          <w:sz w:val="28"/>
          <w:szCs w:val="28"/>
          <w:rtl w:val="true"/>
          <w:lang w:bidi="ar-SA"/>
        </w:rPr>
        <w:t>يعرف الحرام بعينه فيجتنبه، فيخرج منه الخمس</w:t>
      </w:r>
      <w:r>
        <w:rPr>
          <w:rFonts w:eastAsia="Amiri" w:cs="Amiri" w:ascii="Amiri" w:hAnsi="Amiri"/>
          <w:color w:val="111111"/>
          <w:sz w:val="28"/>
          <w:szCs w:val="28"/>
          <w:rtl w:val="true"/>
          <w:lang w:bidi="ar-SA"/>
        </w:rPr>
        <w:t xml:space="preserve">» </w:t>
      </w:r>
      <w:r>
        <w:rPr>
          <w:rStyle w:val="FootnoteAnchor"/>
          <w:rtl w:val="true"/>
        </w:rPr>
        <w:footnoteReference w:id="15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الذي ذكره المصنّف لم يفت به أحد من الفقهاء بعنوان خصوص الخمس، مع أنّ الخمس لا دخل له فيه، مع أنّهم عليهم السّلام كيف كانوا يأمرون بالخمس، و ما كانوا يعيّنون المصرف، مع أنّ كثيرا ممّا يجب فيه الخمس المعهود لم يرو فيه أزيد من أنّه يجب فيه الخمس، من دون إشارة إلى المصرف أصلا، و ليس إلّا من جهة معروفيّة مصرف الخمس عند الشيعة، كما لا يخفى على الماهر الملاحظ في الأخبار،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فهم المعظم من الفقهاء يكفي، كما هو الحال في غير المقام،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إذ التصدّق لا يكون إلّا بالكلّ، أو الاحتياط، أو القدر اليقيني،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أنّ التصدّق لا يحلّ لبني هاشم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كثير من الأخبار </w:t>
      </w:r>
      <w:r>
        <w:rPr>
          <w:rStyle w:val="FootnoteAnchor"/>
          <w:rtl w:val="true"/>
        </w:rPr>
        <w:footnoteReference w:id="1573"/>
      </w:r>
      <w:r>
        <w:rPr>
          <w:rFonts w:ascii="Amiri" w:hAnsi="Amiri" w:eastAsia="Amiri" w:cs="Amiri"/>
          <w:color w:val="111111"/>
          <w:sz w:val="28"/>
          <w:sz w:val="28"/>
          <w:szCs w:val="28"/>
          <w:rtl w:val="true"/>
          <w:lang w:bidi="ar-SA"/>
        </w:rPr>
        <w:t>دخول الخمس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w:t>
      </w:r>
      <w:r>
        <w:rPr>
          <w:rStyle w:val="FootnoteAnchor"/>
          <w:rtl w:val="true"/>
        </w:rPr>
        <w:footnoteReference w:id="157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لفظ التصدّق هنا مقرون بلفظ الخمس</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و عليّ بن محمّد </w:t>
      </w:r>
      <w:r>
        <w:rPr>
          <w:rStyle w:val="FootnoteAnchor"/>
          <w:rtl w:val="true"/>
        </w:rPr>
        <w:footnoteReference w:id="1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bookmarkStart w:id="616" w:name="pg2470_12701"/>
    </w:p>
    <w:p>
      <w:pPr>
        <w:pStyle w:val="BookText"/>
        <w:rPr/>
      </w:pPr>
      <w:bookmarkEnd w:id="616"/>
      <w:r>
        <w:rPr>
          <w:rFonts w:ascii="Amiri" w:hAnsi="Amiri" w:eastAsia="Amiri" w:cs="Amiri"/>
          <w:color w:val="111111"/>
          <w:sz w:val="28"/>
          <w:sz w:val="28"/>
          <w:szCs w:val="28"/>
          <w:rtl w:val="true"/>
          <w:lang w:bidi="ar-SA"/>
        </w:rPr>
        <w:t xml:space="preserve">ربّما يظهر من هذه الرواية وجوب الخمس في الهبة، لكن الدلالة ضعيفة، مع معارضتها لظاهر الأخبار الواردة في الهبة، و كذا طريقة الشيعة في الأعصار، و سيجي‌ء في رواية عليّ بن مهزيار </w:t>
      </w:r>
      <w:r>
        <w:rPr>
          <w:rStyle w:val="FootnoteAnchor"/>
          <w:rtl w:val="true"/>
        </w:rPr>
        <w:footnoteReference w:id="1576"/>
      </w:r>
      <w:r>
        <w:rPr>
          <w:rFonts w:ascii="Amiri" w:hAnsi="Amiri" w:eastAsia="Amiri" w:cs="Amiri"/>
          <w:color w:val="111111"/>
          <w:sz w:val="28"/>
          <w:sz w:val="28"/>
          <w:szCs w:val="28"/>
          <w:rtl w:val="true"/>
          <w:lang w:bidi="ar-SA"/>
        </w:rPr>
        <w:t>أنّ الخمس في الجائزة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الكلام في الهبة الكلام في الميراث، و قال أبو الصلاح بالوجوب </w:t>
      </w:r>
      <w:r>
        <w:rPr>
          <w:rStyle w:val="FootnoteAnchor"/>
          <w:rtl w:val="true"/>
        </w:rPr>
        <w:footnoteReference w:id="1577"/>
      </w:r>
      <w:r>
        <w:rPr>
          <w:rFonts w:ascii="IRNazanin" w:hAnsi="IRNazanin" w:eastAsia="IRNazanin"/>
          <w:color w:val="111111"/>
          <w:sz w:val="28"/>
          <w:sz w:val="28"/>
          <w:szCs w:val="28"/>
          <w:rtl w:val="true"/>
          <w:lang w:bidi="fa-IR"/>
        </w:rPr>
        <w:t>، و لعلّ الأظهر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الاحتمال فاسد؛ لأنّه لم يفت به أحد من المتقدّمين و المتأخّرين، مع أنّه 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إشارة أصلا إلى مصرفه، و إلى كونه العشرين؟ مع أنّ لفظ الخمس ينصرف عند الشيعة إلى المعهود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غَنِمْتُمْ مِنْ شَيْ‌ءٍ فَأَنَّ لِلّٰهِ خُمُسَهُ </w:t>
      </w:r>
      <w:r>
        <w:rPr>
          <w:rStyle w:val="FootnoteAnchor"/>
          <w:rtl w:val="true"/>
        </w:rPr>
        <w:footnoteReference w:id="1579"/>
      </w:r>
      <w:r>
        <w:rPr>
          <w:rFonts w:ascii="Amiri" w:hAnsi="Amiri" w:eastAsia="Amiri" w:cs="Amiri"/>
          <w:color w:val="111111"/>
          <w:sz w:val="28"/>
          <w:sz w:val="28"/>
          <w:szCs w:val="28"/>
          <w:rtl w:val="true"/>
          <w:lang w:bidi="ar-SA"/>
        </w:rPr>
        <w:t>إلى اخر الآية، و لذا لم يذكر في كثير من موارد الخمس المعلوم أزيد من أنّه فيه الخمس،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فهم الفقهاء في أمثال المقام معتبر بلا شبهة، و الشاهد يرى ما لا يراه الغائب، و لا ينبئك مثل خبير، و اللّه يعلم</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3601728_3804643083"/>
      <w:bookmarkStart w:id="618" w:name="_Toc232"/>
      <w:bookmarkEnd w:id="617"/>
      <w:r>
        <w:rPr>
          <w:rtl w:val="true"/>
        </w:rPr>
        <w:t>[</w:t>
      </w:r>
      <w:r>
        <w:rPr>
          <w:rtl w:val="true"/>
        </w:rPr>
        <w:t>باب نصاب الخمس، و أنّه بعد المئونة</w:t>
      </w:r>
      <w:r>
        <w:rPr>
          <w:rtl w:val="true"/>
        </w:rPr>
        <w:t>]</w:t>
      </w:r>
      <w:bookmarkEnd w:id="61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w:t>
      </w:r>
      <w:bookmarkStart w:id="619" w:name="pg2470_12702"/>
    </w:p>
    <w:p>
      <w:pPr>
        <w:pStyle w:val="BookText"/>
        <w:rPr/>
      </w:pPr>
      <w:bookmarkEnd w:id="619"/>
      <w:r>
        <w:rPr>
          <w:rFonts w:ascii="IRNazanin" w:hAnsi="IRNazanin" w:eastAsia="IRNazanin"/>
          <w:color w:val="111111"/>
          <w:sz w:val="28"/>
          <w:sz w:val="28"/>
          <w:szCs w:val="28"/>
          <w:rtl w:val="true"/>
          <w:lang w:bidi="fa-IR"/>
        </w:rPr>
        <w:t xml:space="preserve">من اللؤلؤ </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أخبار هذا الباب كلّها تدلّ على وجوب إعطاء الخمس و عدم السقوط عند الشيعة، كما هو ظاهر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الخبرين تضادّ؛ لأنّ الثاني تناول حكم المعادن </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يحتمل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بل يكون الروايتان واحدة، تتفاوت بتفاوت النقل بالمعنى،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لك من ذلك </w:t>
      </w:r>
      <w:r>
        <w:rPr>
          <w:rStyle w:val="FootnoteAnchor"/>
          <w:rtl w:val="true"/>
        </w:rPr>
        <w:footnoteReference w:id="1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مقتضى الأخبار المذكورة أنّ الخمس بعد المئونة التي تصرف، و أنّ المئونة تخرج من هذا المال، و إن كان للمالك مال اخر</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3601730_3804643083"/>
      <w:bookmarkStart w:id="621" w:name="_Toc233"/>
      <w:bookmarkEnd w:id="620"/>
      <w:r>
        <w:rPr>
          <w:rtl w:val="true"/>
        </w:rPr>
        <w:t>[</w:t>
      </w:r>
      <w:r>
        <w:rPr>
          <w:rtl w:val="true"/>
        </w:rPr>
        <w:t>باب مصرف الخمس</w:t>
      </w:r>
      <w:r>
        <w:rPr>
          <w:rtl w:val="true"/>
        </w:rPr>
        <w:t>]</w:t>
      </w:r>
      <w:bookmarkEnd w:id="62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تحلّ لنا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أيضا ظاهرة في اختصاص الخمس بمن حرم عليه الصدقة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bookmarkStart w:id="622" w:name="pg2470_12703"/>
    </w:p>
    <w:p>
      <w:pPr>
        <w:pStyle w:val="BookText"/>
        <w:rPr/>
      </w:pPr>
      <w:bookmarkEnd w:id="622"/>
      <w:r>
        <w:rPr>
          <w:rFonts w:ascii="Amiri" w:hAnsi="Amiri" w:eastAsia="Amiri" w:cs="Amiri"/>
          <w:color w:val="111111"/>
          <w:sz w:val="28"/>
          <w:sz w:val="28"/>
          <w:szCs w:val="28"/>
          <w:rtl w:val="true"/>
          <w:lang w:bidi="ar-SA"/>
        </w:rPr>
        <w:t>هذه صريحة في اختصاص الخمس بآل الرسول عليهم السّلام، لا يتعدّى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نحوه ظاهر في عدم كون المنسوب من طرف الامّ خاصّة مصرف الخمس، و صريح في كون الخمس حقّ بني هاشم و آل الرسول عليهم السّلام عوض الزكاة التي حرّمت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فضل منهم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أيضا ظاهره كون المنسوب من الامّ خاصّة لا دخل له في استحقاق الخمس، و أنّ الخمس مختصّ بآل محمّد عليهم السّلام عوض الزكاة</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601732_3804643083"/>
      <w:bookmarkStart w:id="624" w:name="_Toc234"/>
      <w:bookmarkEnd w:id="623"/>
      <w:r>
        <w:rPr>
          <w:rtl w:val="true"/>
        </w:rPr>
        <w:t>[</w:t>
      </w:r>
      <w:r>
        <w:rPr>
          <w:rtl w:val="true"/>
        </w:rPr>
        <w:t>باب تحليلهم عليهم السّلام الخمس لشيعتهم و تشديدهم الأمر فيه</w:t>
      </w:r>
      <w:r>
        <w:rPr>
          <w:rtl w:val="true"/>
        </w:rPr>
        <w:t>]</w:t>
      </w:r>
      <w:bookmarkEnd w:id="6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التيملي، عن ابن بقاح </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شهادة واضحة على أنّ أمير المؤمنين عليه السّلام و فاطمة عليها السّلام لم يجعلا جميع الشيعة في حلّ، و كذا الباقر عليه السّلام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لأحد أن يشتري من الخمس شيئا</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نصّ في عدم تحليل الشيعة من كلّ الخمس، بل عمّا حلّلوا عليهم السّلام عليهم من الخمس، و أنّ المنسوب من طرف الامّ خاصّة إلى هاشم لا يستحقّ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يفترون و يقذفون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الظاهر من هذا الخبر و أمثاله أنّ الذي أباحوا للشيعة هو ما احتاجوا إليه و ما صرفوه في بطونهم و فروجهم؛ لتطيب ولادتهم، و معلوم بالبديهة أنّ الخمس بعد المئونة، و أنّ ما يحتاج إليه إنّما هو من المئونة، و ما زاد عن مئونة المناكح و المآكل و نحوهما يكون فيه الخمس خاصّة، لا في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هلاكهم و صيرورتهم أولاد زنا من جهة تصرّفهم في المال المشترك بينهم و بين غيرهم بأن كان للغير الخمس و الباقي لهم، خلاف مقتضى الأخبار؛ لأنّ كلّ الناس ليس لهم ما يزيد عن مئونة المناكح و غيرها ممّا يحتاجون البتّة إليه، بل بديهي أنّه ليس كذلك، سيّما و ألا يكون الزائد منشأ لكونهم ولد الزنا، بل خمس ذلك الزائد صار منشأ،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العزيز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الإذن على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ينادي بأعلى صوته بأنّهم عليهم السّلام ما أحلّوا الشيعة من الخمس كلّهم، و أنّه لا يمكن ذلك، و لا معنى له، و هو الموافق لما عليه المعظم من الشيعة و جلّهم، و لو لم نقل هو إجماعي؛ لعدم ضرر خروج معلوم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هو الموافق لما ذكرنا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جعله اللّه لآل الرسول صلّى اللّه عليه و آله و سلم المحتاجين عوض الزكاة، دفعا لحاجتهم و ضرورتهم، و ورد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بالدرايات دون الروايات</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 و ورد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حقّ حقيقة، و لكلّ صواب نورا</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الموافق لظاهر القرآن، 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ما وافق القرآن من الروايات هو الحقّ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هو الموافق لسائر أحكامهم، 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وافق سائر أحكامهم من الروايات هو الحقّ</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 منجبر بالشهرة، و غيرها ممّا ذكر، و أنّ الكليني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مع أنّه ذكر في أوّله ما ذكر </w:t>
      </w:r>
      <w:r>
        <w:rPr>
          <w:rStyle w:val="FootnoteAnchor"/>
          <w:rtl w:val="true"/>
        </w:rPr>
        <w:footnoteReference w:id="1596"/>
      </w:r>
      <w:r>
        <w:rPr>
          <w:rFonts w:ascii="Amiri" w:hAnsi="Amiri" w:eastAsia="Amiri" w:cs="Amiri"/>
          <w:color w:val="111111"/>
          <w:sz w:val="28"/>
          <w:sz w:val="28"/>
          <w:szCs w:val="28"/>
          <w:rtl w:val="true"/>
          <w:lang w:bidi="ar-SA"/>
        </w:rPr>
        <w:t xml:space="preserve">، و الشيخ مفت به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الجوابر، الأخبار المتواترة على وجوب إعطاء الخمس، كما أشرنا سابقا، و ستعرف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تزووه عنّا، و لا تحرّموا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دعاءنا ما قدرتم عليه</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العبارات المذكورة الأئمّة عليهم السّلام و من انتسب إليهم من طرف الأب، لا الامّ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نجعل لأحد منكم في حلّ</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مثل الحديث السابق في النداء بأعلى صوته في عدم التحليل، و الموافقة لعمومات الكتاب و الشهرة بين الأصحاب و غيرها، ممّا ذكر، بل أوكد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من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فإنّي أنفقتها </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مثل الخبرين السابقين في الدلالة على عدم التحليل، و الاعتضاد بامور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المتواترة مع صحّة السند؛ إذ إبراهيم بن هاشم كالصحيح، مع غاية علوّ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من الخمس</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أيضا مثل الأخبار السابقة في الدلالة على عدم التحليل </w:t>
      </w:r>
      <w:r>
        <w:rPr>
          <w:rStyle w:val="FootnoteAnchor"/>
          <w:rtl w:val="true"/>
        </w:rPr>
        <w:footnoteReference w:id="1602"/>
      </w:r>
      <w:r>
        <w:rPr>
          <w:rFonts w:ascii="Amiri" w:hAnsi="Amiri" w:eastAsia="Amiri" w:cs="Amiri"/>
          <w:color w:val="111111"/>
          <w:sz w:val="28"/>
          <w:sz w:val="28"/>
          <w:szCs w:val="28"/>
          <w:rtl w:val="true"/>
          <w:lang w:bidi="ar-SA"/>
        </w:rPr>
        <w:t>، و الاعتضاد بالأخبار المتواترة، و غيرها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القمّاطين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أيضا مثل الأخبار السابقة يدلّ على عدم تحليل كلّ الشيعة في الخمس، بل بعض منهم بحسب المصلحة، و هي عدم تمكّنهم من الخمس لزيادة الظلم، و عدم وفاء أموالهم، و لا شكّ في سقوط الخمس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اشتريت رقيقا </w:t>
      </w:r>
      <w:r>
        <w:rPr>
          <w:rStyle w:val="FootnoteAnchor"/>
          <w:rtl w:val="true"/>
        </w:rPr>
        <w:footnoteReference w:id="1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أيضا ظاهر في عدم تحليلهم عليهم السّلام كلّ الشيعة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لأبي جعفر عليه السّلام من رجل يسأله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أيضا صريح في عدم تحليلهم عليهم السّلام كلّ الشيعة من الخمس، بل من أعوزه حقّهم، و لا تأمّل في السقوط حينئذ، لأنّ الخمس بعد المئونة و رفع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شهادة على أنّ ما أحلّوا إنّما هو المناكح خاصّة، كما قال به الشيخان </w:t>
      </w:r>
      <w:r>
        <w:rPr>
          <w:rStyle w:val="FootnoteAnchor"/>
          <w:rtl w:val="true"/>
        </w:rPr>
        <w:footnoteReference w:id="1607"/>
      </w:r>
      <w:r>
        <w:rPr>
          <w:rFonts w:ascii="Amiri" w:hAnsi="Amiri" w:eastAsia="Amiri" w:cs="Amiri"/>
          <w:color w:val="111111"/>
          <w:sz w:val="28"/>
          <w:sz w:val="28"/>
          <w:szCs w:val="28"/>
          <w:rtl w:val="true"/>
          <w:lang w:bidi="ar-SA"/>
        </w:rPr>
        <w:t>و باقي الفقهاء، و أمّا غيرها، فإنّما التحليل بالنسبة إلى من احتاج إلى الخمس، كما عرفت، سوى الأرضين؛ فإنّها أيضا مثل المناكح، كما مرّ في باب أنّ الأرض</w:t>
      </w:r>
    </w:p>
    <w:p>
      <w:pPr>
        <w:pStyle w:val="BookText"/>
        <w:rPr/>
      </w:pPr>
      <w:r>
        <w:rPr>
          <w:rFonts w:ascii="Amiri" w:hAnsi="Amiri" w:eastAsia="Amiri" w:cs="Amiri"/>
          <w:color w:val="111111"/>
          <w:sz w:val="28"/>
          <w:sz w:val="28"/>
          <w:szCs w:val="28"/>
          <w:rtl w:val="true"/>
          <w:lang w:bidi="ar-SA"/>
        </w:rPr>
        <w:t xml:space="preserve">كلّها للإمام عليه السّلام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كثير،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على شيعتنا</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أيضا يدلّ على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انفقوا بالمعروف، و قد عرفت أنّ الخمس بعد رفع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أبو جعفر عليه السّلام، و قرأت أنا كتابه إليه في طريق مكّة </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أيضا دلالة واضحة في عدم تحليل الشيعة كلّ الخمس، بل و لا كلّ الشيعة، بل بعضهم حلّل عليه بعض الخمس، و الدلالة على وجوب إعطاء الخمس فيه مؤكّدة، متكرّرة،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لي من مجموع الأخبار الواردة في ذلك أنّ تحليلهم عليهم السّلام يعمّ المناكح، و غيرها من الأموال، إلّا أنّه مختصّ بحصّتهم عليهم السّلام، أعني السهام الثلاثة، كما مرّ في حديث أبي حمزة </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ما ذكره من الدلالة من رواية أبي حمزة عند التأمّل، و قد علمت أنّ الأخبار متواترة في وجوب إعطاء الخمس، و عدم جواز المنع، بل الأخبار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 تشديدهم عليهم السّلام في المطالبة، و تصريحهم بعدم التحليل أصلا أو في الجملة كاد أن تبلغ التواتر كما عرفت، مع وضوح سند بعضها و سلامته، و موافقتها</w:t>
      </w:r>
    </w:p>
    <w:p>
      <w:pPr>
        <w:pStyle w:val="BookText"/>
        <w:rPr/>
      </w:pPr>
      <w:r>
        <w:rPr>
          <w:rFonts w:ascii="Amiri" w:hAnsi="Amiri" w:eastAsia="Amiri" w:cs="Amiri"/>
          <w:color w:val="111111"/>
          <w:sz w:val="28"/>
          <w:sz w:val="28"/>
          <w:szCs w:val="28"/>
          <w:rtl w:val="true"/>
          <w:lang w:bidi="ar-SA"/>
        </w:rPr>
        <w:t>للقرآن و الأخبار المتواترة و الشهرة بين الأصحاب، لو لم نقل إجماعهم و الموافقة لمؤيّدات اخر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ظهر من كثير منها أنّ تحليلهم عليهم السّلام إنّما هو بالنسبة إلى من لا يمكنه إعطاء الخمس أو يحتاج إلى الخمس من جهة اشتداد الزمان أو الظلم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من بعض المطلقات لعلّه محمول على ذلك، أو على خصوص المناكح و المساكن، كما ذكره الشيخ و الفقهاء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تحليلهم عليهم السّلام كلّ الشيعة الخمس مطلقا فهو فاسد قطعا؛ لاتّفاق الكلّ على أنّه ليس كذلك، و إن قال شاذّ بالعفو في خصوص أرباح التجارات </w:t>
      </w:r>
      <w:r>
        <w:rPr>
          <w:rStyle w:val="FootnoteAnchor"/>
          <w:rtl w:val="true"/>
        </w:rPr>
        <w:footnoteReference w:id="1613"/>
      </w:r>
      <w:r>
        <w:rPr>
          <w:rFonts w:ascii="Amiri" w:hAnsi="Amiri" w:eastAsia="Amiri" w:cs="Amiri"/>
          <w:color w:val="111111"/>
          <w:sz w:val="28"/>
          <w:sz w:val="28"/>
          <w:szCs w:val="28"/>
          <w:rtl w:val="true"/>
          <w:lang w:bidi="ar-SA"/>
        </w:rPr>
        <w:t xml:space="preserve">و المؤلّف بأنّه في خصوص حصّتهم عليهم السّلام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الأخبار الدالّة مطلقة من دون تخصيص بالأرباح أو حصّتهم عليهم السّلام،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فيه ما فيه؛ لأنّ أمير المؤمنين عليه السّلام و فاطمة عليها السّلام حلّلا، و بعدهما باقي الأئمّة عليهم السّلام أمروا بالخمس، و تشدّدوا و أكّدوا، و صرّحوا بعدم التحليل، و بالغوا كما عرفت و إن كان صدر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 التحليل، و مخالفة ذلك لما صدر منهم عليهم السّلام بعنوان التواتر من الأمر بالخمس و التشديد و التأكيد و المبالغة و التوبيخ و التقريع تنادي بأنّ الأمر ليس على ما ظهر منه، بل على ما ذكرناه من أنّه مخصوص ببعض الشيعة في بعض الأزمان على ما يظهر من كثير من الأخبار </w:t>
      </w:r>
      <w:r>
        <w:rPr>
          <w:rStyle w:val="FootnoteAnchor"/>
          <w:rtl w:val="true"/>
        </w:rPr>
        <w:footnoteReference w:id="1615"/>
      </w:r>
      <w:r>
        <w:rPr>
          <w:rFonts w:ascii="Amiri" w:hAnsi="Amiri" w:eastAsia="Amiri" w:cs="Amiri"/>
          <w:color w:val="111111"/>
          <w:sz w:val="28"/>
          <w:sz w:val="28"/>
          <w:szCs w:val="28"/>
          <w:rtl w:val="true"/>
          <w:lang w:bidi="ar-SA"/>
        </w:rPr>
        <w:t>، أو أنّه مخصوص بخصوص المناكح كما يؤمي إليه</w:t>
      </w:r>
    </w:p>
    <w:p>
      <w:pPr>
        <w:pStyle w:val="BookText"/>
        <w:rPr/>
      </w:pPr>
      <w:r>
        <w:rPr>
          <w:rFonts w:ascii="Amiri" w:hAnsi="Amiri" w:eastAsia="Amiri" w:cs="Amiri"/>
          <w:color w:val="111111"/>
          <w:sz w:val="28"/>
          <w:sz w:val="28"/>
          <w:szCs w:val="28"/>
          <w:rtl w:val="true"/>
          <w:lang w:bidi="ar-SA"/>
        </w:rPr>
        <w:t xml:space="preserve">حكاية طيب الولادة </w:t>
      </w:r>
      <w:r>
        <w:rPr>
          <w:rStyle w:val="FootnoteAnchor"/>
          <w:rtl w:val="true"/>
        </w:rPr>
        <w:footnoteReference w:id="1616"/>
      </w:r>
      <w:r>
        <w:rPr>
          <w:rFonts w:ascii="Amiri" w:hAnsi="Amiri" w:eastAsia="Amiri" w:cs="Amiri"/>
          <w:color w:val="111111"/>
          <w:sz w:val="28"/>
          <w:sz w:val="28"/>
          <w:szCs w:val="28"/>
          <w:rtl w:val="true"/>
          <w:lang w:bidi="ar-SA"/>
        </w:rPr>
        <w:t xml:space="preserve">، أو المساكن و الأرضين أيضا، كما يظهر من غير واحد من الأخبار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ظهر من الآية و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الأخبار الدالّة على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إجماع الشيعة، بل ضروري مذهبهم وجوب الخمس، و حرمة الزكاة على من هو مستحقّه، و كونه عوض الصدقات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رفع اليد عن الوجوب الذي ثبوته يقيني بل ضروري بمجرّد ظواهر بعض الأخبار التي يعارضها أخبار اخر في غاية الكثرة بل متواترة، كما عرفت في الأبواب السابقة المتأيّدة بالقرآن و غيره ممّا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عرفت من أنّ ظواهرها مخالف لإجماع جميع الفقهاء، حتّى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ورد منهم عليهم السّلام في أخبار كثيرة معمول بها عند الأصحاب أنّه لا يجوز نقض اليقين بالشكّ، بل عدم جواز نقض اليقين إلّا بيقين مثله </w:t>
      </w:r>
      <w:r>
        <w:rPr>
          <w:rStyle w:val="FootnoteAnchor"/>
          <w:rtl w:val="true"/>
        </w:rPr>
        <w:footnoteReference w:id="1618"/>
      </w:r>
      <w:r>
        <w:rPr>
          <w:rFonts w:ascii="Amiri" w:hAnsi="Amiri" w:eastAsia="Amiri" w:cs="Amiri"/>
          <w:color w:val="111111"/>
          <w:sz w:val="28"/>
          <w:sz w:val="28"/>
          <w:szCs w:val="28"/>
          <w:rtl w:val="true"/>
          <w:lang w:bidi="ar-SA"/>
        </w:rPr>
        <w:t>، و قد عرفت أنّ قبل تحليلهم كان واجبا بالضرورة من المذهب و الأخبار المتواترة، و غيرهما، لكن ينقض ذلك اليقين بعض ظواهر الأخبار، مع ما عرفت من المعارضات له و الاختلالات فيه، تأمّل جدّا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ما ذكرنا آية قُلْ لٰا أَسْئَلُكُمْ عَلَيْهِ أَجْراً إِلَّا الْمَوَدَّةَ فِي الْقُرْبىٰ </w:t>
      </w:r>
      <w:r>
        <w:rPr>
          <w:rStyle w:val="FootnoteAnchor"/>
          <w:rtl w:val="true"/>
        </w:rPr>
        <w:footnoteReference w:id="1619"/>
      </w:r>
      <w:r>
        <w:rPr>
          <w:rFonts w:ascii="Amiri" w:hAnsi="Amiri" w:eastAsia="Amiri" w:cs="Amiri"/>
          <w:color w:val="111111"/>
          <w:sz w:val="28"/>
          <w:sz w:val="28"/>
          <w:szCs w:val="28"/>
          <w:rtl w:val="true"/>
          <w:lang w:bidi="ar-SA"/>
        </w:rPr>
        <w:t xml:space="preserve">و الأخبار المتضمّنة لهذا المعنى </w:t>
      </w:r>
      <w:r>
        <w:rPr>
          <w:rStyle w:val="FootnoteAnchor"/>
          <w:rtl w:val="true"/>
        </w:rPr>
        <w:footnoteReference w:id="1620"/>
      </w:r>
      <w:r>
        <w:rPr>
          <w:rFonts w:ascii="Amiri" w:hAnsi="Amiri" w:eastAsia="Amiri" w:cs="Amiri"/>
          <w:color w:val="111111"/>
          <w:sz w:val="28"/>
          <w:sz w:val="28"/>
          <w:szCs w:val="28"/>
          <w:rtl w:val="true"/>
          <w:lang w:bidi="ar-SA"/>
        </w:rPr>
        <w:t>، و الأخبار الآتية في باب فضل صلة الإمام</w:t>
      </w:r>
    </w:p>
    <w:p>
      <w:pPr>
        <w:pStyle w:val="BookText"/>
        <w:rPr/>
      </w:pPr>
      <w:r>
        <w:rPr>
          <w:rFonts w:ascii="Amiri" w:hAnsi="Amiri" w:eastAsia="Amiri" w:cs="Amiri"/>
          <w:color w:val="111111"/>
          <w:sz w:val="28"/>
          <w:sz w:val="28"/>
          <w:szCs w:val="28"/>
          <w:rtl w:val="true"/>
          <w:lang w:bidi="ar-SA"/>
        </w:rPr>
        <w:t xml:space="preserve">و الذريّة المطهّرة </w:t>
      </w:r>
      <w:r>
        <w:rPr>
          <w:rStyle w:val="FootnoteAnchor"/>
          <w:rtl w:val="true"/>
        </w:rPr>
        <w:footnoteReference w:id="1621"/>
      </w:r>
      <w:r>
        <w:rPr>
          <w:rFonts w:ascii="Amiri" w:hAnsi="Amiri" w:eastAsia="Amiri" w:cs="Amiri"/>
          <w:color w:val="111111"/>
          <w:sz w:val="28"/>
          <w:sz w:val="28"/>
          <w:szCs w:val="28"/>
          <w:rtl w:val="true"/>
          <w:lang w:bidi="ar-SA"/>
        </w:rPr>
        <w:t xml:space="preserve">، و الحكايتان المشهورتان اللتان نقلهما العلّامة </w:t>
      </w:r>
      <w:r>
        <w:rPr>
          <w:rStyle w:val="FootnoteAnchor"/>
          <w:rtl w:val="true"/>
        </w:rPr>
        <w:footnoteReference w:id="1622"/>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ورد من التهديدات في عدم رفع حاجة المحتاجين و ترك إعانة المؤمنين </w:t>
      </w:r>
      <w:r>
        <w:rPr>
          <w:rStyle w:val="FootnoteAnchor"/>
          <w:rtl w:val="true"/>
        </w:rPr>
        <w:footnoteReference w:id="1623"/>
      </w:r>
      <w:r>
        <w:rPr>
          <w:rFonts w:ascii="Amiri" w:hAnsi="Amiri" w:eastAsia="Amiri" w:cs="Amiri"/>
          <w:color w:val="111111"/>
          <w:sz w:val="28"/>
          <w:sz w:val="28"/>
          <w:szCs w:val="28"/>
          <w:rtl w:val="true"/>
          <w:lang w:bidi="ar-SA"/>
        </w:rPr>
        <w:t>، منها ما مرّ في كتاب المعاشرات، و فقهاؤنا مع غاية مبالغتهم و تأكّدهم في أصحاب الخمس و تشديدهم في التهديد في تركه نرى آل الرسول عليهم السّلام و ذريّة البتول عليها السّلام في غاية الفقر و الحاجة، فكيف إذا سمع الناس عدم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شكّ في أنّه بعد سماعهم يصير أشرف الخلق هالكين أو سائلين بالكفّ، متكدين لا يرحمهم أحد؛ لأنّهم سمعوا أنّ الصدقة عليهم حرام، هل هذا حرمة الرسول صلّى اللّه عليه و آله و سلم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الرسالة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أيضا أنّ اللّه تعالى منع عن جمع المال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الَّذِي جَمَعَ مٰالًا وَ عَدَّدَهُ </w:t>
      </w:r>
      <w:r>
        <w:rPr>
          <w:rStyle w:val="FootnoteAnchor"/>
          <w:rtl w:val="true"/>
        </w:rPr>
        <w:footnoteReference w:id="1624"/>
      </w:r>
      <w:r>
        <w:rPr>
          <w:rFonts w:ascii="Amiri" w:hAnsi="Amiri" w:eastAsia="Amiri" w:cs="Amiri"/>
          <w:color w:val="111111"/>
          <w:sz w:val="28"/>
          <w:sz w:val="28"/>
          <w:szCs w:val="28"/>
          <w:rtl w:val="true"/>
          <w:lang w:bidi="ar-SA"/>
        </w:rPr>
        <w:t xml:space="preserve">و غيره من الآيات، و كذلك الرسول صلّى اللّه عليه و آله و سلم و الأئمّة عليهم السّلام في الأخبار المتواترة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الخمس ليس على جميع مال شخص، بل على ما فضل من</w:t>
      </w:r>
    </w:p>
    <w:p>
      <w:pPr>
        <w:pStyle w:val="BookText"/>
        <w:rPr/>
      </w:pPr>
      <w:r>
        <w:rPr>
          <w:rFonts w:ascii="Amiri" w:hAnsi="Amiri" w:eastAsia="Amiri" w:cs="Amiri"/>
          <w:color w:val="111111"/>
          <w:sz w:val="28"/>
          <w:sz w:val="28"/>
          <w:szCs w:val="28"/>
          <w:rtl w:val="true"/>
          <w:lang w:bidi="ar-SA"/>
        </w:rPr>
        <w:t>مأكولاتهم و ملبوساتهم و جميع مؤنهم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جميع ما فضل عن المؤن ليس حقّ السادة، بل أربعة أخماس ما فضل مال صاحبه، و خمس ما فضل كأنّ سبحانه جعله حقّ الهاشمي عوض ما حرم عليه من الصدقة عند ما صار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يأخذ الإمام عليه السّلام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عوض الصدقة في رفع حاجته و مسكنته، و يعطيه الغني و يزيده على أربعة أخماسه فيصير التمام له، و يجمع مال الذي منع عنه و يكثر الأحمال و الأثقال، و يزيد حساب يوم القيامة و السؤال أمام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يقطعه عنه بعد ما حرم عليه الصدقة، و يدعه في شدّة الجهد و الهلكة و السؤال و التكدية؟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عليهم السّلام أشرف الخلق، و بالغ في تعظيمهم و تكريمهم، و سائر الناس يعيشون بحرمتهم، و مع ذلك يأخذ منهم و يعطيهم الغنيّ ليجمع المال، و يزيد توغّله فيه، و حرصه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طغيانه، على ما يظهر من النصوص و الآثار </w:t>
      </w:r>
      <w:r>
        <w:rPr>
          <w:rStyle w:val="FootnoteAnchor"/>
          <w:rtl w:val="true"/>
        </w:rPr>
        <w:footnoteReference w:id="1626"/>
      </w:r>
      <w:r>
        <w:rPr>
          <w:rFonts w:ascii="IRNazanin" w:hAnsi="IRNazanin" w:eastAsia="IRNazanin"/>
          <w:color w:val="111111"/>
          <w:sz w:val="28"/>
          <w:sz w:val="28"/>
          <w:szCs w:val="28"/>
          <w:rtl w:val="true"/>
          <w:lang w:bidi="fa-IR"/>
        </w:rPr>
        <w:t>و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لا يشبه فعاله تعالى، و فعالهم عليهم السّلام، و ورد منهم عليهم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إليكم حديث فاعرضوه على سائر أحكامنا، فإن وجدتموه يشبهها فخذوا به، و إلّا فاتركوا العمل به</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 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بالدرايات دون الروايات</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 و أنّ العقل يجب اتّباعه </w:t>
      </w:r>
      <w:r>
        <w:rPr>
          <w:rStyle w:val="FootnoteAnchor"/>
          <w:rtl w:val="true"/>
        </w:rPr>
        <w:footnoteReference w:id="1629"/>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الصدوق في أماليه عدّ وجوب الخمس من دين الإماميّة الذي يجب الإقرار</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1630"/>
      </w:r>
      <w:r>
        <w:rPr>
          <w:rFonts w:ascii="Amiri" w:hAnsi="Amiri" w:eastAsia="Amiri" w:cs="Amiri"/>
          <w:color w:val="111111"/>
          <w:sz w:val="28"/>
          <w:sz w:val="28"/>
          <w:szCs w:val="28"/>
          <w:rtl w:val="true"/>
          <w:lang w:bidi="ar-SA"/>
        </w:rPr>
        <w:t>، من دون إشارة إلى تحليل منهم عليهم السّلام، و كذلك حال سائر الأعاظم؛ ادّعوا الإجماع على وجوب الأداء، و زيّفوا قول الشاذّ القائل بالعفو في خصوص أرباح التجارات بكونه مخالفا لإجماع القدماء،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Style w:val="FootnoteAnchor"/>
          <w:rtl w:val="true"/>
        </w:rPr>
        <w:footnoteReference w:id="1631"/>
      </w:r>
      <w:r>
        <w:rPr>
          <w:rFonts w:ascii="Amiri" w:hAnsi="Amiri" w:eastAsia="Amiri" w:cs="Amiri"/>
          <w:color w:val="111111"/>
          <w:sz w:val="28"/>
          <w:sz w:val="28"/>
          <w:szCs w:val="28"/>
          <w:rtl w:val="true"/>
          <w:lang w:bidi="ar-SA"/>
        </w:rPr>
        <w:t xml:space="preserve">، 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الشاذّ الذي هو ابن الجنيد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إخراج هذا الخمس أيضا و إعطاؤه مستحقّه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خمس غير أرباح التجارات يكفيهم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 كما هو المشاهد، مع أنك عرفت أنّ ما دلّ على التحليل مطلق من غير إشارة فيه إلى القيد؛ فإن بني على أنّ القيد يظهر من الدليل من الخارج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ينفعنا؛ لما عرفت من الدليل على عدم سقوط غير المساكن و 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 على الإطلاق و عدم القيد،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للقرآن، و ورد في الأخبار المتواترة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خالف القرآن زخرف</w:t>
      </w:r>
      <w:r>
        <w:rPr>
          <w:rFonts w:eastAsia="Amiri" w:cs="Amiri" w:ascii="Amiri" w:hAnsi="Amiri"/>
          <w:color w:val="111111"/>
          <w:sz w:val="28"/>
          <w:szCs w:val="28"/>
          <w:rtl w:val="true"/>
          <w:lang w:bidi="ar-SA"/>
        </w:rPr>
        <w:t xml:space="preserve">» </w:t>
      </w:r>
      <w:r>
        <w:rPr>
          <w:rStyle w:val="FootnoteAnchor"/>
          <w:rtl w:val="true"/>
        </w:rPr>
        <w:footnoteReference w:id="16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اضربوه على الحائط</w:t>
      </w:r>
      <w:r>
        <w:rPr>
          <w:rFonts w:eastAsia="IRNazanin" w:cs="IRNazanin"/>
          <w:color w:val="111111"/>
          <w:sz w:val="28"/>
          <w:szCs w:val="28"/>
          <w:rtl w:val="true"/>
          <w:lang w:bidi="fa-IR"/>
        </w:rPr>
        <w:t xml:space="preserve">» </w:t>
      </w:r>
      <w:r>
        <w:rPr>
          <w:rStyle w:val="FootnoteAnchor"/>
          <w:rtl w:val="true"/>
        </w:rPr>
        <w:footnoteReference w:id="16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 xml:space="preserve">»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مضافا إلى الاعتبار، و حكم العقل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مخالف لما اشتهر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 ورد الأمر بتركه و الأخذ بما اشتهر بينهم </w:t>
      </w:r>
      <w:r>
        <w:rPr>
          <w:rStyle w:val="FootnoteAnchor"/>
          <w:rtl w:val="true"/>
        </w:rPr>
        <w:footnoteReference w:id="1636"/>
      </w:r>
      <w:r>
        <w:rPr>
          <w:rFonts w:ascii="Amiri" w:hAnsi="Amiri" w:eastAsia="Amiri" w:cs="Amiri"/>
          <w:color w:val="111111"/>
          <w:sz w:val="28"/>
          <w:sz w:val="28"/>
          <w:szCs w:val="28"/>
          <w:rtl w:val="true"/>
          <w:lang w:bidi="ar-SA"/>
        </w:rPr>
        <w:t>، بل مخالف لضروري الدين، أو إجماع المسلمين، كما لا</w:t>
      </w:r>
    </w:p>
    <w:p>
      <w:pPr>
        <w:pStyle w:val="BookText"/>
        <w:rPr/>
      </w:pPr>
      <w:r>
        <w:rPr>
          <w:rFonts w:ascii="Amiri" w:hAnsi="Amiri" w:eastAsia="Amiri" w:cs="Amiri"/>
          <w:color w:val="111111"/>
          <w:sz w:val="28"/>
          <w:sz w:val="28"/>
          <w:szCs w:val="28"/>
          <w:rtl w:val="true"/>
          <w:lang w:bidi="ar-SA"/>
        </w:rPr>
        <w:t>يخفى على المطّلع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مخالف للأخبار المتواترة غاية التواتر، و منها ما دلّ على وجوب الخمس في الغنيمة، و المعادن، و نحوهما ممّا فيه الخمس</w:t>
      </w:r>
      <w:r>
        <w:rPr>
          <w:rFonts w:eastAsia="Amiri" w:cs="Amiri" w:ascii="Amiri" w:hAnsi="Amiri"/>
          <w:color w:val="111111"/>
          <w:sz w:val="28"/>
          <w:szCs w:val="28"/>
          <w:rtl w:val="true"/>
          <w:lang w:bidi="ar-SA"/>
        </w:rPr>
        <w:t>.</w:t>
      </w:r>
      <w:bookmarkStart w:id="625" w:name="pg2470_12715"/>
    </w:p>
    <w:p>
      <w:pPr>
        <w:pStyle w:val="Heading3"/>
        <w:numPr>
          <w:ilvl w:val="2"/>
          <w:numId w:val="1"/>
        </w:numPr>
        <w:rPr/>
      </w:pPr>
      <w:bookmarkStart w:id="626" w:name="__RefHeading___Toc3601734_3804643083"/>
      <w:bookmarkStart w:id="627" w:name="_Toc235"/>
      <w:bookmarkEnd w:id="625"/>
      <w:bookmarkEnd w:id="626"/>
      <w:r>
        <w:rPr>
          <w:rtl w:val="true"/>
        </w:rPr>
        <w:t>[</w:t>
      </w:r>
      <w:r>
        <w:rPr>
          <w:rtl w:val="true"/>
        </w:rPr>
        <w:t>أبواب سائر أصناف الإنفاق و المعروف و حقوقهما</w:t>
      </w:r>
      <w:r>
        <w:rPr>
          <w:rtl w:val="true"/>
        </w:rPr>
        <w:t>]</w:t>
      </w:r>
      <w:bookmarkEnd w:id="627"/>
    </w:p>
    <w:p>
      <w:pPr>
        <w:pStyle w:val="Heading4"/>
        <w:numPr>
          <w:ilvl w:val="3"/>
          <w:numId w:val="1"/>
        </w:numPr>
        <w:rPr/>
      </w:pPr>
      <w:bookmarkStart w:id="628" w:name="__RefHeading___Toc3601736_3804643083"/>
      <w:bookmarkStart w:id="629" w:name="_Toc236"/>
      <w:bookmarkEnd w:id="628"/>
      <w:r>
        <w:rPr>
          <w:rtl w:val="true"/>
        </w:rPr>
        <w:t>[</w:t>
      </w:r>
      <w:r>
        <w:rPr>
          <w:rtl w:val="true"/>
        </w:rPr>
        <w:t>باب القرض</w:t>
      </w:r>
      <w:r>
        <w:rPr>
          <w:rtl w:val="true"/>
        </w:rPr>
        <w:t>]</w:t>
      </w:r>
      <w:bookmarkEnd w:id="6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الزكاة، أي حرما مانعا من منعها </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المراد من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وجوب الزكاة، و مع ذلك فيه أجر عظيم، بل أجره ضعف أجر الزكاة، كما عرفت، و لذا حثّوا عليه و رغّبوا إليه، كما هو ظاهر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القرض جامع لخير الدنيا و الآخرة، أمّا الدنيا فلأنّه حمى الزكاة؛ لأنّ الزكاة لا تجب إلّا على المال الذي ملكه مالكه حول الحول مع تمكّنه من التصرّف حلول الحول، فإذا كان المالك أخرجه من ملكه لم يجب عليه فيه زكاة أصلا، و الغالب في القرض هو الدراهم و الدنانير،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أجناس الزكاة أيضا كذلك؛ إذ حكم الأنعام حكم النقدين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الغلّات، فلا شي‌ء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الحمائيّة غالبا و عادة فتأمّل، و لعلّه واقعا أيضا، فتأمّل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الآخرة فظاهر، و يؤيّد ما ذكرنا الرواية الآتية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bookmarkStart w:id="630" w:name="pg2470_12716"/>
    </w:p>
    <w:p>
      <w:pPr>
        <w:pStyle w:val="Heading4"/>
        <w:numPr>
          <w:ilvl w:val="3"/>
          <w:numId w:val="1"/>
        </w:numPr>
        <w:rPr/>
      </w:pPr>
      <w:bookmarkStart w:id="631" w:name="__RefHeading___Toc3601738_3804643083"/>
      <w:bookmarkStart w:id="632" w:name="_Toc237"/>
      <w:bookmarkEnd w:id="630"/>
      <w:bookmarkEnd w:id="631"/>
      <w:r>
        <w:rPr>
          <w:rtl w:val="true"/>
        </w:rPr>
        <w:t>[</w:t>
      </w:r>
      <w:r>
        <w:rPr>
          <w:rtl w:val="true"/>
        </w:rPr>
        <w:t>باب أحكام الصدقات</w:t>
      </w:r>
      <w:r>
        <w:rPr>
          <w:rtl w:val="true"/>
        </w:rPr>
        <w:t>]</w:t>
      </w:r>
      <w:bookmarkEnd w:id="6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إذا ابتغى بها وجه اللّه عزّ و جلّ</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و أمثاله يدلّ على أنّ كون الشي‌ء في يد الولي يكفي لتحقّق القبض المعتبر شرعا من الصغير، و إن لم ينو الولي كون هذا القبض عن الصغير، و لا يتوقّف أيضا على مضيّ زمان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بالجواز الوقوع و الاستقرار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كلّ ما يأتي في هذا الباب </w:t>
      </w:r>
      <w:r>
        <w:rPr>
          <w:rStyle w:val="FootnoteAnchor"/>
          <w:rtl w:val="true"/>
        </w:rPr>
        <w:footnoteReference w:id="1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الجعل أعمّ من الهبة و الوقف، فلا يظهر معارضة و لا ضرورة إلى حمل،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بكر،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والدي تصدّق عليّ بدار، ثمّ بدا له أن يرجع فيها، و إنّ قضاتنا يقضون لي بها،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قضت به قضاتكم، و لبئس ما صنع والدك؛ إنّما الصدقة للّه عزّ و جلّ</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أن يكون رجوع الوالد قبل إقباض الدار للولد، فحينئذ لا إشكال، كما ترى، و اللّه يعلم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يخصّص بغيره،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أمثاله،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 الدلالة أيضا، فلا تفي لثبوت حكم مخالف للقواعد الثابتة المقرّرة، بل اليقينيّة؛ إذ لا ندري أنّ المراد من التصدّق ما ذا؟ و أنّه الهبة المستجمعة لجميع شرائط الصحّة و اللزوم، أو الوقف المستجمع لها؟</w:t>
      </w:r>
    </w:p>
    <w:p>
      <w:pPr>
        <w:pStyle w:val="BookText"/>
        <w:rPr/>
      </w:pPr>
      <w:r>
        <w:rPr>
          <w:rFonts w:ascii="Amiri" w:hAnsi="Amiri" w:eastAsia="Amiri" w:cs="Amiri"/>
          <w:color w:val="111111"/>
          <w:sz w:val="28"/>
          <w:sz w:val="28"/>
          <w:szCs w:val="28"/>
          <w:rtl w:val="true"/>
          <w:lang w:bidi="ar-SA"/>
        </w:rPr>
        <w:t xml:space="preserve">مع أنّ الوارد في صحيحة عليّ بن يقطين مثل هذا بتفاوت، و مع ذلك 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بأنّه بيّنه لهم أ له أن يدخل معهم غيرهم؟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 المراد من الإبانة هو التعيين و مثله ممّا هو شرط في تحقّق القبض، الذي هو شرط في الصحّة، أو المراد به هو القبض بقصد كونه من جانبهم؛ فإنّ المشاع قبضه بحسب الظاهر قبض واحد، ما لم يبن و يعيّن فيه، فيمكن حمل ما دلّ على عدم اشتراط نيّة القبض نيابة، أو مضي زمان، على ما هو معيّن،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لعلّ المراد من الصدقة، التي لم يتحقّق فيها الإبانة، التي هي شرط في الصحّة أو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من الإبانة ما هي شرط فيها أو فيه، و ان لم يدر على التعيين ما هي؟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الرجل بصدقة، قبضها صاحبها أ و لم يقبضها، علمت أ و لم تعلم، فهي جائزة</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هذا الحديث الردّ على العامّة الذين يقولون بعدم جواز التصدّق ما</w:t>
      </w:r>
    </w:p>
    <w:p>
      <w:pPr>
        <w:pStyle w:val="BookText"/>
        <w:rPr/>
      </w:pPr>
      <w:r>
        <w:rPr>
          <w:rFonts w:ascii="Amiri" w:hAnsi="Amiri" w:eastAsia="Amiri" w:cs="Amiri"/>
          <w:color w:val="111111"/>
          <w:sz w:val="28"/>
          <w:sz w:val="28"/>
          <w:szCs w:val="28"/>
          <w:rtl w:val="true"/>
          <w:lang w:bidi="ar-SA"/>
        </w:rPr>
        <w:t xml:space="preserve">لم يقبض، و ما لم يميّز و لم يشخّص و لم يعيّن </w:t>
      </w:r>
      <w:r>
        <w:rPr>
          <w:rStyle w:val="FootnoteAnchor"/>
          <w:rtl w:val="true"/>
        </w:rPr>
        <w:footnoteReference w:id="1644"/>
      </w:r>
      <w:r>
        <w:rPr>
          <w:rFonts w:ascii="Amiri" w:hAnsi="Amiri" w:eastAsia="Amiri" w:cs="Amiri"/>
          <w:color w:val="111111"/>
          <w:sz w:val="28"/>
          <w:sz w:val="28"/>
          <w:szCs w:val="28"/>
          <w:rtl w:val="true"/>
          <w:lang w:bidi="ar-SA"/>
        </w:rPr>
        <w:t>، مع أنّ الجواز معناه عدم المنع في الإباحة لا الصحّة و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يظهر من هذين الخبرين ما يخالف الأخبار الدالّة على أن القبض شرط الصحّة </w:t>
      </w:r>
      <w:r>
        <w:rPr>
          <w:rStyle w:val="FootnoteAnchor"/>
          <w:rtl w:val="true"/>
        </w:rPr>
        <w:footnoteReference w:id="1645"/>
      </w:r>
      <w:r>
        <w:rPr>
          <w:rFonts w:ascii="Amiri" w:hAnsi="Amiri" w:eastAsia="Amiri" w:cs="Amiri"/>
          <w:color w:val="111111"/>
          <w:sz w:val="28"/>
          <w:sz w:val="28"/>
          <w:szCs w:val="28"/>
          <w:rtl w:val="true"/>
          <w:lang w:bidi="ar-SA"/>
        </w:rPr>
        <w:t>، سيّما مع عدم ثبوت اتّحاد الصدقة و الهبة أو اتّحاد حكمهما، بل الظاهر عدم الاتّحاد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يحلّ له إذا لم يجعله للّه، و به يحصل التوافق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هذه الأخبار بحمل المطلق على المقيّد</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للأخبار </w:t>
      </w:r>
      <w:r>
        <w:rPr>
          <w:rStyle w:val="FootnoteAnchor"/>
          <w:rtl w:val="true"/>
        </w:rPr>
        <w:footnoteReference w:id="1647"/>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سوى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الظاهر في الكراهة؛ لأنّ الحرام لا يعبّر بما لا يدلّ على المنع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أرادوا الفتوى بالمنع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 جمعا من العامّة قالوا بعدم جواز الهبة قبل القبض، و قبل القسمة </w:t>
      </w:r>
      <w:r>
        <w:rPr>
          <w:rStyle w:val="FootnoteAnchor"/>
          <w:rtl w:val="true"/>
        </w:rPr>
        <w:footnoteReference w:id="1650"/>
      </w:r>
      <w:r>
        <w:rPr>
          <w:rFonts w:ascii="Amiri" w:hAnsi="Amiri" w:eastAsia="Amiri" w:cs="Amiri"/>
          <w:color w:val="111111"/>
          <w:sz w:val="28"/>
          <w:sz w:val="28"/>
          <w:szCs w:val="28"/>
          <w:rtl w:val="true"/>
          <w:lang w:bidi="ar-SA"/>
        </w:rPr>
        <w:t xml:space="preserve">، يعنون أنّ الشي‌ء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و ما لم يقبض لا يجوز أن يوهب، و هذه الأخبار كلّها ظاهرة في أنّ المراد هو الردّ عليهم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ذيل الرواية </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 يكون داخلا فيها، و تتمّة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المانعين من العامّة إنّما منعوا الهبة و النحلة، لا الصدقة أيضا، فأخطئوا حيث أمروا</w:t>
      </w:r>
      <w:bookmarkStart w:id="633" w:name="pg2470_12719"/>
    </w:p>
    <w:p>
      <w:pPr>
        <w:pStyle w:val="BookText"/>
        <w:rPr/>
      </w:pPr>
      <w:bookmarkEnd w:id="633"/>
      <w:r>
        <w:rPr>
          <w:rFonts w:ascii="Amiri" w:hAnsi="Amiri" w:eastAsia="Amiri" w:cs="Amiri"/>
          <w:color w:val="111111"/>
          <w:sz w:val="28"/>
          <w:sz w:val="28"/>
          <w:szCs w:val="28"/>
          <w:rtl w:val="true"/>
          <w:lang w:bidi="ar-SA"/>
        </w:rPr>
        <w:t xml:space="preserve">ذلك في الصدقة أيضا زعما منهم أنّه لا تفاوت، أو أنّها أيضا نحلة، و ليس مراده عليه السّلام أنّ حكمهم في النحلة صحيح، كما يصرّح في الأخبار بالجواز فيها أيضا </w:t>
      </w:r>
      <w:r>
        <w:rPr>
          <w:rStyle w:val="FootnoteAnchor"/>
          <w:rtl w:val="true"/>
        </w:rPr>
        <w:footnoteReference w:id="1652"/>
      </w:r>
      <w:r>
        <w:rPr>
          <w:rFonts w:ascii="Amiri" w:hAnsi="Amiri" w:eastAsia="Amiri" w:cs="Amiri"/>
          <w:color w:val="111111"/>
          <w:sz w:val="28"/>
          <w:sz w:val="28"/>
          <w:szCs w:val="28"/>
          <w:rtl w:val="true"/>
          <w:lang w:bidi="ar-SA"/>
        </w:rPr>
        <w:t xml:space="preserve">، بل المراد أنّ هذه الإرادة محض خطأ منهم؛ حيث أرادوا النحل، فأجروا في الصدقة و إن كان نفس حكمهم حكما بغير ما أنزل اللّه و افتراء على اللّه و هذا غير الخطأ؛ فإنّه أرادوا من واجباته شيئ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 فتأمّل</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3601740_3804643083"/>
      <w:bookmarkStart w:id="635" w:name="_Toc238"/>
      <w:bookmarkEnd w:id="634"/>
      <w:r>
        <w:rPr>
          <w:rtl w:val="true"/>
        </w:rPr>
        <w:t>[</w:t>
      </w:r>
      <w:r>
        <w:rPr>
          <w:rtl w:val="true"/>
        </w:rPr>
        <w:t>باب الهبة و النحلة</w:t>
      </w:r>
      <w:r>
        <w:rPr>
          <w:rtl w:val="true"/>
        </w:rPr>
        <w:t>]</w:t>
      </w:r>
      <w:bookmarkEnd w:id="6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كان له على رجل مال فوهبه لولده، فذكر له الرجل المال الذي له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في الدنيا و الآخرة، يطيب ذلك له و قد كان وهبه لولد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 وهبه له ثمّ نزعه فجعله لهذا</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بعض المتأخّرين بهذا الخبر على جواز هبة ما في الذمّة و صحّتها </w:t>
      </w:r>
      <w:r>
        <w:rPr>
          <w:rStyle w:val="FootnoteAnchor"/>
          <w:rtl w:val="true"/>
        </w:rPr>
        <w:footnoteReference w:id="1654"/>
      </w:r>
      <w:r>
        <w:rPr>
          <w:rFonts w:ascii="Amiri" w:hAnsi="Amiri" w:eastAsia="Amiri" w:cs="Amiri"/>
          <w:color w:val="111111"/>
          <w:sz w:val="28"/>
          <w:sz w:val="28"/>
          <w:szCs w:val="28"/>
          <w:rtl w:val="true"/>
          <w:lang w:bidi="ar-SA"/>
        </w:rPr>
        <w:t>، و فيه نظر ظاهر؛ لأنّ هبة الأب للولد الصغير جائزة لا رجوع فيها، و الحمل على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تقييد بغير دليل، و هو خلاف الأصل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تحقّق القبض، فلا تكون صحيحة على الأظهر، أو لازمة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لا دلالة فيه على صحّه هذه الهبة؛ لأنّ الأب رجع عنه، و رجوعه كان صحيحا، فظهر أنّها كانت صحيحة على الرأي الأظهر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الرأي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أنّ صحّة الرجوع من جهة عدم اللزوم</w:t>
      </w:r>
    </w:p>
    <w:p>
      <w:pPr>
        <w:pStyle w:val="BookText"/>
        <w:rPr/>
      </w:pPr>
      <w:r>
        <w:rPr>
          <w:rFonts w:ascii="Amiri" w:hAnsi="Amiri" w:eastAsia="Amiri" w:cs="Amiri"/>
          <w:color w:val="111111"/>
          <w:sz w:val="28"/>
          <w:sz w:val="28"/>
          <w:szCs w:val="28"/>
          <w:rtl w:val="true"/>
          <w:lang w:bidi="ar-SA"/>
        </w:rPr>
        <w:t xml:space="preserve">بأنّه إن وقع القبض ما كان يقدر على الرجوع على أنّه لم يقل بأنّه شرط اللزوم، بمعنى أنّه لو لم يتحقّق القبض أصلا يكون العقد صحيحا و يترتّب عليه الأثر الشرعي، بل القائل باللزوم يصرّح بأنّ القبض لو لم يقع لم يترتّب عليه أثر أصلا، و يدّعي الإجماع على ذلك </w:t>
      </w:r>
      <w:r>
        <w:rPr>
          <w:rStyle w:val="FootnoteAnchor"/>
          <w:rtl w:val="true"/>
        </w:rPr>
        <w:footnoteReference w:id="1655"/>
      </w:r>
      <w:r>
        <w:rPr>
          <w:rFonts w:ascii="Amiri" w:hAnsi="Amiri" w:eastAsia="Amiri" w:cs="Amiri"/>
          <w:color w:val="111111"/>
          <w:sz w:val="28"/>
          <w:sz w:val="28"/>
          <w:szCs w:val="28"/>
          <w:rtl w:val="true"/>
          <w:lang w:bidi="ar-SA"/>
        </w:rPr>
        <w:t>، بل يقول بأنّ العقد يثمر ثمرا متزلزلا، لا موقوفا على تحقّق القبض، فإن تحقّق القبض يتحقّق الثمر و يستقرّ و يرفع التزلزل، و يتحقّق اللزوم بهذا المعنى، أي الاستقرار و رفع التزلزل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يتحقّق لم يتحقّق الثمر أصلا و رأسا، فالقبض عنده شرط اللزوم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القائل بأنّه شرط الصحّة يقول بأنّ العقد لا يثمر أصلا، و إنّما الثمر بعد القبض، ليس إلّا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المحقّقون بأنّ محلّ نزاعهم هو هذا </w:t>
      </w:r>
      <w:r>
        <w:rPr>
          <w:rStyle w:val="FootnoteAnchor"/>
          <w:rtl w:val="true"/>
        </w:rPr>
        <w:footnoteReference w:id="1657"/>
      </w:r>
      <w:r>
        <w:rPr>
          <w:rFonts w:ascii="Amiri" w:hAnsi="Amiri" w:eastAsia="Amiri" w:cs="Amiri"/>
          <w:color w:val="111111"/>
          <w:sz w:val="28"/>
          <w:sz w:val="28"/>
          <w:szCs w:val="28"/>
          <w:rtl w:val="true"/>
          <w:lang w:bidi="ar-SA"/>
        </w:rPr>
        <w:t>لا أنّ العقد يثمر من دون توقّف على القبض أصلا، و أنّ القبض شرط في اللزوم، بمعنى عدم جواز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 هذا المعنى لكان محلّ نزاعهم معيّنا منحصرا في أنّ إثمار العقد غير متوقّف على القبض، و لم يقل أحد في أنّ هذا محلّ نزاعهم، بل صرّحوا بأنّ محلّ النزاع قد يتحقّق الثمر المتزلزل الموقوف على القبض من حين العقد إلى حين القبض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ينادي بأنّ القبض عند القائل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اللزوم شرط لتحقّق الثمر المتزلزل و استقراره و لزومه بهذا المعنى، و هذا بعينه هو شرط للصحّة؛ لأنّ الصحّة</w:t>
      </w:r>
    </w:p>
    <w:p>
      <w:pPr>
        <w:pStyle w:val="BookText"/>
        <w:rPr/>
      </w:pPr>
      <w:r>
        <w:rPr>
          <w:rFonts w:ascii="Amiri" w:hAnsi="Amiri" w:eastAsia="Amiri" w:cs="Amiri"/>
          <w:color w:val="111111"/>
          <w:sz w:val="28"/>
          <w:sz w:val="28"/>
          <w:szCs w:val="28"/>
          <w:rtl w:val="true"/>
          <w:lang w:bidi="ar-SA"/>
        </w:rPr>
        <w:t>عبارة عن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أنّه يزيد عدم قيد الاستقرار و اللزوم بالمعنى الذي قلنا، و هذا القدر لا يقتضي أن يكون الثمر غير موقوف على القبض، بل قد عرفت أنّه ينادي بالتوقّف على القبض، و أنّه الذي يتحقّق به ترتّب الأثر، كما ذكرنا تصريحهم بهذا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ينادي أيضا أنّهم جعلوا الثمر الآخر لمحلّ النزاع إذا مات الموهوب له قبل القبض، فالقائل بكونه شرط اللزوم يقول بأنّ الوارث يقوم مقامه في القبض </w:t>
      </w:r>
      <w:r>
        <w:rPr>
          <w:rStyle w:val="FootnoteAnchor"/>
          <w:rtl w:val="true"/>
        </w:rPr>
        <w:footnoteReference w:id="1659"/>
      </w:r>
      <w:r>
        <w:rPr>
          <w:rFonts w:ascii="Amiri" w:hAnsi="Amiri" w:eastAsia="Amiri" w:cs="Amiri"/>
          <w:color w:val="111111"/>
          <w:sz w:val="28"/>
          <w:sz w:val="28"/>
          <w:szCs w:val="28"/>
          <w:rtl w:val="true"/>
          <w:lang w:bidi="ar-SA"/>
        </w:rPr>
        <w:t>، لا أنّه لا حاجة إلى القبض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ينادي أيضا تصريحهم بأنّ القبض شرط في العقد مطلقا، إنّما النزاع في كونه شرط اللزوم أو الصحّة، مع تصريحهم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ينادي أيضا أنّهم لم يذكروا ثمرة اللزوم أصلا، سوى ثمرة النزاع التي ذكرنا، مع أنّهم لم يذكروا أنّها ثمرة النزاع في كونه شرط اللزوم أو الصحّة، فيظهر أنّ تلك الثمرة ثمرة اللزوم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ينادي أيضا أنّ الشيخ الذي هو من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باللزوم يصرّح بأنّ التملّك لا يتحقّق أصلا إلّا بالقبض، حتّى بعنوان الكشف أيضا لا يتحقّق، بل الثمرة لا تتحقّق إلّا بعد القبض، و مع ذلك يقول بعدم بطلان الهبة بموت الواهب، و توقّفه على قبض الوارث </w:t>
      </w:r>
      <w:r>
        <w:rPr>
          <w:rStyle w:val="FootnoteAnchor"/>
          <w:rtl w:val="true"/>
        </w:rPr>
        <w:footnoteReference w:id="1660"/>
      </w:r>
      <w:r>
        <w:rPr>
          <w:rFonts w:ascii="Amiri" w:hAnsi="Amiri" w:eastAsia="Amiri" w:cs="Amiri"/>
          <w:color w:val="111111"/>
          <w:sz w:val="28"/>
          <w:sz w:val="28"/>
          <w:szCs w:val="28"/>
          <w:rtl w:val="true"/>
          <w:lang w:bidi="ar-SA"/>
        </w:rPr>
        <w:t>فالصحّة عند الشيخ عبارة عن قابليّة الأثر و اللزوم عن فعليّة الأثر، و ترتّبه على قياس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الفضولي صحيح موقوف على الإجازة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القائلين باللزوم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 باللزوم يصرّح ببطلان الهبة بموت المتّهب قبل القبض، و يقول بأنّها هل تبطل</w:t>
      </w:r>
    </w:p>
    <w:p>
      <w:pPr>
        <w:pStyle w:val="BookText"/>
        <w:rPr/>
      </w:pPr>
      <w:r>
        <w:rPr>
          <w:rFonts w:ascii="Amiri" w:hAnsi="Amiri" w:eastAsia="Amiri" w:cs="Amiri"/>
          <w:color w:val="111111"/>
          <w:sz w:val="28"/>
          <w:sz w:val="28"/>
          <w:szCs w:val="28"/>
          <w:rtl w:val="true"/>
          <w:lang w:bidi="ar-SA"/>
        </w:rPr>
        <w:t xml:space="preserve">بموت الواهب قبل القبض أم لا؟ و تفرّعه على الخلاف في شرطيّة اللزوم أو شرطيّة الصحّة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وهبه له</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معناه أنّه عند نفسه و إرادته وهب ثمّ نزع، لا أنّه وقع هبة صحيحة بحسب الشرع إلّا أنّ الأب نزع منه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معنى الهبة ليس إلّا أنّ الواهب أخرج عن ملكه، و أدخله في ملك الموهوب له، فالمعنى أنّ الواهب أنشأ إخراجه عن ملكه و إدخاله في ملك ولده، ثمّ نزعه عنه،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إثبات إبطال ما عليه جلّ الفقهاء بمثل هذا الخبر،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الاستدلال لهم بأنّ مقتضى الأخبار الدالّة على اشتراط القبض كون الموهوب بنفسه مقبوضا، و أنّه لو لم يكن كذلك يكون باطلا مطلقا على قول، أو لا يثمر على القول بكون القبض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لأنّهم لا يقولون بغير ثمر، بل مرادهم ثمرات ذكروها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قبض الفرد عن الكلّ في البيع و غيره فإنّما يكون لدليل من إجماع أو غيره، و لا دليل في المقام، لو لم نقل بالدليل على عدم الكفاية من إجماع أو نصّ،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جاريته</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الوجه أنّ الجدّ أبصر ببنتيه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هذا المال ذخرا لا 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لعلّه ما وهب بعد، أو ما أوجد القبض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لا تكون أبدا هبة حتّى يقبضها، و الصدقة جائزة عليه</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يدلّ على أنّ القبض شرط في صحّة الهبة، بل الظاهر أنّ القائل بكونه شرطا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يثمر حتّى يقبضها، إلّا أنّه بعد القبض، و بالقبض الثمر السابق على القبض أيضا، و هو خلاف ظاهر هذا الحديث، و صريح الأخبار على أنّها بالموت تصير ميراثا، من دون التقييد بما إذا لم يقم الوارث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ما عليه معظم الأصحاب، من أنّه شرط الصحّة، مع أنّا لم نجد حديثا يدلّ على كونه شرط اللزوم، مع أنّ الأصل أيضا يدلّ على ما عليه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بهذه الرواية على أنّ القبض شرط في اللزوم </w:t>
      </w:r>
      <w:r>
        <w:rPr>
          <w:rStyle w:val="FootnoteAnchor"/>
          <w:rtl w:val="true"/>
        </w:rPr>
        <w:footnoteReference w:id="1665"/>
      </w:r>
      <w:r>
        <w:rPr>
          <w:rFonts w:ascii="Amiri" w:hAnsi="Amiri" w:eastAsia="Amiri" w:cs="Amiri"/>
          <w:color w:val="111111"/>
          <w:sz w:val="28"/>
          <w:sz w:val="28"/>
          <w:szCs w:val="28"/>
          <w:rtl w:val="true"/>
          <w:lang w:bidi="ar-SA"/>
        </w:rPr>
        <w:t>دون الصحّة، و لا يخفى ما فيه؛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مخالفتها للفتوى من تضمّنه الفرق بين النحلة و الهبة فيما ذكر، و أنّه بعد القبض لا يجوز الرجوع، كما يظهر من لفظ الجواز، إذا كان بمعنى الإمضاء، لا بمعناه الأصلي، و أنّه لا وجه لذكر القسمة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الظاهر أنّ المراد من الجواز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العامّة القائلين بعدم الجواز ما لم يقبض و ما لم يقسم، كما ذكرنا في الباب الماضي </w:t>
      </w:r>
      <w:r>
        <w:rPr>
          <w:rStyle w:val="FootnoteAnchor"/>
          <w:rtl w:val="true"/>
        </w:rPr>
        <w:footnoteReference w:id="1666"/>
      </w:r>
      <w:r>
        <w:rPr>
          <w:rFonts w:ascii="Amiri" w:hAnsi="Amiri" w:eastAsia="Amiri" w:cs="Amiri"/>
          <w:color w:val="111111"/>
          <w:sz w:val="28"/>
          <w:sz w:val="28"/>
          <w:szCs w:val="28"/>
          <w:rtl w:val="true"/>
          <w:lang w:bidi="ar-SA"/>
        </w:rPr>
        <w:t>، و ذكرنا وجه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أراد الناس</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اتّحاد تلك الرواية مع هذه الرواية، إلّا أنّه وقع من الراوي هنا وهم، و نقل بالمعنى، فتأمّل</w:t>
      </w:r>
      <w:r>
        <w:rPr>
          <w:rFonts w:eastAsia="Amiri" w:cs="Amiri" w:ascii="Amiri" w:hAnsi="Amiri"/>
          <w:color w:val="111111"/>
          <w:sz w:val="28"/>
          <w:szCs w:val="28"/>
          <w:rtl w:val="true"/>
          <w:lang w:bidi="ar-SA"/>
        </w:rPr>
        <w:t>!</w:t>
      </w:r>
      <w:bookmarkStart w:id="636" w:name="pg2470_12724"/>
    </w:p>
    <w:p>
      <w:pPr>
        <w:pStyle w:val="BookText"/>
        <w:rPr/>
      </w:pPr>
      <w:bookmarkEnd w:id="63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يعطى العبد من الزكاة شيئا</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حمل زكاة التجارة على الاتّقاء، من جهة أنّ السلاطين يأخذون زكاة التجارة، أو على الاستحباب، فتأمّل</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3601742_3804643083"/>
      <w:bookmarkStart w:id="638" w:name="_Toc239"/>
      <w:bookmarkEnd w:id="637"/>
      <w:r>
        <w:rPr>
          <w:rtl w:val="true"/>
        </w:rPr>
        <w:t>[</w:t>
      </w:r>
      <w:r>
        <w:rPr>
          <w:rtl w:val="true"/>
        </w:rPr>
        <w:t>باب السكنى و العمرى و الرقبى و الحبيس</w:t>
      </w:r>
      <w:r>
        <w:rPr>
          <w:rtl w:val="true"/>
        </w:rPr>
        <w:t>]</w:t>
      </w:r>
      <w:bookmarkEnd w:id="6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مضطرّون إذا كان على ما 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الحمل على معنى المنفعة، أو على أنّ العتق فاسد بسبب كونه معلّقا؛ فإنّ الفقهاء يحكمون ببطلان العتق المعلّق على الوقت مطلقا</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3601744_3804643083"/>
      <w:bookmarkStart w:id="640" w:name="_Toc240"/>
      <w:bookmarkEnd w:id="639"/>
      <w:r>
        <w:rPr>
          <w:rtl w:val="true"/>
        </w:rPr>
        <w:t>[</w:t>
      </w:r>
      <w:r>
        <w:rPr>
          <w:rtl w:val="true"/>
        </w:rPr>
        <w:t>باب الوقف</w:t>
      </w:r>
      <w:r>
        <w:rPr>
          <w:rtl w:val="true"/>
        </w:rPr>
        <w:t>]</w:t>
      </w:r>
      <w:bookmarkEnd w:id="6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يقسّم بينهم، يتوارثون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بقوا و بقيت الغلّة</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هذا كون الوقف على خصوص القرابة، لا عليهم و على أعقابهم أيضا، بل الأعقاب يستحقّونه بعنوان الإرث</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فيشكل الاستدلال بهذه الرواية على جواز بيع الوقف المؤبّد الذي على</w:t>
      </w:r>
    </w:p>
    <w:p>
      <w:pPr>
        <w:pStyle w:val="BookText"/>
        <w:rPr/>
      </w:pPr>
      <w:r>
        <w:rPr>
          <w:rFonts w:ascii="Amiri" w:hAnsi="Amiri" w:eastAsia="Amiri" w:cs="Amiri"/>
          <w:color w:val="111111"/>
          <w:sz w:val="28"/>
          <w:sz w:val="28"/>
          <w:szCs w:val="28"/>
          <w:rtl w:val="true"/>
          <w:lang w:bidi="ar-SA"/>
        </w:rPr>
        <w:t xml:space="preserve">الأعقاب أيضا، على حسب ما سنذكره في صحيحة ابن مهزيار الآتية </w:t>
      </w:r>
      <w:r>
        <w:rPr>
          <w:rStyle w:val="FootnoteAnchor"/>
          <w:rtl w:val="true"/>
        </w:rPr>
        <w:footnoteReference w:id="1671"/>
      </w:r>
      <w:r>
        <w:rPr>
          <w:rFonts w:ascii="Amiri" w:hAnsi="Amiri" w:eastAsia="Amiri" w:cs="Amiri"/>
          <w:color w:val="111111"/>
          <w:sz w:val="28"/>
          <w:sz w:val="28"/>
          <w:szCs w:val="28"/>
          <w:rtl w:val="true"/>
          <w:lang w:bidi="ar-SA"/>
        </w:rPr>
        <w:t>، حتّى تدلّ على جواز الوقف على المنقرض و كونه وقفا لا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جاء في الاختلاف ما فيه تلف الأموال و النفوس</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هذا الحديث إنّما هو ما ذكره الصدوق أنّ الموقوف عليهم هم الجماعة الموجودون خاصّة، فيشكل إثبات صحّة بيع الوقف المؤبّد الذي كان وقفا على ما تعاقبوا أيضا </w:t>
      </w:r>
      <w:r>
        <w:rPr>
          <w:rStyle w:val="FootnoteAnchor"/>
          <w:rtl w:val="true"/>
        </w:rPr>
        <w:footnoteReference w:id="1673"/>
      </w:r>
      <w:r>
        <w:rPr>
          <w:rFonts w:ascii="Amiri" w:hAnsi="Amiri" w:eastAsia="Amiri" w:cs="Amiri"/>
          <w:color w:val="111111"/>
          <w:sz w:val="28"/>
          <w:sz w:val="28"/>
          <w:szCs w:val="28"/>
          <w:rtl w:val="true"/>
          <w:lang w:bidi="ar-SA"/>
        </w:rPr>
        <w:t xml:space="preserve">لمعارضته للأخبار الدالّة على أنّ الوق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على حسب ما يوقفها أهلها </w:t>
      </w:r>
      <w:r>
        <w:rPr>
          <w:rStyle w:val="FootnoteAnchor"/>
          <w:rtl w:val="true"/>
        </w:rPr>
        <w:footnoteReference w:id="1674"/>
      </w:r>
      <w:r>
        <w:rPr>
          <w:rFonts w:ascii="Amiri" w:hAnsi="Amiri" w:eastAsia="Amiri" w:cs="Amiri"/>
          <w:color w:val="111111"/>
          <w:sz w:val="28"/>
          <w:sz w:val="28"/>
          <w:szCs w:val="28"/>
          <w:rtl w:val="true"/>
          <w:lang w:bidi="ar-SA"/>
        </w:rPr>
        <w:t>، و كذا مخالفته للقواعد من عدم جواز بيع حقّ مستحقّ اخر، سيّما إذا كانوا معدومين و غير محصورين، و كذا عدم جواز بيع الحق المشترك بغير إذن الشريك،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هذا الحديث أيضا صحّة الوقف على من ينقرض غالبا، و انّه وقف لا حبس، كما نقل عن بعض الأصحاب </w:t>
      </w:r>
      <w:r>
        <w:rPr>
          <w:rStyle w:val="FootnoteAnchor"/>
          <w:rtl w:val="true"/>
        </w:rPr>
        <w:footnoteReference w:id="1675"/>
      </w:r>
      <w:r>
        <w:rPr>
          <w:rFonts w:ascii="Amiri" w:hAnsi="Amiri" w:eastAsia="Amiri" w:cs="Amiri"/>
          <w:color w:val="111111"/>
          <w:sz w:val="28"/>
          <w:sz w:val="28"/>
          <w:szCs w:val="28"/>
          <w:rtl w:val="true"/>
          <w:lang w:bidi="ar-SA"/>
        </w:rPr>
        <w:t xml:space="preserve">، و صحيحة الصفّار </w:t>
      </w:r>
      <w:r>
        <w:rPr>
          <w:rStyle w:val="FootnoteAnchor"/>
          <w:rtl w:val="true"/>
        </w:rPr>
        <w:footnoteReference w:id="1676"/>
      </w:r>
      <w:r>
        <w:rPr>
          <w:rFonts w:ascii="Amiri" w:hAnsi="Amiri" w:eastAsia="Amiri" w:cs="Amiri"/>
          <w:color w:val="111111"/>
          <w:sz w:val="28"/>
          <w:sz w:val="28"/>
          <w:szCs w:val="28"/>
          <w:rtl w:val="true"/>
          <w:lang w:bidi="ar-SA"/>
        </w:rPr>
        <w:t xml:space="preserve">السابقة أيضا تدلّ على ذلك، و كذا رواية جعفر بن حنان </w:t>
      </w:r>
      <w:r>
        <w:rPr>
          <w:rStyle w:val="FootnoteAnchor"/>
          <w:rtl w:val="true"/>
        </w:rPr>
        <w:footnoteReference w:id="167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أوقف ثمّ مات صاحبه و عليه دين لا يفي ماله إذا وقف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المراد أنّ مديونا أوصى بوقف، ثمّ مات صاحب الوقف الذي هو الموصي، و عليه دين لا يفي ماله إذا وقف ذلك الوقف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فمعنى أوقف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معرض الوقف، أو حكم بالوقف، أو أمر بالوقف، لا أنّه وقف؛ إذ لا معنى حينئذ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يكون المراد من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الظاهر من هذا الحديث أنّه لم يتحقّق الوقف من الصاحب، بل الحكم بالوقف، و الأمر به، و الوصيّة به، و أمثال ذلك، و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و هو كناية عن العتق عن دبر؛ فإنّه نوع وقف لغوي،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ببالي، عن والدي رحمه اللّه أنّ المدين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المرهون، و فسّر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إِنْ كُنْتُمْ غَيْرَ 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Style w:val="FootnoteAnchor"/>
          <w:rtl w:val="true"/>
        </w:rPr>
        <w:footnoteReference w:id="1679"/>
      </w:r>
      <w:r>
        <w:rPr>
          <w:rFonts w:ascii="Amiri" w:hAnsi="Amiri" w:eastAsia="Amiri" w:cs="Amiri"/>
          <w:color w:val="111111"/>
          <w:sz w:val="28"/>
          <w:sz w:val="28"/>
          <w:szCs w:val="28"/>
          <w:rtl w:val="true"/>
          <w:lang w:bidi="ar-SA"/>
        </w:rPr>
        <w:t>بذلك، و حينئذ فلا إشكال،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أنت أكلت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تنفذ إن كان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فبع</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هذا ما ذكره الفقهاء من أنّه يجب على الواقف إخراج الوقف عن 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وقف،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الوقوف</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أيضا ظاهر في عدم جواز شراء الوقف مطلقا، من غير تقييد و تخصيص</w:t>
      </w:r>
      <w:r>
        <w:rPr>
          <w:rFonts w:eastAsia="Amiri" w:cs="Amiri" w:ascii="Amiri" w:hAnsi="Amiri"/>
          <w:color w:val="111111"/>
          <w:sz w:val="28"/>
          <w:szCs w:val="28"/>
          <w:rtl w:val="true"/>
          <w:lang w:bidi="ar-SA"/>
        </w:rPr>
        <w:t>.</w:t>
      </w:r>
      <w:bookmarkStart w:id="641" w:name="pg2470_12727"/>
    </w:p>
    <w:p>
      <w:pPr>
        <w:pStyle w:val="Heading2"/>
        <w:numPr>
          <w:ilvl w:val="1"/>
          <w:numId w:val="1"/>
        </w:numPr>
        <w:rPr/>
      </w:pPr>
      <w:bookmarkStart w:id="642" w:name="__RefHeading___Toc3601746_3804643083"/>
      <w:bookmarkStart w:id="643" w:name="_Toc241"/>
      <w:bookmarkEnd w:id="641"/>
      <w:bookmarkEnd w:id="642"/>
      <w:r>
        <w:rPr>
          <w:rtl w:val="true"/>
        </w:rPr>
        <w:t>كتاب الصيام و الاعتكاف و المعاهدات</w:t>
      </w:r>
      <w:bookmarkEnd w:id="64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4" w:name="__RefHeading___Toc3601748_3804643083"/>
      <w:bookmarkStart w:id="645" w:name="_Toc242"/>
      <w:bookmarkEnd w:id="644"/>
      <w:r>
        <w:rPr>
          <w:rtl w:val="true"/>
        </w:rPr>
        <w:t>اشارة</w:t>
      </w:r>
      <w:bookmarkStart w:id="646" w:name="pg2470_12729"/>
      <w:bookmarkEnd w:id="645"/>
    </w:p>
    <w:p>
      <w:pPr>
        <w:pStyle w:val="Heading3"/>
        <w:numPr>
          <w:ilvl w:val="2"/>
          <w:numId w:val="1"/>
        </w:numPr>
        <w:rPr/>
      </w:pPr>
      <w:bookmarkStart w:id="647" w:name="__RefHeading___Toc3601750_3804643083"/>
      <w:bookmarkStart w:id="648" w:name="_Toc243"/>
      <w:bookmarkEnd w:id="646"/>
      <w:bookmarkEnd w:id="647"/>
      <w:r>
        <w:rPr>
          <w:rtl w:val="true"/>
        </w:rPr>
        <w:t>[</w:t>
      </w:r>
      <w:r>
        <w:rPr>
          <w:rtl w:val="true"/>
        </w:rPr>
        <w:t>أبواب فرض الصيام و فضله و علّته و أقسامه و علامة دخول الشهر</w:t>
      </w:r>
      <w:r>
        <w:rPr>
          <w:rtl w:val="true"/>
        </w:rPr>
        <w:t>]</w:t>
      </w:r>
      <w:bookmarkEnd w:id="648"/>
    </w:p>
    <w:p>
      <w:pPr>
        <w:pStyle w:val="Heading4"/>
        <w:numPr>
          <w:ilvl w:val="3"/>
          <w:numId w:val="1"/>
        </w:numPr>
        <w:rPr/>
      </w:pPr>
      <w:bookmarkStart w:id="649" w:name="__RefHeading___Toc3601752_3804643083"/>
      <w:bookmarkStart w:id="650" w:name="_Toc244"/>
      <w:bookmarkEnd w:id="649"/>
      <w:r>
        <w:rPr>
          <w:rtl w:val="true"/>
        </w:rPr>
        <w:t>[</w:t>
      </w:r>
      <w:r>
        <w:rPr>
          <w:rtl w:val="true"/>
        </w:rPr>
        <w:t>باب صيام المسافر</w:t>
      </w:r>
      <w:r>
        <w:rPr>
          <w:rtl w:val="true"/>
        </w:rPr>
        <w:t>]</w:t>
      </w:r>
      <w:bookmarkEnd w:id="6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1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أبينها من شهد فليصمه، و من سافر فلا يصمه</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المراد أنّ الصوم الذي أمر اللّه تعالى به إنّما هو على الحاضر،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عليه أن يصومه؛ فالمسافر ليس شهد بلا شبهة، فليس عليه هذا التكليف،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في مقام توهّم الأمر، فلا يفيد سوى إباحة الترك، و رفع الأمر و الوجوب المذكور، كما حقّق في محلّه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محمولا على الحرمة، بضميمة قاعدة اخرى، و هي أنّ العبادة إذا لم تكن مأمورا بها، و مطلوبا من المكلّف تكون بدعة حراما، فإذا أنّ الطلب لم</w:t>
      </w:r>
      <w:bookmarkStart w:id="651" w:name="pg2470_12730"/>
    </w:p>
    <w:p>
      <w:pPr>
        <w:pStyle w:val="BookText"/>
        <w:rPr/>
      </w:pPr>
      <w:bookmarkEnd w:id="651"/>
      <w:r>
        <w:rPr>
          <w:rFonts w:ascii="Amiri" w:hAnsi="Amiri" w:eastAsia="Amiri" w:cs="Amiri"/>
          <w:color w:val="111111"/>
          <w:sz w:val="28"/>
          <w:sz w:val="28"/>
          <w:szCs w:val="28"/>
          <w:rtl w:val="true"/>
          <w:lang w:bidi="ar-SA"/>
        </w:rPr>
        <w:t>يتعلّق إلّا بمن شهد، يكون صوم المسافر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مجموع الآية،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يعني إلى اخر الآية، و ذلك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ظاهر في أنّ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فإذا كان مسافرا فلا يصومه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الدلالة أنّ المبتدأ اسم موصول دخل الفاء في خبره فتضمّن معنى الشرط، فيصير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حاضرين فصوموا، و فيه أنّ المفهوم أنّ المسافر لا يجب عليه، لا أنّه لا يصومه، إلّا أن يكون مراده أيضا ما ذكرناه،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ورد فيه من الرخصة ما نقلنا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الحظر إلى الكراهة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 الروايتين </w:t>
      </w:r>
      <w:r>
        <w:rPr>
          <w:rStyle w:val="FootnoteAnchor"/>
          <w:rtl w:val="true"/>
        </w:rPr>
        <w:footnoteReference w:id="1686"/>
      </w:r>
      <w:r>
        <w:rPr>
          <w:rFonts w:ascii="Amiri" w:hAnsi="Amiri" w:eastAsia="Amiri" w:cs="Amiri"/>
          <w:color w:val="111111"/>
          <w:sz w:val="28"/>
          <w:sz w:val="28"/>
          <w:szCs w:val="28"/>
          <w:rtl w:val="true"/>
          <w:lang w:bidi="ar-SA"/>
        </w:rPr>
        <w:t>في غاية الضعف، فلا يقاوم الأخبار الدالّة على المنع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بهما، مضافا إلى غاية شهرتها بين العامّة و الخاصّة إلى حدّ يمكن أن يقال بكونها متواترة، مع أنّها أبعد من مذهب العامّة، و أوفق بالقرآن، و أشهر في الفتوى، فتأمّل</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3601754_3804643083"/>
      <w:bookmarkStart w:id="653" w:name="_Toc245"/>
      <w:bookmarkEnd w:id="652"/>
      <w:r>
        <w:rPr>
          <w:rtl w:val="true"/>
        </w:rPr>
        <w:t>[</w:t>
      </w:r>
      <w:r>
        <w:rPr>
          <w:rtl w:val="true"/>
        </w:rPr>
        <w:t>باب صيام يوم الشكّ</w:t>
      </w:r>
      <w:r>
        <w:rPr>
          <w:rtl w:val="true"/>
        </w:rPr>
        <w:t>]</w:t>
      </w:r>
      <w:bookmarkEnd w:id="65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تصمه إلّا للرؤية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الظاهر من هذا الكلام أنّ المعتبر في الرؤية هو الرؤية المتعارفة، بأن يرى ثمّ يصوم، فيظهر منه عدم العبرة بالرؤية قبل الزوال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للرؤية، و الفطر للرؤية، و ليس منّا من صام قبل الرؤية للرؤية، و أفطر قبل الرؤية للرؤية،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ترى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أصوم يوما من شعبان أحبّ إليّ من أن افطر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هذه الأخبار أنّ الرؤية علّة لتحقّق وجوب الصوم، و العلّة مقدّمة على المعلول، و الصوم عبارة عن الإمساك المخصوص من أوّل الفجر إلى اخر اليوم، و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بعض اليوم قطعا، و جواز وقوع النيّة قبل الزوال لا يقتضي أن يكون بعد النيّة صوما، بل الصوم من أوّل الفجر، و النيّة مؤثّرة في جعل مجموع الإمساك الواقع من أوّل الفجر إلى الغروب صوما شرعا، و المتبادر من لفظ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الامتثال بعنوان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بعض اليوم لا يصير صوما، و أنّ الصوم من الفجر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عليه بين الشيعة، بل المسلمين،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ضروريّات الدين، و ظاهر من الأخبار، و لذلك من أتى بمفطر بعد الفجر لا يمكنه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يصوم صوم التأديب، و هو مجرّد الإمساك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هذه الأخبار بظواهرها تدلّ على أنّ الرؤية قبل الزوال لا تصير منشأ لوجوب الصوم؛ إذ لو صار منشأ لزم أن يكون العلّة واقعة بين المعلول، و قدر</w:t>
      </w:r>
    </w:p>
    <w:p>
      <w:pPr>
        <w:pStyle w:val="BookText"/>
        <w:rPr/>
      </w:pPr>
      <w:r>
        <w:rPr>
          <w:rFonts w:ascii="Amiri" w:hAnsi="Amiri" w:eastAsia="Amiri" w:cs="Amiri"/>
          <w:color w:val="111111"/>
          <w:sz w:val="28"/>
          <w:sz w:val="28"/>
          <w:szCs w:val="28"/>
          <w:rtl w:val="true"/>
          <w:lang w:bidi="ar-SA"/>
        </w:rPr>
        <w:t>من المعلول تقدّم على العلّة، هذا بحسب الظاهر، و إلّا يقبل التوجيه في بعض الأفراد التي دلّت من الخارج على الصحّة، و كلامنا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هذه الأخبار ما ورد من بعض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الهلال فصم</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فإنّه يقتضي أن يكون وجوب الصوم مشروطا بتحقّق الرؤية قبله حتّى يقع بعدها، لا أنّه يكفي التحقّق و لو في أثناء الصوم، و يتحقّق بعض الصوم متقدّما على الشرط،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1690"/>
      </w:r>
      <w:r>
        <w:rPr>
          <w:rFonts w:ascii="Amiri" w:hAnsi="Amiri" w:eastAsia="Amiri" w:cs="Amiri"/>
          <w:color w:val="111111"/>
          <w:sz w:val="28"/>
          <w:sz w:val="28"/>
          <w:szCs w:val="28"/>
          <w:rtl w:val="true"/>
          <w:lang w:bidi="ar-SA"/>
        </w:rPr>
        <w:t>يقتضي أن يكون وجوب الاطّهار بعد الجنابة، لا أنّه يكفي وقوعها و لو في أثناء الاطّهار، إلّا أن يدلّ من الخارج دليل على الكفاية،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ظهر ما قال المحقّقون من أنّ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مشيرين إلى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بطلان مذهب من قال بأنّ الرؤية قبل الزوال يكفي للوجوب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إنشاء الصوم بعد الرؤية، و عرفت أنّ المتبادر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الصوم هو الإمساك من أوّل الفجر على سبيل القصد، على أنّ المتبادر من إنشاء الصوم إحداثه على سبيل القصد، و لا شكّ في أنّ المتبادر من الصوم المطلق هو الإمساك المخصوص، أعني من أول الفجر إلى الغروب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أيضا أنّه ليس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أنّه ينصرف إلى الأفراد الشائعة،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الوضوء ينصرف إلى وجه مستوي الخلقة، لا الأغم، و لا الأنزع، و كذا الحال في مطلقات الآية و الحديث، و بناء الفقه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الشائع وقوع الاستهلال بعد الزوال و الرؤية كذلك، و من عند الإطلاق لا ينصرف الذهن إلّا إلى ذلك، فيصير المعنى أنّ وجوب الصوم و الفطر مشروط بالرؤية الشائعة، و المشروط عدم عند عدم شرطه، و كذا الحال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من هذه الأخبار كون وجوب الصوم و الفطر بالنسبة إلى الرؤية على نهج واحد، لا أنّه في ساعة يجب من الحين، بل و ربّما يتقدّم بعض منه، و في ساعة اخرى يجب من الغد كما يقول به من اعتبر الرؤية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نرى أنّا نفهم كذلك ما بعد الزوال إلى الغروب، و بعد الغروب، و في الليل بالنسبة إلى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الشمس كذلك و من الطلوع إلى الزوال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المفهوم و المنطوق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 الزوال إلى ما بعد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فلازم ذلك أن يكون ما قبل الزوال و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واحد؛ لأنّ علّة الفهم في الكلّ مشتركة، و لذا نجزم أنّه لو لم يرد الأخبار الدالّة على التفاوت بين ما قبل الزوال و ما بعده لكان القائل بالتفاوت يقول بعدم التفاوت، و يجعل حالهما حال سائرهما من الأوقات جزما، و ليس ذلك من جهة الدلالة،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وجود معارض مقاوم، بل يكون أقوى أيضا، حتّى يرجّح على هذه الأخبار و ليس، كما ستعرف من أنّه لا قائل بالفصل بين الصوم و الفطر، مع أنّ السياق يقتضي أن يكون حال الصوم و الفطر واحدا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أنّ الأخبار المتواترة تدلّ على المذهب المشهور من وجوه كثيرة، و لذا قال جدّي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اعتمادي على الأخبار المتواترة الدالّة على عدم العبرة بالرؤية قبل الزوال</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 بل ادّعى اليقين و العلم بالدلالة و الإرادة،</w:t>
      </w:r>
    </w:p>
    <w:p>
      <w:pPr>
        <w:pStyle w:val="BookText"/>
        <w:rPr/>
      </w:pPr>
      <w:r>
        <w:rPr>
          <w:rFonts w:ascii="Amiri" w:hAnsi="Amiri" w:eastAsia="Amiri" w:cs="Amiri"/>
          <w:color w:val="111111"/>
          <w:sz w:val="28"/>
          <w:sz w:val="28"/>
          <w:szCs w:val="28"/>
          <w:rtl w:val="true"/>
          <w:lang w:bidi="ar-SA"/>
        </w:rPr>
        <w:t>و له وجه؛ لأنّ حمل المتواتر على الرؤية قبل الزوال بأن يكون المراد هذه الرؤية دون الرؤية بعد الزوال فاسد قطعا؛ لأنّ الرؤية بعد الزوال داخلة في المراد يقينا، لو لم نقل بانحصار المراد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الصوم و الإفطار يكونان من الغد بالنسبة، و الأمر بهما باتّحادهما من الغد بالضرورة من الدين، و كذا الصوم صوم مجموع اليوم و أنّ إيجاده و إنشائه من أوّل الفجر كما ذكرنا، فالمتبادر ذلك، بالقياس إلى الرؤية بعد الزوال، و المقصود و المراد هو ذلك يقينا،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أنّ الإطلاق في الرؤية،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الشائع يخدشه أنّ الصوم المأمور به في هذه الأخبار أيضا مطلق، فينصرف إلى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الانصراف ليس إلّا المعهوديّة و الحضور في الأذهان، و لا شكّ في لفظ الصوم المأمور به، و صوم رمضان عند الإطلاق ينصرف الذهن منه إلى ما هو الفرض من اللّه تعالى، المعروف المعهود المعلوم بالضرورة من الدين؛ لكونه هو المعهود، و هو الحاضر في الأذهان من دون مدخليّة العوارض، من قبيل الثبوت بالرؤية أو الشهود أو غيرهما فضلا عن الرؤية قبل الزوال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الحال في سائر فرائض اللّه المعلومة، مثل الفرائض اليوميّة، و الزكاة الواجبة،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ظاهر أنّ المعصوم عليه السّلام في صدد بيان علامة دخول شهر رمضان، و دليل ثبوته، و تحقّقه من حيث أنّه شهر رمضان، كما لا يخفى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 تسعا و عشرين ليلة</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bookmarkStart w:id="654" w:name="pg2470_12735"/>
    </w:p>
    <w:p>
      <w:pPr>
        <w:pStyle w:val="BookText"/>
        <w:rPr/>
      </w:pPr>
      <w:bookmarkEnd w:id="654"/>
      <w:r>
        <w:rPr>
          <w:rFonts w:ascii="IRNazanin" w:hAnsi="IRNazanin" w:eastAsia="IRNazanin"/>
          <w:color w:val="111111"/>
          <w:sz w:val="28"/>
          <w:sz w:val="28"/>
          <w:szCs w:val="28"/>
          <w:rtl w:val="true"/>
          <w:lang w:bidi="fa-IR"/>
        </w:rPr>
        <w:t xml:space="preserve">هذان الخبران </w:t>
      </w:r>
      <w:r>
        <w:rPr>
          <w:rStyle w:val="FootnoteAnchor"/>
          <w:rtl w:val="true"/>
        </w:rPr>
        <w:footnoteReference w:id="1694"/>
      </w:r>
      <w:r>
        <w:rPr>
          <w:rFonts w:ascii="Amiri" w:hAnsi="Amiri" w:eastAsia="Amiri" w:cs="Amiri"/>
          <w:color w:val="111111"/>
          <w:sz w:val="28"/>
          <w:sz w:val="28"/>
          <w:szCs w:val="28"/>
          <w:rtl w:val="true"/>
          <w:lang w:bidi="ar-SA"/>
        </w:rPr>
        <w:t>ظاهران في عدم اعتبار الرؤية قبل الزوال؛ للأمر بالإفطار مطلقا إذا لم ير الهلال ليلة الثلاثين</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601756_3804643083"/>
      <w:bookmarkStart w:id="656" w:name="_Toc246"/>
      <w:bookmarkEnd w:id="655"/>
      <w:r>
        <w:rPr>
          <w:rtl w:val="true"/>
        </w:rPr>
        <w:t>[</w:t>
      </w:r>
      <w:r>
        <w:rPr>
          <w:rtl w:val="true"/>
        </w:rPr>
        <w:t>باب علامة دخول الشهر و أنّ الصوم للرؤية و الفطر للرؤية</w:t>
      </w:r>
      <w:r>
        <w:rPr>
          <w:rtl w:val="true"/>
        </w:rPr>
        <w:t>]</w:t>
      </w:r>
      <w:bookmarkEnd w:id="65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خمسون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الصحيحة تدلّ على عدم اعتبار الرؤية قبل الزوال للأمر بكون الصوم بعد الرؤية، فمقتضاها أنّ وجوب الصوم مشروط بتحقّق الرؤية قبله، حتّى يقع الصوم بعدها،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جُنُباً فَاطَّهَّرُوا </w:t>
      </w:r>
      <w:r>
        <w:rPr>
          <w:rStyle w:val="FootnoteAnchor"/>
          <w:rtl w:val="true"/>
        </w:rPr>
        <w:footnoteReference w:id="1696"/>
      </w:r>
      <w:r>
        <w:rPr>
          <w:rFonts w:ascii="Amiri" w:hAnsi="Amiri" w:eastAsia="Amiri" w:cs="Amiri"/>
          <w:color w:val="111111"/>
          <w:sz w:val="28"/>
          <w:sz w:val="28"/>
          <w:szCs w:val="28"/>
          <w:rtl w:val="true"/>
          <w:lang w:bidi="ar-SA"/>
        </w:rPr>
        <w:t xml:space="preserve">و غير ذلك، لا أنّه يكفي بتحقّق الرؤية في أثنائه، و وقع بعض اليوم قبل الرؤية،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بعض اليوم شرعا و نصوصا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بالتظنّي و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بالرؤية</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و الرؤية قبل الزوال ظنّي بلا شبهة،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كانت علّة فأتمّ شعبان ثلاثين</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من غير تقييد و استثناء للرؤية قبل الزوال، و قس عليها حال سائر الأخبار، فتأمّل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 مثله، و 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w:t>
      </w:r>
    </w:p>
    <w:p>
      <w:pPr>
        <w:pStyle w:val="BookText"/>
        <w:rPr/>
      </w:pPr>
      <w:r>
        <w:rPr>
          <w:rFonts w:ascii="Amiri" w:hAnsi="Amiri" w:eastAsia="Amiri" w:cs="Amiri"/>
          <w:color w:val="111111"/>
          <w:sz w:val="28"/>
          <w:sz w:val="28"/>
          <w:szCs w:val="28"/>
          <w:rtl w:val="true"/>
          <w:lang w:bidi="ar-SA"/>
        </w:rPr>
        <w:t>رأيته وسط النهار فأتمّ صومه إلى الليل</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الإمام عليه السّلام منع في هذه الرواية عن صوم يوم الثلاثين من شعبان مطلقا بمجرّد أن غمّ ليلة الثلاثين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البناء على أنّ الراوي كان يعلم عدم المنع من صومه بقصد شعبان خلاف الأصل، و الظاهر أنّه ليس كذلك بلا تأمّل؛ إذ لو كان يعلم ذلك لكان يعلم المنع من صومه بقصد رمضان؛ لأنّ الصوم بقصده لازمه الوجوب، كما أنّ شعبان لازمه الاستحباب، و كون رمضان بقصد الاستحباب لعلّه خلاف الضرورة،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استثنى صورا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الهلال،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المتعارفة؛ لما عرفت، و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رأيته وسط النهار</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فيكون الظاهر عدم العبرة بالرؤية من الغد،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أهل بلد، فيقضيه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الهلال وسط النهار فيتمّ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إذا ورد في مقام الحظر يكون مفاده رفع الحظر، كما هو المحقّق في موضعه </w:t>
      </w:r>
      <w:r>
        <w:rPr>
          <w:rStyle w:val="FootnoteAnchor"/>
          <w:rtl w:val="true"/>
        </w:rPr>
        <w:footnoteReference w:id="1701"/>
      </w:r>
      <w:r>
        <w:rPr>
          <w:rFonts w:ascii="Amiri" w:hAnsi="Amiri" w:eastAsia="Amiri" w:cs="Amiri"/>
          <w:color w:val="111111"/>
          <w:sz w:val="28"/>
          <w:sz w:val="28"/>
          <w:szCs w:val="28"/>
          <w:rtl w:val="true"/>
          <w:lang w:bidi="ar-SA"/>
        </w:rPr>
        <w:t>، فثبوت الوجوب في الصورتين من دليل من الخارج، و لا يقتضي الثبوت هنا؛ لأنّ المعصوم عليه السّلام منع عن الصوم مطلقا إذا لم ير بالليل كما عرفت،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الأمر بالقضاء الذي هو تدارك ما فات من جهة الشهادة، بناء على عدم الفعل أو الفعل باطلا، فكيف يتمّه؟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الإتمام صريح في كونه صائما قبل الرؤية بالنهج المشروع؛ إذ بعد النهي لا يمكنه فعل المنهي عنه؛ لاشتراط قصد القربة و الامتثال، و لأنّ النهي يقتضي الفساد، فكيف يصير صحيحا؟</w:t>
      </w:r>
    </w:p>
    <w:p>
      <w:pPr>
        <w:pStyle w:val="BookText"/>
        <w:rPr/>
      </w:pPr>
      <w:r>
        <w:rPr>
          <w:rFonts w:ascii="Amiri" w:hAnsi="Amiri" w:eastAsia="Amiri" w:cs="Amiri"/>
          <w:color w:val="111111"/>
          <w:sz w:val="28"/>
          <w:sz w:val="28"/>
          <w:szCs w:val="28"/>
          <w:rtl w:val="true"/>
          <w:lang w:bidi="ar-SA"/>
        </w:rPr>
        <w:t>فلا بدّ من أن يكون المراد إمّا صوم يوم الشكّ في اخر رمضان، و يكون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شهر رمضان، فيصير موافقا لرواية محمّد بن قيس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 إطلاق النهي في هذا الخبر، و عدم ظهور القيد، و كون الأصل عدمه، و كذا كون الأصل عدم اطّلاع الراوي بجواز صوم شعبان، مع كونه غير ظاهر بالضرورة؛ لأنّه معركة آراء المسلمين في ذلك الزمان، كما لا يخفى على من لاحظ الأخبار أنّهم ما كانوا يدرون الجواز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كونه بقصد شعبان لا يجتمع مع الشكّ في جواز صوم رمضان؛ لأنّ صوم رمضان لا يكون ندبا، بل يكون واجبا بالضرورة من الدين، كما أنّ شعبان يكون مستحبّا، فإذا جاز بقصد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شعبان، و إذا جاز بقصد شعبان جزما لا يمكن رمضان، فكيف كان يسأل عن صوم يوم الشكّ و اجيب بالنهي مطلقا، و الأمر بالقضاء هو فرع الوجوب، و مع ذلك يصوم بنيّة الامتثال و 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المراد صوم اخر شعبان بقصد شعبان، بناء على قرينة كان يفهم منها منع خصوص رمضان و جواز شعبان إلّا أنّها ذهبت،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كون صومه صوم شعبان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شعبان، و المعصوم عليه السّلام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صومك،</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بإتمام صوم شعبان ظاهر في كونه بقصد شعبان، مع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لأنّ المعنى أن يصير ذلك الشي‌ء تماما كما هو، لا أن يصير شيئا اخر، سيّما و أن يصير ضدّ الأوّل؛ بأن كان مستحبّا فيصير واجبا، و كان شعبان فيصير رمضان، و لهذا ورد في اخر الخبر </w:t>
      </w:r>
      <w:r>
        <w:rPr>
          <w:rStyle w:val="FootnoteAnchor"/>
          <w:rtl w:val="true"/>
        </w:rPr>
        <w:footnoteReference w:id="170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 بقصد شعبان، لا بقصد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يكون من كلام الراوي، بل حكم بذلك بعض المحقّقين، و هو المناسب؛ لأنّ الشيخ يستدلّ به لمطلوبه </w:t>
      </w:r>
      <w:r>
        <w:rPr>
          <w:rStyle w:val="FootnoteAnchor"/>
          <w:rtl w:val="true"/>
        </w:rPr>
        <w:footnoteReference w:id="1704"/>
      </w:r>
      <w:r>
        <w:rPr>
          <w:rFonts w:ascii="Amiri" w:hAnsi="Amiri" w:eastAsia="Amiri" w:cs="Amiri"/>
          <w:color w:val="111111"/>
          <w:sz w:val="28"/>
          <w:sz w:val="28"/>
          <w:szCs w:val="28"/>
          <w:rtl w:val="true"/>
          <w:lang w:bidi="ar-SA"/>
        </w:rPr>
        <w:t>، فلا يناسب أن يقول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و يستدلّ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صوم شعبان، يعني أنّه من شعبان، كما صرّح به في اخر الرواية، و هو المفهوم من كلام المعصوم عليه السّلام، كما قلناه، و لعلّه فهم من الخارج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ما قبل الزوال بعيد جدّا، فمراد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يتمّه من شعبان، أعمّ من أن يكون قبل الزوال أو بعده، كما هو منطوق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راجعا إلى النهار، فمفاده أيضا ما ذكرناه؛ لأنّ المراد نهار شعبان، كما هو المفروض و المسلّم، و كما يقتضيه النهي عن الصوم، و الأمر بقضائه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الاستحباب المؤكّد من جهة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 في مقابل اخر النهار و أوّله كما مرّ، و يعضده ما ذكرنا من أنّ المراد الإتمام بقصد شعبان و فهم</w:t>
      </w:r>
    </w:p>
    <w:p>
      <w:pPr>
        <w:pStyle w:val="BookText"/>
        <w:rPr/>
      </w:pPr>
      <w:r>
        <w:rPr>
          <w:rFonts w:ascii="Amiri" w:hAnsi="Amiri" w:eastAsia="Amiri" w:cs="Amiri"/>
          <w:color w:val="111111"/>
          <w:sz w:val="28"/>
          <w:sz w:val="28"/>
          <w:szCs w:val="28"/>
          <w:rtl w:val="true"/>
          <w:lang w:bidi="ar-SA"/>
        </w:rPr>
        <w:t>المشايخ المستدلّين بهذا الحديث، و أنّه على هذا يتوقّف دلالة صدر الحديث على ذيله، بخلاف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المناسب، بل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مفطرا أمسك بقيّة اليوم، ثمّ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جميع ما ذكرناه في هذا الباب، و باب صوم يوم الشكّ و ما سنذكره في باب رؤية الهلال قبل الزوال، بل تعيّن فساد ما ذكره المصنّف، بحيث لا محيص له عنه،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يضعّفه أيضا أنّ الأئمّة عليهم السّلام في مقامات الأمر بالعدول ما اكتفوا بمجرّد الأمر بالإتمام، مع أنّ المناسب على ما ذكره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صومك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العدول في نفسه خلاف الأصل، 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مستبعد؛ إذ يصير المستحبّ و ما هو من شعبان منقلبا إلى الواجب، و كونه من رمضان، و سيجي‌ء اعتراضات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رأيته وسط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به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بالجزء الأخير؛ لأنّه الفرد الأخفى المستلزم حكمه إثبات الحكم في سائر الأفراد بالطريق الأولى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أنّه إن كان مطلقا على الصحيحة و غيرها من الأدلّة معتمدا عليها، فلم سأل عمّا سأل، و أعجب من هذا أنّه أجابه مفصّلا حال عدم رؤيته، و حال الثبوت من الخارج، و قضاؤه، و حال الرؤية وسط النهار الشامل لما قبل الزوال، و إن كان يدفعه بعد ذلك، بل سيجي‌ء ظهوره في معنى ممتدّ بين أوّل النهار و آخره، فاللازم على المعصوم عليه السّلام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في صحيحة ابن قيس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تعرّض المعصوم عليه السّلام لذكر اخر النهار مع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بعد الزوال، فمن هذا الحديث كيف يفهم خصوص ما قبل الزوال باعتبار إطلاقه على صحيحة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إذا كان مطلقا بحكم ما بعد الزوال لما ذكرت أو بغيره، يلزم من ذلك أن يفهم ما قبل الزوال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ما بعده؛ لأنّ المعصوم عليه السّلام أظهر أنّ وسط النهار حكمه واحد، و هو يشملهما بالضرورة، فهذا عليك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ظهر فساد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بعد الزوال كان معلوما له بالضرورة من الدين، مضافا إلى أنّ معرفة كون 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حاله حال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جهة الأخبار الواردة في ذلك، و أنّه لولاها لم يكن تفاوت أصلا، كما أشرنا، و ما ذكرنا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عبّر عمّا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ذلك من وسط النهار، على سبيل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بالمفهوم على عدم وجوب الإتمام، لو لم ير وسط النهار، و هذا أيضا يضرّه، و لا تأمّل في أنّه يضرّه و أجاب بأنّه الفرد الأخفى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العبادات توقيفيّة بلا شبهة، فالفرد الأخفى إنّما يكون بالنظر إلى الأدلّة، و بعد ذلك لا يبقى وجه للسؤال و الجواب، على ما ذكرناه، فتأمّل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عدل من المسلمين، و إن لم تروا الهلال إلّا من وسط النهار أو آخره، فأتمّوا الصيام إلى الليل و إن غمّ عليكم، فعدّوا ثلاثين ليلة، ثمّ أفطروا</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على من له فهم سليم، و ذوق مستقيم أنّ مراده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من الغد، على ما هو المتعارف في الرؤية و الإفطار، و بسطنا الكلام في ذلك، و الثابت من الدين بعنوان البداهة و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شهد عليه 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تروا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بالنحو المذكور، و هو النحو المتعارف على حسب ما أشرنا إليه بأن تروه من الغد، فلا ينفع هذه الرؤية للإفطار المذكور في الصورة السابقة؛ بل لا بدّ من إتمام الصوم إلى الليل؛ سواء رأيتموه وسط النهار أو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ابتدائيّة كما لا يخفى، يعني ابتداء الرؤية كان وسط النهار أو آخره، لا تفاوت بينهما في وجوب الإتمام، فكما أنّ الرؤية من اخر النهار لا يصحّ معها الإفطار إلّا في الليل كما هو معلوم على جميع المكلّفين من المسلمين بالضرورة من الدين فكذلك حكم الرؤية من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معلوما بالضرورة، بل صار محلّا للخلاف، يجوّز العامّة </w:t>
      </w:r>
      <w:r>
        <w:rPr>
          <w:rStyle w:val="FootnoteAnchor"/>
          <w:rtl w:val="true"/>
        </w:rPr>
        <w:footnoteReference w:id="1708"/>
      </w:r>
      <w:r>
        <w:rPr>
          <w:rFonts w:ascii="Amiri" w:hAnsi="Amiri" w:eastAsia="Amiri" w:cs="Amiri"/>
          <w:color w:val="111111"/>
          <w:sz w:val="28"/>
          <w:sz w:val="28"/>
          <w:szCs w:val="28"/>
          <w:rtl w:val="true"/>
          <w:lang w:bidi="ar-SA"/>
        </w:rPr>
        <w:t xml:space="preserve">الإفطار حين الرؤية من غير التربّص إلى الليل، بل و يوجبه، و لذا أشار بعض الفقهاء بأنّ ما دلّ على أنّ الرؤية قبل الزوال من الليلة ورد تقيّة </w:t>
      </w:r>
      <w:r>
        <w:rPr>
          <w:rStyle w:val="FootnoteAnchor"/>
          <w:rtl w:val="true"/>
        </w:rPr>
        <w:footnoteReference w:id="1709"/>
      </w:r>
      <w:r>
        <w:rPr>
          <w:rFonts w:ascii="Amiri" w:hAnsi="Amiri" w:eastAsia="Amiri" w:cs="Amiri"/>
          <w:color w:val="111111"/>
          <w:sz w:val="28"/>
          <w:sz w:val="28"/>
          <w:szCs w:val="28"/>
          <w:rtl w:val="true"/>
          <w:lang w:bidi="ar-SA"/>
        </w:rPr>
        <w:t>، كما سنشير، و لذا نسب عليه السّلام وجوب الإتمام إلى الليل إلى أمير المؤمنين عليه السّلام و جعله من قضاياه؛ فإنّ سائر ما ذكر من كتاب قضاياه عليه السّلام مخالف لمذهب العامّة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وجه التعرّض لآخر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معروفيّة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حالة وسط النهار مع حالته، و التأكيد، و المبالغة في ذلك كما هو متعارف، و لا يخفى أنّ المراد من الرؤية الرؤية المتعارفة، كما بيّنّا وجهه، مع أنّه في المقام لا شك فيه للتعرّض للرؤية في وسط النهار و آخره صريحا، فجعل الرؤية المتعارفة شرطا في الإفطار،</w:t>
      </w:r>
    </w:p>
    <w:p>
      <w:pPr>
        <w:pStyle w:val="BookText"/>
        <w:rPr/>
      </w:pPr>
      <w:r>
        <w:rPr>
          <w:rFonts w:ascii="IRNazanin" w:hAnsi="IRNazanin" w:eastAsia="IRNazanin"/>
          <w:color w:val="111111"/>
          <w:sz w:val="28"/>
          <w:sz w:val="28"/>
          <w:szCs w:val="28"/>
          <w:rtl w:val="true"/>
          <w:lang w:bidi="fa-IR"/>
        </w:rPr>
        <w:t>و المشروط عدم عند عدم شرطه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شهد عليه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المتبادر الشهادة بالنحو المتعارف، و لا شكّ في أنّ وسط النهار أعمّ ممّا بعد الزوال، و لذا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وسط النهار، يفهم كونه في أواسطه، بل بملاحظة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يتبادر الثلاث، كما هو الحال في وسط الحيض، و اخر الحيض، و أوّله، و أمثال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خصوص ما بعد الزوال فاسد، سيّما مع ضمّ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التعرّض لذكر قبل الزوال مطلقا، لو كان المراد خصوص بعد الزوال، مع أنّه المحتاج إلى التعرّض للذكر؛ لأنّ حكم ما بعد الزوال من المعلومات من الدين لجميع المسلمين، و الخفي إنّما هو حكم ما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بأنّه لعلّه اكتفى فيه بدلالة المفهوم فاسد؛ لأنّ المعلوم من الدين لجميع المسلمين لم يكتف فيه بدلالة المفهوم أو غيرها من الدلالات الضعيفة، بل صرّح و أوضح، فكيف يكتفي في المجهول المشكل بالمفهوم الضعيف؟</w:t>
      </w:r>
    </w:p>
    <w:p>
      <w:pPr>
        <w:pStyle w:val="BookText"/>
        <w:rPr/>
      </w:pPr>
      <w:r>
        <w:rPr>
          <w:rFonts w:ascii="Amiri" w:hAnsi="Amiri" w:eastAsia="Amiri" w:cs="Amiri"/>
          <w:color w:val="111111"/>
          <w:sz w:val="28"/>
          <w:sz w:val="28"/>
          <w:szCs w:val="28"/>
          <w:rtl w:val="true"/>
          <w:lang w:bidi="ar-SA"/>
        </w:rPr>
        <w:t>بل لا دلالة لمعارضته لمنطوق كلامه،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شبهة في كونه أعمّ، و لا شكّ في أنّه غير مختصّ بخصوص ما بعد الزوال، و أنّ إرادة الخصوص منه مقطوع بفسادها، لا يجوّزها من له أدنى فهم، و جعل خصوص ما بعد الزوال مقابلا لآخر النهار لا غيره،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الرؤية أوّل النهار ممّا لا يكاد يتحقّق، و على تقدير التحقّق في غاية الشذوذ، و الشرط إذا ورد مورد الغالب فلا حجيّة في مفهومه، كما هو المحقّق في موضعه و المسلّم عند الكلّ، و لا تأمّل لأحد فيه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على تقدير القول بدلالة هذا المفهوم، مسلّم عند المصنّف أنّ المفهوم لا يعارض المنطوق، سيّما مثل هذا، مع أنّ معارضة المفهوم إنّما يكون إذا كان للمفهوم عموم، و لعلّ مثل المصنّف لا يقول به</w:t>
      </w:r>
      <w:r>
        <w:rPr>
          <w:rFonts w:eastAsia="Amiri" w:cs="Amiri" w:ascii="Amiri" w:hAnsi="Amiri"/>
          <w:color w:val="111111"/>
          <w:sz w:val="28"/>
          <w:szCs w:val="28"/>
          <w:rtl w:val="true"/>
          <w:lang w:bidi="ar-SA"/>
        </w:rPr>
        <w:t>.</w:t>
      </w:r>
      <w:bookmarkStart w:id="657" w:name="pg2470_12743"/>
    </w:p>
    <w:p>
      <w:pPr>
        <w:pStyle w:val="BookText"/>
        <w:rPr/>
      </w:pPr>
      <w:bookmarkEnd w:id="657"/>
      <w:r>
        <w:rPr>
          <w:rFonts w:ascii="Amiri" w:hAnsi="Amiri" w:eastAsia="Amiri" w:cs="Amiri"/>
          <w:color w:val="111111"/>
          <w:sz w:val="28"/>
          <w:sz w:val="28"/>
          <w:szCs w:val="28"/>
          <w:rtl w:val="true"/>
          <w:lang w:bidi="ar-SA"/>
        </w:rPr>
        <w:t xml:space="preserve">و ثمرة الشرطية و فائدته تظهر ممّا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قبول شهادة العدلين </w:t>
      </w:r>
      <w:r>
        <w:rPr>
          <w:rStyle w:val="FootnoteAnchor"/>
          <w:rtl w:val="true"/>
        </w:rPr>
        <w:footnoteReference w:id="1710"/>
      </w:r>
      <w:r>
        <w:rPr>
          <w:rFonts w:ascii="Amiri" w:hAnsi="Amiri" w:eastAsia="Amiri" w:cs="Amiri"/>
          <w:color w:val="111111"/>
          <w:sz w:val="28"/>
          <w:sz w:val="28"/>
          <w:szCs w:val="28"/>
          <w:rtl w:val="true"/>
          <w:lang w:bidi="ar-SA"/>
        </w:rPr>
        <w:t>، فلاحظ، و بعد الفائدة لا يضرّ القائل بالمنع،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القول به، فلا شبهة في أنّ عموم المفهوم لا يقاوم عموم المنطوق، سيّما مع الضعف فيه و القوّة في عموم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المفهوم يعارضه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فأفطروا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 أنّ المعصوم عليه السّلام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بيان عدم الاكتفاء بغير الرؤية من المكلّف أو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اكتفى بظنّ ضعيف في غاية الضعف، و هو أنّ الرؤية قبل الزوال من الليلة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ستعرف من أنّ الخروج من الشعاع بعد المغرب بمدّة؛ يرى الهلال قبل الزوال، فكيف إذا كان الخروج عند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ضعف في ضعف، فكيف يكتفي فيه بدلالة ضعيفة من شي‌ء؟ بل قد عرفت عدم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يؤيّده فهم الفقهاء و استدلالهم بها في زمن الشيخ إلى الآن، من دون اعتراض من أحد، و إن حدث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تأمّل له فيها، و سيجي‌ء بقيّة الكلام، فانتظر</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3601758_3804643083"/>
      <w:bookmarkStart w:id="659" w:name="_Toc247"/>
      <w:bookmarkEnd w:id="658"/>
      <w:r>
        <w:rPr>
          <w:rtl w:val="true"/>
        </w:rPr>
        <w:t>[</w:t>
      </w:r>
      <w:r>
        <w:rPr>
          <w:rtl w:val="true"/>
        </w:rPr>
        <w:t>باب عدد أيّام شهر رمضان</w:t>
      </w:r>
      <w:r>
        <w:rPr>
          <w:rtl w:val="true"/>
        </w:rPr>
        <w:t>]</w:t>
      </w:r>
      <w:bookmarkEnd w:id="6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الشهر تسعة و عشرين يوما</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الأخبار ظاهرة في عدم العبرة بالرؤية قبل الزوال؛ للأمر بإنشاء الصوم بعد الرؤية، و للتعرّض لذكر شهادة العدول، و عدم التعرّض لذكر الرؤية قبل الزوال، فتأمّل</w:t>
      </w:r>
      <w:r>
        <w:rPr>
          <w:rFonts w:eastAsia="Amiri" w:cs="Amiri" w:ascii="Amiri" w:hAnsi="Amiri"/>
          <w:color w:val="111111"/>
          <w:sz w:val="28"/>
          <w:szCs w:val="28"/>
          <w:rtl w:val="true"/>
          <w:lang w:bidi="ar-SA"/>
        </w:rPr>
        <w:t>!</w:t>
      </w:r>
      <w:bookmarkStart w:id="660" w:name="pg2470_12744"/>
    </w:p>
    <w:p>
      <w:pPr>
        <w:pStyle w:val="BookText"/>
        <w:rPr/>
      </w:pPr>
      <w:bookmarkEnd w:id="66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يجي‌ء شاهدان عدلان</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الحصر يدلّ على عدم العبرة بالرؤية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 العدّة ثلاثين</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هذا الخبر يؤيّد عدم العبرة بالرؤية قبل الزوال</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3601760_3804643083"/>
      <w:bookmarkStart w:id="662" w:name="_Toc248"/>
      <w:bookmarkEnd w:id="661"/>
      <w:r>
        <w:rPr>
          <w:rtl w:val="true"/>
        </w:rPr>
        <w:t>[</w:t>
      </w:r>
      <w:r>
        <w:rPr>
          <w:rtl w:val="true"/>
        </w:rPr>
        <w:t>باب رؤية الهلال قبل الزوال</w:t>
      </w:r>
      <w:r>
        <w:rPr>
          <w:rtl w:val="true"/>
        </w:rPr>
        <w:t>]</w:t>
      </w:r>
      <w:bookmarkEnd w:id="6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و ابن 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رؤي الهلال قبل الزوال، فذلك اليوم من شوّال، و إذا رؤي بعد الزوال، فذلك اليوم من شهر رمضان</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مفاد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يرى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الليلة الماضية، و هذا في غاية الإشكال؛ لمخالفته الوجدان و الحسّ و العقل؛ فإنّ القمر ربّما يكون عالي الدرجة، و ربّما يكون خلافه بالمشاهدة،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التفاوت بين ما يرى و ما لا يرى عند خروج الشعاع لا يجعل التفاوت كذلك دائما؛ فإنّ الخروج من الشعاع إذا وقع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بمدّة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الهلال يرى قبل الزوال، فكيف إذا كان الخروج بعد المغرب بقليل، بل و عند الغروب أيضا؟</w:t>
      </w:r>
    </w:p>
    <w:p>
      <w:pPr>
        <w:pStyle w:val="BookText"/>
        <w:rPr/>
      </w:pPr>
      <w:r>
        <w:rPr>
          <w:rFonts w:ascii="Amiri" w:hAnsi="Amiri" w:eastAsia="Amiri" w:cs="Amiri"/>
          <w:color w:val="111111"/>
          <w:sz w:val="28"/>
          <w:sz w:val="28"/>
          <w:szCs w:val="28"/>
          <w:rtl w:val="true"/>
          <w:lang w:bidi="ar-SA"/>
        </w:rPr>
        <w:t xml:space="preserve">مع أنّه كثيرا ما يكون صحوا، و لا يكون القمر قطعا، و ربّما يرى قبل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ذلك يصير الشهر ثلاثين، فيلزم أن يصير أحدا و ثلاثين و بالعكس، و ربّما يرى بعد الزوال، مع أنّه رؤي في الليلة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أرباب العقول و المعرفة صرّحوا بما ذكرناه، 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بالدرايات دون الروايات</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لفظ الهلال موضوع لغة و عرفا لمقدار القمر الخارج عن تحت شعاع الشمس المشرق في الليلة الاولى و الثانية و الثالثة، فهو مثل سائر الألفاظ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 و له معنى لغوي عرفي واقعي، لا بدّ من مراعاة ذلك المعنى في صدق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أداة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إلى الغالب، لا المعنى أنّه في الغالب كذا، و هو مسلّم عند الكلّ، و صرّح المنكر بأنّ المراد الغالب، و لا تأمّل فيه، سيّما بعد ما ستعرف من القرينة، و الغالب لا يفيد أزيد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وجوب الصوم و الإفطار بالظنّ أوّل الكلام، بل خلاف الأصل و العمومات المانعة عن العمل بالظنّ مطلقا، و فيما نحن فيه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الكلام ليس بيان الواقع، بل و هو وجوب الصوم و الإفطار فيه ما فيه؛ لأنّه بعينه كلام القائل بحجيّة مفهوم الوصف 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الثمرة منحصرة فيما يعتبر فيه المظنّة، و كون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الصحاح صريحة في خلافه، مع أنّه لا شكّ في أنّ العبرة بالرؤية، كما هو المستفاد من الأخبار الصحيحة </w:t>
      </w:r>
      <w:r>
        <w:rPr>
          <w:rStyle w:val="FootnoteAnchor"/>
          <w:rtl w:val="true"/>
        </w:rPr>
        <w:footnoteReference w:id="1716"/>
      </w:r>
      <w:r>
        <w:rPr>
          <w:rFonts w:ascii="Amiri" w:hAnsi="Amiri" w:eastAsia="Amiri" w:cs="Amiri"/>
          <w:color w:val="111111"/>
          <w:sz w:val="28"/>
          <w:sz w:val="28"/>
          <w:szCs w:val="28"/>
          <w:rtl w:val="true"/>
          <w:lang w:bidi="ar-SA"/>
        </w:rPr>
        <w:t>التي كادت تبلغ التواتر، و عمل الأصحاب عليها،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الهلال إذا كان تامّا يصحّ رؤيته قبل الزوال قطعا، كما هو مضمون صحيحة العبيدي </w:t>
      </w:r>
      <w:r>
        <w:rPr>
          <w:rStyle w:val="FootnoteAnchor"/>
          <w:rtl w:val="true"/>
        </w:rPr>
        <w:footnoteReference w:id="1717"/>
      </w:r>
      <w:r>
        <w:rPr>
          <w:rFonts w:ascii="Amiri" w:hAnsi="Amiri" w:eastAsia="Amiri" w:cs="Amiri"/>
          <w:color w:val="111111"/>
          <w:sz w:val="28"/>
          <w:sz w:val="28"/>
          <w:szCs w:val="28"/>
          <w:rtl w:val="true"/>
          <w:lang w:bidi="ar-SA"/>
        </w:rPr>
        <w:t>، و ورد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حقّ حقيقة، و لكلّ صواب نورا</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و هو الموافق للعقل و الاعتبار، فتعيّن العمل بصحيحة العبيدي؛ لما ذكر، و للاشتهار بين الأصحاب، بل الفتوى، و لموافقتها للأخبار الصحيحة المتواترة، كما عرفت و ستعرف، و لموافقتها لصحيحة محمّد بن قيس </w:t>
      </w:r>
      <w:r>
        <w:rPr>
          <w:rStyle w:val="FootnoteAnchor"/>
          <w:rtl w:val="true"/>
        </w:rPr>
        <w:footnoteReference w:id="1719"/>
      </w:r>
      <w:r>
        <w:rPr>
          <w:rFonts w:ascii="Amiri" w:hAnsi="Amiri" w:eastAsia="Amiri" w:cs="Amiri"/>
          <w:color w:val="111111"/>
          <w:sz w:val="28"/>
          <w:sz w:val="28"/>
          <w:szCs w:val="28"/>
          <w:rtl w:val="true"/>
          <w:lang w:bidi="ar-SA"/>
        </w:rPr>
        <w:t xml:space="preserve">، و رواية جرّاح </w:t>
      </w:r>
      <w:r>
        <w:rPr>
          <w:rStyle w:val="FootnoteAnchor"/>
          <w:rtl w:val="true"/>
        </w:rPr>
        <w:footnoteReference w:id="1720"/>
      </w:r>
      <w:r>
        <w:rPr>
          <w:rFonts w:ascii="Amiri" w:hAnsi="Amiri" w:eastAsia="Amiri" w:cs="Amiri"/>
          <w:color w:val="111111"/>
          <w:sz w:val="28"/>
          <w:sz w:val="28"/>
          <w:szCs w:val="28"/>
          <w:rtl w:val="true"/>
          <w:lang w:bidi="ar-SA"/>
        </w:rPr>
        <w:t>المنجبرة بالشهرة و غيرها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لأنّها أبعد من طريقة العامّة، بخلاف هذه الأخبار، بل ربّما أشار بعض الفقهاء بأنّها وردت في مقام التقيّة </w:t>
      </w:r>
      <w:r>
        <w:rPr>
          <w:rStyle w:val="FootnoteAnchor"/>
          <w:rtl w:val="true"/>
        </w:rPr>
        <w:footnoteReference w:id="1721"/>
      </w:r>
      <w:r>
        <w:rPr>
          <w:rFonts w:ascii="Amiri" w:hAnsi="Amiri" w:eastAsia="Amiri" w:cs="Amiri"/>
          <w:color w:val="111111"/>
          <w:sz w:val="28"/>
          <w:sz w:val="28"/>
          <w:szCs w:val="28"/>
          <w:rtl w:val="true"/>
          <w:lang w:bidi="ar-SA"/>
        </w:rPr>
        <w:t xml:space="preserve">، و لذا ذكر مضمونها بأن قالوا لليلة الماضية </w:t>
      </w:r>
      <w:r>
        <w:rPr>
          <w:rStyle w:val="FootnoteAnchor"/>
          <w:rtl w:val="true"/>
        </w:rPr>
        <w:footnoteReference w:id="1722"/>
      </w:r>
      <w:r>
        <w:rPr>
          <w:rFonts w:ascii="Amiri" w:hAnsi="Amiri" w:eastAsia="Amiri" w:cs="Amiri"/>
          <w:color w:val="111111"/>
          <w:sz w:val="28"/>
          <w:sz w:val="28"/>
          <w:szCs w:val="28"/>
          <w:rtl w:val="true"/>
          <w:lang w:bidi="ar-SA"/>
        </w:rPr>
        <w:t xml:space="preserve">، و المراد أنّه لليلة الماضية غالبا و في كثير من الأوقات، لا أنّ المكلّف يصوم من جهته و يفطر من جهته؛ لأنّ الصوم لا يجوز بالتظنّي، و كذا الفطر، كما صرّحوا به في جملة الأخبار الصحيحة </w:t>
      </w:r>
      <w:r>
        <w:rPr>
          <w:rStyle w:val="FootnoteAnchor"/>
          <w:rtl w:val="true"/>
        </w:rPr>
        <w:footnoteReference w:id="1723"/>
      </w:r>
      <w:r>
        <w:rPr>
          <w:rFonts w:ascii="Amiri" w:hAnsi="Amiri" w:eastAsia="Amiri" w:cs="Amiri"/>
          <w:color w:val="111111"/>
          <w:sz w:val="28"/>
          <w:sz w:val="28"/>
          <w:szCs w:val="28"/>
          <w:rtl w:val="true"/>
          <w:lang w:bidi="ar-SA"/>
        </w:rPr>
        <w:t>و هذا أيضا وجه اخر من وجوه ترجيح الصحيحة على هذه الأخبار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ظواهر هذه الأخبار فسادها قطعي،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الغلبة و المظنّة أو التقيّة، أو إرادة أنّ حكمها حكم الرؤية في الليلة الماضية شرعا، أو غير ذلك بما هو خلاف ظاهر كلام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حالها، مع قطع النظر عن المرجّحات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بأنّها وردت في مقام التقيّة، فالأمر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قد صرّح في صحيحة العبيدي </w:t>
      </w:r>
      <w:r>
        <w:rPr>
          <w:rStyle w:val="FootnoteAnchor"/>
          <w:rtl w:val="true"/>
        </w:rPr>
        <w:footnoteReference w:id="1724"/>
      </w:r>
      <w:r>
        <w:rPr>
          <w:rFonts w:ascii="Amiri" w:hAnsi="Amiri" w:eastAsia="Amiri" w:cs="Amiri"/>
          <w:color w:val="111111"/>
          <w:sz w:val="28"/>
          <w:sz w:val="28"/>
          <w:szCs w:val="28"/>
          <w:rtl w:val="true"/>
          <w:lang w:bidi="ar-SA"/>
        </w:rPr>
        <w:t>و غيرها بعدم جواز الإفطار من جهة الرؤية قبل الزوال، و لم يذكروا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لليلة الماضية، لكن لا يجوز الإفطار فى هذه الصورة؛ لما عرفت، و إن كان خلاف الظاهر، إلّا أنّ الظاهر لا يعارض النصّ، و كذا الحال في وجوب الصوم في أوّل الشهر،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يعضد صحيحة العبيدي و ما وافقها، الاستصحاب،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و غير 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بالنهار ما بعد الزوال، بقرينة سائر الأخبار؛ فإنّ المطلق يحمل على المقيّد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فساد هذا الحمل، بل و عدم تحقّق المعارضة حتّى يحتاج إلى هذا الحمل، مضافا إلى أنّ رؤية الهلال تكون بالنهار البتّة، لا بالليل و بعد المغرب، على ما هو المتعارف، فلا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هلال شوّال بنهار في شهر رمضان فليتمّ صومه؛ فإنّ القيود تصير لغوا حينئذ، بل لا شكّ في الحزازة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على من له أدنى تأمّل أنّ المراد من هذا الحديث نفي ما توهّموا من تلك الأخبار من الإفطار لو رؤي قبل الزوال، على أنّ عدم الإفطار بمجرّد الرؤية من ضروريّات الدين، فلا حاجة إلى التنبيه عليه، فتأمّل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قرينة واضحة على عدم التقييد، مع أنّ المقيّد لا بدّ أن يكون أقوى دلالة، و الأمر هنا بالعكس، كما لا يخفى، و يظهر من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العبيدي،</w:t>
      </w:r>
    </w:p>
    <w:p>
      <w:pPr>
        <w:pStyle w:val="BookText"/>
        <w:rPr/>
      </w:pPr>
      <w:r>
        <w:rPr>
          <w:rFonts w:ascii="Amiri" w:hAnsi="Amiri" w:eastAsia="Amiri" w:cs="Amiri"/>
          <w:color w:val="111111"/>
          <w:sz w:val="28"/>
          <w:sz w:val="28"/>
          <w:szCs w:val="28"/>
          <w:rtl w:val="true"/>
          <w:lang w:bidi="ar-SA"/>
        </w:rPr>
        <w:t xml:space="preserve">و صحيحة محمّد بن قيس </w:t>
      </w:r>
      <w:r>
        <w:rPr>
          <w:rStyle w:val="FootnoteAnchor"/>
          <w:rtl w:val="true"/>
        </w:rPr>
        <w:footnoteReference w:id="1727"/>
      </w:r>
      <w:r>
        <w:rPr>
          <w:rFonts w:ascii="Amiri" w:hAnsi="Amiri" w:eastAsia="Amiri" w:cs="Amiri"/>
          <w:color w:val="111111"/>
          <w:sz w:val="28"/>
          <w:sz w:val="28"/>
          <w:szCs w:val="28"/>
          <w:rtl w:val="true"/>
          <w:lang w:bidi="ar-SA"/>
        </w:rPr>
        <w:t xml:space="preserve">و غيرها </w:t>
      </w:r>
      <w:r>
        <w:rPr>
          <w:rStyle w:val="FootnoteAnchor"/>
          <w:rtl w:val="true"/>
        </w:rPr>
        <w:footnoteReference w:id="1728"/>
      </w:r>
      <w:r>
        <w:rPr>
          <w:rFonts w:ascii="Amiri" w:hAnsi="Amiri" w:eastAsia="Amiri" w:cs="Amiri"/>
          <w:color w:val="111111"/>
          <w:sz w:val="28"/>
          <w:sz w:val="28"/>
          <w:szCs w:val="28"/>
          <w:rtl w:val="true"/>
          <w:lang w:bidi="ar-SA"/>
        </w:rPr>
        <w:t xml:space="preserve">، أنّ العامّة كان منهم من يعتبر الهلال قبل الزوال لليلة الماضية </w:t>
      </w:r>
      <w:r>
        <w:rPr>
          <w:rStyle w:val="FootnoteAnchor"/>
          <w:rtl w:val="true"/>
        </w:rPr>
        <w:footnoteReference w:id="1729"/>
      </w:r>
      <w:r>
        <w:rPr>
          <w:rFonts w:ascii="Amiri" w:hAnsi="Amiri" w:eastAsia="Amiri" w:cs="Amiri"/>
          <w:color w:val="111111"/>
          <w:sz w:val="28"/>
          <w:sz w:val="28"/>
          <w:szCs w:val="28"/>
          <w:rtl w:val="true"/>
          <w:lang w:bidi="ar-SA"/>
        </w:rPr>
        <w:t xml:space="preserve">، كما قال بعض الأصحاب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المعنى إلّا بتكلّف، إلّا أنّه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أنّه بعد حكمه بأنّ الصواب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وقع لهذا الكلام، بل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معارض لأخبار هذا الباب، و مع ذلك قد عرفت الكلام في المعارضة و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يعارض إلّا بعض أخبار هذا الباب، لا سائرها، بل لا شبهة في موافقته لبعض الآخر، كما عرفت و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يعارض بلا شبهة؛ لأنّ باقي الخبر قرينة واضحة على أنّ المراد هلال شوّال، و الإضافة يكفي فيها أدنى الملابسة، سيّما مثل هذه الملابسة القويّة، و خصوصا مع التصريح بعلّة واضحة مصرّحة بكون المراد هلال شوّال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ينادي بذلك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فترى أن نفطر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بملاحظة لا يبقى شبهة، و يحصل اليقين، و لهذا اتّفق فهم الفقهاء و المحدّثين في أنّ المراد هلال شوّال، من دون تزلزل، حتّى الشيخ الذي روى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يصرّح بأنّ</w:t>
      </w:r>
    </w:p>
    <w:p>
      <w:pPr>
        <w:pStyle w:val="BookText"/>
        <w:rPr/>
      </w:pPr>
      <w:r>
        <w:rPr>
          <w:rFonts w:ascii="Amiri" w:hAnsi="Amiri" w:eastAsia="Amiri" w:cs="Amiri"/>
          <w:color w:val="111111"/>
          <w:sz w:val="28"/>
          <w:sz w:val="28"/>
          <w:szCs w:val="28"/>
          <w:rtl w:val="true"/>
          <w:lang w:bidi="ar-SA"/>
        </w:rPr>
        <w:t xml:space="preserve">المراد ذلك و يبالغ </w:t>
      </w:r>
      <w:r>
        <w:rPr>
          <w:rStyle w:val="FootnoteAnchor"/>
          <w:rtl w:val="true"/>
        </w:rPr>
        <w:footnoteReference w:id="1732"/>
      </w:r>
      <w:r>
        <w:rPr>
          <w:rFonts w:ascii="Amiri" w:hAnsi="Amiri" w:eastAsia="Amiri" w:cs="Amiri"/>
          <w:color w:val="111111"/>
          <w:sz w:val="28"/>
          <w:sz w:val="28"/>
          <w:szCs w:val="28"/>
          <w:rtl w:val="true"/>
          <w:lang w:bidi="ar-SA"/>
        </w:rPr>
        <w:t xml:space="preserve">، مع أنّه لا شبهة في أنّ الصواب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أنّه صنّف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أضبط بلا تأمّل، كما لا يخفى على المطّلع، فلا بدّ من حمل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على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يصحّ له معنى سوى ما ذكر، بل لا يصحّ كما لا يخفى على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محمّد بن قيس قد عرفت أنّها لا تدلّ على ما ذكره، بل تدلّ على خلافه </w:t>
      </w:r>
      <w:r>
        <w:rPr>
          <w:rStyle w:val="FootnoteAnchor"/>
          <w:rtl w:val="true"/>
        </w:rPr>
        <w:footnoteReference w:id="1733"/>
      </w:r>
      <w:r>
        <w:rPr>
          <w:rFonts w:ascii="Amiri" w:hAnsi="Amiri" w:eastAsia="Amiri" w:cs="Amiri"/>
          <w:color w:val="111111"/>
          <w:sz w:val="28"/>
          <w:sz w:val="28"/>
          <w:szCs w:val="28"/>
          <w:rtl w:val="true"/>
          <w:lang w:bidi="ar-SA"/>
        </w:rPr>
        <w:t>، فهي أيضا من أدلّة المذهب المشهور و يبطل بها المذهب الشاذّ الذي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إسحاق، فقد عرفت الكلام فيها </w:t>
      </w:r>
      <w:r>
        <w:rPr>
          <w:rStyle w:val="FootnoteAnchor"/>
          <w:rtl w:val="true"/>
        </w:rPr>
        <w:footnoteReference w:id="1734"/>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طلب الهلال أوّل اليوم في جانب المشرق حيث يكون موضع طلبه، فلم ير فهو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جانب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جديد، و اليوم من الشهر الماضي، سواء رؤي في جانب المغرب أ و لم ير، و قد مضى خبر محمّد بن قيس، و إسحاق بن عمّار في هذا المعنى </w:t>
      </w:r>
      <w:r>
        <w:rPr>
          <w:rStyle w:val="FootnoteAnchor"/>
          <w:rtl w:val="true"/>
        </w:rPr>
        <w:footnoteReference w:id="1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الكلام في رواية محمّد بن قيس </w:t>
      </w:r>
      <w:r>
        <w:rPr>
          <w:rStyle w:val="FootnoteAnchor"/>
          <w:rtl w:val="true"/>
        </w:rPr>
        <w:footnoteReference w:id="1736"/>
      </w:r>
      <w:r>
        <w:rPr>
          <w:rFonts w:ascii="Amiri" w:hAnsi="Amiri" w:eastAsia="Amiri" w:cs="Amiri"/>
          <w:color w:val="111111"/>
          <w:sz w:val="28"/>
          <w:sz w:val="28"/>
          <w:szCs w:val="28"/>
          <w:rtl w:val="true"/>
          <w:lang w:bidi="ar-SA"/>
        </w:rPr>
        <w:t>، مع أنّه لو كان المراد فيها ما ذكره لكان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تروا الهلال إلّا بعد الزوال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للتطويل بلا طائل، 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أهل العرف منه خصوص بعد الزوال بالبديهة، بل خلاف الظاهر منه بلا شكّ، سيّما بعد</w:t>
      </w:r>
    </w:p>
    <w:p>
      <w:pPr>
        <w:pStyle w:val="BookText"/>
        <w:rPr/>
      </w:pPr>
      <w:r>
        <w:rPr>
          <w:rFonts w:ascii="Amiri" w:hAnsi="Amiri" w:eastAsia="Amiri" w:cs="Amiri"/>
          <w:color w:val="111111"/>
          <w:sz w:val="28"/>
          <w:sz w:val="28"/>
          <w:szCs w:val="28"/>
          <w:rtl w:val="true"/>
          <w:lang w:bidi="ar-SA"/>
        </w:rPr>
        <w:t xml:space="preserve">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بعد ملاحظة ما دلّ على التفاوت بين ما قبل الزوال و ما بعده؛ أنّه صريح في عدم تفاوت أجزاء ما بعد الزوال، و لم يقل بالتفاوت، و ليس التفاوت محلّ توهّم، فكيف يؤدّي مطلوبه بما هو ظاهر في خلافه؟ سيّما بعد جعله شرط الإفطار هو الرؤية، و أنّ الراوي ما يفهم منها سوى الرؤية المتعارفة من وجوه شتّى ذكرناها في باب صوم يوم الشكّ، و باب علامة دخول شهر رمضان، فيفهم أنّه إذا لم يتحقّق تلك الرؤية لا يجوز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جميع هذه الدلالات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ضعيف لا يعتبره أهل العرف أصلا؟ لأنّ المتعارف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تعارف متى يذكرونه بعنوان الشرط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لمفهومه أصلا، كما هو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w:t>
      </w:r>
      <w:r>
        <w:rPr>
          <w:rStyle w:val="FootnoteAnchor"/>
          <w:rtl w:val="true"/>
        </w:rPr>
        <w:footnoteReference w:id="1737"/>
      </w:r>
      <w:r>
        <w:rPr>
          <w:rFonts w:ascii="Amiri" w:hAnsi="Amiri" w:eastAsia="Amiri" w:cs="Amiri"/>
          <w:color w:val="111111"/>
          <w:sz w:val="28"/>
          <w:sz w:val="28"/>
          <w:szCs w:val="28"/>
          <w:rtl w:val="true"/>
          <w:lang w:bidi="ar-SA"/>
        </w:rPr>
        <w:t>فى وجوب صلاة الجمعة، و غير ذلك من 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الرؤية قبل وسط النهار العرفي لو تحقّقت فبالندرة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منطوق الأخبار لا يرجع إلى الأفراد النادرة بلا شبهة، و لا عبرة بها في المنطوقات، فكيف يرجع المفهوم إليها و 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اتّفق الكلّ على عدم العبرة، سيّما و أن يكون بحيث يعارض الدلالات الكثيرة الواضحة المسلّمة التي تكون في هذه الرواية، و خصوصا أن يغلب على الجميع، و سيّما بعد لزوم التطويل بلا طائل الذي أشرنا فتأمّل جدّا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اخر النهار ما قارب الغروب، فيكون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وسط النهار المذكور، فيكون نسبة وسط النهار إلى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اخر النهار المذكور، بقرينة المقايسة و المقابلة الظاهرة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 النهار و وسطه و أوّله، يفهم أنّ الوسط هو القدر الممتد المتصل بالآخر و الأوّل، و معلوم أنّ الهلال لا يرى في أوّل النهار المقابل لآخر النهار، فتعيّن أن يكون الرؤية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يرون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يقول هكذا لربّما يبادر إلى الذهن الرؤية المتعارفة؛ لأنّ الإطلاق ينصرف إلى المتعارف، و لا أقلّ من خوف التوهّم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ذكرت وارد على جميع مفاهيم الأوصاف و القيود، مع أنّ مفهوم الوصف و القيد غير معتبرين عند المحقّقين، و العذر الذي قالوه جار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ذكرت وارد على ما هو مسلّم من أنّ الشرط إذا خرج مخرج الغالب فلا عبرة به، و الجواب الجواب، مع أنّه ظاهر أنّ الوسط هنا قيد و وصف، لا شرط، فلا عبرة به مطلقا،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القرآن و الأخبار المتواترة </w:t>
      </w:r>
      <w:r>
        <w:rPr>
          <w:rStyle w:val="FootnoteAnchor"/>
          <w:rtl w:val="true"/>
        </w:rPr>
        <w:footnoteReference w:id="1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المراد من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Style w:val="FootnoteAnchor"/>
          <w:rtl w:val="true"/>
        </w:rPr>
        <w:footnoteReference w:id="1739"/>
      </w:r>
      <w:r>
        <w:rPr>
          <w:rFonts w:ascii="Amiri" w:hAnsi="Amiri" w:eastAsia="Amiri" w:cs="Amiri"/>
          <w:color w:val="111111"/>
          <w:sz w:val="28"/>
          <w:sz w:val="28"/>
          <w:szCs w:val="28"/>
          <w:rtl w:val="true"/>
          <w:lang w:bidi="ar-SA"/>
        </w:rPr>
        <w:t>خرج ما خرج بالدليل و بقي الباقي، و يمكن أن يكون المراد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1740"/>
      </w:r>
      <w:r>
        <w:rPr>
          <w:rFonts w:ascii="Amiri" w:hAnsi="Amiri" w:eastAsia="Amiri" w:cs="Amiri"/>
          <w:color w:val="111111"/>
          <w:sz w:val="28"/>
          <w:sz w:val="28"/>
          <w:szCs w:val="28"/>
          <w:rtl w:val="true"/>
          <w:lang w:bidi="ar-SA"/>
        </w:rPr>
        <w:t>بالتقريب الذي سيذكر في الأخبار المتواترة،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المتواترة، فقد مرّت في باب صيام يوم الشكّ، و باب علامة دخول الشهر، و باب عدد أيّام شهر رمضان، و غير ذلك، و مرّ الإشارة إلى وجه الدلالة؛ و سيجي‌ء أيضا، فلاحظ</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فإنّما ثبت من هذه الأخبار ليس إلّا، ثمّ ما موضع</w:t>
      </w:r>
    </w:p>
    <w:p>
      <w:pPr>
        <w:pStyle w:val="BookText"/>
        <w:rPr/>
      </w:pPr>
      <w:r>
        <w:rPr>
          <w:rFonts w:ascii="Amiri" w:hAnsi="Amiri" w:eastAsia="Amiri" w:cs="Amiri"/>
          <w:color w:val="111111"/>
          <w:sz w:val="28"/>
          <w:sz w:val="28"/>
          <w:szCs w:val="28"/>
          <w:rtl w:val="true"/>
          <w:lang w:bidi="ar-SA"/>
        </w:rPr>
        <w:t xml:space="preserve">الدلالة على وجوب انضمام الشاهدين على الوجه المخصوص </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ممّا كتبناه في باب صوم يوم الشكّ، و باب علامة دخول الشهر الدلالة، بل و احتمال كونها قطعيّة، و أنّه لو لم يرد الأخبار الدالّة على أنّه إذا رؤي الهلال قبل الزوال فهو لليلة الماضية، و إذا رؤي بعده فهو لليلة المستقبلة، و لم يقع النزاع من هذه الجهة بين العلماء، لكان حكم الرؤية قبل الزوال و الرؤية بعد الزوال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بالنسبة إلى ما ورد في الأخبار من الأمر بالصوم للرؤية و الفطر للرؤية </w:t>
      </w:r>
      <w:r>
        <w:rPr>
          <w:rStyle w:val="FootnoteAnchor"/>
          <w:rtl w:val="true"/>
        </w:rPr>
        <w:footnoteReference w:id="1742"/>
      </w:r>
      <w:r>
        <w:rPr>
          <w:rFonts w:ascii="Amiri" w:hAnsi="Amiri" w:eastAsia="Amiri" w:cs="Amiri"/>
          <w:color w:val="111111"/>
          <w:sz w:val="28"/>
          <w:sz w:val="28"/>
          <w:szCs w:val="28"/>
          <w:rtl w:val="true"/>
          <w:lang w:bidi="ar-SA"/>
        </w:rPr>
        <w:t>بأنّ الصوم إذا كان للرؤية يكون كذلك سواء كان الرؤية قبل الزوال أو بعده، و كذلك الفطر إذا كان للرؤية يكون كذلك؛ سواء كانت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تلك الأخبار تدلّ على أنّ الرؤية قبل الزوال توجب الصوم تدلّ على أنّها بعد الزوال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تدلّ على أنّها بعد الزوال توجب الصوم تدلّ على أنّها قبل الزوال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الكلام في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يكون الفرق بين قبل الزوال و بعد الزوال، و بين قبل العصر و بعده، و بين قبل الغروب و بعده، و بين قبل الصلاة و بعدها، إلى غير ذلك من الصور التي نحن نحكم من تلك الأخبار بأنّه متى تحقّقت الرؤية يجب الصوم، و متى تحقّقت الرؤية يجب الإفطار من دون فرق بين الصور، و ليس ذلك إلّا من جهة دلالة تلك الأخبار؛ إذ لا شكّ في أنّه إذا لم يكن دلالة لا يمكن الحكم شرعا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الإطلاق محمول على الفرد المتعارف الشائع، كما هو مسلّم عند جميع المحقّقين، و لا شكّ في أنّ المتعارف، بل المتبادر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إذا وقع الرؤية يجب إنشاء الصوم بعدها و كذلك الفطر، بل المتعارف أنّه إذا وقع الرؤية يجب الصوم من الغد و كذلك الفطر، بل المتبادر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كون الرؤية موجبة للصوم حين الرؤية، و الإفطار حين الرؤية، و الفطر من الغد و اليوم </w:t>
      </w:r>
      <w:r>
        <w:rPr>
          <w:rStyle w:val="FootnoteAnchor"/>
          <w:rtl w:val="true"/>
        </w:rPr>
        <w:footnoteReference w:id="1744"/>
      </w:r>
      <w:r>
        <w:rPr>
          <w:rFonts w:ascii="Amiri" w:hAnsi="Amiri" w:eastAsia="Amiri" w:cs="Amiri"/>
          <w:color w:val="111111"/>
          <w:sz w:val="28"/>
          <w:sz w:val="28"/>
          <w:szCs w:val="28"/>
          <w:rtl w:val="true"/>
          <w:lang w:bidi="ar-SA"/>
        </w:rPr>
        <w:t>من الغد خلاف مدلول تلك الأخبار بلا تأمّل، إلى غير ذلك ممّا مرّ في وجه الدلالة، و يمكن أن يقال نظير ما ذكرنا في الأخبار بالنسبة إلى دلالة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الذي نبّهنا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للتأمّل، و اعترف بوضوح الدلالة جدّي العالم الربّاني رحمه اللّه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 في عدّ الاعتبار برؤية قبل الزوال و ما ماثلها هي هذه الأخبار الصحاح الكثيرة جدّا</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و مراده المبالغة في وضوح الدلالة، بل ادّعى اليقين في الدلالة، كما عرفت، و عرفت أنّه لا يخلو عن الوجاهة، و إلّا فما أشرنا إليه من الأخبار أيضا لا غبار عليه، لا سندا، و لا دلالة كما أشرنا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الدلالة؛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بالتظنّي</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 xml:space="preserve">، و لا شكّ أنّ كون ما يرى قبل الزوال لليلة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ضعيف في غاية الضعف،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مستند المشهور متواتر، كما عرفت، و اعتبر به المحقّقون لأنّه موافق للقرآن و للاصول؛ أصل البراءة، و أصل عدم التكليف، و أصل بقاء الشهر السابق، و أصل عدم اللاحق حتّى يثبت الخلاف، و قولهم عليهم السّلام في كثير من الأخبار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 و لكن ينقضه يقين اخر</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و أكثره صحاح بالصحّة المتّفق</w:t>
      </w:r>
    </w:p>
    <w:p>
      <w:pPr>
        <w:pStyle w:val="BookText"/>
        <w:rPr/>
      </w:pPr>
      <w:r>
        <w:rPr>
          <w:rFonts w:ascii="Amiri" w:hAnsi="Amiri" w:eastAsia="Amiri" w:cs="Amiri"/>
          <w:color w:val="111111"/>
          <w:sz w:val="28"/>
          <w:sz w:val="28"/>
          <w:szCs w:val="28"/>
          <w:rtl w:val="true"/>
          <w:lang w:bidi="ar-SA"/>
        </w:rPr>
        <w:t xml:space="preserve">عليها، و غير الصحيح منجبر بالشهرة التي كادت أن تكون إجماعا، كما ستعرف و ممّا مضى و سنذكره، و هو أقوى من الصحيح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أوفق بمذهب الشيعة، و أبعد عن العامّة، و موافق للاعتبار، و واضح دلالته، كما عرفت، بل بعضه صريح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المعارض، فغير صحيح، و مجرّد قول شاذّ بالصحّة لا يكفي للحكم بالصحّة، فضلا عن أن يعارض على الصحيح المتّفق على صحّته، بل الصحاح الكثيرة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غالب غير الصحاح حكم شاذّ بالصحّة، و مخالف للكتاب و للاصول، و قليل عددا، و مخالف للمشتهر بين الأصحاب، بل شاذّ نادر؛ إذ لم نجد عاملا به؛ إذ بعد غاية بذل الجهد في استحصال قائل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المرتضى في بعض مسائله ذلك،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مذهبنا </w:t>
      </w:r>
      <w:r>
        <w:rPr>
          <w:rStyle w:val="FootnoteAnchor"/>
          <w:rtl w:val="true"/>
        </w:rPr>
        <w:footnoteReference w:id="1749"/>
      </w:r>
      <w:r>
        <w:rPr>
          <w:rFonts w:ascii="Amiri" w:hAnsi="Amiri" w:eastAsia="Amiri" w:cs="Amiri"/>
          <w:color w:val="111111"/>
          <w:sz w:val="28"/>
          <w:sz w:val="28"/>
          <w:szCs w:val="28"/>
          <w:rtl w:val="true"/>
          <w:lang w:bidi="ar-SA"/>
        </w:rPr>
        <w:t>، و هذا ينادي بأنّه لم يقل بذلك في كتبه المعروفة و تصانيفه في الفقه،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لم يقل به في تصنيف و كتاب من كتبه، فكيف يدّعى كونه مذهب الشيعة، بل القطع بأنّ ذلك من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لم يوجد له موافق في ذلك؟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كان مذهب الشيعة كذلك إلى زمان السيّد لاشتهر اشتهار الشمس؛ لعموم البلوى، و شدّة الحاجة، بل لو لم يكن كذلك أيضا كيف يكون مذهب الشيعة إلى زمانه كذلك، مع أنّه ما وافقه أحد ممّن تقدّم عليه أو عاصره أو تأخّر عنه ممّن قارب عصره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اتّفقوا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ادّعوا الإجماع على</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 وافق نفسه، فكيف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يورث 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إلى السيّد، و ربّما نرى نسب إلى فقيه قول في موضع، فوجدنا الموضع على خلاف ما نسب إليه، و لعلّه لهذا ادّعي الإجماع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العجائب نسبة بعضهم ذلك القول إلى الصدوق </w:t>
      </w:r>
      <w:r>
        <w:rPr>
          <w:rStyle w:val="FootnoteAnchor"/>
          <w:rtl w:val="true"/>
        </w:rPr>
        <w:footnoteReference w:id="1750"/>
      </w:r>
      <w:r>
        <w:rPr>
          <w:rFonts w:ascii="Amiri" w:hAnsi="Amiri" w:eastAsia="Amiri" w:cs="Amiri"/>
          <w:color w:val="111111"/>
          <w:sz w:val="28"/>
          <w:sz w:val="28"/>
          <w:szCs w:val="28"/>
          <w:rtl w:val="true"/>
          <w:lang w:bidi="ar-SA"/>
        </w:rPr>
        <w:t xml:space="preserve">، مع أنّه في غاية الإنكار على القول بالرؤية و عدم القول بالعدد، مع نقله أحاديث الرؤية و أحكام الرؤية، و مع ذلك صرّح بكونها موافقة لمذهب العامّة، و أنّها بدعة، و أنّ الحقّ كون الصوم و الفطر بالعدد مطلقا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المحقّق التوقّف في ذلك في بعض كتبه </w:t>
      </w:r>
      <w:r>
        <w:rPr>
          <w:rStyle w:val="FootnoteAnchor"/>
          <w:rtl w:val="true"/>
        </w:rPr>
        <w:footnoteReference w:id="1752"/>
      </w:r>
      <w:r>
        <w:rPr>
          <w:rFonts w:ascii="Amiri" w:hAnsi="Amiri" w:eastAsia="Amiri" w:cs="Amiri"/>
          <w:color w:val="111111"/>
          <w:sz w:val="28"/>
          <w:sz w:val="28"/>
          <w:szCs w:val="28"/>
          <w:rtl w:val="true"/>
          <w:lang w:bidi="ar-SA"/>
        </w:rPr>
        <w:t xml:space="preserve">، لكن التوقّف ليس بقول بالحديث، بل غايته احتياط منه، و مع ذلك ربّما توقّف في مسائل يحصل القطع بأنّه ليس في موضعه، مثل توقّفه في بطلان التيمّم على طريقة أهل السنّة و ما هو شعارهم </w:t>
      </w:r>
      <w:r>
        <w:rPr>
          <w:rStyle w:val="FootnoteAnchor"/>
          <w:rtl w:val="true"/>
        </w:rPr>
        <w:footnoteReference w:id="1753"/>
      </w:r>
      <w:r>
        <w:rPr>
          <w:rFonts w:ascii="Amiri" w:hAnsi="Amiri" w:eastAsia="Amiri" w:cs="Amiri"/>
          <w:color w:val="111111"/>
          <w:sz w:val="28"/>
          <w:sz w:val="28"/>
          <w:szCs w:val="28"/>
          <w:rtl w:val="true"/>
          <w:lang w:bidi="ar-SA"/>
        </w:rPr>
        <w:t xml:space="preserve">، و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الأخبار مع ما عرفت من الشكّ في دلالتها، و عدم الصحّة، و المخالفة للقرآن و الاصول، و غير ذلك ممّا هو فيها، و عرفت أنّها مخالفة للوجدان و البديهة فلا يكون ظواهرها مرادة قطعا، و خلاف الظاهر لا يصلح للحجيّة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يعارض أدلّة المشهور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أقرب التوجيهات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أو أنّ المراد الظاهر و المظنّة؛ صرّح بذلك جدّي رحمه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من أن يكون كذلك، إلّا أنّا نكون مأمورين بطريقة</w:t>
      </w:r>
      <w:bookmarkStart w:id="663" w:name="pg2470_12756"/>
    </w:p>
    <w:p>
      <w:pPr>
        <w:pStyle w:val="BookText"/>
        <w:rPr/>
      </w:pPr>
      <w:bookmarkEnd w:id="663"/>
      <w:r>
        <w:rPr>
          <w:rFonts w:ascii="Amiri" w:hAnsi="Amiri" w:eastAsia="Amiri" w:cs="Amiri"/>
          <w:color w:val="111111"/>
          <w:sz w:val="28"/>
          <w:sz w:val="28"/>
          <w:szCs w:val="28"/>
          <w:rtl w:val="true"/>
          <w:lang w:bidi="ar-SA"/>
        </w:rPr>
        <w:t>المشهور، و يكون ثمرة المظنّة تظهر في موضع يعتبر فيه المظنّة</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مراد السيّد أيضا ذلك، أو أنّ مراده المشاركة في الحكم في الحمل؛ لأنّه يعلم يقينا أنّ هذه الأخبار ليست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المراد الظاهر؛ كما ترى أنّهم كثيرا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الفلاني كذلك، و مرادهم أنّه بحسب الظاهر كذلك، ألا ترى أنّ السيّد يقول بأنّ السنّي كافر حقيقة </w:t>
      </w:r>
      <w:r>
        <w:rPr>
          <w:rStyle w:val="FootnoteAnchor"/>
          <w:rtl w:val="true"/>
        </w:rPr>
        <w:footnoteReference w:id="1755"/>
      </w:r>
      <w:r>
        <w:rPr>
          <w:rFonts w:ascii="Amiri" w:hAnsi="Amiri" w:eastAsia="Amiri" w:cs="Amiri"/>
          <w:color w:val="111111"/>
          <w:sz w:val="28"/>
          <w:sz w:val="28"/>
          <w:szCs w:val="28"/>
          <w:rtl w:val="true"/>
          <w:lang w:bidi="ar-SA"/>
        </w:rPr>
        <w:t>، و مع ذلك لا يجري فيه جميع أحكام الكفر،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يجمع بين كلامه هذا و ما ذكره في كتبه، و ربّما صحّ نسبته إلى الشيعة، إذ لم يظهر مخالف ممّن عاصره و تقدّم عليه،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أنّه لو كان المراد في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الليلة الماضية؛ واقعا أيضا لا يضرّ؛ لأنّهم عليهم السّلام جعلوا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أعمّ من أن يرى المكلّف؛ إذ تثبت بالشهادة، فلعلّه من جملة الشرائط كالحضر و عدم المرض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بل المعيّن ما ذكرناه أوّلا؛ تنزيها للمعصوم عليه السّلام عن الكذب، و لأنّ الظاهر أنّ اعتبار الرؤية لثبوت الشهرة،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مرّ و سيجي‌ء أيضا في باب أنّ الصوم و الفطر مع السلطان ما يقرب كون هذه الأخبار على التقيّة؛ فلاحظ</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601762_3804643083"/>
      <w:bookmarkStart w:id="665" w:name="_Toc249"/>
      <w:bookmarkEnd w:id="664"/>
      <w:r>
        <w:rPr>
          <w:rtl w:val="true"/>
        </w:rPr>
        <w:t>[</w:t>
      </w:r>
      <w:r>
        <w:rPr>
          <w:rtl w:val="true"/>
        </w:rPr>
        <w:t>باب أنّ الصوم و الفطر مع السلطان إذا كان تقيّة</w:t>
      </w:r>
      <w:r>
        <w:rPr>
          <w:rtl w:val="true"/>
        </w:rPr>
        <w:t>]</w:t>
      </w:r>
      <w:bookmarkEnd w:id="66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w:t>
      </w:r>
    </w:p>
    <w:p>
      <w:pPr>
        <w:pStyle w:val="BookText"/>
        <w:rPr/>
      </w:pPr>
      <w:r>
        <w:rPr>
          <w:rFonts w:ascii="IRNazanin" w:hAnsi="IRNazanin" w:eastAsia="IRNazanin"/>
          <w:color w:val="111111"/>
          <w:sz w:val="28"/>
          <w:sz w:val="28"/>
          <w:szCs w:val="28"/>
          <w:rtl w:val="true"/>
          <w:lang w:bidi="fa-IR"/>
        </w:rPr>
        <w:t xml:space="preserve">إن صمت صمنا، و إن أفطرت أفطرنا </w:t>
      </w:r>
      <w:r>
        <w:rPr>
          <w:rStyle w:val="FootnoteAnchor"/>
          <w:rtl w:val="true"/>
        </w:rPr>
        <w:footnoteReference w:id="1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أخبار هذا الباب تدلّ على أنّ العامّة و سلاطينهم كانوا يبنون أمر إفطارهم على ظنونهم، و كانوا يفطرون يوما من شهر رمضان بمجرّد ظنّهم، و محض ما يخيّلون، و هو المشاهد المحسوس الآن منهم في الأعصار و الأمصار، لأنّ سلطانهم لو كان يا بني على الثبوت من الرؤية لكان صومهم بصوم السلطان، و فطرهم بفطره من دون مراعاة الرؤية أصلا، كما هو مذهبهم و طريقتهم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بالبديهة أنّ سلطانهم يجعل أمرا له عذر في الإفطار، و أنّه ليس بيقيني بالبديهة، فظهر أنّ مدار العامّة كان على الظنون، خصوصا سلاطينهم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على الظنون من طريقة العامّة، و أنّ الأخبار الواردة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قبل الزوال معتبرة تناسب طريقتهم؛ لأنّها أمارة ظنيّة، فإذا بنوا في الصوم بنوا في الإفطار أيضا؛ لعدم الفرق، و رواية العبيدي، و جرّاح، و محمّد بن قيس و غيرها أيضا تنادي بذلك،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الأخبار المتواترة المتضمّنة لكون الصوم و الفطر للرؤية و شرطها، و أنّه لا يجوز التظنّي إنّما هي ردّ على العامّة، كما لا يخفى، فما ورد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بترك ما وافق العامّة </w:t>
      </w:r>
      <w:r>
        <w:rPr>
          <w:rStyle w:val="FootnoteAnchor"/>
          <w:rtl w:val="true"/>
        </w:rPr>
        <w:footnoteReference w:id="1757"/>
      </w:r>
      <w:r>
        <w:rPr>
          <w:rFonts w:ascii="Amiri" w:hAnsi="Amiri" w:eastAsia="Amiri" w:cs="Amiri"/>
          <w:color w:val="111111"/>
          <w:sz w:val="28"/>
          <w:sz w:val="28"/>
          <w:szCs w:val="28"/>
          <w:rtl w:val="true"/>
          <w:lang w:bidi="ar-SA"/>
        </w:rPr>
        <w:t>، و ما إليه حكّامهم أميل، و الأخذ بما خالفهم، و أنّ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الحكم بما تضمّن رواية العبيدي و نظرائها من الأخبار المتواترة، لا ما تضمّن من اعتبار الرؤية قبل الزوال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عرفت أنّ مستند المشهور إنّما هو ردّ على العامّة، فكيف يمكن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قضاؤه أيسر </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يدلّ على أنّ حفظ البقاء للعبادة </w:t>
      </w:r>
      <w:r>
        <w:rPr>
          <w:rStyle w:val="FootnoteAnchor"/>
          <w:rtl w:val="true"/>
        </w:rPr>
        <w:footnoteReference w:id="1759"/>
      </w:r>
      <w:r>
        <w:rPr>
          <w:rFonts w:ascii="Amiri" w:hAnsi="Amiri" w:eastAsia="Amiri" w:cs="Amiri"/>
          <w:color w:val="111111"/>
          <w:sz w:val="28"/>
          <w:sz w:val="28"/>
          <w:szCs w:val="28"/>
          <w:rtl w:val="true"/>
          <w:lang w:bidi="ar-SA"/>
        </w:rPr>
        <w:t>مقدّم على جميع التكاليف، فلو دار الأمر بينه و بين ارتكاب محرّم كشرب الخمر لإساغة اللقمة و النجاة من المرض المهلك و أمثال ذلك، أو ترك واجب بمثل ترك الغسل من الجنابة في حال المرض لو خيف التلف، و إن أجنب عمدا، و غير ذلك من الأحكام، يكون حفظ النفس مقدّما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w:t>
      </w:r>
      <w:r>
        <w:rPr>
          <w:rStyle w:val="FootnoteAnchor"/>
          <w:rtl w:val="true"/>
        </w:rPr>
        <w:footnoteReference w:id="1760"/>
      </w:r>
      <w:r>
        <w:rPr>
          <w:rFonts w:ascii="Amiri" w:hAnsi="Amiri" w:eastAsia="Amiri" w:cs="Amiri"/>
          <w:color w:val="111111"/>
          <w:sz w:val="28"/>
          <w:sz w:val="28"/>
          <w:szCs w:val="28"/>
          <w:rtl w:val="true"/>
          <w:lang w:bidi="ar-SA"/>
        </w:rPr>
        <w:t>الآية، و الأخبار أيضا، و الاستقراء أيضا؛ لأنّ في جلّ المواضع أمروا كذلك إلى حدّ ربّما يحصل القطع بذلك، و اللّه يعلم</w:t>
      </w:r>
      <w:r>
        <w:rPr>
          <w:rFonts w:eastAsia="Amiri" w:cs="Amiri" w:ascii="Amiri" w:hAnsi="Amiri"/>
          <w:color w:val="111111"/>
          <w:sz w:val="28"/>
          <w:szCs w:val="28"/>
          <w:rtl w:val="true"/>
          <w:lang w:bidi="ar-SA"/>
        </w:rPr>
        <w:t>.</w:t>
      </w:r>
      <w:bookmarkStart w:id="666" w:name="pg2470_12759"/>
    </w:p>
    <w:p>
      <w:pPr>
        <w:pStyle w:val="Heading3"/>
        <w:numPr>
          <w:ilvl w:val="2"/>
          <w:numId w:val="1"/>
        </w:numPr>
        <w:rPr/>
      </w:pPr>
      <w:bookmarkStart w:id="667" w:name="__RefHeading___Toc3601764_3804643083"/>
      <w:bookmarkStart w:id="668" w:name="_Toc250"/>
      <w:bookmarkEnd w:id="666"/>
      <w:bookmarkEnd w:id="667"/>
      <w:r>
        <w:rPr>
          <w:rtl w:val="true"/>
        </w:rPr>
        <w:t>[</w:t>
      </w:r>
      <w:r>
        <w:rPr>
          <w:rtl w:val="true"/>
        </w:rPr>
        <w:t>أبواب نواقض الصيام و شرائطه و آدابه و ما يجبر فواته</w:t>
      </w:r>
      <w:r>
        <w:rPr>
          <w:rtl w:val="true"/>
        </w:rPr>
        <w:t>]</w:t>
      </w:r>
      <w:bookmarkEnd w:id="668"/>
    </w:p>
    <w:p>
      <w:pPr>
        <w:pStyle w:val="Heading4"/>
        <w:numPr>
          <w:ilvl w:val="3"/>
          <w:numId w:val="1"/>
        </w:numPr>
        <w:rPr/>
      </w:pPr>
      <w:bookmarkStart w:id="669" w:name="__RefHeading___Toc3601766_3804643083"/>
      <w:bookmarkStart w:id="670" w:name="_Toc251"/>
      <w:bookmarkEnd w:id="669"/>
      <w:r>
        <w:rPr>
          <w:rtl w:val="true"/>
        </w:rPr>
        <w:t>[</w:t>
      </w:r>
      <w:r>
        <w:rPr>
          <w:rtl w:val="true"/>
        </w:rPr>
        <w:t>باب ما ينقض الصوم أو يضرّ الصائم</w:t>
      </w:r>
      <w:r>
        <w:rPr>
          <w:rtl w:val="true"/>
        </w:rPr>
        <w:t>]</w:t>
      </w:r>
      <w:bookmarkEnd w:id="6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هذه الرواية أنّ الارتماس يضرّ الصوم؛ لكونه مضرّا للصائم، مثل الطعام و الشراب و الجماع، و الوارد في الأخبار الكثيرة النهي عنه، و الصوم عبادة توقيفيّة، و وظيفة شرعيّة لا بدّ لثبوته و معرفة ماهيّته من الدليل الشرعي، و لو لم يثبت من نصّ ممّا هو المجمع عليه، و مع ورود النهي عن فعل فيه، كيف الحكم بصحّة ما وقع فيه المنهيّ؟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أبي جميلة الدالّة على الصحّة ضعيفة السند </w:t>
      </w:r>
      <w:r>
        <w:rPr>
          <w:rStyle w:val="FootnoteAnchor"/>
          <w:rtl w:val="true"/>
        </w:rPr>
        <w:footnoteReference w:id="176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إمكان حملها على جاهل المسألة، إلّا أن يقال بأنّ رواية ابن سنان </w:t>
      </w:r>
      <w:r>
        <w:rPr>
          <w:rStyle w:val="FootnoteAnchor"/>
          <w:rtl w:val="true"/>
        </w:rPr>
        <w:footnoteReference w:id="1763"/>
      </w:r>
      <w:r>
        <w:rPr>
          <w:rFonts w:ascii="Amiri" w:hAnsi="Amiri" w:eastAsia="Amiri" w:cs="Amiri"/>
          <w:color w:val="111111"/>
          <w:sz w:val="28"/>
          <w:sz w:val="28"/>
          <w:szCs w:val="28"/>
          <w:rtl w:val="true"/>
          <w:lang w:bidi="ar-SA"/>
        </w:rPr>
        <w:t>تؤيّدها، فتأمّل</w:t>
      </w:r>
      <w:r>
        <w:rPr>
          <w:rFonts w:eastAsia="Amiri" w:cs="Amiri" w:ascii="Amiri" w:hAnsi="Amiri"/>
          <w:color w:val="111111"/>
          <w:sz w:val="28"/>
          <w:szCs w:val="28"/>
          <w:rtl w:val="true"/>
          <w:lang w:bidi="ar-SA"/>
        </w:rPr>
        <w:t>!</w:t>
      </w:r>
      <w:bookmarkStart w:id="671" w:name="pg2470_12760"/>
    </w:p>
    <w:p>
      <w:pPr>
        <w:pStyle w:val="Heading4"/>
        <w:numPr>
          <w:ilvl w:val="3"/>
          <w:numId w:val="1"/>
        </w:numPr>
        <w:rPr/>
      </w:pPr>
      <w:bookmarkStart w:id="672" w:name="__RefHeading___Toc3601768_3804643083"/>
      <w:bookmarkStart w:id="673" w:name="_Toc252"/>
      <w:bookmarkEnd w:id="671"/>
      <w:bookmarkEnd w:id="672"/>
      <w:r>
        <w:rPr>
          <w:rtl w:val="true"/>
        </w:rPr>
        <w:t>[</w:t>
      </w:r>
      <w:r>
        <w:rPr>
          <w:rtl w:val="true"/>
        </w:rPr>
        <w:t>باب الصائم يصبح جنبا أو يحتلم نهارا</w:t>
      </w:r>
      <w:r>
        <w:rPr>
          <w:rtl w:val="true"/>
        </w:rPr>
        <w:t>]</w:t>
      </w:r>
      <w:bookmarkEnd w:id="6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دلالة واضحة على أنّ قصد القربة كاف في الاغتسال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دلالة فيه أصلا، فضلا عن أن تكون واضحة، بل ظاهره التداخل، و كفاية غسل الجمعة في حال النسيان عن غسل الجنابة، كما ورد في أخبار كثيرة في تداخل الأغسال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عليك حقوق أجزأك عنها حقّ واحد</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و أمثاله،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تداخل الأغسال من المسلّمات المشهورات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فيه، و لم يقل أحد أنّ تداخل الأغسال يدلّ على عدم اشتراط التعيين و الوجوب و الندب في النيّة، و تداخل الوضوء من الامور التي لا يشكّ واحد فيه في الجملة، مع حكمهم بوجوب نيّة التعيين و الوجوب و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يشبه رمضان شي‌ء من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أن يكون المراد بهذا الكلام أنّ شهر رمضان لا يجوز إفطار يوم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خفاء في أنّ المراد هو الاحتمال الثاني، مضافا إلى ظهور موثّقة ابن بكير </w:t>
      </w:r>
      <w:r>
        <w:rPr>
          <w:rStyle w:val="FootnoteAnchor"/>
          <w:rtl w:val="true"/>
        </w:rPr>
        <w:footnoteReference w:id="1767"/>
      </w:r>
      <w:r>
        <w:rPr>
          <w:rFonts w:ascii="Amiri" w:hAnsi="Amiri" w:eastAsia="Amiri" w:cs="Amiri"/>
          <w:color w:val="111111"/>
          <w:sz w:val="28"/>
          <w:sz w:val="28"/>
          <w:szCs w:val="28"/>
          <w:rtl w:val="true"/>
          <w:lang w:bidi="ar-SA"/>
        </w:rPr>
        <w:t xml:space="preserve">في عدم اختصاص ذلك برمضان و قضائه، كما لا يخفى، مضافا إلى الإجماع المنقول </w:t>
      </w:r>
      <w:r>
        <w:rPr>
          <w:rStyle w:val="FootnoteAnchor"/>
          <w:rtl w:val="true"/>
        </w:rPr>
        <w:footnoteReference w:id="1768"/>
      </w:r>
      <w:r>
        <w:rPr>
          <w:rFonts w:ascii="Amiri" w:hAnsi="Amiri" w:eastAsia="Amiri" w:cs="Amiri"/>
          <w:color w:val="111111"/>
          <w:sz w:val="28"/>
          <w:sz w:val="28"/>
          <w:szCs w:val="28"/>
          <w:rtl w:val="true"/>
          <w:lang w:bidi="ar-SA"/>
        </w:rPr>
        <w:t>في اشتراط مطلق الصوم بذلك، لا خصوص رمضان و قضائه، مع أنّ</w:t>
      </w:r>
      <w:bookmarkStart w:id="674" w:name="pg2470_12761"/>
    </w:p>
    <w:p>
      <w:pPr>
        <w:pStyle w:val="BookText"/>
        <w:rPr/>
      </w:pPr>
      <w:bookmarkEnd w:id="674"/>
      <w:r>
        <w:rPr>
          <w:rFonts w:ascii="Amiri" w:hAnsi="Amiri" w:eastAsia="Amiri" w:cs="Amiri"/>
          <w:color w:val="111111"/>
          <w:sz w:val="28"/>
          <w:sz w:val="28"/>
          <w:szCs w:val="28"/>
          <w:rtl w:val="true"/>
          <w:lang w:bidi="ar-SA"/>
        </w:rPr>
        <w:t>أحدا من فقهاء الشيعة لم يذهب إلى التفصيل، و لم يقل بالفرق،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أسندها عليه السّلام إليها، و لم يروها عن آبائه عليهم السّلام </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 الشيخ </w:t>
      </w:r>
      <w:r>
        <w:rPr>
          <w:rStyle w:val="FootnoteAnchor"/>
          <w:rtl w:val="true"/>
        </w:rPr>
        <w:footnoteReference w:id="1770"/>
      </w:r>
      <w:r>
        <w:rPr>
          <w:rFonts w:ascii="IRNazanin" w:hAnsi="IRNazanin" w:eastAsia="IRNazanin"/>
          <w:color w:val="111111"/>
          <w:sz w:val="28"/>
          <w:sz w:val="28"/>
          <w:szCs w:val="28"/>
          <w:rtl w:val="true"/>
          <w:lang w:bidi="fa-IR"/>
        </w:rPr>
        <w:t xml:space="preserve">و من تبعه </w:t>
      </w:r>
      <w:r>
        <w:rPr>
          <w:rStyle w:val="FootnoteAnchor"/>
          <w:rtl w:val="true"/>
        </w:rPr>
        <w:footnoteReference w:id="1771"/>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الثالثة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القضاء و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بناؤهم على أنّ هاتين الروايتين مقتضاهما وجوب القضاء و الكفّارة على من أصبح جنبا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الاولى ببعض الأخبار الدالّة على أنّه ليس بها بأس </w:t>
      </w:r>
      <w:r>
        <w:rPr>
          <w:rStyle w:val="FootnoteAnchor"/>
          <w:rtl w:val="true"/>
        </w:rPr>
        <w:footnoteReference w:id="1772"/>
      </w:r>
      <w:r>
        <w:rPr>
          <w:rFonts w:ascii="Amiri" w:hAnsi="Amiri" w:eastAsia="Amiri" w:cs="Amiri"/>
          <w:color w:val="111111"/>
          <w:sz w:val="28"/>
          <w:sz w:val="28"/>
          <w:szCs w:val="28"/>
          <w:rtl w:val="true"/>
          <w:lang w:bidi="ar-SA"/>
        </w:rPr>
        <w:t xml:space="preserve">،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الثانية بما دلّ على أنّه صاحبها عليه القضاء خاصّة </w:t>
      </w:r>
      <w:r>
        <w:rPr>
          <w:rStyle w:val="FootnoteAnchor"/>
          <w:rtl w:val="true"/>
        </w:rPr>
        <w:footnoteReference w:id="1773"/>
      </w:r>
      <w:r>
        <w:rPr>
          <w:rFonts w:ascii="Amiri" w:hAnsi="Amiri" w:eastAsia="Amiri" w:cs="Amiri"/>
          <w:color w:val="111111"/>
          <w:sz w:val="28"/>
          <w:sz w:val="28"/>
          <w:szCs w:val="28"/>
          <w:rtl w:val="true"/>
          <w:lang w:bidi="ar-SA"/>
        </w:rPr>
        <w:t>، و بقي الباقي داخلا، و هو النوم الثالث و ما بعده فصاعدا، و النوم بقصد عدم الغسل، و النوم لا بقصد الغسل</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3601770_3804643083"/>
      <w:bookmarkStart w:id="676" w:name="_Toc253"/>
      <w:bookmarkEnd w:id="675"/>
      <w:r>
        <w:rPr>
          <w:rtl w:val="true"/>
        </w:rPr>
        <w:t>[</w:t>
      </w:r>
      <w:r>
        <w:rPr>
          <w:rtl w:val="true"/>
        </w:rPr>
        <w:t>باب متى يفطر المسافر</w:t>
      </w:r>
      <w:r>
        <w:rPr>
          <w:rtl w:val="true"/>
        </w:rPr>
        <w:t>]</w:t>
      </w:r>
      <w:bookmarkEnd w:id="6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يصلح لأن يجمع بين ما اختلف </w:t>
      </w:r>
      <w:r>
        <w:rPr>
          <w:rStyle w:val="FootnoteAnchor"/>
          <w:rtl w:val="true"/>
        </w:rPr>
        <w:footnoteReference w:id="1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التخيير مخالف لظاهر الآية </w:t>
      </w:r>
      <w:r>
        <w:rPr>
          <w:rStyle w:val="FootnoteAnchor"/>
          <w:rtl w:val="true"/>
        </w:rPr>
        <w:footnoteReference w:id="1775"/>
      </w:r>
      <w:r>
        <w:rPr>
          <w:rFonts w:ascii="Amiri" w:hAnsi="Amiri" w:eastAsia="Amiri" w:cs="Amiri"/>
          <w:color w:val="111111"/>
          <w:sz w:val="28"/>
          <w:sz w:val="28"/>
          <w:szCs w:val="28"/>
          <w:rtl w:val="true"/>
          <w:lang w:bidi="ar-SA"/>
        </w:rPr>
        <w:t xml:space="preserve">و الأخبار المتواترة في حكم المسافر و الحاضر </w:t>
      </w:r>
      <w:r>
        <w:rPr>
          <w:rStyle w:val="FootnoteAnchor"/>
          <w:rtl w:val="true"/>
        </w:rPr>
        <w:footnoteReference w:id="1776"/>
      </w:r>
      <w:r>
        <w:rPr>
          <w:rFonts w:ascii="Amiri" w:hAnsi="Amiri" w:eastAsia="Amiri" w:cs="Amiri"/>
          <w:color w:val="111111"/>
          <w:sz w:val="28"/>
          <w:sz w:val="28"/>
          <w:szCs w:val="28"/>
          <w:rtl w:val="true"/>
          <w:lang w:bidi="ar-SA"/>
        </w:rPr>
        <w:t>، و جميع أخبار هذا الباب و الباب الذي قبله، و مخالف لفتاوى جميع</w:t>
      </w:r>
    </w:p>
    <w:p>
      <w:pPr>
        <w:pStyle w:val="BookText"/>
        <w:rPr/>
      </w:pPr>
      <w:r>
        <w:rPr>
          <w:rFonts w:ascii="Amiri" w:hAnsi="Amiri" w:eastAsia="Amiri" w:cs="Amiri"/>
          <w:color w:val="111111"/>
          <w:sz w:val="28"/>
          <w:sz w:val="28"/>
          <w:szCs w:val="28"/>
          <w:rtl w:val="true"/>
          <w:lang w:bidi="ar-SA"/>
        </w:rPr>
        <w:t>الفقهاء، فيكون من الشواذّ التي يجب ترك العمل به، إلّا أن يؤوّل كما أوّلوه، فتأمّل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رفاعة هذا روى ما يخالف ذلك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bookmarkStart w:id="677" w:name="pg2470_12763"/>
    </w:p>
    <w:p>
      <w:pPr>
        <w:pStyle w:val="Heading2"/>
        <w:numPr>
          <w:ilvl w:val="1"/>
          <w:numId w:val="1"/>
        </w:numPr>
        <w:rPr/>
      </w:pPr>
      <w:bookmarkStart w:id="678" w:name="__RefHeading___Toc3601772_3804643083"/>
      <w:bookmarkStart w:id="679" w:name="_Toc254"/>
      <w:bookmarkEnd w:id="677"/>
      <w:bookmarkEnd w:id="678"/>
      <w:r>
        <w:rPr>
          <w:rtl w:val="true"/>
        </w:rPr>
        <w:t>كتاب المطاعم و المشارب و التجمّلات</w:t>
      </w:r>
      <w:bookmarkEnd w:id="67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0" w:name="__RefHeading___Toc3601774_3804643083"/>
      <w:bookmarkStart w:id="681" w:name="_Toc255"/>
      <w:bookmarkEnd w:id="680"/>
      <w:r>
        <w:rPr>
          <w:rtl w:val="true"/>
        </w:rPr>
        <w:t>اشارة</w:t>
      </w:r>
      <w:bookmarkStart w:id="682" w:name="pg2470_12765"/>
      <w:bookmarkEnd w:id="681"/>
    </w:p>
    <w:p>
      <w:pPr>
        <w:pStyle w:val="Heading3"/>
        <w:numPr>
          <w:ilvl w:val="2"/>
          <w:numId w:val="1"/>
        </w:numPr>
        <w:rPr/>
      </w:pPr>
      <w:bookmarkStart w:id="683" w:name="__RefHeading___Toc3601776_3804643083"/>
      <w:bookmarkStart w:id="684" w:name="_Toc256"/>
      <w:bookmarkEnd w:id="682"/>
      <w:bookmarkEnd w:id="683"/>
      <w:r>
        <w:rPr>
          <w:rtl w:val="true"/>
        </w:rPr>
        <w:t>[</w:t>
      </w:r>
      <w:r>
        <w:rPr>
          <w:rtl w:val="true"/>
        </w:rPr>
        <w:t>أبواب ما يحلّ من المطاعم و ما لا يحلّ</w:t>
      </w:r>
      <w:r>
        <w:rPr>
          <w:rtl w:val="true"/>
        </w:rPr>
        <w:t>]</w:t>
      </w:r>
      <w:bookmarkEnd w:id="684"/>
    </w:p>
    <w:p>
      <w:pPr>
        <w:pStyle w:val="Heading4"/>
        <w:numPr>
          <w:ilvl w:val="3"/>
          <w:numId w:val="1"/>
        </w:numPr>
        <w:rPr/>
      </w:pPr>
      <w:bookmarkStart w:id="685" w:name="__RefHeading___Toc3601778_3804643083"/>
      <w:bookmarkStart w:id="686" w:name="_Toc257"/>
      <w:bookmarkEnd w:id="685"/>
      <w:r>
        <w:rPr>
          <w:rtl w:val="true"/>
        </w:rPr>
        <w:t>[</w:t>
      </w:r>
      <w:r>
        <w:rPr>
          <w:rtl w:val="true"/>
        </w:rPr>
        <w:t>المطاعم المحلّلة و المحرّمة</w:t>
      </w:r>
      <w:r>
        <w:rPr>
          <w:rtl w:val="true"/>
        </w:rPr>
        <w:t>]</w:t>
      </w:r>
      <w:bookmarkEnd w:id="686"/>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w:t>
      </w:r>
      <w:r>
        <w:rPr>
          <w:rStyle w:val="FootnoteAnchor"/>
          <w:rtl w:val="true"/>
        </w:rPr>
        <w:footnoteReference w:id="1778"/>
      </w:r>
      <w:r>
        <w:rPr>
          <w:rFonts w:ascii="Amiri" w:hAnsi="Amiri" w:eastAsia="Amiri" w:cs="Amiri"/>
          <w:color w:val="111111"/>
          <w:sz w:val="28"/>
          <w:sz w:val="28"/>
          <w:szCs w:val="28"/>
          <w:rtl w:val="true"/>
          <w:lang w:bidi="ar-SA"/>
        </w:rPr>
        <w:t xml:space="preserve">أي و صيد ما علّمتم، و الجوارح الكواسب، و المكلّب صاحب الكلب المؤدّب </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ما حرّم اللّه في شراعنا في غاية الكثرة و نهاية الوفور، فكيف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w:t>
      </w:r>
      <w:r>
        <w:rPr>
          <w:rStyle w:val="FootnoteAnchor"/>
          <w:rtl w:val="true"/>
        </w:rPr>
        <w:footnoteReference w:id="1780"/>
      </w:r>
      <w:r>
        <w:rPr>
          <w:rFonts w:ascii="Amiri" w:hAnsi="Amiri" w:eastAsia="Amiri" w:cs="Amiri"/>
          <w:color w:val="111111"/>
          <w:sz w:val="28"/>
          <w:sz w:val="28"/>
          <w:szCs w:val="28"/>
          <w:rtl w:val="true"/>
          <w:lang w:bidi="ar-SA"/>
        </w:rPr>
        <w:t>أصلا سوى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الميتة أنواعا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الموجود من المحرّم فيما أوحي إليه في غاية الكثرة، فكيف يقول إنّه أربعة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يجوز استعمال العام في أقلّ من الباقي، سيّما و أن يكون في غاية الأقليّة؟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الشرط استعماله في الأكثر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البناء على أنّه لمّا كان الحرام في جنب الحلال أقلّ، و إن كان في غاية الكثرة و نهاية الوفور؛ إذ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فيما اوحي إليّ أقلّ من الحلال، بل المعنى أنّ كلّ ما اوحي إليّ حلال، إلّا أن يثبت الحرمة بدليل، و التخصيص سائغ، و المعتبر</w:t>
      </w:r>
    </w:p>
    <w:p>
      <w:pPr>
        <w:pStyle w:val="BookText"/>
        <w:rPr/>
      </w:pPr>
      <w:r>
        <w:rPr>
          <w:rFonts w:ascii="Amiri" w:hAnsi="Amiri" w:eastAsia="Amiri" w:cs="Amiri"/>
          <w:color w:val="111111"/>
          <w:sz w:val="28"/>
          <w:sz w:val="28"/>
          <w:szCs w:val="28"/>
          <w:rtl w:val="true"/>
          <w:lang w:bidi="ar-SA"/>
        </w:rPr>
        <w:t>فيه بقاء الأكثر و إن كان الخارج لا حصر له، فاسد؛ لعدم وجدان مثل هذا التخصيص، مع ما فيه من التدافع؛ لأنّ مقتضى ما ذكر أنّ المراد؛ الخارج أقلّ من الباقي، مع أنّه لا حصر له، و مقتضى الحصر و مفهوم العدد الانحصار في الأربعة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هذه الأربعة كانت من جملة الخارج الذي لم يتعرّض لذكره أنّه ما هو؟</w:t>
      </w:r>
    </w:p>
    <w:p>
      <w:pPr>
        <w:pStyle w:val="BookText"/>
        <w:rPr/>
      </w:pPr>
      <w:r>
        <w:rPr>
          <w:rFonts w:ascii="Amiri" w:hAnsi="Amiri" w:eastAsia="Amiri" w:cs="Amiri"/>
          <w:color w:val="111111"/>
          <w:sz w:val="28"/>
          <w:sz w:val="28"/>
          <w:szCs w:val="28"/>
          <w:rtl w:val="true"/>
          <w:lang w:bidi="ar-SA"/>
        </w:rPr>
        <w:t>فلا وجه للتعرّض لذكر هذه و عدم التعرّض لغيرها ممّا هو خارج، مع تساوي نسبة الخروج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خصوصيّة المقام؛ لأنّه في مقام الردّ على الكفّار في تحريمهم الأشياء الخاصّة، و الكفّار إن كانوا أحلّوا هذه الأربعة فقد أحلّوا كثيرا من المحرّمات، فلم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 كذا، و كذا إلى أن يحصى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الأخبار و الآثار ما ذكرنا، و كذا إن كانوا محرّمين لهذه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لم يقل أحد من الكفّار و غيرهم أنّ الحرام أكثر من الحلال أو مساو له، و هذا من البديهيّات، فأيّ مناسبة في أن يكون تعالى يردّ عليهم بأنّ الحلال أكثر، مع ما عرفت من 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الآية ردّ على الكفّار في تحريمهم الأشياء الخاصّة المذكورة في القرآن، و كون الحلال أكثر كيف يصير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الخارج الذي لا حصر له و لم يتعرّض لذكره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الخاصّ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القرينة قطعا، و كذا كون الخاصّ أيّ قدر؟</w:t>
      </w:r>
    </w:p>
    <w:p>
      <w:pPr>
        <w:pStyle w:val="BookText"/>
        <w:rPr/>
      </w:pPr>
      <w:r>
        <w:rPr>
          <w:rFonts w:ascii="Amiri" w:hAnsi="Amiri" w:eastAsia="Amiri" w:cs="Amiri"/>
          <w:color w:val="111111"/>
          <w:sz w:val="28"/>
          <w:sz w:val="28"/>
          <w:szCs w:val="28"/>
          <w:rtl w:val="true"/>
          <w:lang w:bidi="ar-SA"/>
        </w:rPr>
        <w:t>و الكفّار كيف كانوا يفهمون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نصّ في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كون الحلال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مع أنّ تأخير البيان عن وقت الحاجة محال إجماعا، و الخطاب مع الكفّار، كان وقت الحاجة وقت الخطاب بلا شبهة، و ما ظهر من أخبار الآحاد عن</w:t>
      </w:r>
      <w:bookmarkStart w:id="687" w:name="pg2470_12767"/>
    </w:p>
    <w:p>
      <w:pPr>
        <w:pStyle w:val="BookText"/>
        <w:rPr/>
      </w:pPr>
      <w:bookmarkEnd w:id="687"/>
      <w:r>
        <w:rPr>
          <w:rFonts w:ascii="Amiri" w:hAnsi="Amiri" w:eastAsia="Amiri" w:cs="Amiri"/>
          <w:color w:val="111111"/>
          <w:sz w:val="28"/>
          <w:sz w:val="28"/>
          <w:szCs w:val="28"/>
          <w:rtl w:val="true"/>
          <w:lang w:bidi="ar-SA"/>
        </w:rPr>
        <w:t>الأئمّة عليهم السّلام، و أمثال ذلك كيف كان قرينة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لما ذكر؛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حقيقي، و مفهوم العدد على حاله، و كان كذلك في صدر الإسلام، ثمّ نسخت بتحريم محرّمات لا تحصى، و على هذا لا وجه للاستدلال بهذه الآية، لكونها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كون صدر الإسلام كما ذكره محل تأمّل، لأنّ كثيرا من المحرّمات حرمتها ذاتيّة؛ و خباثتها عقليّة، مع أنّ المحرّمات في الشرائع السابقة كانت باقية إلى أن أحلّها النبي صلّى اللّه عليه و آله و سلم، مع أنّ الأئمّة عليهم السّلام استدلّوا بهذه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إضافي، بالنسبة إلى خصوص ما حرّمه الكفّار</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3601780_3804643083"/>
      <w:bookmarkStart w:id="689" w:name="_Toc258"/>
      <w:bookmarkEnd w:id="688"/>
      <w:r>
        <w:rPr>
          <w:rtl w:val="true"/>
        </w:rPr>
        <w:t>[</w:t>
      </w:r>
      <w:r>
        <w:rPr>
          <w:rtl w:val="true"/>
        </w:rPr>
        <w:t>باب الحمل و الجدي يرضعان من لبن الخنزيرة و المرأة</w:t>
      </w:r>
      <w:r>
        <w:rPr>
          <w:rtl w:val="true"/>
        </w:rPr>
        <w:t>]</w:t>
      </w:r>
      <w:bookmarkEnd w:id="6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يناسب حذف الواو،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الأوّل</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المصنّف الاحتمال الأوّل لكونه أظهر من وجوه ستعرفها،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متعيّن على طريقة الفقيه؛ لأنّه لم يذكر صريحا سوى فعل المرأة، فكيف يتأتّى جعله جوابا لغير ما سئل عنه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يقتضي أن يكون طريقة الشيخ كذلك؛ لأنّ التوفيق بين الأخبار لازم، بل ستعرفها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 خبر واحد، و كذلك التوفيق بين الأقوال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ستعرف من المفاسد لو حملنا على المعنى الثاني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التصحيح على طريقه، أنّ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يؤكل</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آخره في قوّة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يؤكل مع الفعل الذي صدر عن المرأة؛ لأنّ استشكاله ليس إلّا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حكمان متضادّان ظاهرا و أصلا، و هما يقتضيان الإبقاء على حالهما بجعل الجواب على طريقة اللّف و النشر المرتّب؛ لأنّه سئل أوّلا عن فعل المرأة، و ثانيا عن جواز الأكل مع الفعل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عن الأوّل،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عن الثاني، سواء كان بالواو أو بحذف الواو؛ لعدم الغبار في مقام اللفّ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بالواو أظهر؛ لأنّ المعطوف عليه هو الأصل و المعطوف تابع، فيكون الجواب في قوّة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فعل مكروه، و الأكل لا بأس به؛ لأنّ سؤاله حقيقة و بالذات كان عن جواز الأكل، سيّما في المكاتبة في الجواب؛ إذ يجوز أن يكون كتب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مكروه، و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كما حقّق في تصحيح صحيحة علي بن مهزيار في حكم المرأة التي أخلّت بأغسال الاستحاضة و صلّت و صامت </w:t>
      </w:r>
      <w:r>
        <w:rPr>
          <w:rStyle w:val="FootnoteAnchor"/>
          <w:rtl w:val="true"/>
        </w:rPr>
        <w:footnoteReference w:id="1783"/>
      </w:r>
      <w:r>
        <w:rPr>
          <w:rStyle w:val="FootnoteAnchor"/>
          <w:rtl w:val="true"/>
        </w:rPr>
        <w:footnoteReference w:id="1784"/>
      </w:r>
      <w:r>
        <w:rPr>
          <w:rFonts w:ascii="Amiri" w:hAnsi="Amiri" w:eastAsia="Amiri" w:cs="Amiri"/>
          <w:color w:val="111111"/>
          <w:sz w:val="28"/>
          <w:sz w:val="28"/>
          <w:szCs w:val="28"/>
          <w:rtl w:val="true"/>
          <w:lang w:bidi="ar-SA"/>
        </w:rPr>
        <w:t xml:space="preserve">، بل ذكر هناك أنّ أمثال ما ذكر من التضادّ و الحزازات في أجوبة المكاتيب بالمكاتبة كثيرة خوفا من الوقوع 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لو لم نقل بتعيّنه؛ لما ذكر، و لعدم معهوديّة الحكم بكراهة الأكل من الفقهاء، إلّا نادر منهم من متأخّريهم و هو الشهيد الثاني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اخر ما قال، إلّا أنّ الشيخ 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الموافق لهما أرجح من المخالف، مع احتمال السهو منه أو من أحد</w:t>
      </w:r>
    </w:p>
    <w:p>
      <w:pPr>
        <w:pStyle w:val="BookText"/>
        <w:rPr/>
      </w:pPr>
      <w:r>
        <w:rPr>
          <w:rFonts w:ascii="Amiri" w:hAnsi="Amiri" w:eastAsia="Amiri" w:cs="Amiri"/>
          <w:color w:val="111111"/>
          <w:sz w:val="28"/>
          <w:sz w:val="28"/>
          <w:szCs w:val="28"/>
          <w:rtl w:val="true"/>
          <w:lang w:bidi="ar-SA"/>
        </w:rPr>
        <w:t>من النسّاخ فيما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خفاء في أنّ الظاهر اتّحاد الروايات الثلاث </w:t>
      </w: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الراوي و كيفيّة روايته، و الحكاية واحدة،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بنى المصنّف على أنّ للرواية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أنسب بعبارتها، على ما 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موافق له، و ثانيهما أنسب بما اختصّ به الشيخ، و كلامنا أيضا مبني على ذلك، و معلوم أنّ الفقيه فهم المعنى الأوّل بملاحظة ما نقله، و الموضع الذي نقله هو باب الصيد و الذبائح، و الحيوانات المحلّلة و المحرّمة، و نقل الرواية في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اليقين حاصل ممّا ذكرنا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الحديث أنسب بالمعنى الأوّل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و مع ذلك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تناقض ظاهر، و إن أمكن بارتكاب التأويل و التوجيه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أصلا سوى الكراهة، لكنّه خلاف الأصل، و خلاف الظاهر، و خلاف المأنوس من أحاديثهم، و لم نجد قطّ قالوا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الجمع غير منحصر فيما ذكر؛ لاحتمال إرادة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 لا بأس به شرعا، أو مكروه عند الناس لا بأس به عندنا، و أمثال ما ذكر ممّا هو مأنوس منهم، وارد في أخبارهم كثيرا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الاحتمال الأخير كان يكفي أن 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ليس بحرام، بل و أخصر منه كما لا يخفى، فالباقي تطويل بلا طائل، بل مضرّ؛ لإيهامه خلاف المقصود،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السقط من القلم أقرب من الازدياد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أبعد من الأوّل، كما هو غير خفي، مع احتمال كون التفاوت من جهة النقل بالمعنى، فمن فهم الأوّل نقل بالواو، و من فهم الثاني نقل بدونها، و مثل هذا كثير، و ظهر لك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 أنّ في الاولى نقل بزيادة اخرى أيضا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تباع و تذبح</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 حقّ، إلّا أنّ الراوي اقتصر في سؤاله عن الأكل و البيع و الذبح، فلا بدّ من قصر الجواب عنها، لا إرضاع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السؤال إلّا عن حال الإرضاع، فكيف قلت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أنّه فهم المعنى الأوّل للقرينة، أو كان في روايته تتمّة لم يذكرها، بل اقتصر كما يفعل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و إن أوردها كما ذكرت، إلّا أنّ الظاهر أنّه فهم كما فهم عظيمه الصدوق، أو على أحد الأنحاء التي ذكرناها في الجمع بين عبارتيه، و لذا لم يفت بالكراهة في كتب فتاويه، و ظاهر أنّ عادته الإفتاء بكلّ ما روى، و كلّه ممّا اعتمد عليه، و كذلك سائر الفقهاء لم يفتوا بالكراهة،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عدم قصر المعصوم عليه السّلام في الجواب عن خصوص السؤال لا يحصى كثرة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الحكم بالكراهة مع تحقّق المعنيين و باقي الاحتمالات الاخر فيه ما فيه، و اللّه يعلم</w:t>
      </w:r>
      <w:r>
        <w:rPr>
          <w:rFonts w:eastAsia="Amiri" w:cs="Amiri" w:ascii="Amiri" w:hAnsi="Amiri"/>
          <w:color w:val="111111"/>
          <w:sz w:val="28"/>
          <w:szCs w:val="28"/>
          <w:rtl w:val="true"/>
          <w:lang w:bidi="ar-SA"/>
        </w:rPr>
        <w:t>.</w:t>
      </w:r>
      <w:bookmarkStart w:id="690" w:name="pg2470_12771"/>
    </w:p>
    <w:p>
      <w:pPr>
        <w:pStyle w:val="BookText"/>
        <w:rPr/>
      </w:pPr>
      <w:bookmarkEnd w:id="690"/>
      <w:r>
        <w:rPr>
          <w:rFonts w:ascii="Amiri" w:hAnsi="Amiri" w:eastAsia="Amiri" w:cs="Amiri"/>
          <w:color w:val="111111"/>
          <w:sz w:val="28"/>
          <w:sz w:val="28"/>
          <w:szCs w:val="28"/>
          <w:rtl w:val="true"/>
          <w:lang w:bidi="ar-SA"/>
        </w:rPr>
        <w:t xml:space="preserve">و لذلك ما أفتى المصنّف أيضا بها في كتب فتاويه،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3601782_3804643083"/>
      <w:bookmarkStart w:id="692" w:name="_Toc259"/>
      <w:bookmarkEnd w:id="691"/>
      <w:r>
        <w:rPr>
          <w:rtl w:val="true"/>
        </w:rPr>
        <w:t>[</w:t>
      </w:r>
      <w:r>
        <w:rPr>
          <w:rtl w:val="true"/>
        </w:rPr>
        <w:t>باب ما ينتفع من أجزاء الميتة و ما لا ينتفع به</w:t>
      </w:r>
      <w:r>
        <w:rPr>
          <w:rtl w:val="true"/>
        </w:rPr>
        <w:t>]</w:t>
      </w:r>
      <w:bookmarkEnd w:id="6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المستفاد من هذا الحديث و عدة من أخبار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تعدّي نجاسة الميتة </w:t>
      </w:r>
      <w:r>
        <w:rPr>
          <w:rStyle w:val="FootnoteAnchor"/>
          <w:rtl w:val="true"/>
        </w:rPr>
        <w:footnoteReference w:id="1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كذلك، بل الأخبار الدالّة على تعدّي نجاسة الميتة في غاية الكثرة إلى أن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نجاستها تتعدّى مع اليبوسة أيضا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دلّ على تعدّي نجاستها ما مرّ في كتاب الطهارة من انفعال الماء القليل بملاقاة الميتة أو بالتغيّر منها، و كذا باب الآبار، و كذا باب نجاسة الميتة، و غير ذلك</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3601784_3804643083"/>
      <w:bookmarkStart w:id="694" w:name="_Toc260"/>
      <w:bookmarkEnd w:id="693"/>
      <w:r>
        <w:rPr>
          <w:rtl w:val="true"/>
        </w:rPr>
        <w:t>[</w:t>
      </w:r>
      <w:r>
        <w:rPr>
          <w:rtl w:val="true"/>
        </w:rPr>
        <w:t>باب اختلاط ما يؤكل بغيره</w:t>
      </w:r>
      <w:r>
        <w:rPr>
          <w:rtl w:val="true"/>
        </w:rPr>
        <w:t>]</w:t>
      </w:r>
      <w:bookmarkEnd w:id="6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كرّر عليه السّلام حديث البرودة تفسيرا و تعليلا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تمهيدا لما بعده</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بردا بالباء الموحّدة من تحت، بل بالثاء المثلّثة من فوق، أي يريد القطعة التي كان الميتة عليها، و كذلك الباقي؛ لبطلان السراية عند الشيعة، و الثريد ليس مائعا حتّى يكون مثل السمن و العسل وقت الصيف</w:t>
      </w:r>
      <w:r>
        <w:rPr>
          <w:rFonts w:eastAsia="Amiri" w:cs="Amiri" w:ascii="Amiri" w:hAnsi="Amiri"/>
          <w:color w:val="111111"/>
          <w:sz w:val="28"/>
          <w:szCs w:val="28"/>
          <w:rtl w:val="true"/>
          <w:lang w:bidi="ar-SA"/>
        </w:rPr>
        <w:t>.</w:t>
      </w:r>
      <w:bookmarkStart w:id="695" w:name="pg2470_12772"/>
    </w:p>
    <w:p>
      <w:pPr>
        <w:pStyle w:val="Heading3"/>
        <w:numPr>
          <w:ilvl w:val="2"/>
          <w:numId w:val="1"/>
        </w:numPr>
        <w:rPr/>
      </w:pPr>
      <w:bookmarkStart w:id="696" w:name="__RefHeading___Toc3601786_3804643083"/>
      <w:bookmarkStart w:id="697" w:name="_Toc261"/>
      <w:bookmarkEnd w:id="695"/>
      <w:bookmarkEnd w:id="696"/>
      <w:r>
        <w:rPr>
          <w:rtl w:val="true"/>
        </w:rPr>
        <w:t>[</w:t>
      </w:r>
      <w:r>
        <w:rPr>
          <w:rtl w:val="true"/>
        </w:rPr>
        <w:t>أبواب الصيد و الذبائح</w:t>
      </w:r>
      <w:r>
        <w:rPr>
          <w:rtl w:val="true"/>
        </w:rPr>
        <w:t>]</w:t>
      </w:r>
      <w:bookmarkEnd w:id="697"/>
    </w:p>
    <w:p>
      <w:pPr>
        <w:pStyle w:val="Heading4"/>
        <w:numPr>
          <w:ilvl w:val="3"/>
          <w:numId w:val="1"/>
        </w:numPr>
        <w:rPr/>
      </w:pPr>
      <w:bookmarkStart w:id="698" w:name="__RefHeading___Toc3601788_3804643083"/>
      <w:bookmarkStart w:id="699" w:name="_Toc262"/>
      <w:bookmarkEnd w:id="698"/>
      <w:r>
        <w:rPr>
          <w:rtl w:val="true"/>
        </w:rPr>
        <w:t>[</w:t>
      </w:r>
      <w:r>
        <w:rPr>
          <w:rtl w:val="true"/>
        </w:rPr>
        <w:t>باب الصيد بالسلاح</w:t>
      </w:r>
      <w:r>
        <w:rPr>
          <w:rtl w:val="true"/>
        </w:rPr>
        <w:t>]</w:t>
      </w:r>
      <w:bookmarkEnd w:id="6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صيد صيد فتوزّعه القوم قبل أن يموت،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أنّه صار بمنزلة المذبوح إلّا أنّه لم يخرج روحه بتمامه، أو أنّه صار غير مستقرّ الحياة، و لمّا يذهب روحه، و هذا القدر يكفي لحلّيّة الأكل، كما يظهر من بعض الأخبار، فلاحظ</w:t>
      </w:r>
      <w:r>
        <w:rPr>
          <w:rFonts w:eastAsia="Amiri" w:cs="Amiri" w:ascii="Amiri" w:hAnsi="Amiri"/>
          <w:color w:val="111111"/>
          <w:sz w:val="28"/>
          <w:szCs w:val="28"/>
          <w:rtl w:val="true"/>
          <w:lang w:bidi="ar-SA"/>
        </w:rPr>
        <w:t>!</w:t>
      </w:r>
      <w:bookmarkStart w:id="700" w:name="pg2470_12773"/>
    </w:p>
    <w:p>
      <w:pPr>
        <w:pStyle w:val="Heading3"/>
        <w:numPr>
          <w:ilvl w:val="2"/>
          <w:numId w:val="1"/>
        </w:numPr>
        <w:rPr/>
      </w:pPr>
      <w:bookmarkStart w:id="701" w:name="__RefHeading___Toc3601790_3804643083"/>
      <w:bookmarkStart w:id="702" w:name="_Toc263"/>
      <w:bookmarkEnd w:id="700"/>
      <w:bookmarkEnd w:id="701"/>
      <w:r>
        <w:rPr>
          <w:rtl w:val="true"/>
        </w:rPr>
        <w:t>[</w:t>
      </w:r>
      <w:r>
        <w:rPr>
          <w:rtl w:val="true"/>
        </w:rPr>
        <w:t>أبواب المشارب</w:t>
      </w:r>
      <w:r>
        <w:rPr>
          <w:rtl w:val="true"/>
        </w:rPr>
        <w:t>]</w:t>
      </w:r>
      <w:bookmarkEnd w:id="702"/>
    </w:p>
    <w:p>
      <w:pPr>
        <w:pStyle w:val="Heading4"/>
        <w:numPr>
          <w:ilvl w:val="3"/>
          <w:numId w:val="1"/>
        </w:numPr>
        <w:rPr/>
      </w:pPr>
      <w:bookmarkStart w:id="703" w:name="__RefHeading___Toc3601792_3804643083"/>
      <w:bookmarkStart w:id="704" w:name="_Toc264"/>
      <w:bookmarkEnd w:id="703"/>
      <w:r>
        <w:rPr>
          <w:rtl w:val="true"/>
        </w:rPr>
        <w:t>[</w:t>
      </w:r>
      <w:r>
        <w:rPr>
          <w:rtl w:val="true"/>
        </w:rPr>
        <w:t>باب أصل تحريم الخمر</w:t>
      </w:r>
      <w:r>
        <w:rPr>
          <w:rtl w:val="true"/>
        </w:rPr>
        <w:t>]</w:t>
      </w:r>
      <w:bookmarkEnd w:id="70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أصل الخمر، كيف كان بدء حلالها و حرامها، و متى اتّخذ الخمر </w:t>
      </w:r>
      <w:r>
        <w:rPr>
          <w:rStyle w:val="FootnoteAnchor"/>
          <w:rtl w:val="true"/>
        </w:rPr>
        <w:footnoteReference w:id="17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من هذه الأخبار أنّ حرمة العصير العنبي بمجرّد الغليان ليست مجرّد التعبّد، بل من كونه أوّل درجة الخمر، كما حقّقنا في موضعه و بسطنا الكلام فيه </w:t>
      </w:r>
      <w:r>
        <w:rPr>
          <w:rStyle w:val="FootnoteAnchor"/>
          <w:rtl w:val="true"/>
        </w:rPr>
        <w:footnoteReference w:id="1793"/>
      </w:r>
      <w:r>
        <w:rPr>
          <w:rFonts w:ascii="Amiri" w:hAnsi="Amiri" w:eastAsia="Amiri" w:cs="Amiri"/>
          <w:color w:val="111111"/>
          <w:sz w:val="28"/>
          <w:sz w:val="28"/>
          <w:szCs w:val="28"/>
          <w:rtl w:val="true"/>
          <w:lang w:bidi="ar-SA"/>
        </w:rPr>
        <w:t xml:space="preserve">، فظهر نجاسته أيضا، فما قيل من أنّ نجاسته من المشهورات التي لا أصل لها </w:t>
      </w:r>
      <w:r>
        <w:rPr>
          <w:rStyle w:val="FootnoteAnchor"/>
          <w:rtl w:val="true"/>
        </w:rPr>
        <w:footnoteReference w:id="1794"/>
      </w:r>
      <w:r>
        <w:rPr>
          <w:rFonts w:ascii="Amiri" w:hAnsi="Amiri" w:eastAsia="Amiri" w:cs="Amiri"/>
          <w:color w:val="111111"/>
          <w:sz w:val="28"/>
          <w:sz w:val="28"/>
          <w:szCs w:val="28"/>
          <w:rtl w:val="true"/>
          <w:lang w:bidi="ar-SA"/>
        </w:rPr>
        <w:t>مجرّد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سكر أصلا، فكيف يكون خمرا؟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الخمر إنّما حرّمت لفعلها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يتضمّن أنّ 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جودة فهو خمر </w:t>
      </w:r>
      <w:r>
        <w:rPr>
          <w:rStyle w:val="FootnoteAnchor"/>
          <w:rtl w:val="true"/>
        </w:rPr>
        <w:footnoteReference w:id="1795"/>
      </w:r>
      <w:r>
        <w:rPr>
          <w:rFonts w:ascii="Amiri" w:hAnsi="Amiri" w:eastAsia="Amiri" w:cs="Amiri"/>
          <w:color w:val="111111"/>
          <w:sz w:val="28"/>
          <w:sz w:val="28"/>
          <w:szCs w:val="28"/>
          <w:rtl w:val="true"/>
          <w:lang w:bidi="ar-SA"/>
        </w:rPr>
        <w:t>، فمن أين ظهر أنّه ليس كذلك؟ و إن كان كثير</w:t>
      </w:r>
    </w:p>
    <w:p>
      <w:pPr>
        <w:pStyle w:val="BookText"/>
        <w:rPr/>
      </w:pPr>
      <w:r>
        <w:rPr>
          <w:rFonts w:ascii="Amiri" w:hAnsi="Amiri" w:eastAsia="Amiri" w:cs="Amiri"/>
          <w:color w:val="111111"/>
          <w:sz w:val="28"/>
          <w:sz w:val="28"/>
          <w:szCs w:val="28"/>
          <w:rtl w:val="true"/>
          <w:lang w:bidi="ar-SA"/>
        </w:rPr>
        <w:t xml:space="preserve">منه يوجب جودة ما، بل الظاهر منه أنّه كذلك، فإنّ في أكل العنب فرحا و انبساطا، فلا عبرة و أن يكون فيه جودة ما، و إن كان هذه الجودة من درجات السكر، بل أوّل درجة منه و يسمّونه بالنشوة؛ فإنّ للسكر عشر درجات، كلّ درجة لها اسم معيّن، و ليس مجرّد فرح و انبساط، بل فرق بينه و بين السكر، كما بيّنّاه في الرسالة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يمكن أن يكون التشبّث بالسكر كافيا، و الحكم بالحرمة و غيرها حسما لمادّة الفساد، و لذا حرّم الخمر،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قليلة؛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مزج بالماء و نحوه، كما سيجي‌ء الأخبار الدالّة عليه، مع كونه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العنب و التمر أشدّ رائحة </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دلالة على أنّ حال العصير التمري حال العصير العنبي، فتأمّل جدّا</w:t>
      </w:r>
      <w:r>
        <w:rPr>
          <w:rFonts w:eastAsia="Amiri" w:cs="Amiri" w:ascii="Amiri" w:hAnsi="Amiri"/>
          <w:color w:val="111111"/>
          <w:sz w:val="28"/>
          <w:szCs w:val="28"/>
          <w:rtl w:val="true"/>
          <w:lang w:bidi="ar-SA"/>
        </w:rPr>
        <w:t>!</w:t>
      </w:r>
      <w:bookmarkStart w:id="705" w:name="pg2470_12775"/>
    </w:p>
    <w:p>
      <w:pPr>
        <w:pStyle w:val="Heading2"/>
        <w:numPr>
          <w:ilvl w:val="1"/>
          <w:numId w:val="1"/>
        </w:numPr>
        <w:rPr/>
      </w:pPr>
      <w:bookmarkStart w:id="706" w:name="__RefHeading___Toc3601794_3804643083"/>
      <w:bookmarkStart w:id="707" w:name="_Toc265"/>
      <w:bookmarkEnd w:id="705"/>
      <w:bookmarkEnd w:id="706"/>
      <w:r>
        <w:rPr>
          <w:rtl w:val="true"/>
        </w:rPr>
        <w:t>كتاب النكاح و الطلاق و الولادات</w:t>
      </w:r>
      <w:bookmarkEnd w:id="70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3601796_3804643083"/>
      <w:bookmarkStart w:id="709" w:name="_Toc266"/>
      <w:bookmarkEnd w:id="708"/>
      <w:r>
        <w:rPr>
          <w:rtl w:val="true"/>
        </w:rPr>
        <w:t>اشارة</w:t>
      </w:r>
      <w:bookmarkStart w:id="710" w:name="pg2470_12777"/>
      <w:bookmarkEnd w:id="709"/>
    </w:p>
    <w:p>
      <w:pPr>
        <w:pStyle w:val="Heading3"/>
        <w:numPr>
          <w:ilvl w:val="2"/>
          <w:numId w:val="1"/>
        </w:numPr>
        <w:rPr/>
      </w:pPr>
      <w:bookmarkStart w:id="711" w:name="__RefHeading___Toc3601798_3804643083"/>
      <w:bookmarkStart w:id="712" w:name="_Toc267"/>
      <w:bookmarkEnd w:id="710"/>
      <w:bookmarkEnd w:id="711"/>
      <w:r>
        <w:rPr>
          <w:rtl w:val="true"/>
        </w:rPr>
        <w:t>[</w:t>
      </w:r>
      <w:r>
        <w:rPr>
          <w:rtl w:val="true"/>
        </w:rPr>
        <w:t>أبواب بدء النكاح و الحثّ عليه و اختيار الزوج و من يحلّ و من يحرم</w:t>
      </w:r>
      <w:r>
        <w:rPr>
          <w:rtl w:val="true"/>
        </w:rPr>
        <w:t>]</w:t>
      </w:r>
      <w:bookmarkEnd w:id="712"/>
    </w:p>
    <w:p>
      <w:pPr>
        <w:pStyle w:val="Heading4"/>
        <w:numPr>
          <w:ilvl w:val="3"/>
          <w:numId w:val="1"/>
        </w:numPr>
        <w:rPr/>
      </w:pPr>
      <w:bookmarkStart w:id="713" w:name="__RefHeading___Toc3601800_3804643083"/>
      <w:bookmarkStart w:id="714" w:name="_Toc268"/>
      <w:bookmarkEnd w:id="713"/>
      <w:r>
        <w:rPr>
          <w:rtl w:val="true"/>
        </w:rPr>
        <w:t>[</w:t>
      </w:r>
      <w:r>
        <w:rPr>
          <w:rtl w:val="true"/>
        </w:rPr>
        <w:t>باب الحرّ يتزوّج الأمة</w:t>
      </w:r>
      <w:r>
        <w:rPr>
          <w:rtl w:val="true"/>
        </w:rPr>
        <w:t>]</w:t>
      </w:r>
      <w:bookmarkEnd w:id="7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في الحرّ يتزوّج الأمة،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اضطرّ إليها</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أمثال هذه الرواية تدلّ على حرمة نكاح الأمة مع عدم الاضطرار؛ لأنّ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المعلّق على الاضطرار ذلك، مع أنّ الظاهر أنّ ذلك إشارة إلى الآية الشريفة وَ مَنْ لَمْ يَسْتَطِعْ مِنْكُمْ طَوْلًا </w:t>
      </w:r>
      <w:r>
        <w:rPr>
          <w:rStyle w:val="FootnoteAnchor"/>
          <w:rtl w:val="true"/>
        </w:rPr>
        <w:footnoteReference w:id="1799"/>
      </w:r>
      <w:r>
        <w:rPr>
          <w:rFonts w:ascii="Amiri" w:hAnsi="Amiri" w:eastAsia="Amiri" w:cs="Amiri"/>
          <w:color w:val="111111"/>
          <w:sz w:val="28"/>
          <w:sz w:val="28"/>
          <w:szCs w:val="28"/>
          <w:rtl w:val="true"/>
          <w:lang w:bidi="ar-SA"/>
        </w:rPr>
        <w:t>الآية، و هي في غاية الظهور في المنع؛ لمفهوم الحصر الذي هو أقوى من كثير من المنطوقات، بل هو نصّ، و لمفهوم الشرط الذي هو أيضا حجّة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تَصْبِرُوا خَيْرٌ لَكُمْ </w:t>
      </w:r>
      <w:r>
        <w:rPr>
          <w:rStyle w:val="FootnoteAnchor"/>
          <w:rtl w:val="true"/>
        </w:rPr>
        <w:footnoteReference w:id="1800"/>
      </w:r>
      <w:r>
        <w:rPr>
          <w:rFonts w:ascii="Amiri" w:hAnsi="Amiri" w:eastAsia="Amiri" w:cs="Amiri"/>
          <w:color w:val="111111"/>
          <w:sz w:val="28"/>
          <w:sz w:val="28"/>
          <w:szCs w:val="28"/>
          <w:rtl w:val="true"/>
          <w:lang w:bidi="ar-SA"/>
        </w:rPr>
        <w:t>، إذ مع العنت الذي هو شدّة المشقّة،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تصبروا مع ذلك خير لكم</w:t>
      </w:r>
      <w:r>
        <w:rPr>
          <w:rFonts w:eastAsia="Amiri" w:cs="Amiri" w:ascii="Amiri" w:hAnsi="Amiri"/>
          <w:color w:val="111111"/>
          <w:sz w:val="28"/>
          <w:szCs w:val="28"/>
          <w:rtl w:val="true"/>
          <w:lang w:bidi="ar-SA"/>
        </w:rPr>
        <w:t>.</w:t>
      </w:r>
      <w:bookmarkStart w:id="715" w:name="pg2470_12778"/>
    </w:p>
    <w:p>
      <w:pPr>
        <w:pStyle w:val="BookText"/>
        <w:rPr/>
      </w:pPr>
      <w:bookmarkEnd w:id="715"/>
      <w:r>
        <w:rPr>
          <w:rFonts w:ascii="Amiri" w:hAnsi="Amiri" w:eastAsia="Amiri" w:cs="Amiri"/>
          <w:color w:val="111111"/>
          <w:sz w:val="28"/>
          <w:sz w:val="28"/>
          <w:szCs w:val="28"/>
          <w:rtl w:val="true"/>
          <w:lang w:bidi="ar-SA"/>
        </w:rPr>
        <w:t xml:space="preserve">و ابن أبي عقيل ادّعى اتّفاق آل الرسول عليهم السّلام على الحرمة </w:t>
      </w:r>
      <w:r>
        <w:rPr>
          <w:rStyle w:val="FootnoteAnchor"/>
          <w:rtl w:val="true"/>
        </w:rPr>
        <w:footnoteReference w:id="1801"/>
      </w:r>
      <w:r>
        <w:rPr>
          <w:rFonts w:ascii="Amiri" w:hAnsi="Amiri" w:eastAsia="Amiri" w:cs="Amiri"/>
          <w:color w:val="111111"/>
          <w:sz w:val="28"/>
          <w:sz w:val="28"/>
          <w:szCs w:val="28"/>
          <w:rtl w:val="true"/>
          <w:lang w:bidi="ar-SA"/>
        </w:rPr>
        <w:t>، و يظهر من كلامه أنّه اتّفاقي الشيعة إلى زمانه، و أنّ المخالف جماعة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من ذلك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w:t>
      </w:r>
      <w:r>
        <w:rPr>
          <w:rStyle w:val="FootnoteAnchor"/>
          <w:rtl w:val="true"/>
        </w:rPr>
        <w:footnoteReference w:id="1802"/>
      </w:r>
      <w:r>
        <w:rPr>
          <w:rFonts w:ascii="Amiri" w:hAnsi="Amiri" w:eastAsia="Amiri" w:cs="Amiri"/>
          <w:color w:val="111111"/>
          <w:sz w:val="28"/>
          <w:sz w:val="28"/>
          <w:szCs w:val="28"/>
          <w:rtl w:val="true"/>
          <w:lang w:bidi="ar-SA"/>
        </w:rPr>
        <w:t xml:space="preserve">و المرسلة </w:t>
      </w:r>
      <w:r>
        <w:rPr>
          <w:rStyle w:val="FootnoteAnchor"/>
          <w:rtl w:val="true"/>
        </w:rPr>
        <w:footnoteReference w:id="1803"/>
      </w:r>
      <w:r>
        <w:rPr>
          <w:rFonts w:ascii="Amiri" w:hAnsi="Amiri" w:eastAsia="Amiri" w:cs="Amiri"/>
          <w:color w:val="111111"/>
          <w:sz w:val="28"/>
          <w:sz w:val="28"/>
          <w:szCs w:val="28"/>
          <w:rtl w:val="true"/>
          <w:lang w:bidi="ar-SA"/>
        </w:rPr>
        <w:t xml:space="preserve">هو الحرمة، و يؤيّد الحرمة أيضا رواية يونس </w:t>
      </w:r>
      <w:r>
        <w:rPr>
          <w:rStyle w:val="FootnoteAnchor"/>
          <w:rtl w:val="true"/>
        </w:rPr>
        <w:footnoteReference w:id="1804"/>
      </w:r>
      <w:r>
        <w:rPr>
          <w:rFonts w:ascii="Amiri" w:hAnsi="Amiri" w:eastAsia="Amiri" w:cs="Amiri"/>
          <w:color w:val="111111"/>
          <w:sz w:val="28"/>
          <w:sz w:val="28"/>
          <w:szCs w:val="28"/>
          <w:rtl w:val="true"/>
          <w:lang w:bidi="ar-SA"/>
        </w:rPr>
        <w:t xml:space="preserve">، و صحيحة أبي بصير </w:t>
      </w:r>
      <w:r>
        <w:rPr>
          <w:rStyle w:val="FootnoteAnchor"/>
          <w:rtl w:val="true"/>
        </w:rPr>
        <w:footnoteReference w:id="1805"/>
      </w:r>
      <w:r>
        <w:rPr>
          <w:rFonts w:ascii="Amiri" w:hAnsi="Amiri" w:eastAsia="Amiri" w:cs="Amiri"/>
          <w:color w:val="111111"/>
          <w:sz w:val="28"/>
          <w:sz w:val="28"/>
          <w:szCs w:val="28"/>
          <w:rtl w:val="true"/>
          <w:lang w:bidi="ar-SA"/>
        </w:rPr>
        <w:t>المذكورة في اخر الباب</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3601802_3804643083"/>
      <w:bookmarkStart w:id="717" w:name="_Toc269"/>
      <w:bookmarkEnd w:id="716"/>
      <w:r>
        <w:rPr>
          <w:rtl w:val="true"/>
        </w:rPr>
        <w:t>[</w:t>
      </w:r>
      <w:r>
        <w:rPr>
          <w:rtl w:val="true"/>
        </w:rPr>
        <w:t>باب الرجل يفسق بالغلام فينكح اخته أو ابنته أو أمّه أو يزوّج ابنته من ابنه</w:t>
      </w:r>
      <w:r>
        <w:rPr>
          <w:rtl w:val="true"/>
        </w:rPr>
        <w:t>]</w:t>
      </w:r>
      <w:bookmarkEnd w:id="7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رجل، عن أبي عبد اللّه عليه السّلام في الرجل يعبث بالغلام،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أوقب حرمت عليه ابنته و اخته</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هذه الأخبار مقتضاها أنّ الرجل إذا أوقب حرمت عليه أمّ المفعول و اخته، و أمّا إذا كان الواطئ صبيّا، فلم يظهر من هذه الأخبار حاله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قال بعض الفقهاء من التحريم فيه </w:t>
      </w:r>
      <w:r>
        <w:rPr>
          <w:rStyle w:val="FootnoteAnchor"/>
          <w:rtl w:val="true"/>
        </w:rPr>
        <w:footnoteReference w:id="1807"/>
      </w:r>
      <w:r>
        <w:rPr>
          <w:rFonts w:ascii="Amiri" w:hAnsi="Amiri" w:eastAsia="Amiri" w:cs="Amiri"/>
          <w:color w:val="111111"/>
          <w:sz w:val="28"/>
          <w:sz w:val="28"/>
          <w:szCs w:val="28"/>
          <w:rtl w:val="true"/>
          <w:lang w:bidi="ar-SA"/>
        </w:rPr>
        <w:t xml:space="preserve">أيضا استناد إلى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أوقب غلاما حرم عليه أمّه و اخته، لعلّه توهّم من ملاحظة كلام الفقهاء، إلّا أن يكون ذلك مجمعا عليه بينهم</w:t>
      </w:r>
      <w:r>
        <w:rPr>
          <w:rFonts w:eastAsia="Amiri" w:cs="Amiri" w:ascii="Amiri" w:hAnsi="Amiri"/>
          <w:color w:val="111111"/>
          <w:sz w:val="28"/>
          <w:szCs w:val="28"/>
          <w:rtl w:val="true"/>
          <w:lang w:bidi="ar-SA"/>
        </w:rPr>
        <w:t>.</w:t>
      </w:r>
      <w:bookmarkStart w:id="718" w:name="pg2470_12779"/>
    </w:p>
    <w:p>
      <w:pPr>
        <w:pStyle w:val="BookText"/>
        <w:rPr/>
      </w:pPr>
      <w:bookmarkEnd w:id="718"/>
      <w:r>
        <w:rPr>
          <w:rFonts w:ascii="Amiri" w:hAnsi="Amiri" w:eastAsia="Amiri" w:cs="Amiri"/>
          <w:color w:val="111111"/>
          <w:sz w:val="28"/>
          <w:sz w:val="28"/>
          <w:szCs w:val="28"/>
          <w:rtl w:val="true"/>
          <w:lang w:bidi="ar-SA"/>
        </w:rPr>
        <w:t xml:space="preserve">و مقتضى مرسلة ابن أبي عمير الثانية </w:t>
      </w:r>
      <w:r>
        <w:rPr>
          <w:rStyle w:val="FootnoteAnchor"/>
          <w:rtl w:val="true"/>
        </w:rPr>
        <w:footnoteReference w:id="1808"/>
      </w:r>
      <w:r>
        <w:rPr>
          <w:rFonts w:ascii="Amiri" w:hAnsi="Amiri" w:eastAsia="Amiri" w:cs="Amiri"/>
          <w:color w:val="111111"/>
          <w:sz w:val="28"/>
          <w:sz w:val="28"/>
          <w:szCs w:val="28"/>
          <w:rtl w:val="true"/>
          <w:lang w:bidi="ar-SA"/>
        </w:rPr>
        <w:t>نشر الحرمة، و إن وقع بعد نكاح المرأة</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601804_3804643083"/>
      <w:bookmarkStart w:id="720" w:name="_Toc270"/>
      <w:bookmarkEnd w:id="719"/>
      <w:r>
        <w:rPr>
          <w:rtl w:val="true"/>
        </w:rPr>
        <w:t>[</w:t>
      </w:r>
      <w:r>
        <w:rPr>
          <w:rtl w:val="true"/>
        </w:rPr>
        <w:t>باب من يحرم بالرضاع</w:t>
      </w:r>
      <w:r>
        <w:rPr>
          <w:rtl w:val="true"/>
        </w:rPr>
        <w:t>]</w:t>
      </w:r>
      <w:bookmarkEnd w:id="7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ابنة الأخ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امر به أحدا و لا أنهى عنه أحدا، و إنّما أنهى عنها نفسي و ولدي،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على رسول اللّه صلّى اللّه عليه و آله و سلم أن يتزوّج ابنة حمزة فأبى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ابنة أخي من الرضاعة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صلّى اللّه عليه و آله و سلم خطب إلى أمّ هاني اخت أمير المؤمنين عليه السّلام فأبت ذلك، و اعتذرت باشتغالها بالأولاد، و ابتلائها، فمدحها و مدح القريشيّات، روى ذلك الكليني في كتاب النكاح </w:t>
      </w:r>
      <w:r>
        <w:rPr>
          <w:rStyle w:val="FootnoteAnchor"/>
          <w:rtl w:val="true"/>
        </w:rPr>
        <w:footnoteReference w:id="1810"/>
      </w:r>
      <w:r>
        <w:rPr>
          <w:rFonts w:ascii="Amiri" w:hAnsi="Amiri" w:eastAsia="Amiri" w:cs="Amiri"/>
          <w:color w:val="111111"/>
          <w:sz w:val="28"/>
          <w:sz w:val="28"/>
          <w:szCs w:val="28"/>
          <w:rtl w:val="true"/>
          <w:lang w:bidi="ar-SA"/>
        </w:rPr>
        <w:t xml:space="preserve">، و ذكرها المصنّف في أوّل كتاب النكاح، في باب فضل نساء قريش </w:t>
      </w:r>
      <w:r>
        <w:rPr>
          <w:rStyle w:val="FootnoteAnchor"/>
          <w:rtl w:val="true"/>
        </w:rPr>
        <w:footnoteReference w:id="1811"/>
      </w:r>
      <w:r>
        <w:rPr>
          <w:rFonts w:ascii="Amiri" w:hAnsi="Amiri" w:eastAsia="Amiri" w:cs="Amiri"/>
          <w:color w:val="111111"/>
          <w:sz w:val="28"/>
          <w:sz w:val="28"/>
          <w:szCs w:val="28"/>
          <w:rtl w:val="true"/>
          <w:lang w:bidi="ar-SA"/>
        </w:rPr>
        <w:t xml:space="preserve">، و نقله العامّة أيضا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هذا على بطلان القول بالمنزلة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أيضا التصريح بجواز تزويج ابنة أخ الأخ من الرضاعة </w:t>
      </w:r>
      <w:r>
        <w:rPr>
          <w:rStyle w:val="FootnoteAnchor"/>
          <w:rtl w:val="true"/>
        </w:rPr>
        <w:footnoteReference w:id="1813"/>
      </w:r>
      <w:r>
        <w:rPr>
          <w:rFonts w:ascii="Amiri" w:hAnsi="Amiri" w:eastAsia="Amiri" w:cs="Amiri"/>
          <w:color w:val="111111"/>
          <w:sz w:val="28"/>
          <w:sz w:val="28"/>
          <w:szCs w:val="28"/>
          <w:rtl w:val="true"/>
          <w:lang w:bidi="ar-SA"/>
        </w:rPr>
        <w:t>، كما سيجي‌ء</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ورد ما يظهر منه جواز تزويج اخت الأخ على كراهيّة </w:t>
      </w:r>
      <w:r>
        <w:rPr>
          <w:rStyle w:val="FootnoteAnchor"/>
          <w:rtl w:val="true"/>
        </w:rPr>
        <w:footnoteReference w:id="1814"/>
      </w:r>
      <w:r>
        <w:rPr>
          <w:rFonts w:ascii="Amiri" w:hAnsi="Amiri" w:eastAsia="Amiri" w:cs="Amiri"/>
          <w:color w:val="111111"/>
          <w:sz w:val="28"/>
          <w:sz w:val="28"/>
          <w:szCs w:val="28"/>
          <w:rtl w:val="true"/>
          <w:lang w:bidi="ar-SA"/>
        </w:rPr>
        <w:t>، كما هو كذلك</w:t>
      </w:r>
    </w:p>
    <w:p>
      <w:pPr>
        <w:pStyle w:val="BookText"/>
        <w:rPr/>
      </w:pPr>
      <w:r>
        <w:rPr>
          <w:rFonts w:ascii="Amiri" w:hAnsi="Amiri" w:eastAsia="Amiri" w:cs="Amiri"/>
          <w:color w:val="111111"/>
          <w:sz w:val="28"/>
          <w:sz w:val="28"/>
          <w:szCs w:val="28"/>
          <w:rtl w:val="true"/>
          <w:lang w:bidi="ar-SA"/>
        </w:rPr>
        <w:t xml:space="preserve">في النسب، و الفقهاء كلّهم على ذلك، إلّا من شذّ من المتأخّرين المتقاربين لأمثال زماننا </w:t>
      </w:r>
      <w:r>
        <w:rPr>
          <w:rStyle w:val="FootnoteAnchor"/>
          <w:rtl w:val="true"/>
        </w:rPr>
        <w:footnoteReference w:id="1815"/>
      </w:r>
      <w:r>
        <w:rPr>
          <w:rFonts w:ascii="Amiri" w:hAnsi="Amiri" w:eastAsia="Amiri" w:cs="Amiri"/>
          <w:color w:val="111111"/>
          <w:sz w:val="28"/>
          <w:sz w:val="28"/>
          <w:szCs w:val="28"/>
          <w:rtl w:val="true"/>
          <w:lang w:bidi="ar-SA"/>
        </w:rPr>
        <w:t xml:space="preserve">، و رواية إسحاق أيضا ظاهرة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يدلّان على تحريم أمر بسبب الرضاع ليس هو بمحرّم في النسب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لكنّهما مكاتبتان، و ربّما كانوا يتّقون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علّة ظاهرة في عموم المنع في كلّ ما هو بمنزلته، كما قال به من قال بالمنزلة، و قد عرفت فساده، إلّا أن يقال بعدم فهم العموم؛ لأنّ الضمير راجع إلى المرأة المذكورة، و المراد المنزلة بحسب الشرع، لا منزلة سوى ما هي من الشرع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ظواهر الصحاح المستفيضة الدالّة على أنّ الحرام منه هو الحرام من النسب إنّما هو الولد خاصّة، لا اخت الولد، و لا ما هو بمنزلة الولد، و كذا ما ذكرنا في الحاشية السابقة أيضا يعارض الأخيرة إن دلّت على العموم، و التعليل ربّما يشعر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العمل بمقتضى الروايتين، لصحّة السند، و إن كان فيهما وجوه من الوهن، و لذا لا يتعدّى من مضمونهما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يقال بعموم المنزلة؛ لعدم مقاومة دلالة العلّة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الصحاح، و ظواهرها المعمول بها عند الأصحاب، و صريح بعض الأخبار المعتبرة، بل الصحيحة، و ظاهر بعض المعتبرة، مع التأييد بالعمومات القرآنيّة و الأخباريّة، و اللّه يعلم</w:t>
      </w:r>
      <w:r>
        <w:rPr>
          <w:rFonts w:eastAsia="Amiri" w:cs="Amiri" w:ascii="Amiri" w:hAnsi="Amiri"/>
          <w:color w:val="111111"/>
          <w:sz w:val="28"/>
          <w:szCs w:val="28"/>
          <w:rtl w:val="true"/>
          <w:lang w:bidi="ar-SA"/>
        </w:rPr>
        <w:t>.</w:t>
      </w:r>
      <w:bookmarkStart w:id="721" w:name="pg2470_12781"/>
    </w:p>
    <w:p>
      <w:pPr>
        <w:pStyle w:val="Heading4"/>
        <w:numPr>
          <w:ilvl w:val="3"/>
          <w:numId w:val="1"/>
        </w:numPr>
        <w:rPr/>
      </w:pPr>
      <w:bookmarkStart w:id="722" w:name="__RefHeading___Toc3601806_3804643083"/>
      <w:bookmarkStart w:id="723" w:name="_Toc271"/>
      <w:bookmarkEnd w:id="721"/>
      <w:bookmarkEnd w:id="722"/>
      <w:r>
        <w:rPr>
          <w:rtl w:val="true"/>
        </w:rPr>
        <w:t>[</w:t>
      </w:r>
      <w:r>
        <w:rPr>
          <w:rtl w:val="true"/>
        </w:rPr>
        <w:t>باب حدّ الرضاع الذي يحرّم</w:t>
      </w:r>
      <w:r>
        <w:rPr>
          <w:rtl w:val="true"/>
        </w:rPr>
        <w:t>]</w:t>
      </w:r>
      <w:bookmarkEnd w:id="7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الرضعة و الرضعتان و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اشتدّ عليه العظم و نبت اللحم</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الإنسان في سنّ النموّ إلى سنّ الوقوف كلّ غذاء يأكله يصير بعضه بدل ما يتحلّل من بدنه بسبب الحرارة الغريزيّة، و بعض منه يزيد فيزيد في بدنه، و بسببه يحصل النموّ و كبر الجسم، هذا إذا لم يمنع مانع من مرض، أو فساد في الغذاء، أو زيادة تعب و رياضة، لكنّ القدر الذي يحصل من الغذاء الواحد لا يعدّ عرفا نبتا و نموّا و زيادة، و مع ذلك اعتبر في الأخبار اشتداد العظم، و عدم حصوله بذلك قطعي، و ليس بمحسوس أصلا، و لا يعتدّ به مطلقا، و لا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لحمه من طعام فلان أو مال فلان، إلّا بعد تكرّر و امتداد و إكثار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المعتبر هو العرف، أو ما حكم به أهل الخبرة بأنّه حصل القدر المحسوس، و لم يظهر من الأخبار خصوص الحدّ، بل الظاهر أنّه يحتاج إلى تكرّر كثير،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حصل يكفي </w:t>
      </w:r>
      <w:r>
        <w:rPr>
          <w:rStyle w:val="FootnoteAnchor"/>
          <w:rtl w:val="true"/>
        </w:rPr>
        <w:footnoteReference w:id="1819"/>
      </w:r>
      <w:r>
        <w:rPr>
          <w:rFonts w:ascii="Amiri" w:hAnsi="Amiri" w:eastAsia="Amiri" w:cs="Amiri"/>
          <w:color w:val="111111"/>
          <w:sz w:val="28"/>
          <w:sz w:val="28"/>
          <w:szCs w:val="28"/>
          <w:rtl w:val="true"/>
          <w:lang w:bidi="ar-SA"/>
        </w:rPr>
        <w:t>، لكن هذا أيضا مثل سابقه يحصى أوّل الحدّ و الدرجة الاولى</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الظاهر من الأخبار كون الإنبات بلبن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أو 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أنّ ذلك أيضا يشترط فيه التوالي، كما قال بعض </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هو</w:t>
      </w:r>
    </w:p>
    <w:p>
      <w:pPr>
        <w:pStyle w:val="BookText"/>
        <w:rPr/>
      </w:pPr>
      <w:r>
        <w:rPr>
          <w:rFonts w:ascii="Amiri" w:hAnsi="Amiri" w:eastAsia="Amiri" w:cs="Amiri"/>
          <w:color w:val="111111"/>
          <w:sz w:val="28"/>
          <w:sz w:val="28"/>
          <w:szCs w:val="28"/>
          <w:rtl w:val="true"/>
          <w:lang w:bidi="ar-SA"/>
        </w:rPr>
        <w:t>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ما ذكرناه هو الذي يقول به الفقهاء، كما قال بعض </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رضاع يوم و ليلة</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 العمل بهذه الرواية أقوى، من جهة خلوصها عن مفاسد روايات العشر، من ظهور ورودها على التقيّة، و مخالفتها للأخبار الصحيحة و كالصحيحة الصريحة في أنّ العشر لا يحرّم، و بعدها عن مضمون الأخبار الدالّة على أنّه لا يحرم من الرضاع إلّا ما شدّ العظم و أنبت اللحم، على حسب ما عرفت و سيجي‌ء أيضا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يضعّفها، و لخلوصها أيضا عن المفاسد التي سنذكرها في الأخبار الدالّة على أنّه لا يحرّم الرضاع إلّا ما كان سنة أو سنتين، مع شذوذ القائل، و عدم صراحة القول بها، و لخلوصها أيضا عن مفاسد يظهر من تحريم الرضعة الواحدة </w:t>
      </w:r>
      <w:r>
        <w:rPr>
          <w:rStyle w:val="FootnoteAnchor"/>
          <w:rtl w:val="true"/>
        </w:rPr>
        <w:footnoteReference w:id="1823"/>
      </w:r>
      <w:r>
        <w:rPr>
          <w:rFonts w:ascii="Amiri" w:hAnsi="Amiri" w:eastAsia="Amiri" w:cs="Amiri"/>
          <w:color w:val="111111"/>
          <w:sz w:val="28"/>
          <w:sz w:val="28"/>
          <w:szCs w:val="28"/>
          <w:rtl w:val="true"/>
          <w:lang w:bidi="ar-SA"/>
        </w:rPr>
        <w:t>، و هي كثيرة ظاهرة، بل مخالف للأخبار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مفاسد روايات العشر مفاسد روايات الواحدة بطريق أولى بمراتب شتّى، مع شذوذ القائل بها، و ربّما يحصل العلم بكونها على التقيّة، إن لم تكن مؤوّلة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هذه الرواية الشهرة العظيمة، و إن كانت ممّن تأخّر عن المفيد، بل انحصر العمل بها؛ لما عرفت ممّا هو في الأخبار الدالّة على أنّه لا يحرم من الرضاع إلّا ما أنبت اللحم، و شدّ العظم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ليس في طريق هذه الرواية من يتوقّف في شأنه، سوى عمّار، مع أنّ الشيخ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أجمعوا على العمل بروايات عمّار </w:t>
      </w:r>
      <w:r>
        <w:rPr>
          <w:rStyle w:val="FootnoteAnchor"/>
          <w:rtl w:val="true"/>
        </w:rPr>
        <w:footnoteReference w:id="1825"/>
      </w:r>
      <w:r>
        <w:rPr>
          <w:rFonts w:ascii="Amiri" w:hAnsi="Amiri" w:eastAsia="Amiri" w:cs="Amiri"/>
          <w:color w:val="111111"/>
          <w:sz w:val="28"/>
          <w:sz w:val="28"/>
          <w:szCs w:val="28"/>
          <w:rtl w:val="true"/>
          <w:lang w:bidi="ar-SA"/>
        </w:rPr>
        <w:t xml:space="preserve">، مضافا إلى ما حقّق في محلّه من أنّ الموثّق حجّة مطلقا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اجتمعت العصابة على قوله، و رواية أحمد بن محمّد بن عيسى، مؤيّد أيضا، مع ما في متنها من الأحكام المتينة، المعمول بها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تزوّجت امرأة فوجدت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أرضعتني و أرضعت اختها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أيضا ظاهرة في عدم التحريم من العشرة؛ لعدم استفصاله و جوابه على الإطلاق، و يدلّ على التوسعة في أمره، و السند في غاية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أن يكون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التحريم عمّن أرضع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رضعة</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لأنّ إطلاقات الأخبار محمولة على الغالب، و الغالب عدم تحقّق الخمس عشرة رضعة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درّ 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ولادة</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و بما تضمّن الحولين، و عدم تجويزه</w:t>
      </w:r>
      <w:bookmarkStart w:id="724" w:name="pg2470_12784"/>
    </w:p>
    <w:p>
      <w:pPr>
        <w:pStyle w:val="BookText"/>
        <w:rPr/>
      </w:pPr>
      <w:bookmarkEnd w:id="724"/>
      <w:r>
        <w:rPr>
          <w:rFonts w:ascii="Amiri" w:hAnsi="Amiri" w:eastAsia="Amiri" w:cs="Amiri"/>
          <w:color w:val="111111"/>
          <w:sz w:val="28"/>
          <w:sz w:val="28"/>
          <w:szCs w:val="28"/>
          <w:rtl w:val="true"/>
          <w:lang w:bidi="ar-SA"/>
        </w:rPr>
        <w:t xml:space="preserve">العمل بغيرهما </w:t>
      </w:r>
      <w:r>
        <w:rPr>
          <w:rStyle w:val="FootnoteAnchor"/>
          <w:rtl w:val="true"/>
        </w:rPr>
        <w:footnoteReference w:id="1830"/>
      </w:r>
      <w:r>
        <w:rPr>
          <w:rFonts w:ascii="Amiri" w:hAnsi="Amiri" w:eastAsia="Amiri" w:cs="Amiri"/>
          <w:color w:val="111111"/>
          <w:sz w:val="28"/>
          <w:sz w:val="28"/>
          <w:szCs w:val="28"/>
          <w:rtl w:val="true"/>
          <w:lang w:bidi="ar-SA"/>
        </w:rPr>
        <w:t xml:space="preserve">، كما لا يخفى على المتأمّل، و ربّما قيل بأنّ الحقّ معه، لصحّة الأخبار و مخالفتها لمذهب جميع العامّة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يشكل أنّ بينها تدافع، و مع ذلك مخالفة للصحاح الكثيرة لتحريم الرضاع المنبت للّحم و العظم، و الأخبار التي أفتوا بمضمونها، و شذوذ المعارض، كما ذكره الشيخ </w:t>
      </w:r>
      <w:r>
        <w:rPr>
          <w:rStyle w:val="FootnoteAnchor"/>
          <w:rtl w:val="true"/>
        </w:rPr>
        <w:footnoteReference w:id="1832"/>
      </w:r>
      <w:r>
        <w:rPr>
          <w:rFonts w:ascii="Amiri" w:hAnsi="Amiri" w:eastAsia="Amiri" w:cs="Amiri"/>
          <w:color w:val="111111"/>
          <w:sz w:val="28"/>
          <w:sz w:val="28"/>
          <w:szCs w:val="28"/>
          <w:rtl w:val="true"/>
          <w:lang w:bidi="ar-SA"/>
        </w:rPr>
        <w:t>، و مخالفته لإطلاق القرآن و الأخبار الكثيرة، بل المتواترة مخالفة شديدة، إذ تحقّق الرضاع سنتين أو سنة في غاية الندرة، إذا لم يتخلّل بينها رضاع اخر، بل و مطلقا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ذكرنا أنّ المتبادر هو الذي لم يتخلّل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يخالفها أيضا ظواهر الأخبار الآتية في باب أنّه لا تصدّق مدّعية الرضاع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ربّما كان هذه الروايات خلاف المجمع عليه القدماء و المتأخّرون، كما لا يخفى على المتأمّل</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3601808_3804643083"/>
      <w:bookmarkStart w:id="726" w:name="_Toc272"/>
      <w:bookmarkEnd w:id="725"/>
      <w:r>
        <w:rPr>
          <w:rtl w:val="true"/>
        </w:rPr>
        <w:t>[</w:t>
      </w:r>
      <w:r>
        <w:rPr>
          <w:rtl w:val="true"/>
        </w:rPr>
        <w:t>باب صفة لبن الفحل</w:t>
      </w:r>
      <w:r>
        <w:rPr>
          <w:rtl w:val="true"/>
        </w:rPr>
        <w:t>]</w:t>
      </w:r>
      <w:bookmarkEnd w:id="72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عنّا حديث، فاعرضوه على كتاب اللّه، فما وافق كتاب اللّه فخذوه، و ما خالف فردّوه</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 فما بال أكثر أصحابنا أخذوا بهذه الأخبار الثلاثة، و تركوا ما وافق الكتاب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أنّهم عليهم السّلام و إن قالوا ذلك؛ إلّا أنّهم قالوا أيضا بالأخذ بما اشتهر بين الأصحاب و ما وافقهم، و ما خالف العامّة، و مدار الفقه على ذلك؛ فإنّ مخالفة فقه الشيعة لظواهر الكتاب أكثر من أن تحصى؛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الإرث، و غيرها ممّا لا يحصى، بل مسألة الرضاع أيضا مخالفة بالبديهة، فإنّ الظاهر من القرآن انحصار الحرمة في الامّ و الاخت ليس إلّا،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محرّمات النكاح أيضا غير منحصرة فيه بالبديهة، بل المحرّم في السنّة و الإجماع في غاية الكثرة، مع أنّه ورد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القرآن ظواهر و بطونا كثيرة سبعة أو أزيد</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 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علماء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يعرفه إلّا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منصوص القرآن </w:t>
      </w:r>
      <w:r>
        <w:rPr>
          <w:rStyle w:val="FootnoteAnchor"/>
          <w:rtl w:val="true"/>
        </w:rPr>
        <w:footnoteReference w:id="1840"/>
      </w:r>
      <w:r>
        <w:rPr>
          <w:rFonts w:ascii="Amiri" w:hAnsi="Amiri" w:eastAsia="Amiri" w:cs="Amiri"/>
          <w:color w:val="111111"/>
          <w:sz w:val="28"/>
          <w:sz w:val="28"/>
          <w:szCs w:val="28"/>
          <w:rtl w:val="true"/>
          <w:lang w:bidi="ar-SA"/>
        </w:rPr>
        <w:t xml:space="preserve">، و الراسخون فيه هم الأئمّة عليهم السّلام لا غير </w:t>
      </w:r>
      <w:r>
        <w:rPr>
          <w:rStyle w:val="FootnoteAnchor"/>
          <w:rtl w:val="true"/>
        </w:rPr>
        <w:footnoteReference w:id="1841"/>
      </w:r>
      <w:r>
        <w:rPr>
          <w:rFonts w:ascii="Amiri" w:hAnsi="Amiri" w:eastAsia="Amiri" w:cs="Amiri"/>
          <w:color w:val="111111"/>
          <w:sz w:val="28"/>
          <w:sz w:val="28"/>
          <w:szCs w:val="28"/>
          <w:rtl w:val="true"/>
          <w:lang w:bidi="ar-SA"/>
        </w:rPr>
        <w:t xml:space="preserve">، ذلك إلى الحدّ الذي منع الأخباريّون من الاحتجاج بالقرآن مطلقا، و هم و إن أخطئوا في ذلك، لتصريحهم عليهم السّلام بأنّه يعرف هذا و اشباهه من كتاب اللّه عزّ و جلّ </w:t>
      </w:r>
      <w:r>
        <w:rPr>
          <w:rStyle w:val="FootnoteAnchor"/>
          <w:rtl w:val="true"/>
        </w:rPr>
        <w:footnoteReference w:id="1842"/>
      </w:r>
      <w:r>
        <w:rPr>
          <w:rFonts w:ascii="Amiri" w:hAnsi="Amiri" w:eastAsia="Amiri" w:cs="Amiri"/>
          <w:color w:val="111111"/>
          <w:sz w:val="28"/>
          <w:sz w:val="28"/>
          <w:szCs w:val="28"/>
          <w:rtl w:val="true"/>
          <w:lang w:bidi="ar-SA"/>
        </w:rPr>
        <w:t xml:space="preserve">إلّا أنّ الغرض حصول وهن بالقياس إلى ما ورد منهم عليهم السّلام من الأخذ بما اشتهر، و الأخذ بما خالف العامّة </w:t>
      </w:r>
      <w:r>
        <w:rPr>
          <w:rStyle w:val="FootnoteAnchor"/>
          <w:rtl w:val="true"/>
        </w:rPr>
        <w:footnoteReference w:id="1843"/>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bookmarkStart w:id="727" w:name="pg2470_12786"/>
    </w:p>
    <w:p>
      <w:pPr>
        <w:pStyle w:val="Heading4"/>
        <w:numPr>
          <w:ilvl w:val="3"/>
          <w:numId w:val="1"/>
        </w:numPr>
        <w:rPr/>
      </w:pPr>
      <w:bookmarkStart w:id="728" w:name="__RefHeading___Toc3601810_3804643083"/>
      <w:bookmarkStart w:id="729" w:name="_Toc273"/>
      <w:bookmarkEnd w:id="727"/>
      <w:bookmarkEnd w:id="728"/>
      <w:r>
        <w:rPr>
          <w:rtl w:val="true"/>
        </w:rPr>
        <w:t>[</w:t>
      </w:r>
      <w:r>
        <w:rPr>
          <w:rtl w:val="true"/>
        </w:rPr>
        <w:t>اعتبار اتّحاد الفحل</w:t>
      </w:r>
      <w:r>
        <w:rPr>
          <w:rtl w:val="true"/>
        </w:rPr>
        <w:t>]</w:t>
      </w:r>
      <w:bookmarkEnd w:id="729"/>
    </w:p>
    <w:p>
      <w:pPr>
        <w:pStyle w:val="BookText"/>
        <w:rPr/>
      </w:pPr>
      <w:r>
        <w:rPr>
          <w:rFonts w:ascii="Amiri" w:hAnsi="Amiri" w:eastAsia="Amiri" w:cs="Amiri"/>
          <w:color w:val="111111"/>
          <w:sz w:val="28"/>
          <w:sz w:val="28"/>
          <w:szCs w:val="28"/>
          <w:rtl w:val="true"/>
          <w:lang w:bidi="ar-SA"/>
        </w:rPr>
        <w:t xml:space="preserve">و معلوم أنّ اتّحاد الفحل و كونه شرطا من جملة ما اشتهر منهم، بل و أشدّ من ذلك، بل الظاهر كونه إجماعيّا، كما نقله أهل الخبرة و المهارة من فحول فقهائنا </w:t>
      </w:r>
      <w:r>
        <w:rPr>
          <w:rStyle w:val="FootnoteAnchor"/>
          <w:rtl w:val="true"/>
        </w:rPr>
        <w:footnoteReference w:id="1844"/>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غير خفي على العارف كونه من شعار الشيعة كنظائره ممّا هو مسلّم عند المصنّف أيضا؛ إذ العامّة كثير منهم بالغوا في خلافه، حتّى جعلوا التحريم مختصّا بكونه من قبل الامّ، من غير مدخليّة للفحل فيه أصلا، و كثير منهم أدخلوا الفحل أيضا و جعلوه من قبل الامّ </w:t>
      </w:r>
      <w:r>
        <w:rPr>
          <w:rStyle w:val="FootnoteAnchor"/>
          <w:rtl w:val="true"/>
        </w:rPr>
        <w:footnoteReference w:id="1845"/>
      </w:r>
      <w:r>
        <w:rPr>
          <w:rFonts w:ascii="Amiri" w:hAnsi="Amiri" w:eastAsia="Amiri" w:cs="Amiri"/>
          <w:color w:val="111111"/>
          <w:sz w:val="28"/>
          <w:sz w:val="28"/>
          <w:szCs w:val="28"/>
          <w:rtl w:val="true"/>
          <w:lang w:bidi="ar-SA"/>
        </w:rPr>
        <w:t xml:space="preserve">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أخبارهم، و إن كان ظاهر الآية، كما اختاره الفرقة الاولى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يشير إلى ذلك التأمّل في حديث محمّد بن عبيدة </w:t>
      </w:r>
      <w:r>
        <w:rPr>
          <w:rStyle w:val="FootnoteAnchor"/>
          <w:rtl w:val="true"/>
        </w:rPr>
        <w:footnoteReference w:id="1846"/>
      </w:r>
      <w:r>
        <w:rPr>
          <w:rFonts w:ascii="Amiri" w:hAnsi="Amiri" w:eastAsia="Amiri" w:cs="Amiri"/>
          <w:color w:val="111111"/>
          <w:sz w:val="28"/>
          <w:sz w:val="28"/>
          <w:szCs w:val="28"/>
          <w:rtl w:val="true"/>
          <w:lang w:bidi="ar-SA"/>
        </w:rPr>
        <w:t>الآتية مع ضعف سنده، و مخالفته للمشتهر بين الشيعة، و مخالفته لأخبار الثقات و العدول التي هي كثيرة غاية الكثرة، لو لم نقل بتواترها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المقبولة المسلّمة عند الشيعة ترجيح رواية الأعدل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الأعدل </w:t>
      </w:r>
      <w:r>
        <w:rPr>
          <w:rStyle w:val="FootnoteAnchor"/>
          <w:rtl w:val="true"/>
        </w:rPr>
        <w:footnoteReference w:id="1847"/>
      </w:r>
      <w:r>
        <w:rPr>
          <w:rFonts w:ascii="Amiri" w:hAnsi="Amiri" w:eastAsia="Amiri" w:cs="Amiri"/>
          <w:color w:val="111111"/>
          <w:sz w:val="28"/>
          <w:sz w:val="28"/>
          <w:szCs w:val="28"/>
          <w:rtl w:val="true"/>
          <w:lang w:bidi="ar-SA"/>
        </w:rPr>
        <w:t>، فما ظنّك إذا لم يكن عدالة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 الشيعة على الترجيح المذكور أيضا، و مدار الفقه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ظاهره عدم رضا المعصوم عليه السّلام بعدم اعتبار لاتّحاد الفحل أصلا، كما ستعرف، فهو أيضا دليل المشهور، لا أنّه يضرّهم، فلاحظ</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من أنّهم أخذوا بالأخبار الثلاثة، و تركوا ما وافق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 xml:space="preserve">ذكره هنا أخبارا اخر صريحة في اعتبار اتّحاد الفحل، مع صحّة سند الأكثر، و غاية اعتبار سند غير الصحيح؛ لأنّ عمّار الساباطي نقل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الشيعة على العمل برواياته </w:t>
      </w:r>
      <w:r>
        <w:rPr>
          <w:rStyle w:val="FootnoteAnchor"/>
          <w:rtl w:val="true"/>
        </w:rPr>
        <w:footnoteReference w:id="1848"/>
      </w:r>
      <w:r>
        <w:rPr>
          <w:rFonts w:ascii="Amiri" w:hAnsi="Amiri" w:eastAsia="Amiri" w:cs="Amiri"/>
          <w:color w:val="111111"/>
          <w:sz w:val="28"/>
          <w:sz w:val="28"/>
          <w:szCs w:val="28"/>
          <w:rtl w:val="true"/>
          <w:lang w:bidi="ar-SA"/>
        </w:rPr>
        <w:t>، كما يظهر منه في كتابي حديثه، بل كلّ كتبه، بل كلّ قدماء الشيعة، كما لا يخفى على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جميع ما ذكر، جعله رواية محمّد بن عبيدة موافقة للكتاب، مع صراحتها في عدم الموافقة،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الكلّ، جعل ما ذكره سابقا ثلاثة، مع كونها أكثر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الأخبار الظاهرة في اعتبار اتّحاد الفحل متواترة،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في هذا الباب،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غيره أيضا، أو هو في غير هذا الباب، مثل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أصحابك في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حتّى جاءتهم الرواية عنك أنّه 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ينادي بأعلى صوته اتّفاق الشيعة على اعتبار اتّحاد الفحل قبل اطّلاعهم بقوله عليه السّلام، و قد عرفت حال ما اشتهر بينهم، و مع ذلك أظهر عليه السّلام كونه كارها في القول المذكور، و أنّ المقام كان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صريحا، و معلوم أنّ التقيّة لم يكن إلّا في موافقة الشيعة، و كراهته الكلام أيضا لذلك</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اليقينيّات أنّه عليه السّلام لم يكن في مقام التقيّة، و كراهة الكلام مظهرا لمخّ</w:t>
      </w:r>
    </w:p>
    <w:p>
      <w:pPr>
        <w:pStyle w:val="BookText"/>
        <w:rPr/>
      </w:pPr>
      <w:r>
        <w:rPr>
          <w:rFonts w:ascii="Amiri" w:hAnsi="Amiri" w:eastAsia="Amiri" w:cs="Amiri"/>
          <w:color w:val="111111"/>
          <w:sz w:val="28"/>
          <w:sz w:val="28"/>
          <w:szCs w:val="28"/>
          <w:rtl w:val="true"/>
          <w:lang w:bidi="ar-SA"/>
        </w:rPr>
        <w:t xml:space="preserve">الحقّ، و ردّ أهل السنّة، و ردّ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 في اختيار ما هو المعروف بين العامّة و ما جوّزوه، فأظهر عليه السّلام هذا الكلام منّة لئلّا تضر الشيعة بما صدر منه في هذا المقام و يتركوا ما هو الحقّ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لم يترك الشيعة بعد هذا الاظهار، و رجعوا إلى حالهم السابق و اتّفقوا على اعتبار اتّحاد الفحل، كما كانوا كذلك إلى أن ظهر لديهم من أنّه عليه السّلام كان في مقام التقيّة ملجأ في الذكر، بل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هنا هو المامون الخليفة </w:t>
      </w:r>
      <w:r>
        <w:rPr>
          <w:rStyle w:val="FootnoteAnchor"/>
          <w:rtl w:val="true"/>
        </w:rPr>
        <w:footnoteReference w:id="1851"/>
      </w:r>
      <w:r>
        <w:rPr>
          <w:rFonts w:ascii="Amiri" w:hAnsi="Amiri" w:eastAsia="Amiri" w:cs="Amiri"/>
          <w:color w:val="111111"/>
          <w:sz w:val="28"/>
          <w:sz w:val="28"/>
          <w:szCs w:val="28"/>
          <w:rtl w:val="true"/>
          <w:lang w:bidi="ar-SA"/>
        </w:rPr>
        <w:t>، و لذا لم يكن في الأصل رمز عليه السّلام كما قال، و هو أعلم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فللمعصوم عليه السّلام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منه، بل سكت و تلقّى بالقبول إلجاء،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تعلم أنّ هذا الخبر الموافق للكتاب و السنّة المتواترة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مراده 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 و أنت بعد ملاحظة هذا و كيفيّة نقله، يظهر عليك ظهورا تامّا أنّه إن كان متواترا، فما دلّ على اتّحاد الفحل يكون متواترا، و متواترا أزيد منه بمراتب شتّى</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رواية العجلي </w:t>
      </w:r>
      <w:r>
        <w:rPr>
          <w:rStyle w:val="FootnoteAnchor"/>
          <w:rtl w:val="true"/>
        </w:rPr>
        <w:footnoteReference w:id="1854"/>
      </w:r>
      <w:r>
        <w:rPr>
          <w:rFonts w:ascii="Amiri" w:hAnsi="Amiri" w:eastAsia="Amiri" w:cs="Amiri"/>
          <w:color w:val="111111"/>
          <w:sz w:val="28"/>
          <w:sz w:val="28"/>
          <w:szCs w:val="28"/>
          <w:rtl w:val="true"/>
          <w:lang w:bidi="ar-SA"/>
        </w:rPr>
        <w:t xml:space="preserve">نصّ في انحصار النسب في جانب الفحل دون المرأة، و أنّ ما هو من طرف المرأة فهو من المصاهرة، لا النسب، و الرواية المذكورة في غاية قريبة من الصحّة بحسب السند، و من جهة إيراد الكليني إيّاها في كتاب بطريقين صحيحين إلى ابن محبوب </w:t>
      </w:r>
      <w:r>
        <w:rPr>
          <w:rStyle w:val="FootnoteAnchor"/>
          <w:rtl w:val="true"/>
        </w:rPr>
        <w:footnoteReference w:id="1855"/>
      </w:r>
      <w:r>
        <w:rPr>
          <w:rFonts w:ascii="Amiri" w:hAnsi="Amiri" w:eastAsia="Amiri" w:cs="Amiri"/>
          <w:color w:val="111111"/>
          <w:sz w:val="28"/>
          <w:sz w:val="28"/>
          <w:szCs w:val="28"/>
          <w:rtl w:val="true"/>
          <w:lang w:bidi="ar-SA"/>
        </w:rPr>
        <w:t>، و هو ممّن أجمعت العصابة، و غيره من أسباب القوّة،</w:t>
      </w:r>
    </w:p>
    <w:p>
      <w:pPr>
        <w:pStyle w:val="BookText"/>
        <w:rPr/>
      </w:pPr>
      <w:r>
        <w:rPr>
          <w:rFonts w:ascii="Amiri" w:hAnsi="Amiri" w:eastAsia="Amiri" w:cs="Amiri"/>
          <w:color w:val="111111"/>
          <w:sz w:val="28"/>
          <w:sz w:val="28"/>
          <w:szCs w:val="28"/>
          <w:rtl w:val="true"/>
          <w:lang w:bidi="ar-SA"/>
        </w:rPr>
        <w:t>مع أنّ الكليني قال في صدر كتابه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رواها الصدوق </w:t>
      </w:r>
      <w:r>
        <w:rPr>
          <w:rStyle w:val="FootnoteAnchor"/>
          <w:rtl w:val="true"/>
        </w:rPr>
        <w:footnoteReference w:id="1856"/>
      </w:r>
      <w:r>
        <w:rPr>
          <w:rFonts w:ascii="Amiri" w:hAnsi="Amiri" w:eastAsia="Amiri" w:cs="Amiri"/>
          <w:color w:val="111111"/>
          <w:sz w:val="28"/>
          <w:sz w:val="28"/>
          <w:szCs w:val="28"/>
          <w:rtl w:val="true"/>
          <w:lang w:bidi="ar-SA"/>
        </w:rPr>
        <w:t xml:space="preserve">أيضا مع أنّه مثل الكليني رواها بطريق صحيح، و قال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الشيخ فأساس عمله عليها </w:t>
      </w:r>
      <w:r>
        <w:rPr>
          <w:rStyle w:val="FootnoteAnchor"/>
          <w:rtl w:val="true"/>
        </w:rPr>
        <w:footnoteReference w:id="1857"/>
      </w:r>
      <w:r>
        <w:rPr>
          <w:rFonts w:ascii="Amiri" w:hAnsi="Amiri" w:eastAsia="Amiri" w:cs="Amiri"/>
          <w:color w:val="111111"/>
          <w:sz w:val="28"/>
          <w:sz w:val="28"/>
          <w:szCs w:val="28"/>
          <w:rtl w:val="true"/>
          <w:lang w:bidi="ar-SA"/>
        </w:rPr>
        <w:t>، مع جميع ما ورد في اعتبار اتّحاد الفحل من الأخبار المتواترة يوافقها و يعضدها، و مبنيّة عليها، كما لا يخفى؛ لأنّها السبب في اشتراط الاتّحاد، و السرّ فيه، كما لا يخفى، مع أنّ العمل باشتراطه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الأخبار يكشف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يعضدها و يشهد عليها، بل و يعيّنها ما مرّ في مبحث الخمس و مستحقّه من كون المعتبر هو الانتساب بالأب خاصّة </w:t>
      </w:r>
      <w:r>
        <w:rPr>
          <w:rStyle w:val="FootnoteAnchor"/>
          <w:rtl w:val="true"/>
        </w:rPr>
        <w:footnoteReference w:id="1858"/>
      </w:r>
      <w:r>
        <w:rPr>
          <w:rFonts w:ascii="Amiri" w:hAnsi="Amiri" w:eastAsia="Amiri" w:cs="Amiri"/>
          <w:color w:val="111111"/>
          <w:sz w:val="28"/>
          <w:sz w:val="28"/>
          <w:szCs w:val="28"/>
          <w:rtl w:val="true"/>
          <w:lang w:bidi="ar-SA"/>
        </w:rPr>
        <w:t xml:space="preserve">، و كذا في مباحث الوقوف و النذور و نحوها، و ما ورد منهم عليهم السّلام أنّ من كان أمّه من هاشم و أبوه من سائر الناس لا يستحقّ أخذ الخمس، بل يأخذ الزكاة كسائر الناس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أنّ أصل الولد أبوه لا أمّه، بل المرأة وعاء </w:t>
      </w:r>
      <w:r>
        <w:rPr>
          <w:rStyle w:val="FootnoteAnchor"/>
          <w:rtl w:val="true"/>
        </w:rPr>
        <w:footnoteReference w:id="1860"/>
      </w:r>
      <w:r>
        <w:rPr>
          <w:rFonts w:ascii="Amiri" w:hAnsi="Amiri" w:eastAsia="Amiri" w:cs="Amiri"/>
          <w:color w:val="111111"/>
          <w:sz w:val="28"/>
          <w:sz w:val="28"/>
          <w:szCs w:val="28"/>
          <w:rtl w:val="true"/>
          <w:lang w:bidi="ar-SA"/>
        </w:rPr>
        <w:t xml:space="preserve">و غير ذلك ممّا مرّ هناك، و أنّ ذلك لا يضرّ كون الأئمّة عليهم السّلام من آل الرسول عليهم السّلام؛ لأنّ اللّه تعالى جعل نسله في صلب علي عليه السّلام، كما جعل نسل الأنبياء السابقة في أصلابهم، و لأنّه صلّى اللّه عليه و آله و سلم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ذكور و انحصر في الإناث، إلى غير ذلك ممّا مرّ هناك، و تمام التحقيق يطلب ممّا كتبناه هناك</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مقتضى ذلك انحصار النسب المعتبر في الذي يكون من قبل</w:t>
      </w:r>
    </w:p>
    <w:p>
      <w:pPr>
        <w:pStyle w:val="BookText"/>
        <w:rPr/>
      </w:pPr>
      <w:r>
        <w:rPr>
          <w:rFonts w:ascii="Amiri" w:hAnsi="Amiri" w:eastAsia="Amiri" w:cs="Amiri"/>
          <w:color w:val="111111"/>
          <w:sz w:val="28"/>
          <w:sz w:val="28"/>
          <w:szCs w:val="28"/>
          <w:rtl w:val="true"/>
          <w:lang w:bidi="ar-SA"/>
        </w:rPr>
        <w:t>الأب لا الامّ للتبادر و غير ذلك، لكن في مقام تحريم المناكحة وقع الإجماع، بل الضرورة من الدين تحريم جميع من هو أصل في الخلقة و التكوّن، و من هو فرع، و هكذا من دون فرق بين المنتسب بالأب أو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عرّف الفقهاء بأجمعهم الامّهات ممّن يكون الرجل منهنّ ولادة، و كذلك بنات الأخ، و بنات الاخت ممّن يكون من الشخص سواء كان من الذكور أو الإناث، و لذا قالوا بأنّه يحرم من الرضاع جميع من يحرم بالنسب </w:t>
      </w:r>
      <w:r>
        <w:rPr>
          <w:rStyle w:val="FootnoteAnchor"/>
          <w:rtl w:val="true"/>
        </w:rPr>
        <w:footnoteReference w:id="1861"/>
      </w:r>
      <w:r>
        <w:rPr>
          <w:rFonts w:ascii="Amiri" w:hAnsi="Amiri" w:eastAsia="Amiri" w:cs="Amiri"/>
          <w:color w:val="111111"/>
          <w:sz w:val="28"/>
          <w:sz w:val="28"/>
          <w:szCs w:val="28"/>
          <w:rtl w:val="true"/>
          <w:lang w:bidi="ar-SA"/>
        </w:rPr>
        <w:t>بالنحو الذي ذكر بلا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يقولون بأنّه يحرم منه ما يحرم بغير النسب، مثل المصاهرة أو الرضاع و نحوهما، و وجهه واضح كمال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من الرضاع الامّ التي أرضعت، و أمّ تلك الامّ، و أمّ أمّها، و أمّ أبيها، و أمّ أبي أمّها و هكذا؛ لأنّه يحرم من الرضاع جميع من يحرم بالنسب، بخلاف مرضعة المرضعة؛ فإنّها غير داخلة في الامّهات النسبيّة، بل أمّ رضاعيّة، و لا نفهم من الحديث إلّا الامّهات النسبيّة من الجهة التي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الحال في رضاع المرضعة؛ فإنّا لا نفهم إلّا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ارتضع، و الأولاد النسبيّة لا الرضاعيّة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يتأتّى اتّحاد الفحل في الرضاعين، بحيث يصير المرتضع و المرتضعة ولدي الفحل،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المرتضعة اخت المرتضع من الفحل المذكور، لتحقّق التحريم، مثل أنّ زينب أرضعت زيدا، و أرضعت فاطمة من فحل، فجميع أولاد هذا الفحل محرّم عليهما نسبا و رضاعا، بخلاف أولاد زينب، فإنّما يحرم نسبا خاصّة لا رضاعا، إلّا مع اتّحاد الفحل فيحرم؛ لكونهم أولاد الفحل، فتأمّل</w:t>
      </w:r>
      <w:r>
        <w:rPr>
          <w:rFonts w:eastAsia="Amiri" w:cs="Amiri" w:ascii="Amiri" w:hAnsi="Amiri"/>
          <w:color w:val="111111"/>
          <w:sz w:val="28"/>
          <w:szCs w:val="28"/>
          <w:rtl w:val="true"/>
          <w:lang w:bidi="ar-SA"/>
        </w:rPr>
        <w:t>!</w:t>
      </w:r>
      <w:bookmarkStart w:id="730" w:name="pg2470_12791"/>
    </w:p>
    <w:p>
      <w:pPr>
        <w:pStyle w:val="Heading4"/>
        <w:numPr>
          <w:ilvl w:val="3"/>
          <w:numId w:val="1"/>
        </w:numPr>
        <w:rPr/>
      </w:pPr>
      <w:bookmarkStart w:id="731" w:name="__RefHeading___Toc3601812_3804643083"/>
      <w:bookmarkStart w:id="732" w:name="_Toc274"/>
      <w:bookmarkEnd w:id="730"/>
      <w:bookmarkEnd w:id="731"/>
      <w:r>
        <w:rPr>
          <w:rtl w:val="true"/>
        </w:rPr>
        <w:t>[</w:t>
      </w:r>
      <w:r>
        <w:rPr>
          <w:rtl w:val="true"/>
        </w:rPr>
        <w:t>باب أنّه لا رضاع بعد فطام</w:t>
      </w:r>
      <w:r>
        <w:rPr>
          <w:rtl w:val="true"/>
        </w:rPr>
        <w:t>]</w:t>
      </w:r>
      <w:bookmarkEnd w:id="7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أراد به أن يشربا من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شربة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شربة هذه</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يكون شربة الصبيّة في أوقات شربة الصبي، لا في زمان كونه فطيما، فيكون كلام ابن بكير هذا تأكيدا لكلام السابق، فتأمّل</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3601814_3804643083"/>
      <w:bookmarkStart w:id="734" w:name="_Toc275"/>
      <w:bookmarkEnd w:id="733"/>
      <w:r>
        <w:rPr>
          <w:rtl w:val="true"/>
        </w:rPr>
        <w:t>[</w:t>
      </w:r>
      <w:r>
        <w:rPr>
          <w:rtl w:val="true"/>
        </w:rPr>
        <w:t>باب سائر المحرّمات</w:t>
      </w:r>
      <w:r>
        <w:rPr>
          <w:rtl w:val="true"/>
        </w:rPr>
        <w:t>]</w:t>
      </w:r>
      <w:bookmarkEnd w:id="7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أديم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تتزوّج و لها زوج يفرّق بينهما، ثمّ لا يتعاودان أبدا</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يظهر منها، و من موثّقة أديم </w:t>
      </w:r>
      <w:r>
        <w:rPr>
          <w:rStyle w:val="FootnoteAnchor"/>
          <w:rtl w:val="true"/>
        </w:rPr>
        <w:footnoteReference w:id="1864"/>
      </w:r>
      <w:r>
        <w:rPr>
          <w:rFonts w:ascii="Amiri" w:hAnsi="Amiri" w:eastAsia="Amiri" w:cs="Amiri"/>
          <w:color w:val="111111"/>
          <w:sz w:val="28"/>
          <w:sz w:val="28"/>
          <w:szCs w:val="28"/>
          <w:rtl w:val="true"/>
          <w:lang w:bidi="ar-SA"/>
        </w:rPr>
        <w:t xml:space="preserve">الآتية تأبيد التحريم مطلقا، و هذا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إلّا أن يقال بتبادر صورة العلم، أو عدم تبادر صورة الجهل؛ بأنّ صورة الجهل يسأل عنها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ثمّ علم بعد ذلك أنّ لها زوجا، و الموثّقة ربّما كانت أظهر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ما ذكرناه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عمّار </w:t>
      </w:r>
      <w:r>
        <w:rPr>
          <w:rStyle w:val="FootnoteAnchor"/>
          <w:rtl w:val="true"/>
        </w:rPr>
        <w:footnoteReference w:id="1865"/>
      </w:r>
      <w:r>
        <w:rPr>
          <w:rFonts w:ascii="Amiri" w:hAnsi="Amiri" w:eastAsia="Amiri" w:cs="Amiri"/>
          <w:color w:val="111111"/>
          <w:sz w:val="28"/>
          <w:sz w:val="28"/>
          <w:szCs w:val="28"/>
          <w:rtl w:val="true"/>
          <w:lang w:bidi="ar-SA"/>
        </w:rPr>
        <w:t xml:space="preserve">الآتية و أمثالها، مضافة إلى نهاية شيوع التخصيص إلى أن تلقّي بالقبول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 قد</w:t>
      </w:r>
      <w:bookmarkStart w:id="735" w:name="pg2470_12792"/>
    </w:p>
    <w:p>
      <w:pPr>
        <w:pStyle w:val="BookText"/>
        <w:rPr/>
      </w:pPr>
      <w:bookmarkEnd w:id="735"/>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ضعف الدلالة يظهر من المرفوعة </w:t>
      </w:r>
      <w:r>
        <w:rPr>
          <w:rStyle w:val="FootnoteAnchor"/>
          <w:rtl w:val="true"/>
        </w:rPr>
        <w:footnoteReference w:id="1866"/>
      </w:r>
      <w:r>
        <w:rPr>
          <w:rFonts w:ascii="Amiri" w:hAnsi="Amiri" w:eastAsia="Amiri" w:cs="Amiri"/>
          <w:color w:val="111111"/>
          <w:sz w:val="28"/>
          <w:sz w:val="28"/>
          <w:szCs w:val="28"/>
          <w:rtl w:val="true"/>
          <w:lang w:bidi="ar-SA"/>
        </w:rPr>
        <w:t>القيد بالعلم؛ لأنّ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قيد، فالمفهوم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فيكون حجّة، و السند منجبر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القيد أيضا من صحيحة البجلي الآتية؛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يعذر الناس</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تعليل، فيستفاد منه التعميم و الشمول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حال العدّة حال صورة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يفهمه الأصحاب، و فهمهم و اتّفاقهم فيه من أقوى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جعل عقد المحرم مثل عقد ذات الزوج في موثّقة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أديم</w:t>
      </w:r>
      <w:r>
        <w:rPr>
          <w:rFonts w:eastAsia="Amiri" w:cs="Amiri" w:ascii="Amiri" w:hAnsi="Amiri"/>
          <w:color w:val="111111"/>
          <w:sz w:val="28"/>
          <w:szCs w:val="28"/>
          <w:rtl w:val="true"/>
          <w:lang w:bidi="ar-SA"/>
        </w:rPr>
        <w:t xml:space="preserve">] </w:t>
      </w:r>
      <w:r>
        <w:rPr>
          <w:rStyle w:val="FootnoteAnchor"/>
          <w:rtl w:val="true"/>
        </w:rPr>
        <w:footnoteReference w:id="1868"/>
      </w:r>
      <w:r>
        <w:rPr>
          <w:rFonts w:ascii="IRNazanin" w:hAnsi="IRNazanin" w:eastAsia="IRNazanin"/>
          <w:color w:val="111111"/>
          <w:sz w:val="28"/>
          <w:sz w:val="28"/>
          <w:szCs w:val="28"/>
          <w:rtl w:val="true"/>
          <w:lang w:bidi="fa-IR"/>
        </w:rPr>
        <w:t>، و الأوّل مشروط بالعلم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يؤيّده أيضا استصحاب الحالة السابقة، و الاصول و العمومات، سيّما قوله تعالى وَ أُحِلَّ لَكُمْ مٰا وَرٰاءَ </w:t>
      </w:r>
      <w:r>
        <w:rPr>
          <w:rStyle w:val="FootnoteAnchor"/>
          <w:rtl w:val="true"/>
        </w:rPr>
        <w:footnoteReference w:id="1869"/>
      </w:r>
      <w:r>
        <w:rPr>
          <w:rFonts w:ascii="Amiri" w:hAnsi="Amiri" w:eastAsia="Amiri" w:cs="Amiri"/>
          <w:color w:val="111111"/>
          <w:sz w:val="28"/>
          <w:sz w:val="28"/>
          <w:szCs w:val="28"/>
          <w:rtl w:val="true"/>
          <w:lang w:bidi="ar-SA"/>
        </w:rPr>
        <w:t>الآية، و أمثاله ممّا ورد في ذكر المحرّمات و ظهور حصرها في غيره</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3601816_3804643083"/>
      <w:bookmarkStart w:id="737" w:name="_Toc276"/>
      <w:bookmarkEnd w:id="736"/>
      <w:r>
        <w:rPr>
          <w:rtl w:val="true"/>
        </w:rPr>
        <w:t>[</w:t>
      </w:r>
      <w:r>
        <w:rPr>
          <w:rtl w:val="true"/>
        </w:rPr>
        <w:t>حرمة وطء الزوجة قبل التسع</w:t>
      </w:r>
      <w:r>
        <w:rPr>
          <w:rtl w:val="true"/>
        </w:rPr>
        <w:t>]</w:t>
      </w:r>
      <w:bookmarkEnd w:id="73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تبلغ تسع سنين، فرّق بينهما، و لم تحلّ له أبدا</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bookmarkStart w:id="738" w:name="pg2470_12793"/>
    </w:p>
    <w:p>
      <w:pPr>
        <w:pStyle w:val="BookText"/>
        <w:rPr/>
      </w:pPr>
      <w:bookmarkEnd w:id="738"/>
      <w:r>
        <w:rPr>
          <w:rFonts w:ascii="Amiri" w:hAnsi="Amiri" w:eastAsia="Amiri" w:cs="Amiri"/>
          <w:color w:val="111111"/>
          <w:sz w:val="28"/>
          <w:sz w:val="28"/>
          <w:szCs w:val="28"/>
          <w:rtl w:val="true"/>
          <w:lang w:bidi="ar-SA"/>
        </w:rPr>
        <w:t xml:space="preserve">لعلّه محمول على صورة تحقّق الإفضاء بناء على أنّ الغالب تحقّق هذا المعنى، و لأجله حرّم وطؤها قبل التسع، إلّا أنّ الشيخين </w:t>
      </w:r>
      <w:r>
        <w:rPr>
          <w:rStyle w:val="FootnoteAnchor"/>
          <w:rtl w:val="true"/>
        </w:rPr>
        <w:footnoteReference w:id="1871"/>
      </w:r>
      <w:r>
        <w:rPr>
          <w:rFonts w:ascii="Amiri" w:hAnsi="Amiri" w:eastAsia="Amiri" w:cs="Amiri"/>
          <w:color w:val="111111"/>
          <w:sz w:val="28"/>
          <w:sz w:val="28"/>
          <w:szCs w:val="28"/>
          <w:rtl w:val="true"/>
          <w:lang w:bidi="ar-SA"/>
        </w:rPr>
        <w:t>عملا بظاهر هذه الرواية، و هو مشكل؛ لعدم صحّة السند، و عدم وضوح الدلالة لما ذكرنا، بضميمة أنّ إطلاقات الأخبار محمولة على الفروض الغالبة،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في باب الحدّ الذي يدخل بالمرأة، فيه أخبار كثيرة ظاهرة في عدم التفريق بينهما بمجرّد الدخول، إلّا أن يتحقّق الإفضاء، و لذا أفتى المشهور بذلك، و أنّ هذا لا يصير منشأ لخروجها عن عصمة النكاح</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3601818_3804643083"/>
      <w:bookmarkStart w:id="740" w:name="_Toc277"/>
      <w:bookmarkEnd w:id="739"/>
      <w:r>
        <w:rPr>
          <w:rtl w:val="true"/>
        </w:rPr>
        <w:t>[</w:t>
      </w:r>
      <w:r>
        <w:rPr>
          <w:rtl w:val="true"/>
        </w:rPr>
        <w:t>باب عدد ما أحلّ اللّه سبحانه من متعة النساء</w:t>
      </w:r>
      <w:r>
        <w:rPr>
          <w:rtl w:val="true"/>
        </w:rPr>
        <w:t>]</w:t>
      </w:r>
      <w:bookmarkEnd w:id="7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المراد بالاحتياط هنا الحذر من اطّلاع المخالفين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تأمّل في أنّ المراد من الاحتياط في الحديث هو هذا</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3601820_3804643083"/>
      <w:bookmarkStart w:id="742" w:name="_Toc278"/>
      <w:bookmarkEnd w:id="741"/>
      <w:r>
        <w:rPr>
          <w:rtl w:val="true"/>
        </w:rPr>
        <w:t>[</w:t>
      </w:r>
      <w:r>
        <w:rPr>
          <w:rtl w:val="true"/>
        </w:rPr>
        <w:t>باب ما خصّت به فاطمة عليها السّلام في التزويج</w:t>
      </w:r>
      <w:r>
        <w:rPr>
          <w:rtl w:val="true"/>
        </w:rPr>
        <w:t>]</w:t>
      </w:r>
      <w:bookmarkEnd w:id="742"/>
    </w:p>
    <w:p>
      <w:pPr>
        <w:pStyle w:val="Heading5"/>
        <w:numPr>
          <w:ilvl w:val="4"/>
          <w:numId w:val="1"/>
        </w:numPr>
        <w:rPr/>
      </w:pPr>
      <w:bookmarkStart w:id="743" w:name="__RefHeading___Toc3601822_3804643083"/>
      <w:bookmarkStart w:id="744" w:name="_Toc279"/>
      <w:bookmarkEnd w:id="743"/>
      <w:r>
        <w:rPr>
          <w:rtl w:val="true"/>
        </w:rPr>
        <w:t>[</w:t>
      </w:r>
      <w:r>
        <w:rPr>
          <w:rtl w:val="true"/>
        </w:rPr>
        <w:t>حكم الجمع بين الفاطميّتين</w:t>
      </w:r>
      <w:r>
        <w:rPr>
          <w:rtl w:val="true"/>
        </w:rPr>
        <w:t>]</w:t>
      </w:r>
      <w:bookmarkEnd w:id="74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يجمع بين ثنتين من ولد فاطمة عليها السّلام؛ إنّ ذلك يبلغها فيشقّ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إطلاقات الأخبار محمولة على المتعارف الغالب، و الغالب أنّ الزوجات إذا صرن ضرّات يحصل بينهنّ الكدورات و المضرّات و النفرة، من جهة ما فيهنّ من الغيرة، و الأزواج لا يخرجون عن عهدة الاحترام اللازم بالعلويّات حينما صرن ضرّات، و لا يصلحون ما بينهنّ، بل في الغالب المفاسد بينهنّ من طرف سلوك أزواجهنّ و غيرتهنّ من هذه الجهة، فالنهي لم يتعلّق بنفس العقد، بل بما يترتّب عليه غالبا و هو الشاقّيّة على فاطمة عليها السّلام، على ما يصرّح به التعليل،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يبلغها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وارد مورد الغالب،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أسود، و الاستحاضة أصفر</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 و منه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الصيرفي لا يسلم عن الربا</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و أمثال ذلك ممّا لا يحصى، مع أنّ أعاظم أصحاب الأئمّة عليهم السّلام كانوا صيارفة مع عدم تأمّل لأحد في عدالتهم، بل جلالتهم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الأخبار أيضا عدم البأس إذا أخذ سواء و أعطى سواء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حرمة الربا من 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ما أشرنا إليه من سبب الشاقّيّة عليها عليها السّلام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نظير ما عرفت من الصرف و غيره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لم يتعلّق النهي إلّا بما هو خارج عن العقد، و هو الشاقّيّة، لا نفس العقد بلا تأمل و لا ريبة، ينادي به التعليل المذكور، فلا يدلّ على فساد العقد؛ للاتّفاق على عدم اقتضاء النهي الفساد إذا تعلّق بالعبادات إذا كان تعلّقه بالخارج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عنها، فما ظنّك بالمعاملات؟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و المحقّق عند المحقّقين أنّ النهي بالمعاملات لا يقتضي فسادها، و إن تعلّق بنفس المعاملة، و هو بيّن و مبيّن في موضعه </w:t>
      </w:r>
      <w:r>
        <w:rPr>
          <w:rStyle w:val="FootnoteAnchor"/>
          <w:rtl w:val="true"/>
        </w:rPr>
        <w:footnoteReference w:id="1877"/>
      </w:r>
      <w:r>
        <w:rPr>
          <w:rFonts w:ascii="IRNazanin" w:hAnsi="IRNazanin" w:eastAsia="IRNazanin"/>
          <w:color w:val="111111"/>
          <w:sz w:val="28"/>
          <w:sz w:val="28"/>
          <w:szCs w:val="28"/>
          <w:rtl w:val="true"/>
          <w:lang w:bidi="fa-IR"/>
        </w:rPr>
        <w:t>، و مسلّم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هذه الرواية صريحة في صحّة هذا العقد و الجمع؛ إذ لو لم يصحّ لكان وجوده كعدمه، فلم يتحقّق جمع، فأيّ شي‌ء يشقّ على فاطمة عليها السّلام؟</w:t>
      </w:r>
    </w:p>
    <w:p>
      <w:pPr>
        <w:pStyle w:val="BookText"/>
        <w:rPr/>
      </w:pPr>
      <w:r>
        <w:rPr>
          <w:rFonts w:ascii="Amiri" w:hAnsi="Amiri" w:eastAsia="Amiri" w:cs="Amiri"/>
          <w:color w:val="111111"/>
          <w:sz w:val="28"/>
          <w:sz w:val="28"/>
          <w:szCs w:val="28"/>
          <w:rtl w:val="true"/>
          <w:lang w:bidi="ar-SA"/>
        </w:rPr>
        <w:t>و لا شكّ في أنّ الذي يشقّ عليها عليها السّلام هو الجمع، و صيرورة الثنتين معا زوجة رجل، و لو لا ذلك لم يشقّ عليها أصلا؛ نظير ذلك تزويج رجل امرأة أو طلاقه إيّاها يتأذّى بذلك أبواه، و يحصل عقوقهما، أو يحصل فتن اخرى أيضا، مثل القتل و النهب و غيرهما، كما شاهدنا مكرّرا، بترتّب المفاسد المذكورة على نكاح أو طلاق أو منع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تلك المعاملات صحيحة، و إن علم ترتّب الفتن عليها من قبل و حين وقوعها، ثمّ ترتّب عليها تلك الفتن و أشدّ منها و أزيد؛ فإنّ صحّتها لا تنافي ذلك، بل الفتن لا تترتّب إلّا على صحّتها، و لو لم تكن صحيحة لم يترتّب عليها شي‌ء من العقوق و الأذيّة و الفتنة، بل و لا حزازة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هذه الرواية تدلّ على صحّة الجمع بين العلويّتين، موافقة للعمومات القرآنيّة، و العمومات الكثيرة الأخباريّة، و الاصول الثابتة الشرعيّة، و إجماع جميع الامّة </w:t>
      </w:r>
      <w:r>
        <w:rPr>
          <w:rStyle w:val="FootnoteAnchor"/>
          <w:rtl w:val="true"/>
        </w:rPr>
        <w:footnoteReference w:id="1878"/>
      </w:r>
      <w:r>
        <w:rPr>
          <w:rFonts w:ascii="Amiri" w:hAnsi="Amiri" w:eastAsia="Amiri" w:cs="Amiri"/>
          <w:color w:val="111111"/>
          <w:sz w:val="28"/>
          <w:sz w:val="28"/>
          <w:szCs w:val="28"/>
          <w:rtl w:val="true"/>
          <w:lang w:bidi="ar-SA"/>
        </w:rPr>
        <w:t xml:space="preserve">، حتّى الشيخ؛ الراوي لهذه الرواية، و الصدوق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الدلالة على الحرمة، فقد عرفت دلالتها على حرمة ما يترتّب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العقد، لا نفس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 أنّ الترتّب ليس بعنوان اللزوم، بل بعنوان الكثيرة من النفوس القاصرة، و من جهة قصورها، نظير الصيارفة و غيرها ممّا أشرنا إليه في الجملة، بل غير خفي على الفطن أنّ غالب المعاملات، بل العبادات أيضا يترتّب عليها محرّمات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لم تصر هذه الرواية مخالفة للايات الكثيرة، و الأخبار المتواترة، و المشتهر بين الأصحاب الذي ورد منهم عليهم السّلام الأمر بالأخذ به معلّلين بأنّه لا ريب فيه، و لا مخالفة للسنّة، و أمرونا بترك ما خالفها كما أمرونا في الأخبار المتواترة بترك ما خالف القرآن، بل بترك ما لم يوافق القرآن، و ترك ما لم يشابه الأحكام الصادرة منهم عليهم السّلام، و ترك رواية غير الأعدل </w:t>
      </w:r>
      <w:r>
        <w:rPr>
          <w:rStyle w:val="FootnoteAnchor"/>
          <w:rtl w:val="true"/>
        </w:rPr>
        <w:footnoteReference w:id="1880"/>
      </w:r>
      <w:r>
        <w:rPr>
          <w:rFonts w:ascii="Amiri" w:hAnsi="Amiri" w:eastAsia="Amiri" w:cs="Amiri"/>
          <w:color w:val="111111"/>
          <w:sz w:val="28"/>
          <w:sz w:val="28"/>
          <w:szCs w:val="28"/>
          <w:rtl w:val="true"/>
          <w:lang w:bidi="ar-SA"/>
        </w:rPr>
        <w:t>، فما ظنّك إذا لم تكن عن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الأدلّة قائمة على اشتراط العدالة في حجّيّة الرواية أو الانجبار بمثل الشهرة، فما ظنّك إذا عارض الأدلّة القطعيّة و المسلّمة المذكورة،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و الصدوق هذه الرواية من غير تعرّض لتوجيه؛ ظاهر في إفتائهما بها، و إن لم يكونا قائلين في كتب فتاويهما؛ إذ لعلّه تغيّر رأيهما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التعرّض لتوجيه؛ لما عرفت، مع أنّ عادة المصنّفين إيراد جميع ما رووه، لا الاقتصار على ما يفتون به، على ما صرّح 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 و لذا لم يرو هذه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أحد من كتب فتواه، بل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صرّح فيه بأنّه يروي ما تضمّن علّة و إن لم يكن صحيحا، بل يكون فاسدا غلطا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bookmarkStart w:id="745" w:name="pg2470_12798"/>
    </w:p>
    <w:p>
      <w:pPr>
        <w:pStyle w:val="BookText"/>
        <w:rPr/>
      </w:pPr>
      <w:bookmarkEnd w:id="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و يظهر أيضا من كلام باقي الفقهاء و طريقة المصنّفين خصوصا فيما رووه في الكفر و الإيمان ممّا تضمّن الجبر و التشبيه، أو عدم عصمة نبي عليه السّلام، أو إمام عليه السّلام، أو غير ذلك من أسباب الكفر، من دون إشارة إلى توجيه أصلا، و كذا ما رووه في المستحبّات و المكروهات، و الآداب ممّا هو ظاهر في الوجوب أو الحرمة، من دون إشارة إلى توجيه أصلا، إلى غير ذلك، كما لا يخفى على المطّلع</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3601824_3804643083"/>
      <w:bookmarkStart w:id="747" w:name="_Toc280"/>
      <w:bookmarkEnd w:id="746"/>
      <w:r>
        <w:rPr>
          <w:rtl w:val="true"/>
        </w:rPr>
        <w:t>[</w:t>
      </w:r>
      <w:r>
        <w:rPr>
          <w:rtl w:val="true"/>
        </w:rPr>
        <w:t>النكاح المنقطع</w:t>
      </w:r>
      <w:r>
        <w:rPr>
          <w:rtl w:val="true"/>
        </w:rPr>
        <w:t>]</w:t>
      </w:r>
      <w:bookmarkEnd w:id="747"/>
    </w:p>
    <w:p>
      <w:pPr>
        <w:pStyle w:val="Heading4"/>
        <w:numPr>
          <w:ilvl w:val="3"/>
          <w:numId w:val="1"/>
        </w:numPr>
        <w:rPr/>
      </w:pPr>
      <w:bookmarkStart w:id="748" w:name="__RefHeading___Toc3601826_3804643083"/>
      <w:bookmarkStart w:id="749" w:name="_Toc281"/>
      <w:bookmarkEnd w:id="748"/>
      <w:r>
        <w:rPr>
          <w:rtl w:val="true"/>
        </w:rPr>
        <w:t>[</w:t>
      </w:r>
      <w:r>
        <w:rPr>
          <w:rtl w:val="true"/>
        </w:rPr>
        <w:t>باب إثبات المتعة و ثوابها</w:t>
      </w:r>
      <w:r>
        <w:rPr>
          <w:rtl w:val="true"/>
        </w:rPr>
        <w:t>]</w:t>
      </w:r>
      <w:bookmarkEnd w:id="7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 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فَاتُوهُنَّ أُجُورَهُنَّ فَرِيضَةً </w:t>
      </w:r>
      <w:r>
        <w:rPr>
          <w:rStyle w:val="FootnoteAnchor"/>
          <w:rtl w:val="true"/>
        </w:rPr>
        <w:footnoteReference w:id="1883"/>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 مع ظاهر الآية و الأخبار الدالّة على أنّ المتعة مستأجرة، ظاهرها عدم صحّة ما تعارف عند بعض أنّهم يزوّجون بنتهم الرضيعة أو الصغيرة التي ليست بقابلة للتمتّع منها بوجه من الوجوه؛ لا القبلة، و لا النظر، و لا غير ذلك؛ لعدم الحرمة قبل النكاح أيضا، يزوّجونهنّ ساعة أو يوما متعة، و أمثال ذلك؛ يفعلون ذلك لحلّيّة النظر إلى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جعل الحلّيّة هي التمتّع المطلوب، فلا شكّ في فساده؛ فإنّ التمتّع إنّما هو من الزوجة، لا من أمّها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جعل الحلّيّة متحقّقة على سبيل القهر الشرعي، فهذا فرع صحّة تلك المعاقدة و المزاوجة، و جعلها منشأ للحكم بالصحّة دور ظاهر مع فساده في نفسه كما عرفت</w:t>
      </w:r>
      <w:r>
        <w:rPr>
          <w:rFonts w:eastAsia="Amiri" w:cs="Amiri" w:ascii="Amiri" w:hAnsi="Amiri"/>
          <w:color w:val="111111"/>
          <w:sz w:val="28"/>
          <w:szCs w:val="28"/>
          <w:rtl w:val="true"/>
          <w:lang w:bidi="ar-SA"/>
        </w:rPr>
        <w:t>.</w:t>
      </w:r>
      <w:bookmarkStart w:id="750" w:name="pg2470_12799"/>
    </w:p>
    <w:p>
      <w:pPr>
        <w:pStyle w:val="BookText"/>
        <w:rPr/>
      </w:pPr>
      <w:bookmarkEnd w:id="7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و عموم أَوْفُوا </w:t>
      </w:r>
      <w:r>
        <w:rPr>
          <w:rStyle w:val="FootnoteAnchor"/>
          <w:rtl w:val="true"/>
        </w:rPr>
        <w:footnoteReference w:id="1885"/>
      </w:r>
      <w:r>
        <w:rPr>
          <w:rFonts w:ascii="Amiri" w:hAnsi="Amiri" w:eastAsia="Amiri" w:cs="Amiri"/>
          <w:color w:val="111111"/>
          <w:sz w:val="28"/>
          <w:sz w:val="28"/>
          <w:szCs w:val="28"/>
          <w:rtl w:val="true"/>
          <w:lang w:bidi="ar-SA"/>
        </w:rPr>
        <w:t>يقتضي صحّة عقد يكون على العاقد أمرا يتأتّى منه الوفاء، و يكون تحت اختياره الوفاء به حتّى يصير مطلوبا بوجوب الوفاء؛ لأنّ التكليف إنّما هو في الامور الاختياريّة، و هنا ليس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يتأتّى من العقد، فضلا عن كونه تحت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عرفت من أنّ المتعة لا بدّ فيها من قابليّة تمتّع و إمكانه، و إن لم يستوف الزوج باختياره، أو لجهة اخرى، و كتبنا رسالة في هذا، و بسطنا الكلام فيها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3601828_3804643083"/>
      <w:bookmarkStart w:id="752" w:name="_Toc282"/>
      <w:bookmarkEnd w:id="751"/>
      <w:r>
        <w:rPr>
          <w:rtl w:val="true"/>
        </w:rPr>
        <w:t>[</w:t>
      </w:r>
      <w:r>
        <w:rPr>
          <w:rtl w:val="true"/>
        </w:rPr>
        <w:t>باب كراهيّة المتعة مع الاستغناء و الشين</w:t>
      </w:r>
      <w:r>
        <w:rPr>
          <w:rtl w:val="true"/>
        </w:rPr>
        <w:t>]</w:t>
      </w:r>
      <w:bookmarkEnd w:id="75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أردت أن أعلمها </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أنّه عليه السّلام قال له ذلك ألّا تفعل، اتّقاء عليه؛ لأنّه كان وزير الخليفة، لا أنّه مع الاستغناء لا يستحبّ، كما فهمه المصنّف؛ لمخالفته للأخبار التي كادت تبلغ التواتر </w:t>
      </w:r>
      <w:r>
        <w:rPr>
          <w:rStyle w:val="FootnoteAnchor"/>
          <w:rtl w:val="true"/>
        </w:rPr>
        <w:footnoteReference w:id="1888"/>
      </w:r>
      <w:r>
        <w:rPr>
          <w:rFonts w:ascii="Amiri" w:hAnsi="Amiri" w:eastAsia="Amiri" w:cs="Amiri"/>
          <w:color w:val="111111"/>
          <w:sz w:val="28"/>
          <w:sz w:val="28"/>
          <w:szCs w:val="28"/>
          <w:rtl w:val="true"/>
          <w:lang w:bidi="ar-SA"/>
        </w:rPr>
        <w:t xml:space="preserve">، و كذا في رواية الفتح بن يزيد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3601830_3804643083"/>
      <w:bookmarkStart w:id="754" w:name="_Toc283"/>
      <w:bookmarkEnd w:id="753"/>
      <w:r>
        <w:rPr>
          <w:rtl w:val="true"/>
        </w:rPr>
        <w:t>[</w:t>
      </w:r>
      <w:r>
        <w:rPr>
          <w:rtl w:val="true"/>
        </w:rPr>
        <w:t>باب أنّها مصدّقة على نفسها</w:t>
      </w:r>
      <w:r>
        <w:rPr>
          <w:rtl w:val="true"/>
        </w:rPr>
        <w:t>]</w:t>
      </w:r>
      <w:bookmarkEnd w:id="75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زوج؟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bookmarkStart w:id="755" w:name="pg2470_12800"/>
    </w:p>
    <w:p>
      <w:pPr>
        <w:pStyle w:val="BookText"/>
        <w:rPr/>
      </w:pPr>
      <w:bookmarkEnd w:id="7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هي المصدّقة على نفسها</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هذه الأخبار أنّها مصدّقة على نفسها، و إن علم أنّه كان لها زوج في الأزمنة الماضية و ادّعت أنّها مطلّقة، أو مات عنها زوجها، كما لا يخفى على من تأمّل فيها، فتأمّل</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3601832_3804643083"/>
      <w:bookmarkStart w:id="757" w:name="_Toc284"/>
      <w:bookmarkEnd w:id="756"/>
      <w:r>
        <w:rPr>
          <w:rtl w:val="true"/>
        </w:rPr>
        <w:t>[</w:t>
      </w:r>
      <w:r>
        <w:rPr>
          <w:rtl w:val="true"/>
        </w:rPr>
        <w:t>باب التمتّع بالأبكار و ما يوجب منه العار</w:t>
      </w:r>
      <w:r>
        <w:rPr>
          <w:rtl w:val="true"/>
        </w:rPr>
        <w:t>]</w:t>
      </w:r>
      <w:bookmarkEnd w:id="7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يتمتّع بالبكر، ما لم يفض إليها كراهيّة العيب على أهلها</w:t>
      </w:r>
      <w:r>
        <w:rPr>
          <w:rFonts w:eastAsia="Amiri" w:cs="Amiri" w:ascii="Amiri" w:hAnsi="Amiri"/>
          <w:color w:val="111111"/>
          <w:sz w:val="28"/>
          <w:szCs w:val="28"/>
          <w:rtl w:val="true"/>
          <w:lang w:bidi="ar-SA"/>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أسانيد، و اعتبار سند بعضها، و موافقتها للعمومات و الإطلاقات الواردة في الأخبار السابقة و الآتية، سيّما في باب شروط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جواز نكاح الباكرة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أبيها و جدّها بعنوان الدوام أيضا، بل بطريق أولى، كما هو المشهور، فتأمّل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 ظهر أنّ ما دلّ على أنّ الباكرة لا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أو شريكة مع الأب في الاختيار مطلقا </w:t>
      </w:r>
      <w:r>
        <w:rPr>
          <w:rStyle w:val="FootnoteAnchor"/>
          <w:rtl w:val="true"/>
        </w:rPr>
        <w:footnoteReference w:id="1892"/>
      </w:r>
      <w:r>
        <w:rPr>
          <w:rFonts w:ascii="Amiri" w:hAnsi="Amiri" w:eastAsia="Amiri" w:cs="Amiri"/>
          <w:color w:val="111111"/>
          <w:sz w:val="28"/>
          <w:sz w:val="28"/>
          <w:szCs w:val="28"/>
          <w:rtl w:val="true"/>
          <w:lang w:bidi="ar-SA"/>
        </w:rPr>
        <w:t xml:space="preserve">محمول على التقيّة؛ لعدم إمكان حمل هذه الأخبار على التقيّة، و هم عليهم السّلام في مقام تعارض الأخبار أمرونا بترك ما وافق العامّة، و الأخذ بما وافقهم </w:t>
      </w:r>
      <w:r>
        <w:rPr>
          <w:rStyle w:val="FootnoteAnchor"/>
          <w:rtl w:val="true"/>
        </w:rPr>
        <w:footnoteReference w:id="1893"/>
      </w:r>
      <w:r>
        <w:rPr>
          <w:rFonts w:ascii="Amiri" w:hAnsi="Amiri" w:eastAsia="Amiri" w:cs="Amiri"/>
          <w:color w:val="111111"/>
          <w:sz w:val="28"/>
          <w:sz w:val="28"/>
          <w:szCs w:val="28"/>
          <w:rtl w:val="true"/>
          <w:lang w:bidi="ar-SA"/>
        </w:rPr>
        <w:t>، بل أمرونا بترك ما هو أوفق لمذهب العامّة،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الرشد فيما خالف</w:t>
      </w:r>
      <w:bookmarkStart w:id="758" w:name="pg2470_12801"/>
    </w:p>
    <w:p>
      <w:pPr>
        <w:pStyle w:val="BookText"/>
        <w:rPr/>
      </w:pPr>
      <w:bookmarkEnd w:id="7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العامّة مطلقا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ابنة كم لا تستصبى؟ ابنة ستّ أو سبع؟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أيضا ظاهره عدم اشتراط إذن الولي في عقد الباكرة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تزوّجت البكر؛ بنت تسع سنين، فليست مخدوعة</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ظاهره نكاح الدوام، و أنّه لا يشترط إذن الولي؛ لأنّ تزويج الولي جائز من دون تحقّق خدعة و توهّمها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الخدعة قرينة على ما ذكرنا، فتأمّل</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3601834_3804643083"/>
      <w:bookmarkStart w:id="760" w:name="_Toc285"/>
      <w:bookmarkEnd w:id="759"/>
      <w:r>
        <w:rPr>
          <w:rtl w:val="true"/>
        </w:rPr>
        <w:t>[</w:t>
      </w:r>
      <w:r>
        <w:rPr>
          <w:rtl w:val="true"/>
        </w:rPr>
        <w:t>باب التمتّع بالإماء</w:t>
      </w:r>
      <w:r>
        <w:rPr>
          <w:rtl w:val="true"/>
        </w:rPr>
        <w:t>]</w:t>
      </w:r>
      <w:bookmarkEnd w:id="7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الثلاثة مخالفة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لظاهر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مخالفة لما اشتهر بين الأصحاب أيضا، و يكون الشاذّ الذي امرنا بترك العمل به، بل مخالفة للإجماع؛ لأنّ الشيخ و إن أفتى بمضمونها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إلّا أنّه رجع عن فتواه به في سائر كتبه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bookmarkStart w:id="761" w:name="pg2470_12802"/>
    </w:p>
    <w:p>
      <w:pPr>
        <w:pStyle w:val="BookText"/>
        <w:rPr/>
      </w:pPr>
      <w:bookmarkEnd w:id="7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و أيضا مخالفة لمثل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إلّا من طيب نفسه</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و غيره ممّا يدلّ على حرمة الغصب و التصرّف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مخالفة للسنّة أيضا، و امرنا بترك العمل بما خالفها، و غير مشابهة لسائر أحكام أهل البيت عليهم السّلام، و امرنا بترك العمل بمثله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جميع ذلك، وقع الاضطراب في سندها و 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العمل بها </w:t>
      </w:r>
      <w:r>
        <w:rPr>
          <w:rStyle w:val="FootnoteAnchor"/>
          <w:rtl w:val="true"/>
        </w:rPr>
        <w:footnoteReference w:id="1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الأخبار الظاهرة في الحرمة بخصوصها؛ منها ما سيجي‌ء في باب تحليل الإماء،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تزويج الإماء و العبيد، و باب حكم نكاح الأمة إذا بيعت أو بيع زوجها، و غير ذلك</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601836_3804643083"/>
      <w:bookmarkStart w:id="763" w:name="_Toc286"/>
      <w:bookmarkEnd w:id="762"/>
      <w:r>
        <w:rPr>
          <w:rtl w:val="true"/>
        </w:rPr>
        <w:t>[</w:t>
      </w:r>
      <w:r>
        <w:rPr>
          <w:rtl w:val="true"/>
        </w:rPr>
        <w:t>باب النظر لمن أراد التزويج</w:t>
      </w:r>
      <w:r>
        <w:rPr>
          <w:rtl w:val="true"/>
        </w:rPr>
        <w:t>]</w:t>
      </w:r>
      <w:bookmarkEnd w:id="7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يتأمّلها و ينظر إلى خلفها و إلى وجهها؟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بأن ينظر الرجل إلى المرأة إذا أراد أن يتزوّجها؛ ينظر إلى خلفها و إلى وجهها</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الأخبار ظاهرة في المنع عن النظر إلى وجه الأجنبيّة إذا لم يرد تزويجها، كما هو المشهور بين الأصحاب</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الخبريّة في المقام ليس لها دلالة تقاوم ما سيجي‌ء، كما لا يخفى</w:t>
      </w:r>
      <w:bookmarkStart w:id="764" w:name="pg2470_12803"/>
    </w:p>
    <w:p>
      <w:pPr>
        <w:pStyle w:val="BookText"/>
        <w:rPr/>
      </w:pPr>
      <w:bookmarkEnd w:id="7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على من أمعن النظر</w:t>
      </w:r>
      <w:r>
        <w:rPr>
          <w:rFonts w:eastAsia="IRNazanin" w:cs="IRNazanin"/>
          <w:color w:val="111111"/>
          <w:sz w:val="28"/>
          <w:szCs w:val="28"/>
          <w:rtl w:val="true"/>
          <w:lang w:bidi="fa-IR"/>
        </w:rPr>
        <w:t>.</w:t>
      </w:r>
    </w:p>
    <w:p>
      <w:pPr>
        <w:pStyle w:val="Heading3"/>
        <w:numPr>
          <w:ilvl w:val="2"/>
          <w:numId w:val="1"/>
        </w:numPr>
        <w:rPr/>
      </w:pPr>
      <w:bookmarkStart w:id="765" w:name="__RefHeading___Toc3601838_3804643083"/>
      <w:bookmarkStart w:id="766" w:name="_Toc287"/>
      <w:bookmarkEnd w:id="765"/>
      <w:r>
        <w:rPr>
          <w:rtl w:val="true"/>
        </w:rPr>
        <w:t>[</w:t>
      </w:r>
      <w:r>
        <w:rPr>
          <w:rtl w:val="true"/>
        </w:rPr>
        <w:t>أولياء العقد</w:t>
      </w:r>
      <w:r>
        <w:rPr>
          <w:rtl w:val="true"/>
        </w:rPr>
        <w:t>]</w:t>
      </w:r>
      <w:bookmarkEnd w:id="766"/>
    </w:p>
    <w:p>
      <w:pPr>
        <w:pStyle w:val="Heading4"/>
        <w:numPr>
          <w:ilvl w:val="3"/>
          <w:numId w:val="1"/>
        </w:numPr>
        <w:rPr/>
      </w:pPr>
      <w:bookmarkStart w:id="767" w:name="__RefHeading___Toc3601840_3804643083"/>
      <w:bookmarkStart w:id="768" w:name="_Toc288"/>
      <w:bookmarkEnd w:id="767"/>
      <w:r>
        <w:rPr>
          <w:rtl w:val="true"/>
        </w:rPr>
        <w:t>[</w:t>
      </w:r>
      <w:r>
        <w:rPr>
          <w:rtl w:val="true"/>
        </w:rPr>
        <w:t>باب وليّ العقد على الأبكار</w:t>
      </w:r>
      <w:r>
        <w:rPr>
          <w:rtl w:val="true"/>
        </w:rPr>
        <w:t>]</w:t>
      </w:r>
      <w:bookmarkEnd w:id="7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يزوّجها أبوها بغير رضا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أبيها أمر؛ إذا أنكحها جاز نكاحه و إن كانت كارهة</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يكن مثل هذه الأخبار محمولا على التقيّة، لكان المراد منها ما أراده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حتّى تتلاءم الأدلّة؛ لما مرّ صريحا في باب التمتّع بالأبكار، و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يؤمي إلى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أنظر لها</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 و يدلّ هذا على أنّه إذا كان مصلحة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سيجي‌ء في باب تزويج الجدّ و الأب ما يدلّ على أنّ العامّة في ذلك الزمان كانوا يقولون بأنّ الجدّ إذا زوّج من دون رضا الأب يكون باطلا </w:t>
      </w:r>
      <w:r>
        <w:rPr>
          <w:rStyle w:val="FootnoteAnchor"/>
          <w:rtl w:val="true"/>
        </w:rPr>
        <w:footnoteReference w:id="1907"/>
      </w:r>
      <w:r>
        <w:rPr>
          <w:rFonts w:ascii="Amiri" w:hAnsi="Amiri" w:eastAsia="Amiri" w:cs="Amiri"/>
          <w:color w:val="111111"/>
          <w:sz w:val="28"/>
          <w:sz w:val="28"/>
          <w:szCs w:val="28"/>
          <w:rtl w:val="true"/>
          <w:lang w:bidi="ar-SA"/>
        </w:rPr>
        <w:t xml:space="preserve">، كما هو الظاهر من هذه الأخبار </w:t>
      </w:r>
      <w:r>
        <w:rPr>
          <w:rStyle w:val="FootnoteAnchor"/>
          <w:rtl w:val="true"/>
        </w:rPr>
        <w:footnoteReference w:id="1908"/>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فيها في الأب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يحصل وهن اخر بكونها محمولة على التقيّة من هذه الحيثيّة أيضا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الجارية إذا كانت بين أبويها لا تستأمر</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الجارية ليس لها مع أبيها أمر</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 و هذا ممّا لم يقل به أحد من الشيعة، ففيه وهن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يعارض أمثال هذا الخبر الأخبار الدالّة على استقلال الباكرة الرشيدة، الواضحة سندا و دلالة، و المنجبرة بالشهرة بين الأصحاب و العمومات و الاصول و خصوص ما مرّ في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أبي مريم،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البكر التي لها أب لا تتزوّج إلّا باذن أبيها،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مالكة لأمرها تزوّجت متى شاءت</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المنع في صدر الرواية بناء على ما سنذكر من أنّ الغالب لا اختيار لها، و لا استقلال عادة، بل هي تحت اختيار الأب، بحيث لا يمكنها المخالفة، و يترتّب عليها مفاسد شديدة و غيرها،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أمرها بحيث لا يترتّب على تزويجها المفاسد؛ فإنّه يجوز تزويجها بغير ولي و لا يتوقّف عليه شرعا، كما يقوله العامّة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المنع من الشارع إنّما هو من جهة ترتّب المفاسد عليه من الخارج، فمتى لم تكن مفسدة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مالكة لأمرها؛ أيّ شي‌ء تريد أن تفعل يمكنها، من غير ترتّب 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مانع شرعا منه، فتأمّل جدّا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لا تأمّل في كونه ناقضا في الجملة، و عدم كونه ناقضا في الجملة، و المقام ليس مقام فهم العموم، سيّما بعد ما عرفت و ستعرف من أنّ النصّ مطلق لا عموم فيه، و إفادة المطلق العموم في مقام يكون النظر؛ بيان حكمه من حيث الإطلاق، لا أنّه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التسليم تكون دلالته ضعيفة غاية الضعف، فكيف يقاوم ما سنذكر من الأدلّة؟ بل لو كانت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مقاومة، فضلا عن مثلها، و قس على هذا باقي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تمام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الروايات صحّة النكاح بغير إذن الأب؛ إذ الظاهر منها أنّ الأب إذا أراد أن ينقض النكاح ينقض، و له التسلّط على ذلك، و أنّه إن لم يكن ينقض يكون نكاحا صحيحا، من دون توقّف على إذن الأب، فلعلّه مذهب من مذاهب العامّة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المراد أنّ الأولى رفع اليد عن النكاح الذي لا يرضى به الأب، بحيث لو تحقّق بدون رضاه يطلّق الزوج،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حازم،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 غيرها، و لا تنكح إلّا بأمرها</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الصحيحة ظاهرة في مساواة البكر و غيرها، كما هو المشهور؛ لظهورها، و أنّ البكر تستأمر كما تستأمر الثيّب، و أنّه لا فرق بين التي تزوّجت قبل و لم تتزوّج بعد، و صريحة في أنّ البكر لا تنكح إلّا بأمرها،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بعض الفقهاء التشريك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بينها و بين الولي </w:t>
      </w:r>
      <w:r>
        <w:rPr>
          <w:rStyle w:val="FootnoteAnchor"/>
          <w:rtl w:val="true"/>
        </w:rPr>
        <w:footnoteReference w:id="1916"/>
      </w:r>
      <w:r>
        <w:rPr>
          <w:rFonts w:ascii="Amiri" w:hAnsi="Amiri" w:eastAsia="Amiri" w:cs="Amiri"/>
          <w:color w:val="111111"/>
          <w:sz w:val="28"/>
          <w:sz w:val="28"/>
          <w:szCs w:val="28"/>
          <w:rtl w:val="true"/>
          <w:lang w:bidi="ar-SA"/>
        </w:rPr>
        <w:t xml:space="preserve">، و رأي المشهور استقلالها </w:t>
      </w:r>
      <w:r>
        <w:rPr>
          <w:rStyle w:val="FootnoteAnchor"/>
          <w:rtl w:val="true"/>
        </w:rPr>
        <w:footnoteReference w:id="1917"/>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من غير إذن أبيها</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هذا الحديث معتبر، كما ذكرناه في علم الرجال و حقّقنا هناك </w:t>
      </w:r>
      <w:r>
        <w:rPr>
          <w:rStyle w:val="FootnoteAnchor"/>
          <w:rtl w:val="true"/>
        </w:rPr>
        <w:footnoteReference w:id="1919"/>
      </w:r>
      <w:r>
        <w:rPr>
          <w:rFonts w:ascii="Amiri" w:hAnsi="Amiri" w:eastAsia="Amiri" w:cs="Amiri"/>
          <w:color w:val="111111"/>
          <w:sz w:val="28"/>
          <w:sz w:val="28"/>
          <w:szCs w:val="28"/>
          <w:rtl w:val="true"/>
          <w:lang w:bidi="ar-SA"/>
        </w:rPr>
        <w:t>، و مع ذلك منجبر بالشهرة بين الأصحاب، و الموافقة للأخبار التي مضت في باب التمتّع بالأبكار، و قد تكلّمنا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الموافقة للأخبار الآتية في الباب الذي عقيب الباب الآتي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الموافقة لصحيحة منصور الماضية، و العمومات، و الإطلاقات الدالّة على صحّة العقود و النكاح من الآيات و الأخبار، بل ظاهر قوله تعالى أَوْفُوا بِالْعُقُودِ </w:t>
      </w:r>
      <w:r>
        <w:rPr>
          <w:rStyle w:val="FootnoteAnchor"/>
          <w:rtl w:val="true"/>
        </w:rPr>
        <w:footnoteReference w:id="1921"/>
      </w:r>
      <w:r>
        <w:rPr>
          <w:rFonts w:ascii="Amiri" w:hAnsi="Amiri" w:eastAsia="Amiri" w:cs="Amiri"/>
          <w:color w:val="111111"/>
          <w:sz w:val="28"/>
          <w:sz w:val="28"/>
          <w:szCs w:val="28"/>
          <w:rtl w:val="true"/>
          <w:lang w:bidi="ar-SA"/>
        </w:rPr>
        <w:t>و قوله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w:t>
      </w:r>
      <w:r>
        <w:rPr>
          <w:rStyle w:val="FootnoteAnchor"/>
          <w:rtl w:val="true"/>
        </w:rPr>
        <w:footnoteReference w:id="1922"/>
      </w: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9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24"/>
      </w:r>
      <w:r>
        <w:rPr>
          <w:rFonts w:ascii="Amiri" w:hAnsi="Amiri" w:eastAsia="Amiri" w:cs="Amiri"/>
          <w:color w:val="111111"/>
          <w:sz w:val="28"/>
          <w:sz w:val="28"/>
          <w:szCs w:val="28"/>
          <w:rtl w:val="true"/>
          <w:lang w:bidi="ar-SA"/>
        </w:rPr>
        <w:t>كون العقد و العهد و الشرط من نفس المرأة لا مدخليّة للغير كسائر العقود و الشروط الفقهيّة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الأخبار المتواترة الواردة في تضاعيف أحكام النكاح الظاهرة في صحّة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نكاح المرأة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فهي امرأتك</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 و ما يؤدّي هذا المضمون، و مثل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المرأة، فما تقول في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بما دلّ على الصحّة من دون استفصال،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المرأة كذا و كذا</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إلى غير ذلك، 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نقل الإجماع على صحّة العقد من دون إذن الولي </w:t>
      </w:r>
      <w:r>
        <w:rPr>
          <w:rStyle w:val="FootnoteAnchor"/>
          <w:rtl w:val="true"/>
        </w:rPr>
        <w:footnoteReference w:id="1927"/>
      </w:r>
      <w:r>
        <w:rPr>
          <w:rFonts w:ascii="Amiri" w:hAnsi="Amiri" w:eastAsia="Amiri" w:cs="Amiri"/>
          <w:color w:val="111111"/>
          <w:sz w:val="28"/>
          <w:sz w:val="28"/>
          <w:szCs w:val="28"/>
          <w:rtl w:val="true"/>
          <w:lang w:bidi="ar-SA"/>
        </w:rPr>
        <w:t>، بل و ربّما نقل غير واحد ذلك الإجماع، و أيضا ما دلّ على صحّة أفعال المسلمين، و صحّة أفعال البالغة الرشيدة مؤيّد و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روى العامّة و الخاصّة عن النبي صلّى اللّه عليه و آله و سلم أخبارا متعدّدة تدلّ على الصحّة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هذا الخبر و ما وافقه موافق للقرآن، و مخالف للعامّة، و موافق لظواهر الأخبار المتواترة، و الإجماع، و الشهرة، و الاصول، مثل عدم زيادة التكليف و غيرها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المعارضة لها مخالفة لظاهر القرآن، و الشهرة، و الاصول، و موافقة لمذهب العامّة و الطريقة المستمرّة بينهم، مع التدافع الذي بينها؛ إذ بعضها يدلّ على استقلال الأب </w:t>
      </w:r>
      <w:r>
        <w:rPr>
          <w:rStyle w:val="FootnoteAnchor"/>
          <w:rtl w:val="true"/>
        </w:rPr>
        <w:footnoteReference w:id="1929"/>
      </w:r>
      <w:r>
        <w:rPr>
          <w:rFonts w:ascii="Amiri" w:hAnsi="Amiri" w:eastAsia="Amiri" w:cs="Amiri"/>
          <w:color w:val="111111"/>
          <w:sz w:val="28"/>
          <w:sz w:val="28"/>
          <w:szCs w:val="28"/>
          <w:rtl w:val="true"/>
          <w:lang w:bidi="ar-SA"/>
        </w:rPr>
        <w:t xml:space="preserve">، و بعضها على الاشتراك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و ورد في الأخبار التي كادت تبلغ حدّ التواتر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خالف العامّة هو الرشد و الصواب، و المأمور بالأخذ به</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 بخلاف ما وافقه،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يوافق القرآن لا يجوز العمل به، و الفتوى بمضمونه</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 بخلاف ما وافقه، 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بالمشتهر بين أصحابك</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ريب فيه</w:t>
      </w:r>
      <w:r>
        <w:rPr>
          <w:rFonts w:eastAsia="Amiri" w:cs="Amiri" w:ascii="Amiri" w:hAnsi="Amiri"/>
          <w:color w:val="111111"/>
          <w:sz w:val="28"/>
          <w:szCs w:val="28"/>
          <w:rtl w:val="true"/>
          <w:lang w:bidi="ar-SA"/>
        </w:rPr>
        <w:t xml:space="preserve">» </w:t>
      </w:r>
      <w:r>
        <w:rPr>
          <w:rStyle w:val="FootnoteAnchor"/>
          <w:rtl w:val="true"/>
        </w:rPr>
        <w:footnoteReference w:id="1934"/>
      </w:r>
      <w:r>
        <w:rPr>
          <w:rFonts w:ascii="Amiri" w:hAnsi="Amiri" w:eastAsia="Amiri" w:cs="Amiri"/>
          <w:color w:val="111111"/>
          <w:sz w:val="28"/>
          <w:sz w:val="28"/>
          <w:szCs w:val="28"/>
          <w:rtl w:val="true"/>
          <w:lang w:bidi="ar-SA"/>
        </w:rPr>
        <w:t>فحمل المعارض على التقيّة متعيّن، مع إمكان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الأولى أن يجعل أمرها على يد أبيها، و تختار مختاره، و لا تخالفه بوجه من الوجوه؛ لأنّه أب و عصيانه حرام، و أذيّته عقوق، ففي الغالب يحصل العقوق، بل و الفتن و المفاسد على ما هو المشاهد عادة من الناس، سيّما العرب الذين هم في غاية الحميّة و العصبيّة و الغيرة الشديدة، بل العجم أيضا في هذا الأمر كذلك، فضلا عن العرب؛ فلا يتأتّى عادة أن يتزوّج أحد؛ الباكرة من بنت أحد بغير استئماره، بل ربّما قتل النفوس، و تلف الأموال، و غير ذلك، و قصارى ما يحصل شدّة العار، و نهاية الشنار، و الشقاق، و التنافر، و التباغض، و الهجران، و أمثال ذلك ممّا لا يرضى الشارع بالنسبة إلى غير الأب، فكيف يرضى بالقياس إلى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هذه الامور بالقياس إلى الأب في غاية الشدّة، و حرمة الأب في غاية اللزوم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غيره، و إن كان الأولى أيضا أن تختار رضاهم، إلّا أنّه ربّما لا يتمشّى ذلك؛ لأنّ كلّ أحد له هوى، و البنت أيضا لها هوى، و مخالفة هواها أيضا بليّة عظيمة؛ لأنّ الزوجين لا بدّ أن يتحقّق بينهما تلائم الأخلاق، و عدم التنافر، و لذا جوّز الشارع للابن أن يترك مختار الأب، و يختار ما هواه، مع أنّه لا يرضى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يخالف أباه أبدا، و لذا لو عقد الأب بنته لم يعتبر رضاه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الأولى و الأهمّ أن يجعل أمرها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الحياء مطلوب من البكر في غاية الشدّة، بل هنّ محمولة على ذلك، و عار و شنار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كذلك، و لذا اكتفي في رضاها مجرّد سكوتها، مع أنّ السكوت لا يدلّ على الرضا، و لا يجوز شرعا البناء على الرضا من جهة السكوت أصلا، و جاز في هذا الموضع خاصّة، كما هو المشهور، و دلّ عليه الروايات </w:t>
      </w:r>
      <w:r>
        <w:rPr>
          <w:rStyle w:val="FootnoteAnchor"/>
          <w:rtl w:val="true"/>
        </w:rPr>
        <w:footnoteReference w:id="1935"/>
      </w:r>
      <w:r>
        <w:rPr>
          <w:rFonts w:ascii="Amiri" w:hAnsi="Amiri" w:eastAsia="Amiri" w:cs="Amiri"/>
          <w:color w:val="111111"/>
          <w:sz w:val="28"/>
          <w:sz w:val="28"/>
          <w:szCs w:val="28"/>
          <w:rtl w:val="true"/>
          <w:lang w:bidi="ar-SA"/>
        </w:rPr>
        <w:t xml:space="preserve">، منها فعل الرسول صلّى اللّه عليه و آله و سلم بالنسبة إلى فاطمة عليها السّلام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يظهر ضعف اخر في الروايات المعارضة؛ لأنّها مخالفة لسنّة الرسول صلّى اللّه عليه و آله و سلم، و هو صلّى اللّه عليه و آله و سلم مع كونه أولى بالمؤمنين من أنفسهم، و كان عقد فاطمة عليها السّلام من السماء </w:t>
      </w:r>
      <w:r>
        <w:rPr>
          <w:rStyle w:val="FootnoteAnchor"/>
          <w:rtl w:val="true"/>
        </w:rPr>
        <w:footnoteReference w:id="1937"/>
      </w:r>
      <w:r>
        <w:rPr>
          <w:rFonts w:ascii="Amiri" w:hAnsi="Amiri" w:eastAsia="Amiri" w:cs="Amiri"/>
          <w:color w:val="111111"/>
          <w:sz w:val="28"/>
          <w:sz w:val="28"/>
          <w:szCs w:val="28"/>
          <w:rtl w:val="true"/>
          <w:lang w:bidi="ar-SA"/>
        </w:rPr>
        <w:t xml:space="preserve">، و أنّه لو لم يكن أمير المؤمنين عليه السّلام لما كان لفاطمة عليها السّلام كفو على الأرض </w:t>
      </w:r>
      <w:r>
        <w:rPr>
          <w:rStyle w:val="FootnoteAnchor"/>
          <w:rtl w:val="true"/>
        </w:rPr>
        <w:footnoteReference w:id="1938"/>
      </w:r>
      <w:r>
        <w:rPr>
          <w:rFonts w:ascii="Amiri" w:hAnsi="Amiri" w:eastAsia="Amiri" w:cs="Amiri"/>
          <w:color w:val="111111"/>
          <w:sz w:val="28"/>
          <w:sz w:val="28"/>
          <w:szCs w:val="28"/>
          <w:rtl w:val="true"/>
          <w:lang w:bidi="ar-SA"/>
        </w:rPr>
        <w:t>، فمع جميع ذلك استأمرها، و فعل بإذنها و رضاها، و 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الأخبار التي وردت و خالفت سنّة الرسول صلّى اللّه عليه و آله و سلم لا يجوز العمل بها، و يجب طرحها</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يضعّفها أيضا أنّ الطريقة المستمرّة في الأعصار و الأمصار بين الشيعة استئمارها، بخلاف العامّة </w:t>
      </w:r>
      <w:r>
        <w:rPr>
          <w:rStyle w:val="FootnoteAnchor"/>
          <w:rtl w:val="true"/>
        </w:rPr>
        <w:footnoteReference w:id="1940"/>
      </w:r>
      <w:r>
        <w:rPr>
          <w:rFonts w:ascii="Amiri" w:hAnsi="Amiri" w:eastAsia="Amiri" w:cs="Amiri"/>
          <w:color w:val="111111"/>
          <w:sz w:val="28"/>
          <w:sz w:val="28"/>
          <w:szCs w:val="28"/>
          <w:rtl w:val="true"/>
          <w:lang w:bidi="ar-SA"/>
        </w:rPr>
        <w:t>، و الأحوط مراعاة الأب أيضا، و اللّه أعلم بالصواب</w:t>
      </w:r>
      <w:r>
        <w:rPr>
          <w:rFonts w:eastAsia="Amiri" w:cs="Amiri" w:ascii="Amiri" w:hAnsi="Amiri"/>
          <w:color w:val="111111"/>
          <w:sz w:val="28"/>
          <w:szCs w:val="28"/>
          <w:rtl w:val="true"/>
          <w:lang w:bidi="ar-SA"/>
        </w:rPr>
        <w:t>.</w:t>
      </w:r>
      <w:bookmarkStart w:id="769" w:name="pg2470_12810"/>
    </w:p>
    <w:p>
      <w:pPr>
        <w:pStyle w:val="BookText"/>
        <w:rPr/>
      </w:pPr>
      <w:bookmarkEnd w:id="7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Heading4"/>
        <w:numPr>
          <w:ilvl w:val="3"/>
          <w:numId w:val="1"/>
        </w:numPr>
        <w:rPr/>
      </w:pPr>
      <w:bookmarkStart w:id="770" w:name="__RefHeading___Toc3601842_3804643083"/>
      <w:bookmarkStart w:id="771" w:name="_Toc289"/>
      <w:bookmarkEnd w:id="770"/>
      <w:r>
        <w:rPr>
          <w:rtl w:val="true"/>
        </w:rPr>
        <w:t>[</w:t>
      </w:r>
      <w:r>
        <w:rPr>
          <w:rtl w:val="true"/>
        </w:rPr>
        <w:t>باب وليّ العقد على الصغار</w:t>
      </w:r>
      <w:r>
        <w:rPr>
          <w:rtl w:val="true"/>
        </w:rPr>
        <w:t>]</w:t>
      </w:r>
      <w:bookmarkEnd w:id="7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البكر إذا بلغت مبلغ النساء، أ لها مع أبيها 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لها مع أبيها أمر ما لم تثيّب</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معارضتها للأخبار المتواترة و غيرها ممّا أشرنا في الحاشية السابقة، و منها الأخبار الدالّة على التشريك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النفي يفيد العموم، و العبرة بعموم اللفظ، لا خصوص المحلّ كما هو المحقّق، و لم يقل أحد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مخالف للمتواتر و الضرورة من الدين، فيجوز حملها على أنّها ليس لها أمر مطلقا بعنوان الأولويّة، و من جهة الأدب، و رعاية الأب، من قبيل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التخصيص بخصوص تزويج نفسها، و مع ذلك مخصّص بالجدّ، و بصورة عقد الوليّ و غيرها، فيجوز الحمل على الأوّل حتّى يتلائم مع جميع الروايات و غيرها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على الثاني يوجب طرح جميع تلك الأدلّة مع سائر الحزازات، و منها ترجيح ما وافق العامّة على ما خالفهم، مع أنّ مقتضى الأخبار و الاعتبار عكس ذلك، إلى غير ذلك ممّا عرفت و قس عليها نظائرها من الروايات</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3601844_3804643083"/>
      <w:bookmarkStart w:id="773" w:name="_Toc290"/>
      <w:bookmarkEnd w:id="772"/>
      <w:r>
        <w:rPr>
          <w:rtl w:val="true"/>
        </w:rPr>
        <w:t>[</w:t>
      </w:r>
      <w:r>
        <w:rPr>
          <w:rtl w:val="true"/>
        </w:rPr>
        <w:t xml:space="preserve">باب من له </w:t>
      </w:r>
      <w:r>
        <w:rPr>
          <w:rtl w:val="true"/>
        </w:rPr>
        <w:t>[</w:t>
      </w:r>
      <w:r>
        <w:rPr>
          <w:rtl w:val="true"/>
        </w:rPr>
        <w:t>ا</w:t>
      </w:r>
      <w:r>
        <w:rPr>
          <w:rtl w:val="true"/>
        </w:rPr>
        <w:t xml:space="preserve">] </w:t>
      </w:r>
      <w:r>
        <w:rPr>
          <w:rtl w:val="true"/>
        </w:rPr>
        <w:t>التزويج بغير وليّ و توكيلها الزوج في العقد</w:t>
      </w:r>
      <w:r>
        <w:rPr>
          <w:rtl w:val="true"/>
        </w:rPr>
        <w:t>]</w:t>
      </w:r>
      <w:bookmarkEnd w:id="77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نفسها؛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غير السفيهة، و لا المولّى عليها، إنّ تزويجها بغير ولي جائز</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غاية القوّة من السند، و أنّه من الفضلاء الأعاظم الذين لولاهم لاندرست آثار النبوّة، و ورد في شأنهم ما ورد </w:t>
      </w:r>
      <w:r>
        <w:rPr>
          <w:rStyle w:val="FootnoteAnchor"/>
          <w:rtl w:val="true"/>
        </w:rPr>
        <w:footnoteReference w:id="1944"/>
      </w:r>
      <w:r>
        <w:rPr>
          <w:rFonts w:ascii="Amiri" w:hAnsi="Amiri" w:eastAsia="Amiri" w:cs="Amiri"/>
          <w:color w:val="111111"/>
          <w:sz w:val="28"/>
          <w:sz w:val="28"/>
          <w:szCs w:val="28"/>
          <w:rtl w:val="true"/>
          <w:lang w:bidi="ar-SA"/>
        </w:rPr>
        <w:t>، و اتّفق إجماعهم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دلالة واضحة على المذهب المشهور </w:t>
      </w:r>
      <w:r>
        <w:rPr>
          <w:rStyle w:val="FootnoteAnchor"/>
          <w:rtl w:val="true"/>
        </w:rPr>
        <w:footnoteReference w:id="1945"/>
      </w:r>
      <w:r>
        <w:rPr>
          <w:rFonts w:ascii="Amiri" w:hAnsi="Amiri" w:eastAsia="Amiri" w:cs="Amiri"/>
          <w:color w:val="111111"/>
          <w:sz w:val="28"/>
          <w:sz w:val="28"/>
          <w:szCs w:val="28"/>
          <w:rtl w:val="true"/>
          <w:lang w:bidi="ar-SA"/>
        </w:rPr>
        <w:t xml:space="preserve">من أنّ المرأة إذا لم تكن سفيهة جاز نكاحها من غير إذن الوليّ و صحّ؛ إذ لا يخفى أنّ الظاهر منها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مملوكة، و هو معناه الحقيقي، و الأصل الحمل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بالسفيهة، لإخراج من هي عاقلة بالعقل التكليفي و إن لم يكن لها رشد ضبط المال، و لم يتعارف التعبير عنها بالمولّى عليها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أن يقال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السفيهة، و لا 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قيد احترازي؛ لأنّ السفيهة، و المولّى عليها ليست بمالكة أمرها قطعا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المولّى عليها في المال، لا في النكاح؛ إذ لا معنى لأن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ليست بمولّى عليها في النكاح يجوز تزويجها بغير وليّ؛ لأنّه في قوّة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ليست بمولّى عليها في النكاح ليست بمولّى عليها في النكاح؛ إذ يجوز تزويجها بغير وليّ، و هو معنى ليست بمولّى عليها في النكاح؛ فإنّ الوليّ عندنا هو الأب، و الجدّ، و الحاكم، و المولّى عليها في النكاح هي التي لا يجوز نكاحها بغير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إذن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إذا عرف الراوي أنّ المولّى عليها في النكاح من هي، و غير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من هي؟ عرف أنّه يجوز تزويجها بغير وليّ؛ إذ لو لم يجز لكانت مولّى عليها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بسطنا الكلام في حاشيتنا على المسالك </w:t>
      </w:r>
      <w:r>
        <w:rPr>
          <w:rStyle w:val="FootnoteAnchor"/>
          <w:rtl w:val="true"/>
        </w:rPr>
        <w:footnoteReference w:id="1946"/>
      </w:r>
      <w:r>
        <w:rPr>
          <w:rFonts w:ascii="Amiri" w:hAnsi="Amiri" w:eastAsia="Amiri" w:cs="Amiri"/>
          <w:color w:val="111111"/>
          <w:sz w:val="28"/>
          <w:sz w:val="28"/>
          <w:szCs w:val="28"/>
          <w:rtl w:val="true"/>
          <w:lang w:bidi="ar-SA"/>
        </w:rPr>
        <w:t>و أوضحنا غاية التوضيح دلالة هذه الرواية، و أنّها بحيث كادت أن تكون قطعيّة؛ لأنّها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الدلالة؛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في باب التمتّع بالباكرة بغير إذن الوليّ </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المخالفة لمذهب العامّة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لمذهب الخاصّة جزما، و غيرها ممّا مرّ في الباب السابق، و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المفرد المحلّى باللام، و إن لم يفد العموم لغة، لكن يفيده عرفا في أمثال المقام، و المدار عليه في الأحكام الفقهيّة، و قناعة الرواة و سكوتهم و رضاهم مع عدم استفصال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التحقيق أنّ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و هو يقيني، و اللام للتعريف، و هو أيضا يقيني، فمقتضى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كما هو المحقّق، و الحكم إذا تعلّق على الجنس يدور معه في جميع أفراده،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يفيد العموم فيما إذا طلب الجنس المعرّف،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بالتمر، فحينئذ الإتيان بفردها يكفي لتحقّق الطبيعة المطلقة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السفيهة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إن كان قيدا احترازيّا، فهذا ينادي بأنّه عليه السّلام في مقام إثبات العموم، و إلّا فلا وجه للاحتراز؛ فإنّه لدفع فهم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العموم بالنسبة إلى ما احترز عنه، و أهل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الناطق كذا، فإنّ القيد لإخراج غير الناطق، و الإخراج فرع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ظنّك إذا أتى بقيدين للاحتراز، و خصوصا إذا كان خروج ما أخرج بالقيد ظاهرا من دون حاجة إلى الإخراج؟</w:t>
      </w:r>
    </w:p>
    <w:p>
      <w:pPr>
        <w:pStyle w:val="BookText"/>
        <w:rPr/>
      </w:pPr>
      <w:r>
        <w:rPr>
          <w:rFonts w:ascii="Amiri" w:hAnsi="Amiri" w:eastAsia="Amiri" w:cs="Amiri"/>
          <w:color w:val="111111"/>
          <w:sz w:val="28"/>
          <w:sz w:val="28"/>
          <w:szCs w:val="28"/>
          <w:rtl w:val="true"/>
          <w:lang w:bidi="ar-SA"/>
        </w:rPr>
        <w:t>فإنّ السفيهة و الصغيرة خروجهما كان في غاية الظهور، فمع تعرّضه عليه السّلام لإخراجهما، فكيف لم يتعرّض لإخراج الباكرة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خارجة أيضا، كانت أولى بالتعرّض لإخراجها، ثمّ أولى بمراتب شتّى، بل كان المناسب عكس ما فعله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دخولها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قيدا احترازيّا، بل يكون بدلا و بيانا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أنّه لتعريف التي ملكت نفسها، فالحكم لا بدّ من أن يدور مع المعرّف؛ لأنّ التعريف لإظهار موضوع الحكم، فلا يجوز التخلّف، كما ستعرف في رواية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القضيّة المهملة ليست محلّ تأمّل، فأيّ فائدة في ذكرها؟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مالكة أمرها، تبيع و تشتري، و تعتق، و تشهد، و تعطي من مالها ما شاءت</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 سندها؛ لأنّ موسى قويّ، كما حقّق في الرجال، و كتابه صحيح </w:t>
      </w:r>
      <w:r>
        <w:rPr>
          <w:rStyle w:val="FootnoteAnchor"/>
          <w:rtl w:val="true"/>
        </w:rPr>
        <w:footnoteReference w:id="1949"/>
      </w:r>
      <w:r>
        <w:rPr>
          <w:rFonts w:ascii="Amiri" w:hAnsi="Amiri" w:eastAsia="Amiri" w:cs="Amiri"/>
          <w:color w:val="111111"/>
          <w:sz w:val="28"/>
          <w:sz w:val="28"/>
          <w:szCs w:val="28"/>
          <w:rtl w:val="true"/>
          <w:lang w:bidi="ar-SA"/>
        </w:rPr>
        <w:t>، و الظاهر أنّ هذا الخبر من كتابه، مع أنّ الظاهر أنّ فضالة ممّن</w:t>
      </w:r>
      <w:bookmarkStart w:id="774" w:name="pg2470_12814"/>
    </w:p>
    <w:p>
      <w:pPr>
        <w:pStyle w:val="BookText"/>
        <w:rPr/>
      </w:pPr>
      <w:bookmarkEnd w:id="7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أجمعت العصابة </w:t>
      </w:r>
      <w:r>
        <w:rPr>
          <w:rStyle w:val="FootnoteAnchor"/>
          <w:rtl w:val="true"/>
        </w:rPr>
        <w:footnoteReference w:id="1950"/>
      </w:r>
      <w:r>
        <w:rPr>
          <w:rFonts w:ascii="Amiri" w:hAnsi="Amiri" w:eastAsia="Amiri" w:cs="Amiri"/>
          <w:color w:val="111111"/>
          <w:sz w:val="28"/>
          <w:sz w:val="28"/>
          <w:szCs w:val="28"/>
          <w:rtl w:val="true"/>
          <w:lang w:bidi="ar-SA"/>
        </w:rPr>
        <w:t>على قوله، و منجبر سندها بالشهرة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المذهب المشهور من دوران مالكيّة النكاح مع مالكيّة التصرّفات في المال، و أنّ المعتبر في الصحّة هو عدم السفاهة؛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 و تشتري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للّتي ملكت نفسها و جاز نكاحها بغير وليّ؛ لأنّها أوصاف لها، فيكون خاصّة و مميّزة، فلا يجوز تخلّفها عنها كما هو الشأن في جميع المميّزات؛ لأنّها معرّفات، فكيف يتخلّف عن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اتّفق جميع الأفهام على عدم التخلّف، و أنّه لو ظهر التخلّف لكانوا يعترضون على المتكلّم أشدّ الاعتراض بأنّ ما ذكرته غير جامع، أو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في الحاشية السابقة من أسباب العموم</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3601846_3804643083"/>
      <w:bookmarkStart w:id="776" w:name="_Toc291"/>
      <w:bookmarkEnd w:id="775"/>
      <w:r>
        <w:rPr>
          <w:rtl w:val="true"/>
        </w:rPr>
        <w:t>[</w:t>
      </w:r>
      <w:r>
        <w:rPr>
          <w:rtl w:val="true"/>
        </w:rPr>
        <w:t>باب الدخول بها قبل أن يعطيها المهر</w:t>
      </w:r>
      <w:r>
        <w:rPr>
          <w:rtl w:val="true"/>
        </w:rPr>
        <w:t>]</w:t>
      </w:r>
      <w:bookmarkEnd w:id="7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يخطر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مطلق هذه الأخبار على مقيّدها، أعني يحمل سقوط مطلق الصداق على سقوط العاجل منه </w:t>
      </w:r>
      <w:r>
        <w:rPr>
          <w:rStyle w:val="FootnoteAnchor"/>
          <w:rtl w:val="true"/>
        </w:rPr>
        <w:footnoteReference w:id="1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من حمل المطلق على المقيّد فبعيد أيضا، بل أبعد ممّا ذكره الشيخ </w:t>
      </w:r>
      <w:r>
        <w:rPr>
          <w:rStyle w:val="FootnoteAnchor"/>
          <w:rtl w:val="true"/>
        </w:rPr>
        <w:footnoteReference w:id="1952"/>
      </w:r>
      <w:r>
        <w:rPr>
          <w:rFonts w:ascii="Amiri" w:hAnsi="Amiri" w:eastAsia="Amiri" w:cs="Amiri"/>
          <w:color w:val="111111"/>
          <w:sz w:val="28"/>
          <w:sz w:val="28"/>
          <w:szCs w:val="28"/>
          <w:rtl w:val="true"/>
          <w:lang w:bidi="ar-SA"/>
        </w:rPr>
        <w:t>لأنّ مطلقه لا يكاد يقبل هذا القيد، فلاحظ</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يظهر من رواية المفضّل </w:t>
      </w:r>
      <w:r>
        <w:rPr>
          <w:rStyle w:val="FootnoteAnchor"/>
          <w:rtl w:val="true"/>
        </w:rPr>
        <w:footnoteReference w:id="1953"/>
      </w:r>
      <w:r>
        <w:rPr>
          <w:rFonts w:ascii="Amiri" w:hAnsi="Amiri" w:eastAsia="Amiri" w:cs="Amiri"/>
          <w:color w:val="111111"/>
          <w:sz w:val="28"/>
          <w:sz w:val="28"/>
          <w:szCs w:val="28"/>
          <w:rtl w:val="true"/>
          <w:lang w:bidi="ar-SA"/>
        </w:rPr>
        <w:t xml:space="preserve">أنّ المطلق وارد مورد التقيّة؛ لأنّ الردّ إلى السنّة من بدع العامّة </w:t>
      </w:r>
      <w:r>
        <w:rPr>
          <w:rStyle w:val="FootnoteAnchor"/>
          <w:rtl w:val="true"/>
        </w:rPr>
        <w:footnoteReference w:id="19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يظهر منها أنّ بناءها على انقلاب الدعوى</w:t>
      </w:r>
      <w:bookmarkStart w:id="777" w:name="pg2470_12815"/>
    </w:p>
    <w:p>
      <w:pPr>
        <w:pStyle w:val="BookText"/>
        <w:rPr/>
      </w:pPr>
      <w:bookmarkEnd w:id="7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و صيرورة المرأة مدّعية بناء على الأمارة و العادة،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 و يظهر من كلام الشيخ في كتابيه </w:t>
      </w:r>
      <w:r>
        <w:rPr>
          <w:rStyle w:val="FootnoteAnchor"/>
          <w:rtl w:val="true"/>
        </w:rPr>
        <w:footnoteReference w:id="195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حمل المطلق على المقيّد أيضا مخالف للايات القرآنيّة و الأخبار المتواترة التي ذكرت و سنذكر أيضا، و القواعد الشرعيّة من أصالة الاستصحاب، و عدم خلوّ البضع عن العوض في صورة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الزنا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الوفاء بالعقود و العهود و الشروط، سيّما مع أخذهنّ ميثاقا غليظا، و قال عزّ و جلّ أَ تَأْخُذُونَهُ بُهْتٰاناً وَ إِثْماً مُبِيناً </w:t>
      </w:r>
      <w:r>
        <w:rPr>
          <w:rStyle w:val="FootnoteAnchor"/>
          <w:rtl w:val="true"/>
        </w:rPr>
        <w:footnoteReference w:id="1957"/>
      </w:r>
      <w:r>
        <w:rPr>
          <w:rFonts w:ascii="Amiri" w:hAnsi="Amiri" w:eastAsia="Amiri" w:cs="Amiri"/>
          <w:color w:val="111111"/>
          <w:sz w:val="28"/>
          <w:sz w:val="28"/>
          <w:szCs w:val="28"/>
          <w:rtl w:val="true"/>
          <w:lang w:bidi="ar-SA"/>
        </w:rPr>
        <w:t>إلى غير ذلك من التهديدات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فعل المعصوم عليه السّلام، و أصحابهم، و الفقهاء، و المسلمين في الأعصار و الأمصار، و كذا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أن يقضي ديون العاجزين، سوى مهور نسائهم</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 xml:space="preserve">، و ما ورد من نهاية الثواب و الفضل في تحليل الزوجة زوجها من مهرها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3601848_3804643083"/>
      <w:bookmarkStart w:id="779" w:name="_Toc292"/>
      <w:bookmarkEnd w:id="778"/>
      <w:r>
        <w:rPr>
          <w:rtl w:val="true"/>
        </w:rPr>
        <w:t>[</w:t>
      </w:r>
      <w:r>
        <w:rPr>
          <w:rtl w:val="true"/>
        </w:rPr>
        <w:t>باب تحليل الإماء</w:t>
      </w:r>
      <w:r>
        <w:rPr>
          <w:rtl w:val="true"/>
        </w:rPr>
        <w:t>]</w:t>
      </w:r>
      <w:bookmarkEnd w:id="77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أحلّت لي جاريتها،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أنكحها إن أردت،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 منها ما أحلّت</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صحّة التحليل بكل لفظ يدلّ عليه، و يكون ظاهرا فيه، و كذا يدلّ على عدم اشتراط تعيين المدّة، و الأخبار السابقة و اللاحقة </w:t>
      </w:r>
      <w:r>
        <w:rPr>
          <w:rStyle w:val="FootnoteAnchor"/>
          <w:rtl w:val="true"/>
        </w:rPr>
        <w:footnoteReference w:id="1961"/>
      </w:r>
      <w:r>
        <w:rPr>
          <w:rFonts w:ascii="Amiri" w:hAnsi="Amiri" w:eastAsia="Amiri" w:cs="Amiri"/>
          <w:color w:val="111111"/>
          <w:sz w:val="28"/>
          <w:sz w:val="28"/>
          <w:szCs w:val="28"/>
          <w:rtl w:val="true"/>
          <w:lang w:bidi="ar-SA"/>
        </w:rPr>
        <w:t>ظاهرة أيضا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المنع عن عارية الفرج، فالظاهر منه المنع عن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بلفظها؛ فإنّ العارية بحسب العرف و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معناها ما يناسب الفروج، و لذا يقبح نسبتها إلى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بأنّ التحليل هو تمليك،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بأنّه إباحة، فلأنّ العارية ثمرتها إباحة المنفعة، لا معناها؛ لأنّ معناها المتداول لا يناسب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جواز انتفاع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 و التصرّف من المستعير المنتفع و غيره كالطبخ، و التصرّف أزيد من واحد، و غير ذلك ممّا هو من خواصّ معنى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لا يصحّ إعارته يصحّ إجارته،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امرأة أحلّت لي جاريتها،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تمزح؟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لك بما في قلبها؟ و إن علمت أنّها تمزح، فلا</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أنّ الأصل في الألفاظ الحمل على الظاهر و الحقيقة إلى أن يثبت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خلافه، و كذا الخبر الآتي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هذه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أنّه اتّقاء منه عليه السّلام؛ لأنّ ابن يقطين كان وزير الخليفة، فلم يكن يناسبه ذلك، مع احتمال أن يكون التحليل في نفسه أمرا مكروها كالطلاق، إلّا أنّه ربّما يعرضه ما يخرجه عن الكراهة، بل لعلّه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ذلك </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غير واحد من الأخبار المعمول عليها عند الفقهاء، و المشهور بينهم في الفتوى أنّ الولد تابع للحرّ من الوالدين، و هذا هو الموافق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غلبة الحريّة على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من النصّ، بل النصوص </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فالاشتراط فاسد؛ لكونه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الفطحيّة،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فرجها إلّا أن تبيعه أو تهب له</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المراد أنّ هذه العبارة لا تفيد التحليل، و لا تفيد الهبة أيضا؛ لعدم ظهور اللام في ذلك</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الحصر، فلعلّ بناؤه على دخول التحليل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هبة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محمول على التقيّة، أو ما ذكره الشيخ </w:t>
      </w:r>
      <w:r>
        <w:rPr>
          <w:rStyle w:val="FootnoteAnchor"/>
          <w:rtl w:val="true"/>
        </w:rPr>
        <w:footnoteReference w:id="1968"/>
      </w:r>
      <w:r>
        <w:rPr>
          <w:rFonts w:ascii="IRNazanin" w:hAnsi="IRNazanin" w:eastAsia="IRNazanin"/>
          <w:color w:val="111111"/>
          <w:sz w:val="28"/>
          <w:sz w:val="28"/>
          <w:szCs w:val="28"/>
          <w:rtl w:val="true"/>
          <w:lang w:bidi="fa-IR"/>
        </w:rPr>
        <w:t>على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مولى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لمولاي في يدي مال، فسألته أن يحلّ لي ما أشتري من الجواري،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يحلّ 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لك فهو حلال</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يدلّ على صحّة تحليل المولى جاريته لعبده، كالرواية التي مرّت في الباب السابق، مضافا إلى ما مرّ في باب عدد ما أحلّ اللّه، كما 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الشيخ موقوف على كون التحليل تمليكا لا إباحة و إمتاعا، و لم يثبت، بل الثابت من الأخبار كونه إباحة، و مع ذلك موقوف أيضا على عدم مالكية العبد، و هو أيضا محلّ نظر،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كثير من الأخبار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مالكيّته مطلقا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المعارض على التقيّة متعيّن، خصوصا بملاحظة كون الحكم لعلي بن يقطين </w:t>
      </w:r>
      <w:r>
        <w:rPr>
          <w:rStyle w:val="FootnoteAnchor"/>
          <w:rtl w:val="true"/>
        </w:rPr>
        <w:footnoteReference w:id="1970"/>
      </w:r>
      <w:r>
        <w:rPr>
          <w:rFonts w:ascii="Amiri" w:hAnsi="Amiri" w:eastAsia="Amiri" w:cs="Amiri"/>
          <w:color w:val="111111"/>
          <w:sz w:val="28"/>
          <w:sz w:val="28"/>
          <w:szCs w:val="28"/>
          <w:rtl w:val="true"/>
          <w:lang w:bidi="ar-SA"/>
        </w:rPr>
        <w:t>إذ عرفت أنّه لا يناسبه التحليل؛ لأنّه كان يشتهر أمثال هذا منه، بل و يصل إلى الخليفة؛ بمقتضى الظاهر من العادة، و كون الخدم و الحشم في بيته كثيرين غاية الكثرة، و كونه دائما في خدمة الخليفة، و مرجع عساكر الخليفة و أمرائه و خدمه و حشمه، بل و علمائه في الوظائف و الصكاك، و غير ذلك من الخدمات و المناصب و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بحيث في بيته من خدم الخليفة، و عليه من عيون الخليفة؛ لاشتهاره بالتشيّع، و سعي الساعون ذلك إلى الخليفة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الكاظم عليه السّلام كانت أنسب إلى التقيّة؛ لشدّة التقيّة في زمانه كما لا يخفى على المطّلع، فالحقّ مع من يقول بالصحّة، و يؤيّده الأخبار الاخر</w:t>
      </w:r>
      <w:r>
        <w:rPr>
          <w:rFonts w:eastAsia="Amiri" w:cs="Amiri" w:ascii="Amiri" w:hAnsi="Amiri"/>
          <w:color w:val="111111"/>
          <w:sz w:val="28"/>
          <w:szCs w:val="28"/>
          <w:rtl w:val="true"/>
          <w:lang w:bidi="ar-SA"/>
        </w:rPr>
        <w:t>.</w:t>
      </w:r>
      <w:bookmarkStart w:id="780" w:name="pg2470_12819"/>
    </w:p>
    <w:p>
      <w:pPr>
        <w:pStyle w:val="BookText"/>
        <w:rPr/>
      </w:pPr>
      <w:bookmarkEnd w:id="7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 الفقهاء أنّ التحليل عند أصحابنا إمّا عقد أو تمليك، و لا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إجماعهم على ذلك، بل صريح المحقّق أنّه إباحة </w:t>
      </w:r>
      <w:r>
        <w:rPr>
          <w:rStyle w:val="FootnoteAnchor"/>
          <w:rtl w:val="true"/>
        </w:rPr>
        <w:footnoteReference w:id="1971"/>
      </w:r>
      <w:r>
        <w:rPr>
          <w:rFonts w:ascii="Amiri" w:hAnsi="Amiri" w:eastAsia="Amiri" w:cs="Amiri"/>
          <w:color w:val="111111"/>
          <w:sz w:val="28"/>
          <w:sz w:val="28"/>
          <w:szCs w:val="28"/>
          <w:rtl w:val="true"/>
          <w:lang w:bidi="ar-SA"/>
        </w:rPr>
        <w:t xml:space="preserve">، بل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هناك هو الإباحة، لا المعنى المعروف منه </w:t>
      </w:r>
      <w:r>
        <w:rPr>
          <w:rStyle w:val="FootnoteAnchor"/>
          <w:rtl w:val="true"/>
        </w:rPr>
        <w:footnoteReference w:id="1972"/>
      </w:r>
      <w:r>
        <w:rPr>
          <w:rFonts w:ascii="Amiri" w:hAnsi="Amiri" w:eastAsia="Amiri" w:cs="Amiri"/>
          <w:color w:val="111111"/>
          <w:sz w:val="28"/>
          <w:sz w:val="28"/>
          <w:szCs w:val="28"/>
          <w:rtl w:val="true"/>
          <w:lang w:bidi="ar-SA"/>
        </w:rPr>
        <w:t>، فيظهر أنّه لم يقل أحد بكونه تمليكا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العبد لا يصحّ أن يملك شيئا </w:t>
      </w:r>
      <w:r>
        <w:rPr>
          <w:rStyle w:val="FootnoteAnchor"/>
          <w:rtl w:val="true"/>
        </w:rPr>
        <w:footnoteReference w:id="1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فساده؛ لأنّ النصّ ورد منهم في المنع </w:t>
      </w:r>
      <w:r>
        <w:rPr>
          <w:rStyle w:val="FootnoteAnchor"/>
          <w:rtl w:val="true"/>
        </w:rPr>
        <w:footnoteReference w:id="1974"/>
      </w:r>
      <w:r>
        <w:rPr>
          <w:rFonts w:ascii="Amiri" w:hAnsi="Amiri" w:eastAsia="Amiri" w:cs="Amiri"/>
          <w:color w:val="111111"/>
          <w:sz w:val="28"/>
          <w:sz w:val="28"/>
          <w:szCs w:val="28"/>
          <w:rtl w:val="true"/>
          <w:lang w:bidi="ar-SA"/>
        </w:rPr>
        <w:t xml:space="preserve">، و الشيخ كان يأتي بالعلّة لنصّهم، لا في مقابل نصّهم، مع أنّ الظاهر من الشيخ أنّه غير قائل بالمنع، كما يظهر من تجويزه الحمل على الجارية غير المعيّنة </w:t>
      </w:r>
      <w:r>
        <w:rPr>
          <w:rStyle w:val="FootnoteAnchor"/>
          <w:rtl w:val="true"/>
        </w:rPr>
        <w:footnoteReference w:id="1975"/>
      </w:r>
      <w:r>
        <w:rPr>
          <w:rFonts w:ascii="Amiri" w:hAnsi="Amiri" w:eastAsia="Amiri" w:cs="Amiri"/>
          <w:color w:val="111111"/>
          <w:sz w:val="28"/>
          <w:sz w:val="28"/>
          <w:szCs w:val="28"/>
          <w:rtl w:val="true"/>
          <w:lang w:bidi="ar-SA"/>
        </w:rPr>
        <w:t>، فالأولى هو ما ذكرناه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للعبد</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أنّ العبد لا يملك، و أنّه محجور، كما هو إجماعي</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3601850_3804643083"/>
      <w:bookmarkStart w:id="782" w:name="_Toc293"/>
      <w:bookmarkEnd w:id="781"/>
      <w:r>
        <w:rPr>
          <w:rtl w:val="true"/>
        </w:rPr>
        <w:t>[</w:t>
      </w:r>
      <w:r>
        <w:rPr>
          <w:rtl w:val="true"/>
        </w:rPr>
        <w:t>باب حكم نكاح المفقود زوجها</w:t>
      </w:r>
      <w:r>
        <w:rPr>
          <w:rtl w:val="true"/>
        </w:rPr>
        <w:t>]</w:t>
      </w:r>
      <w:bookmarkEnd w:id="7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بين الأخبار بوجه، و لا اشتباه فيها و للّه الحمد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الخلاف في كون ابتداء المدّة المضروبة من حين رفعها القضيّة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الحاكم، و أنّه لا عبرة بالمدّة السابقة و إن طالت، و أنّه لا بدّ من أمر الحاكم هنا بالاعتداد بعد انقضاء المدّة المضروبة، فلو اعتدّت بغير إذنه لم يجز و 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العدّة الاخرى بعد الإذن، و أنّ مدّة البحث عنه و الفحص تكون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الجميع صحيحة العجلي المرويّة في الكتب المعتبرة المعتمدة،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 xml:space="preserve">الذي أحاديثه قطعيّة عند مؤلّفه </w:t>
      </w:r>
      <w:r>
        <w:rPr>
          <w:rStyle w:val="FootnoteAnchor"/>
          <w:rtl w:val="true"/>
        </w:rPr>
        <w:footnoteReference w:id="19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 xml:space="preserve">الذي أحاديثه حجّة بينه و بين ربّه، و حكم بصحّتها </w:t>
      </w:r>
      <w:r>
        <w:rPr>
          <w:rStyle w:val="FootnoteAnchor"/>
          <w:rtl w:val="true"/>
        </w:rPr>
        <w:footnoteReference w:id="1981"/>
      </w:r>
      <w:r>
        <w:rPr>
          <w:rFonts w:ascii="Amiri" w:hAnsi="Amiri" w:eastAsia="Amiri" w:cs="Amiri"/>
          <w:color w:val="111111"/>
          <w:sz w:val="28"/>
          <w:sz w:val="28"/>
          <w:szCs w:val="28"/>
          <w:rtl w:val="true"/>
          <w:lang w:bidi="ar-SA"/>
        </w:rPr>
        <w:t>مع كونها متّفقا عليها بين الفقهاء، مع نهاية وضوح دلالتها، سيّما مع اتّفاق الفقهاء على فهمها كما ذكر، و لا تأمّل في اعتبار فهم الفقهاء و فتاويهم على حسب ما فهموا و اتّفق أفهامهم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الاولى </w:t>
      </w:r>
      <w:r>
        <w:rPr>
          <w:rStyle w:val="FootnoteAnchor"/>
          <w:rtl w:val="true"/>
        </w:rPr>
        <w:footnoteReference w:id="1982"/>
      </w:r>
      <w:r>
        <w:rPr>
          <w:rFonts w:ascii="Amiri" w:hAnsi="Amiri" w:eastAsia="Amiri" w:cs="Amiri"/>
          <w:color w:val="111111"/>
          <w:sz w:val="28"/>
          <w:sz w:val="28"/>
          <w:szCs w:val="28"/>
          <w:rtl w:val="true"/>
          <w:lang w:bidi="ar-SA"/>
        </w:rPr>
        <w:t xml:space="preserve">فلا تقاوم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 الجهات المذكورة، و أنّ فحص الحاكم لو كان بعد أربع سنين فيخالف الوثاقيّات، و منها؛ أنّه إن بنى على كفاية مسمّى الفحص، فيخالف الإجماع و الأخبار المعتبرة،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المذكورة، مع كون الكلّ مفتى بها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المؤلّف من الجمع فاسد من الوجوه المذكورة، مضافا إلى أنّه لا يتحقّق الجمع بين الكلّ، إلّا بعناية شديدة لا يكاد تقبل العبارة، كما لا يخفى على المتأمّل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 توجيه الرواية الاولى، لأنّه يرجع إلى ما هو الحجّة من الروايات،</w:t>
      </w:r>
      <w:bookmarkStart w:id="783" w:name="pg2470_12821"/>
    </w:p>
    <w:p>
      <w:pPr>
        <w:pStyle w:val="BookText"/>
        <w:rPr/>
      </w:pPr>
      <w:bookmarkEnd w:id="7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لا أنّه يوجّه ما هو الحجّة منها حتّى يوافق ما ليس بحجّة، و توجيه الرواية الاولى بأن يجعل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مضى الأربع سنين التي بعث الوالي، أو يكتب إلى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غائب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يجد له أثرا من فحصه في مدّة الأربع سنين المذكورة أمر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 صريح الأخبار المعتبرة المذكورة </w:t>
      </w:r>
      <w:r>
        <w:rPr>
          <w:rStyle w:val="FootnoteAnchor"/>
          <w:rtl w:val="true"/>
        </w:rPr>
        <w:footnoteReference w:id="1983"/>
      </w:r>
      <w:r>
        <w:rPr>
          <w:rFonts w:ascii="IRNazanin" w:hAnsi="IRNazanin" w:eastAsia="IRNazanin"/>
          <w:color w:val="111111"/>
          <w:sz w:val="28"/>
          <w:sz w:val="28"/>
          <w:szCs w:val="28"/>
          <w:rtl w:val="true"/>
          <w:lang w:bidi="fa-IR"/>
        </w:rPr>
        <w:t xml:space="preserve">و فتاوى الأصحاب </w:t>
      </w:r>
      <w:r>
        <w:rPr>
          <w:rStyle w:val="FootnoteAnchor"/>
          <w:rtl w:val="true"/>
        </w:rPr>
        <w:footnoteReference w:id="1984"/>
      </w:r>
      <w:r>
        <w:rPr>
          <w:rFonts w:ascii="Amiri" w:hAnsi="Amiri" w:eastAsia="Amiri" w:cs="Amiri"/>
          <w:color w:val="111111"/>
          <w:sz w:val="28"/>
          <w:sz w:val="28"/>
          <w:szCs w:val="28"/>
          <w:rtl w:val="true"/>
          <w:lang w:bidi="ar-SA"/>
        </w:rPr>
        <w:t>، فتخرج الرواية عن الحزازت المذكورة، و تصير موافقة للمعتبرة و الفتاوى،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يخفى في أنّ الأربع سنين لأجل الفحص، و هي مقدار الفحص المعتبر و مدّته،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أنّ مسمّى الفحص كاف، مع أنّه ظاهر أنّ مسمّى الفحص لا يكفي غالبا لظهور الأمر، بل للأمر من إصرار و مبالغة و صبر في التجسّس، حتّى يظهر الحال، و لذا اعتبر أربع سنين،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الكناني </w:t>
      </w:r>
      <w:r>
        <w:rPr>
          <w:rStyle w:val="FootnoteAnchor"/>
          <w:rtl w:val="true"/>
        </w:rPr>
        <w:footnoteReference w:id="1985"/>
      </w:r>
      <w:r>
        <w:rPr>
          <w:rFonts w:ascii="Amiri" w:hAnsi="Amiri" w:eastAsia="Amiri" w:cs="Amiri"/>
          <w:color w:val="111111"/>
          <w:sz w:val="28"/>
          <w:sz w:val="28"/>
          <w:szCs w:val="28"/>
          <w:rtl w:val="true"/>
          <w:lang w:bidi="ar-SA"/>
        </w:rPr>
        <w:t>فمطلقة؛ تحمل على المقيّد كما هو الحال في كلّ مطلق و مقيّد، ألا ترى أنّها مقيّدة بطلب الوالي جزما؛ إذ ليس فيها من الوالي عين و لا أثر، و مسلّم أنّ الطلاق لا يكون إلّا بعد الفحص عنه جزما، و عرفت أنّ الفحص عنه إنّما هو في مدّة أربع سنين، و يكون من الوالي كما نطقت به الأخبار و اتّفقت عليه فتاوى الأصحاب، و اللّه يعلم</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3601852_3804643083"/>
      <w:bookmarkStart w:id="785" w:name="_Toc294"/>
      <w:bookmarkEnd w:id="784"/>
      <w:r>
        <w:rPr>
          <w:rtl w:val="true"/>
        </w:rPr>
        <w:t>[</w:t>
      </w:r>
      <w:r>
        <w:rPr>
          <w:rtl w:val="true"/>
        </w:rPr>
        <w:t>باب شروط المتعة و أحكامها</w:t>
      </w:r>
      <w:r>
        <w:rPr>
          <w:rtl w:val="true"/>
        </w:rPr>
        <w:t>]</w:t>
      </w:r>
      <w:bookmarkEnd w:id="78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 المتعة؛ نكاح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بميراث، و نكاح بغير ميراث، إن اشترطت الميراث كان، و إن لم تشترط لم يكن</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متواترة في أنّ المتعة لا ميراث لها </w:t>
      </w:r>
      <w:r>
        <w:rPr>
          <w:rStyle w:val="FootnoteAnchor"/>
          <w:rtl w:val="true"/>
        </w:rPr>
        <w:footnoteReference w:id="1987"/>
      </w:r>
      <w:r>
        <w:rPr>
          <w:rFonts w:ascii="Amiri" w:hAnsi="Amiri" w:eastAsia="Amiri" w:cs="Amiri"/>
          <w:color w:val="111111"/>
          <w:sz w:val="28"/>
          <w:sz w:val="28"/>
          <w:szCs w:val="28"/>
          <w:rtl w:val="true"/>
          <w:lang w:bidi="ar-SA"/>
        </w:rPr>
        <w:t xml:space="preserve">منها ما ذكر في هذا الباب، و منها ما مرّ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متعة النساء </w:t>
      </w:r>
      <w:r>
        <w:rPr>
          <w:rStyle w:val="FootnoteAnchor"/>
          <w:rtl w:val="true"/>
        </w:rPr>
        <w:footnoteReference w:id="1988"/>
      </w:r>
      <w:r>
        <w:rPr>
          <w:rFonts w:ascii="Amiri" w:hAnsi="Amiri" w:eastAsia="Amiri" w:cs="Amiri"/>
          <w:color w:val="111111"/>
          <w:sz w:val="28"/>
          <w:sz w:val="28"/>
          <w:szCs w:val="28"/>
          <w:rtl w:val="true"/>
          <w:lang w:bidi="ar-SA"/>
        </w:rPr>
        <w:t xml:space="preserve">، و في باب وجوه النكاح و غيرها </w:t>
      </w:r>
      <w:r>
        <w:rPr>
          <w:rStyle w:val="FootnoteAnchor"/>
          <w:rtl w:val="true"/>
        </w:rPr>
        <w:footnoteReference w:id="1989"/>
      </w:r>
      <w:r>
        <w:rPr>
          <w:rFonts w:ascii="Amiri" w:hAnsi="Amiri" w:eastAsia="Amiri" w:cs="Amiri"/>
          <w:color w:val="111111"/>
          <w:sz w:val="28"/>
          <w:sz w:val="28"/>
          <w:szCs w:val="28"/>
          <w:rtl w:val="true"/>
          <w:lang w:bidi="ar-SA"/>
        </w:rPr>
        <w:t xml:space="preserve">، و ادّعى ابن إدريس عليه الإجماع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يؤيّدها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أنّها مستأجرة </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w:t>
      </w:r>
      <w:r>
        <w:rPr>
          <w:rStyle w:val="FootnoteAnchor"/>
          <w:rtl w:val="true"/>
        </w:rPr>
        <w:footnoteReference w:id="19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موافقتها للزوجة الدائمة في كثير من الأحكام؛ مثل جواز الزيادة على الأربع الثابتة من أخبار كثيرة غاية الكثرة </w:t>
      </w:r>
      <w:r>
        <w:rPr>
          <w:rStyle w:val="FootnoteAnchor"/>
          <w:rtl w:val="true"/>
        </w:rPr>
        <w:footnoteReference w:id="1993"/>
      </w:r>
      <w:r>
        <w:rPr>
          <w:rFonts w:ascii="Amiri" w:hAnsi="Amiri" w:eastAsia="Amiri" w:cs="Amiri"/>
          <w:color w:val="111111"/>
          <w:sz w:val="28"/>
          <w:sz w:val="28"/>
          <w:szCs w:val="28"/>
          <w:rtl w:val="true"/>
          <w:lang w:bidi="ar-SA"/>
        </w:rPr>
        <w:t>، المطابقة لفتاوى الفقهاء الأجلّة، مع أنّ مقتضى ظاهر القرآن عدم جواز زيادة الزوجة عن الأربعة، و كذا عدم وجوب نفقتها و كسوتها و سكناها و قسمتها في الليالي الأربع، و عدم الطلاق، و عدم عدّة المعهودة للزوجة، إلى غير ذلك من الأحكام الثابتة للزوجة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الآيات القرآنيّة و الأخبار المتواترة،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من الأفراد الشائعة المتعارفة للزوجة وقت نزول آية الإرث،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المؤيّدات الموافقة للإجماع، و الأخبار المتواترة أو المسلّمة و غيرها، فيصلح ما ذكر لتخصيص الآية في الإرث و غيرها،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اشتراط الإرث فاسدا؛ لكونه شرطا مخالفا للكتاب، بل على القول بدخولها في الزوجة في آية الإرث يكون الشرط أيضا باطلا؛ إذ لا معنى لاشتراط الإرث لمن ليس بوارث، أو عدم الإرث لمن هو وارث</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حملها على إعطاء الإرث من الثلث الذي للميّت، بأن يحسب منه لا من الثلثين الذين هما حقّ للوارث</w:t>
      </w:r>
      <w:r>
        <w:rPr>
          <w:rFonts w:eastAsia="Amiri" w:cs="Amiri" w:ascii="Amiri" w:hAnsi="Amiri"/>
          <w:color w:val="111111"/>
          <w:sz w:val="28"/>
          <w:szCs w:val="28"/>
          <w:rtl w:val="true"/>
          <w:lang w:bidi="ar-SA"/>
        </w:rPr>
        <w:t>.</w:t>
      </w:r>
      <w:bookmarkStart w:id="786" w:name="pg2470_12824"/>
    </w:p>
    <w:p>
      <w:pPr>
        <w:pStyle w:val="BookText"/>
        <w:rPr/>
      </w:pPr>
      <w:bookmarkEnd w:id="7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Heading2"/>
        <w:numPr>
          <w:ilvl w:val="1"/>
          <w:numId w:val="1"/>
        </w:numPr>
        <w:rPr/>
      </w:pPr>
      <w:bookmarkStart w:id="787" w:name="__RefHeading___Toc3601854_3804643083"/>
      <w:bookmarkStart w:id="788" w:name="_Toc295"/>
      <w:bookmarkEnd w:id="787"/>
      <w:r>
        <w:rPr>
          <w:rtl w:val="true"/>
        </w:rPr>
        <w:t>كتاب الجنائز و الفرائض و الوصيّات</w:t>
      </w:r>
      <w:bookmarkEnd w:id="788"/>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9" w:name="__RefHeading___Toc3601856_3804643083"/>
      <w:bookmarkStart w:id="790" w:name="_Toc296"/>
      <w:bookmarkEnd w:id="789"/>
      <w:r>
        <w:rPr>
          <w:rtl w:val="true"/>
        </w:rPr>
        <w:t>اشارة</w:t>
      </w:r>
      <w:bookmarkEnd w:id="79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bookmarkStart w:id="791" w:name="pg2470_12826"/>
    </w:p>
    <w:p>
      <w:pPr>
        <w:pStyle w:val="BookText"/>
        <w:rPr/>
      </w:pPr>
      <w:bookmarkEnd w:id="7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Heading3"/>
        <w:numPr>
          <w:ilvl w:val="2"/>
          <w:numId w:val="1"/>
        </w:numPr>
        <w:rPr/>
      </w:pPr>
      <w:bookmarkStart w:id="792" w:name="__RefHeading___Toc3601858_3804643083"/>
      <w:bookmarkStart w:id="793" w:name="_Toc297"/>
      <w:bookmarkEnd w:id="792"/>
      <w:r>
        <w:rPr>
          <w:rtl w:val="true"/>
        </w:rPr>
        <w:t>[</w:t>
      </w:r>
      <w:r>
        <w:rPr>
          <w:rtl w:val="true"/>
        </w:rPr>
        <w:t>أبواب التجهيز</w:t>
      </w:r>
      <w:r>
        <w:rPr>
          <w:rtl w:val="true"/>
        </w:rPr>
        <w:t>]</w:t>
      </w:r>
      <w:bookmarkEnd w:id="793"/>
    </w:p>
    <w:p>
      <w:pPr>
        <w:pStyle w:val="Heading4"/>
        <w:numPr>
          <w:ilvl w:val="3"/>
          <w:numId w:val="1"/>
        </w:numPr>
        <w:rPr/>
      </w:pPr>
      <w:bookmarkStart w:id="794" w:name="__RefHeading___Toc3601860_3804643083"/>
      <w:bookmarkStart w:id="795" w:name="_Toc298"/>
      <w:bookmarkEnd w:id="794"/>
      <w:r>
        <w:rPr>
          <w:rtl w:val="true"/>
        </w:rPr>
        <w:t>[</w:t>
      </w:r>
      <w:r>
        <w:rPr>
          <w:rtl w:val="true"/>
        </w:rPr>
        <w:t>باب ثواب من غسّل مؤمنا أو كفّنه أو حفر له</w:t>
      </w:r>
      <w:r>
        <w:rPr>
          <w:rtl w:val="true"/>
        </w:rPr>
        <w:t>]</w:t>
      </w:r>
      <w:bookmarkEnd w:id="7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الحديث كأنّها من كلام الصدوق، أو من غير هذا الخبر، و معناها أنّ حدّ إخفاء العيوب الجسمانيّة الدفن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مراد الصدوق أنّ ستر العيوب التي يراها ليس مختصّا بحالة التغسيل فقط، فلو رأى حال التكفين و بعده إلى الدفن لا مانع من أن يخبر، ليس كذلك، بل حدّه إلى أن يدفن، يعني الذي يراه إلى أن يدفن و لا يخبره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العيوب الجسمانيّة و غيرها في أنّه يحرم أن يذكر؛ لأنّ حرمة المؤمن حيّا و ميّتا واحدة، كما في الأخبار </w:t>
      </w:r>
      <w:r>
        <w:rPr>
          <w:rStyle w:val="FootnoteAnchor"/>
          <w:rtl w:val="true"/>
        </w:rPr>
        <w:footnoteReference w:id="1995"/>
      </w:r>
      <w:r>
        <w:rPr>
          <w:rFonts w:ascii="Amiri" w:hAnsi="Amiri" w:eastAsia="Amiri" w:cs="Amiri"/>
          <w:color w:val="111111"/>
          <w:sz w:val="28"/>
          <w:sz w:val="28"/>
          <w:szCs w:val="28"/>
          <w:rtl w:val="true"/>
          <w:lang w:bidi="ar-SA"/>
        </w:rPr>
        <w:t>، و مسلّم عند الكلّ، و يدلّ عليه الرواية الآتية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فستر و كتم خرج من الذنوب</w:t>
      </w:r>
      <w:r>
        <w:rPr>
          <w:rFonts w:eastAsia="Amiri" w:cs="Amiri" w:ascii="Amiri" w:hAnsi="Amiri"/>
          <w:color w:val="111111"/>
          <w:sz w:val="28"/>
          <w:szCs w:val="28"/>
          <w:rtl w:val="true"/>
          <w:lang w:bidi="ar-SA"/>
        </w:rPr>
        <w:t xml:space="preserve">» </w:t>
      </w:r>
      <w:r>
        <w:rPr>
          <w:rStyle w:val="FootnoteAnchor"/>
          <w:rtl w:val="true"/>
        </w:rPr>
        <w:footnoteReference w:id="1996"/>
      </w:r>
      <w:r>
        <w:rPr>
          <w:rFonts w:ascii="Amiri" w:hAnsi="Amiri" w:eastAsia="Amiri" w:cs="Amiri"/>
          <w:color w:val="111111"/>
          <w:sz w:val="28"/>
          <w:sz w:val="28"/>
          <w:szCs w:val="28"/>
          <w:rtl w:val="true"/>
          <w:lang w:bidi="ar-SA"/>
        </w:rPr>
        <w:t>، و غالبا يكون الغسّال يكفّن، فتأمّل</w:t>
      </w:r>
      <w:r>
        <w:rPr>
          <w:rFonts w:eastAsia="Amiri" w:cs="Amiri" w:ascii="Amiri" w:hAnsi="Amiri"/>
          <w:color w:val="111111"/>
          <w:sz w:val="28"/>
          <w:szCs w:val="28"/>
          <w:rtl w:val="true"/>
          <w:lang w:bidi="ar-SA"/>
        </w:rPr>
        <w:t>!</w:t>
      </w:r>
      <w:bookmarkStart w:id="796" w:name="pg2470_12827"/>
    </w:p>
    <w:p>
      <w:pPr>
        <w:pStyle w:val="BookText"/>
        <w:rPr/>
      </w:pPr>
      <w:bookmarkEnd w:id="7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Heading4"/>
        <w:numPr>
          <w:ilvl w:val="3"/>
          <w:numId w:val="1"/>
        </w:numPr>
        <w:rPr/>
      </w:pPr>
      <w:bookmarkStart w:id="797" w:name="__RefHeading___Toc3601862_3804643083"/>
      <w:bookmarkStart w:id="798" w:name="_Toc299"/>
      <w:bookmarkEnd w:id="797"/>
      <w:r>
        <w:rPr>
          <w:rtl w:val="true"/>
        </w:rPr>
        <w:t>[</w:t>
      </w:r>
      <w:r>
        <w:rPr>
          <w:rtl w:val="true"/>
        </w:rPr>
        <w:t>باب علّة غسل الميّت</w:t>
      </w:r>
      <w:r>
        <w:rPr>
          <w:rtl w:val="true"/>
        </w:rPr>
        <w:t>]</w:t>
      </w:r>
      <w:bookmarkEnd w:id="7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يغسّل الميّت غسل الجنابة</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هذا الخبر و غيره ممّا ذكر في هذا الباب أنّ الترتيب بين الرأس و الجسد، و بين اليمين و اليسار لازم في غسل الجنابة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ما عثرنا عليه من النسخة الخطيّة</w:t>
      </w:r>
      <w:r>
        <w:rPr>
          <w:rFonts w:eastAsia="Amiri" w:cs="Amiri" w:ascii="Amiri" w:hAnsi="Amiri"/>
          <w:color w:val="111111"/>
          <w:sz w:val="28"/>
          <w:szCs w:val="28"/>
          <w:rtl w:val="true"/>
          <w:lang w:bidi="ar-SA"/>
        </w:rPr>
        <w:t>]</w:t>
      </w:r>
      <w:bookmarkStart w:id="799" w:name="pg2470_12828"/>
    </w:p>
    <w:p>
      <w:pPr>
        <w:pStyle w:val="BookText"/>
        <w:rPr/>
      </w:pPr>
      <w:bookmarkEnd w:id="7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0" w:name="__RefHeading___Toc3601864_3804643083"/>
      <w:bookmarkStart w:id="801" w:name="_Toc300"/>
      <w:bookmarkEnd w:id="800"/>
      <w:r>
        <w:rPr>
          <w:rtl w:val="true"/>
        </w:rPr>
        <w:t>المنابع و الماخذ</w:t>
      </w:r>
      <w:bookmarkEnd w:id="801"/>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المنابع و الماخذ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أحمد بن علي بن أبي طالب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المرتضى، مشهد المقدّسة،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اللّه الحسيني المرعشي التستري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 آية اللّه المرعشي النجفي رحمه اللّه،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الرازي الجصّاص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الكتاب العربي، بيروت، الطبعة الاولى،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الطبعة الاولى،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بن النعمان العكبري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المؤتمر العالمي لألفية الشيخ المفيد، الطبعة الاولى،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الرابعة،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 آية اللّه المرعشي النجفي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بن بابويه القمّي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بيروت، الطبعة الخامسة،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الوفاء، بيروت، الطبعة الثانية،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موسى علم الهدى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الشريف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محمّد بن الحسن بن يوسف بن علي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إسماعيليان، الطبعة الثانية،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تقي بن مقصود علي المجلسي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الوفاء، بيروت، الطبعة الثانية،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بن مسعود بن أحمد الكاساني الحنفي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المكتبة العلميّة،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رشد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الشريف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الحسيني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العلميّة،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فرّوخ الصفّار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آية اللّه المرعشي النجفي رحمه اللّه، قم المقدّسة، الطبعة الثانية،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محمّد بن مكّي بن محمّد العاملي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بنياد فرهنگى امام المهدي عليه السّلام، الطبعة الاولى،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جرير بن يزيد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للمطبوعات، 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الطبعة الاولى،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منهج المقال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محسن بن مرتضى بن فيض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محمّد بن مسعود بن عيّاش السلمي السمرقندي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للمطبوعات، بيروت، الطبعة الاولى،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الحسن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إبراهيم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مؤسّسة دار الكتاب، قم المقدّسة، الطبعة الثالثة،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العروسي الحويزي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اسماعيليان، قم المقدّسة، الطبعة الرابعة،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 اللّه السيوري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آية اللّه المرعشي النجفي رحمه اللّه، قم المقدّسة،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الرابعة،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الغروي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آية اللّه المرعشي النجفي رحمه اللّه، قم المقدّسة،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علي رضا الأردكاني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نشر مكتبة فيروزآبادي، قم المقدّسة،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الحسين الكركي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الطبعة الاولى،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محمّد باقر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الثالثة،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مدارك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المقدّسة، الطبعة الاولى،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الحسين بن عبد الصمد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 بصيرتي،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بن إبراهيم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الأضواء، بيروت، الطبعة الثانية،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سعيد بن هبة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الإمام المهدي عليه السّلام، قم المقدّسة، الطبعة الاولى،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بن بابويه القمّي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مكّي بن محمّد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الطبعة الاولى،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مؤمن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آل البيت عليهم السّلام لإحياء التراث،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مكّي بن محمّد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الطبعة الاولى،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آل البيت عليهم السّلام لإحياء التراث،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علي بن أحمد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الاصوليّة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العلّامة المجدّد الوحيد البهبهاني رحمه اللّه، الطبعة الاولى،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جعفر بن الحسن بن يحيى بن سعيد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آية اللّه المرعشي النجفي رحمه اللّه، قم المقدّسة، الطبعة الاولى،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موسى علم الهدى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القرآن الكريم، قم المقدّسة، الطبعة الاولى،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جماعة المدرّسين، قم المقدّسة،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العلّامة المجدّد الوحيد البهبهاني رحمه اللّه، الطبعة الاولى،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الحسين الكركي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آية اللّه المرعشي النجفي رحمه اللّه، قم المقدّسة، الطبعة الاولى،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تقي بن مقصود علي المجلسي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المعارف الإسلاميّة، الطبعة الثانية،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منصور بن أحمد بن إدريس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الطبعة الثانية،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بن الأشعث السجستاني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جعفر بن الحسن بن يحيى بن سعيد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الأضواء، بيروت، الطبعة الثانية،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الحسين بن مسعود الفراء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الطبعة الاولى،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فتح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محمّد بن عبد الواحد السيواسي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الهمام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 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بن عبد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الشريف الرضي، قم المقدّسة، الطبعة الاولى،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الشريف الرضي، قم المقدّسة، الطبعة الثانية،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العلم للملايين، بيروت،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ابن حزم، بيروت، الطبعة الاولى،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في الردّ على أهل البدع و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الهيثمي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القاهرة، مصر، الطبعة الثانية،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الطبعة الاولى،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بن بابويه القمّي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الحيدريّة، النجف الأشرف،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إبراهيم الأحسائي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سيّد الشهداء عليه السّلام، قم المقدّسة، الطبعة الاولى،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بن بابويه القمّي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الأعلمي للمطبوعات، بيروت، الطبعة الاولى، سنة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المكارم حمزة بن علي 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الإمام الصادق عليه السّلام، قم المقدّسة، الطبعة الاولى،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ابن المؤيد بن عبد اللّه بن علي بن محمّد بن الجويني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المحمودي، بيروت، الطبعة الاولى،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للإمام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المؤتمر العالمي للإمام الرضا عليه السّلام، الطبعة الاولى،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الفكر الإسلامي، الطبعة الاولى،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بن محمّد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سعيد بن هبة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الرضوية المقدّسة، مشهد المقدّسة، الطبعة الاولى،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بن إسحاق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الرابعة،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الإمام أمير المؤمنين عليه السّلام، اصفهان، الطبعة الاولى،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محمّد بن قولويه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الفقاهة قم المقدّسة، النجف الأشرف، الطبعة الاولى،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مفلح بن الحسن بن رشيد الصيمري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صاحب الأمر عليه السّلام، قم المقدّسة، الطبعة الاولى،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أبي الحسن علي بن عيسى بن أبي الفتح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بني هاشمي، تبريز،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محمّد الأصفهاني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شكوري، قم المقدّسة، الطبعة الثانية،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مؤمن السبزواري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مدرسة صدر المهدوي،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بن بابويه القمّي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جماعة المدرّسين،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محمّد بن مكرم 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محمّد بن علي بن أحمد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الفضل بن الحسن بن الفضل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مكتبة الحياة،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منهج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الكتاب العربي، بيروت، الطبعة الثالثة،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أحمد بن محمّد الأردبيلي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أحمد بن محمّد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المجمع العالمي لأهل البيت عليهم السّلام، قم المقدّسة، الطبعة الاولى،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 بالآثار</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علي بن أحمد بن سعيد 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جمال الدين محمّد بن مكرم 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الطبعة الاولى،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جعفر بن الحسن بن يحيى بن سعيد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قسم الدراسات الإسلاميّة في مؤسّسة البعثة، طهران، الطبعة الثالثة،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الطبعة الثانية،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آل البيت عليهم السّلام لإحياء التراث، مشهد المقدّسة، الطبعة الاولى،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حمزة بن عبد العزيز الديلمي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حرمين، الطبعة الاولى،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المعارف الإسلاميّة، قم المقدّسة، الطبعة الاولى،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الحسين بن الميرزا محمّد تقي بن الميرزا علي محمّد النوري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المقدّسة، الطبعة الاولى،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منصور بن أحمد بن إدريس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الإمام المهدي عليه السّلام، قم المقدّسة، الطبعة الاولى،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أحمد بن محمّد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الحسين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آل البيت عليهم السّلام لإحياء التراث،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العلّامة المجدّد الوحيد البهبهاني رحمه اللّه، الطبعة الاولى،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فقه الشيعة بيروت، الطبعة الاولى،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محمّد بن علي الفيّومي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الهجرة، قم المقدّسة، الطبعة الثانية،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جعفر بن الحسن بن يحيى بن سعيد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المقدّسة، الطبعة الاولى،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ابن الشهيد الثاني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جماعة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المدرّسين، قم المقدّسة،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ابن زين الدين الشهيد الثاني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الفقه للطباعة و النشر، قم المقدّسة، الطبعة الاولى،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جعفر بن الحسن بن يحيى بن سعيد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سيّد الشهداء عليه السّلام، قم المقدّسة،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فقه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أحمد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الطبعة الاولى،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المحتاج الى معرفة معاني ألفاظ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الخطيب الشربيني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محسن بن مرتضى بن فيض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الذخائر الإسلاميّة، قم المقدّسة،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الطبعة الاولى،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بن بابويه القمّي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الإمام الهادي عليه السّلام، قم المقدّسة،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بن النعمان العكبري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الطبعة الثانية،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تقي بن مقصود علي المجلسي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آية اللّه المرعشي النجفي رحمه اللّه،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عبد 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الشريف الرضي،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شهرآشوب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الأضواء، بيروت، الطبعة الثانية،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الجمان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زين الدين الشهيد الثاني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الطبعة الاولى،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البحوث الإسلاميّة، مشهد المقدّسة، الطبعة الاولى،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بن بابويه القمّي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الخامسة،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في تحقيق أحوال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الميرزا محمّد بن علي بن ابراهيم الأسترآبادي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العزيز بن نحرير ابن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المقدّسة،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موسى علم الهدى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رابطة الثقافة و العلاقات الإسلاميّة،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محسن بن مرتضى بن فيض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منظمة الإعلام الإسلامي، الطبعة الثانية،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إسماعيليّان، قم المقدّسة، الطبعة الثانية،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السعادات المبارك بن محمّد الجزري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إسماعيليان، قم المقدّسة، الطبعة الرابعة،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قدس 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الوصول للعلّامة نهاية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الهجرة، قم المقدّسة، الطبعة الثانية،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 من أحاديث سيّد الأخيار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الحديث،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محسن بن مرتضى بن فيض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أمير المؤمنين عليه السّلام، اصفهان، الطبعة الاولى،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عبد اللّه بن محمّد التوني البشروي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الفكر الإسلامي، قم المقدّسة، الطبعة الاولى،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بن محمّد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المقدّسة، الطبعة الاولى،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نشر مكتبة آية اللّه المرعشي النجفي رحمه اللّه، قم المقدّسة، الطبعة الاولى،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بن بابويه القمّي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الإمام الهادي عليه السّلام، قم المقدّسة، الطبعة الاولى،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الشريف الرضي، قم المقدّسة، الطبعة الاولى،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802" w:name="pg2470_12848"/>
    </w:p>
    <w:p>
      <w:pPr>
        <w:pStyle w:val="BookText"/>
        <w:rPr/>
      </w:pPr>
      <w:bookmarkEnd w:id="8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Heading2"/>
        <w:numPr>
          <w:ilvl w:val="1"/>
          <w:numId w:val="1"/>
        </w:numPr>
        <w:rPr/>
      </w:pPr>
      <w:bookmarkStart w:id="803" w:name="__RefHeading___Toc3601866_3804643083"/>
      <w:bookmarkStart w:id="804" w:name="_Toc301"/>
      <w:bookmarkEnd w:id="803"/>
      <w:r>
        <w:rPr>
          <w:rtl w:val="true"/>
        </w:rPr>
        <w:t>المحتويات</w:t>
      </w:r>
      <w:bookmarkEnd w:id="804"/>
    </w:p>
    <w:p>
      <w:pPr>
        <w:pStyle w:val="BookText"/>
        <w:rPr/>
      </w:pPr>
      <w:r>
        <w:rPr>
          <w:rFonts w:ascii="Amiri" w:hAnsi="Amiri" w:eastAsia="Amiri" w:cs="Amiri"/>
          <w:color w:val="111111"/>
          <w:sz w:val="28"/>
          <w:sz w:val="28"/>
          <w:szCs w:val="28"/>
          <w:rtl w:val="true"/>
          <w:lang w:bidi="ar-SA"/>
        </w:rPr>
        <w:t xml:space="preserve">المقدّمة المتحرّرون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الوحيد و مواجهته للانحراف في مسيرة الاستنباط الفقهي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المؤلف و خصوصيات كتابه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تحليل المؤلف لخروج بعض الأصحاب عن مدلول بعض الأدلّة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لمحة من حياة المؤلّف رحمه اللّه نسبه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صباه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مشايخ إجازاته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الذين أجازهم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عصره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نزوله بلدة بهبهان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هجرته إلى كربلاء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أياديه في كربلاء </w:t>
      </w:r>
      <w:r>
        <w:rPr>
          <w:rFonts w:eastAsia="Amiri" w:cs="Amiri" w:ascii="Amiri" w:hAnsi="Amiri"/>
          <w:color w:val="111111"/>
          <w:sz w:val="28"/>
          <w:szCs w:val="28"/>
          <w:lang w:bidi="ar-SA"/>
        </w:rPr>
        <w:t>62</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قيل فيه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اهتمام معاصريه و تلامذته و من تأخّر عنه بنظريّاته رحمه اللّه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فضائله الأخلاقيّة و ملكاته النفسيّة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معاصروه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تاليفه القيّمة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ترجمة الفيض الكاشاني قدّس سرّه ولادته و نشأته و وفاته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عقائده و آراؤه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تقريظه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بين يدي الكتاب منهجنا في التحقيق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نموذج من صورة النسخة الخطيّة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كتاب الحجّة في تحقّق الفتنة بعد الرسول صلّى اللّه عليه و آله و سلّم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المراد من النذير في الآية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أنّ الكفّار مكلّفون بفروع الدين </w:t>
      </w:r>
      <w:r>
        <w:rPr>
          <w:rFonts w:eastAsia="Amiri" w:cs="Amiri" w:ascii="Amiri" w:hAnsi="Amiri"/>
          <w:color w:val="111111"/>
          <w:sz w:val="28"/>
          <w:szCs w:val="28"/>
          <w:lang w:bidi="ar-SA"/>
        </w:rPr>
        <w:t>106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ردّ الشبهة الموردة على طريقة المجتهدين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كتاب الطهارة أبواب أحكام المياه انفعال الماء القليل بالملاقاة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قدر الماء الذي لا يتغيّر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الماء الكرّ بيان مقدار الكرّ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ماء البئر هل ينجس ماء البئر بالملاقاة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ماء المطر هل ينجس ماء المطر بالملاقاة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ماء الحمّام حكم ماء الحمّام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يستحبّ عنه التنزّه و الاجتناب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الأسئار أحكام أسئار الحيوانات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الماء القليل المشتبه و رفع الحدث به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منزوحات البئر حكم تباعد البئر و البالوعة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آداب التخلّي حرمة استقبال القبلة و استدبارها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المناقشة في كلام صاحب الوافي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عدم معذورية الجاهل بالحكم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حكم التطهير من البول </w:t>
      </w:r>
      <w:r>
        <w:rPr>
          <w:rFonts w:eastAsia="Amiri" w:cs="Amiri" w:ascii="Amiri" w:hAnsi="Amiri"/>
          <w:color w:val="111111"/>
          <w:sz w:val="28"/>
          <w:szCs w:val="28"/>
          <w:lang w:bidi="ar-SA"/>
        </w:rPr>
        <w:t>172</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الاستبراء من البول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أحكام النجاسات حكم تعدّي النجاسة من المتنجّس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الردّ على ما ذكره صاحب الوافي من الطعن على الفقهاء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حكم من شكّ في إصابة البول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التطهير من المني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حكم عرق الجنب و الحائض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حكم المذي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التطهير من الدم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التطهير من فضلات الحيوانات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التطهير من مسّ الحيوانات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حكم أهل الكتاب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التطهير من الخمر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المطهّرات مطهّريّة الأرض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مطهّريّة الشمس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أبواب الوضوء بحث في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الصعيد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نواقض الوضوء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معنى وجوب الوضوء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كيفيّة الوضوء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معنى الكعب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حدّ الوجه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عدم إجزاء غسل الرجلين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مقدار ماء الوضوء </w:t>
      </w:r>
      <w:r>
        <w:rPr>
          <w:rFonts w:eastAsia="IRNazanin" w:cs="IRNazanin"/>
          <w:color w:val="111111"/>
          <w:sz w:val="28"/>
          <w:szCs w:val="28"/>
          <w:lang w:bidi="fa-IR"/>
        </w:rPr>
        <w:t>250</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الغسلات في الوضوء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حكم الوضوء بماء الورد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سنن الوضوء و آدابه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الترتيب في الوضوء و الموالاة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وضوء من بأعضائه 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ذي الجبيرة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فضيلة الوضوء و ثوابه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أبواب الغسل أنواع الغسل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غسل الجمعة و وقته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حدّ الجنابة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احتلام المرأة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إتيان الدبر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خروج البلل بعد الغسل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أحكام الجنب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غسل مسّ الميّت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أحكام الحيض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تمييز دم الحيض من دم العذرة و القرحة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أحكام المبتدأة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الحبلى ترى الدم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أحكام الاستحاضة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أحكام النفاس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كيفيّة الغسل و آدابه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الترتيب في الغسل و سقوط الموالاة فيه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قدر ماء الغسل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إجزاء الغسل عن الوضوء </w:t>
      </w:r>
      <w:r>
        <w:rPr>
          <w:rFonts w:eastAsia="IRNazanin" w:cs="IRNazanin"/>
          <w:color w:val="111111"/>
          <w:sz w:val="28"/>
          <w:szCs w:val="28"/>
          <w:lang w:bidi="fa-IR"/>
        </w:rPr>
        <w:t>314</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غسل الجنابة و ثوابه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أبواب التيمّم ما يوجب التيمّم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أحكام التيمّم و المتيمّم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كيفيّة التيمّم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أبواب التزيّن استحباب حلق الرأس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كتاب الصلاة أبواب فضل الصلاة و فرضها الفرض في الصلاة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حدّ المسير الذي يقصّر فيه الصلاة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بيان حدّ الترخّص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عزم الإقامة في السفر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حكم خروج المسافر إلى ضيعته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اعتبار الاستيطان في المنزل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حكم من كان السفر عمله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حكم من كان سفره باطلا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حكم الصلاة في المواطن الأربعة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أبواب مواقيت الصلاة مواقيت الصلاة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أبواب لباس المصلّي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الصلاة في جلد الميتة </w:t>
      </w:r>
      <w:r>
        <w:rPr>
          <w:rFonts w:eastAsia="Amiri" w:cs="Amiri" w:ascii="Amiri" w:hAnsi="Amiri"/>
          <w:color w:val="111111"/>
          <w:sz w:val="28"/>
          <w:szCs w:val="28"/>
          <w:lang w:bidi="ar-SA"/>
        </w:rPr>
        <w:t>371</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المصلّي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ما يستتر به المصلّي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معرفة القبلة و قبلة المتحيّر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آداب المساجد و توقير القبلة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كيفيّة الأذان و الإقامة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شرائط الأذان و الإقامة و آدابهما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أبواب صفة الصلاة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تكبيرة الإحرام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حكم تكرير السورة و تبعيضها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الركوع و الذكر فيه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السجود و ما يسجد عليه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فضيلة التعقيب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السهو في أجزاء الصلاة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الشكّ في أجزاء الصلاة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السهو في عدد الركعات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إمكان سهو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حكم سهو المسافر في التقصير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الشكّ في الغداة 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الثنائيّة و الثلاثيّة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الشكّ فيما زاد على 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الرباعيّة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من لا يعتدّ بشكّه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حكم من فاتته صلاة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أبواب فضل صلاة الجمعة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أعمال يوم الجمعة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وقت صلاة الجمعة </w:t>
      </w:r>
      <w:r>
        <w:rPr>
          <w:rFonts w:eastAsia="Amiri" w:cs="Amiri" w:ascii="Amiri" w:hAnsi="Amiri"/>
          <w:color w:val="111111"/>
          <w:sz w:val="28"/>
          <w:szCs w:val="28"/>
          <w:lang w:bidi="ar-SA"/>
        </w:rPr>
        <w:t>401</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الجمعة و شرائطها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قنوت صلاة الجمعة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صلاة الجماعة أحكام صلاة الجماعة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أبواب بقيّة الصلوات المفروضات و المسنونات شرائط صلاة العيدين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تأخير الصلاة إلى الغد 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التحزّن يوم العيدين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صلاة الكسوف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كتاب الزكاة و الخمس و المبرّات أبواب زكاة المال العلّة في وجوب الزكاة و قدرها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زكاة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 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زكاة الغلات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زكاة الأنعام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مصرف الزكاة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عدم حليّة الزكاة لبني هاشم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كيفيّة إعطاء الزكاة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نقل الزكاة و ضمانها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حكم من يمتنع من أخذ الزكاة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أبواب الخمس و سائر ما يصرف إلى الإمام عليه السّلام غناء الإمام عن أموال الناس </w:t>
      </w:r>
      <w:r>
        <w:rPr>
          <w:rFonts w:eastAsia="Amiri" w:cs="Amiri" w:ascii="Amiri" w:hAnsi="Amiri"/>
          <w:color w:val="111111"/>
          <w:sz w:val="28"/>
          <w:szCs w:val="28"/>
          <w:lang w:bidi="ar-SA"/>
        </w:rPr>
        <w:t>447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الغنائم و الفوائد و مصارفها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اعتبار الانتساب إلى هاشم بالأب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ما يجب فيه الخمس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الخمس بعد المئونة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مصرف الخمس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تحليل الخمس للشيعة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أبواب سائر أصناف الإنفاق أحكام القرض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أحكام الصدقات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أحكام الهبة و النحلة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أحكام السكنى و العمرى و الرقبى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أحكام الوقف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كتاب الصيام و الاعتكاف و المعاهدات أبواب فرض الصيام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صيام المسافر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أحكام صيام يوم الشكّ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ثبوت الشهر برؤية الهلال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عدد أيّام شهر رمضان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رؤية الهلال قبل الزوال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حكم الصوم و الإفطار تقيّة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أبواب نواقض الصيام ما ينقض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الارتماس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حكم الصائم إذا أصبح جنبا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يفطر المسافر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كتاب المطاعم و المشارب و التجمّلات أبواب ما يحلّ من المطاعم و ما لا يحلّ المطاعم المحلّلة و المحرّمة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حكم الحيوان إذا رضع من الخنزيرة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الانتفاع من أجزاء الميتة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حكم اختلاط ما يؤكل بغيره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أبواب الصيد و الذبائح حكم الصيد بالسلاح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أبواب المشارب حرمة الخمر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كتاب النكاح و الطلاق و الولادات أبواب بدء النكاح و الحثّ عليه الحرّ يتزوّج الأمة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من أوقب غلاما حرمت عليه أمّه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الرضاع من يحرم بالرضاع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حدّ الرضاع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صفة لبن الفحل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اعتبار اتّحاد الفحل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سائر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نكاح ذات البعل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وطء الزوجة قبل التسع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 xml:space="preserve">حكم الجمع بين الفاطميّتين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النكاح المنقطع إثبات المتعة و ثوابها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حكم المتعة مع الاستغناء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المرأة مصدّقة على نفسها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حكم التمتّع بالأبكار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حكم التمتّع بالإماء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حكم النظر لمن أراد التزويج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أولياء العقد وليّ العقد على الأبكار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وليّ العقد على الصغار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من لها التزويج بغير وليّ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حكم الدخول بالمرأة قبل إعطائها المهر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نكاح الإماء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حكم نكاح المفقود زوجها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بعض أحكام المتعة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كتاب الجنائز و الفرائض و الوصيّات أبواب التجهيز ثواب تجهيز الميّت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علّة غسل الميّت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 xml:space="preserve">المنابع و الماخذ </w:t>
      </w:r>
      <w:r>
        <w:rPr>
          <w:rFonts w:eastAsia="IRNazanin" w:cs="IRNazanin"/>
          <w:color w:val="111111"/>
          <w:sz w:val="28"/>
          <w:szCs w:val="28"/>
          <w:lang w:bidi="fa-IR"/>
        </w:rPr>
        <w:t>587</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605</w:t>
      </w:r>
      <w:bookmarkStart w:id="805" w:name="pg2470_12859"/>
    </w:p>
    <w:p>
      <w:pPr>
        <w:pStyle w:val="BookText"/>
        <w:rPr/>
      </w:pPr>
      <w:bookmarkEnd w:id="8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نحمده و نستعينه، و الصلاة و السلام على نبيّنا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قامت مؤسّسة العلّامة المجدّد الوحيد البهبهاني رحمه اللّه بتحقيق الكتب القيّمة، فقد طبع بعض منها</w:t>
      </w:r>
      <w:r>
        <w:rPr>
          <w:rFonts w:eastAsia="Amiri" w:cs="Amiri" w:ascii="Amiri" w:hAnsi="Amiri"/>
          <w:color w:val="111111"/>
          <w:sz w:val="28"/>
          <w:szCs w:val="28"/>
          <w:rtl w:val="true"/>
          <w:lang w:bidi="ar-SA"/>
        </w:rPr>
        <w:t>.</w:t>
      </w:r>
    </w:p>
    <w:p>
      <w:pPr>
        <w:pStyle w:val="Heading2"/>
        <w:numPr>
          <w:ilvl w:val="1"/>
          <w:numId w:val="1"/>
        </w:numPr>
        <w:rPr/>
      </w:pPr>
      <w:bookmarkStart w:id="806" w:name="__RefHeading___Toc3601868_3804643083"/>
      <w:bookmarkStart w:id="807" w:name="_Toc302"/>
      <w:bookmarkEnd w:id="806"/>
      <w:r>
        <w:rPr>
          <w:rtl w:val="true"/>
        </w:rPr>
        <w:t>فهرس الكتب و الرسائل المحقّقة المطبوعة</w:t>
      </w:r>
      <w:bookmarkEnd w:id="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شبهات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فضائح الصوفية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فضائح الصوفية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راهبرد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الاصوليّة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مجمع الفائدة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الظلام في شرح مفاتيح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الوافي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بعينها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نوردها لمزيد الفائدة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نجد ثمّة ضرورة لبيان الفارق بين هؤلاء و مكتب الاصوليّين، بعد ما أسهبنا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في مقدمة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الاصوليّة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هذا التطوّر العلميّ الذي سايره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 مسيرة العلميّة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مقتبسة من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الاصوليّة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سنرجع للحديث عنه و ما قام به من خدمات و مساعي جميلة في هذا الباب في مقدّماتنا لكتبه إن شاء اللّه تعالى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المستحسن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للاطّلاع على آثار هذا النوع من التفكّر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العلّامة محمّد باقر المجلسي،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في شرح زبدة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الرموز و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موضّحا معنى اصطلاح المجدّد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محدث، و لعلّ وجه التسمية فيه مجملا ما ورد من طريق العامّة عن رسول اللّه صلّى اللّه عليه و آله و سلم بألفاظ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في كلّ عصر حجّة قائمة يردّ كيد الخائنين، و إنّ على رأس كلّ مائة مجدّدا للدين،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يرسل على كلّ مائة سنة رجلا يحيى الدين و يجدّد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ذهب شيخنا النوري في ظهر المجلّد الأوّل من المستدرك إلى أنّ هذا الحديث لم يصل لنا عن طريق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كلّ هذا فقد تلقي بالقبول، و قد عيّن كلّ من السنّة و الشيعة رجلا على كلّ مائة سنة، بل قد عيّنت كلّ فرقة منهم أو طائفة رجلا، فهم عيّنوا علماء المذاهب الأربعة و كذا جمهور المحدّثين أو القرّاء أو الوعّاظ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عيّنوا منفردين أشخاصا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ناقشوا في تعيين سواهم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قيل إنّه اتّفق علماء الإسلام بأنّ المجدّد على رأس المائة الثانية هو الإمام محمّد بن علي عليهما السّلام، و على القرن الثالث الإمام الثامن علي بن موسى الرضا عليهما السّلام، و المجدّد للقرن الرابع ثقة الإسلام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المجدّد للقرن الرابع عشر الميرزا محمّد حسن الشيرازي المتوفّى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برأس المائة هو تمامها، فيكون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مروّجين تلك المائة، و يلزم كون المجدّد حيّا على رأس تلك المائة و وفاته بعد دخول المائة البعديّة و دركه لها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في شرح زبدة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ولد الوحيد المرحوم الآقا محمد علي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من الدنيا يا باقر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اخترنا من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الأخبار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المواليد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 في مكتبة السيد المرعشى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تاريخ كاشان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مكتبة السيد المرعشي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خصائص الحجج و فضائلهم عليهم السّلام،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أنّ الأئمة عليهم السّلام يزدادون في ليلة الجمعة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خصائص الحجج و فضائلهم عليهم السّلام،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أنّ الأئمة عليهم السّلام إذا شاءوا أن يعلموا علّموا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الوافية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معالم الدين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الوافية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 البطن من ريح و غائط،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19002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 مع اختلاف يسير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إسماعيل بن مسلم بن زياد السكوني،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الاكتفاء في رفع النجاسة بكل ما روى،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الوافي،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21361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3756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و الصحيح ما أثبتناه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 الصحيح ما أثبتناه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 الصحيح ما أثبتناه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معالم الدين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معالم الدين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كشف الغمّة، نقل عنه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4030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نقل بالمضمون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33381</w:t>
      </w:r>
      <w:r>
        <w:rPr>
          <w:rFonts w:ascii="IRNazanin" w:hAnsi="IRNazanin" w:eastAsia="IRNazanin"/>
          <w:b w:val="false"/>
          <w:b w:val="false"/>
          <w:bCs w:val="false"/>
          <w:i w:val="false"/>
          <w:i w:val="false"/>
          <w:iCs w:val="false"/>
          <w:color w:val="333333"/>
          <w:sz w:val="20"/>
          <w:sz w:val="20"/>
          <w:szCs w:val="20"/>
          <w:rtl w:val="true"/>
        </w:rPr>
        <w:t>، نقل بالمعنى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نقل بالمضمون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معالم الدين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شرح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الرسائل التسع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العزيّة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الغسلات في الوضوء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الساق اليابس من قدم،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ظاهر السابق،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المحلّى بالآثار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أحكام القرآن لابن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الوضوء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4489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4490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4508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4528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ساقطا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4653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4708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الكافي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4708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 ما يناسبهما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نقل بالمعنى</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مستنده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الوافية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4880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الجنابة،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الخبر، و خبر علي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الخبر و خبر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4939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4960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5435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5597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11169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هام يهيم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على وجهه لا يدري أين يتوجّه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سلك طريقا مسلوكا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5633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5679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5684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5686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11282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مدارك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صدر الدين محمّد بن السيّد باقر الرضوي القمّي صاحب شرح الوافية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11238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11354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6399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6463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6627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و الافتتاح</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و الافتتاح</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6797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الجنيد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6917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7125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7466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8071</w:t>
      </w:r>
      <w:r>
        <w:rPr>
          <w:rFonts w:ascii="IRNazanin" w:hAnsi="IRNazanin" w:eastAsia="IRNazanin"/>
          <w:b w:val="false"/>
          <w:b w:val="false"/>
          <w:bCs w:val="false"/>
          <w:i w:val="false"/>
          <w:i w:val="false"/>
          <w:iCs w:val="false"/>
          <w:color w:val="333333"/>
          <w:sz w:val="20"/>
          <w:sz w:val="20"/>
          <w:szCs w:val="20"/>
          <w:rtl w:val="true"/>
        </w:rPr>
        <w:t>، مع اختلاف في السند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 عليهم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7478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ردّة إلى التام و الميم، أو سبقت كلمته إلى حنكه الأعلى، و عن أبي زيد التمتام الذي يعجل في الكلام و لا يفهمك،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الفأفاء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الفاء و تردّد فيها في كلامه، و قال المطرزي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الفأفاء الذي لا يقدر على إخراج الكلمة من لسانه إلّا بجهد مبتدئ في أوّل إخراجها بشبه الفاء ثمّ يؤدّي بعد بالجهد حروف الكلمة على 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33364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33365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7485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7508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زرارة و محمّد بن مسلم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11337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7509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10456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7629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7629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7803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7839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7861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7867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9491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7872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7875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أمالي الصدوق، لكن نقل عنه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26394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 ما يناسبهما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7878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7881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8239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8244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التحزّن يوم العيدين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8248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9745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9838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8288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13407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8324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9898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8387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9936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9934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8390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9935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9133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بهذا المضمون من العجلي، نعم ورد في رواية زرارة و محمّد 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يعطى من يعرف دون من لا يعرف لم يوجد لها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23769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11689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9405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9356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11905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9363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9371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11907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11905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9413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26068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9446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الزكاة،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9450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11948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9466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9478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12107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9479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9581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9587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26046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25956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أصلي هو أبي و إنّما أمّي عابر سبيل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9614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9619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12609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9628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عبد اللّه عليه السّلام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9628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9631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9674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9631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9632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12692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9661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9664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9666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9668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9671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9672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9674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9675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12692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الخمس و سائر ما يصرف إلى الإمام عليه السّلام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مراده رحمه اللّه حكاية عبد اللّه بن مبارك الذي يحجّ سنة و يغز و سنة، و داوم على ذلك خمسين سنة، فخرج في سنة للحجّ و أخذ خمس مائة دينار ليشتري جمالا للحجّ، فرأى امرأة علويّة على بعض المزابل تنتف ريش بطّة ميّتة و أعطى الدنانير لها و لم يحجّ، فرأى رسول اللّه صلّى اللّه عليه و آله و سلم في النوم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لا تعجب، فإنّك أغثت ملهوفة من ولدي فسألت اللّه أن يخلق ملكا على صورتك يحجّ عنك كلّ عام إلى يوم القيامة، فإن شئت أن تحجّ و إن شئت ألا تحجّ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حكاية علويّة التي خرجت مع بناتها إلى سمرقند، و قال لها شيخ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اقيمي عندي البيّنة أنّك علويّة، فآواها ضامن البلد المجوسي فأسلم هو و أهل بيته ببركتهنّ،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9904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9905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10012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24429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10021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24482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 و الصدقات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 و الصدقات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24440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10038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الهبات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24478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24478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24655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24487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10077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11602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24464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 الصدقات</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10102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24388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10103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12751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13462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13464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10525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13389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13369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10582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10584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10585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10598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10598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للعباد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10604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12753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12785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12774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12847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10830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12822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12832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الآيات</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18976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30244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25948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19002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19051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19143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29755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20081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31914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32080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20083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31915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20955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26885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21053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26048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26049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21114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25919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20826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25848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بالنسب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25847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21122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21136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25882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21146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25871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21149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25879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25928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بدء النكاح و الحثّ عليه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21171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الراسخين في العلم هم الأئمّة عليهم السّلام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21175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25902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25902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25902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26046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21179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26055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21223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26074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26064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21222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26068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21235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26181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لم نعثر على قول المفيد في مظانّه،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21294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21308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21327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26358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21346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26421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21361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26442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21367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26447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خالفهم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21375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26462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21376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26463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21391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الحائريّات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21391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21401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25102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21446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25643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25653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25599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21449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25643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21448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25600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21449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25609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25603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25640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26486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26491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25638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25617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25066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25067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25653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21469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25594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ولي العقد على الأبكار،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21482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25642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21673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27058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21780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21785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26705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21786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21791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21791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21794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26707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21795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26709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21796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21806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26663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21875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28264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21870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اقسام الطلاق و أحكامه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21899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26546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21289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26409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21320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25098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الصحيح هو ابن زهرة،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26419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24041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24047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57373</Words>
  <Characters>230927</Characters>
  <CharactersWithSpaces>285934</CharactersWithSpaces>
  <Paragraphs>2367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2026-08-17T08:13:30Z</dcterms:created>
  <dc:creator>ghaemiyeh.com</dc:creator>
  <dc:description/>
  <dc:language>en-US</dc:language>
  <cp:lastModifiedBy/>
  <dcterms:modified xsi:type="dcterms:W3CDTF">2026-08-17T11:43:54Z</dcterms:modified>
  <cp:revision>1</cp:revision>
  <dc:subject/>
  <dc:title>حاشیه الوافی</dc:title>
</cp:coreProperties>
</file>

<file path=docProps/custom.xml><?xml version="1.0" encoding="utf-8"?>
<Properties xmlns="http://schemas.openxmlformats.org/officeDocument/2006/custom-properties" xmlns:vt="http://schemas.openxmlformats.org/officeDocument/2006/docPropsVTypes"/>
</file>