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الودیعه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2572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42574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42576_3804643083">
            <w:r>
              <w:rPr>
                <w:webHidden/>
                <w:rStyle w:val="IndexLink"/>
                <w:rtl w:val="true"/>
              </w:rPr>
              <w:t>[</w:t>
            </w:r>
            <w:r>
              <w:rPr>
                <w:rStyle w:val="IndexLink"/>
                <w:rtl w:val="true"/>
              </w:rPr>
              <w:t>فی معنی الودیعة</w:t>
            </w:r>
            <w:r>
              <w:rPr>
                <w:rStyle w:val="IndexLink"/>
                <w:rtl w:val="true"/>
              </w:rPr>
              <w:t>]</w:t>
              <w:tab/>
            </w:r>
            <w:r>
              <w:rPr>
                <w:rStyle w:val="IndexLink"/>
              </w:rPr>
              <w:t>4</w:t>
            </w:r>
          </w:hyperlink>
        </w:p>
        <w:p>
          <w:pPr>
            <w:pStyle w:val="Contents2"/>
            <w:tabs>
              <w:tab w:val="clear" w:pos="8743"/>
              <w:tab w:val="right" w:pos="9026" w:leader="dot"/>
            </w:tabs>
            <w:rPr/>
          </w:pPr>
          <w:hyperlink w:anchor="__RefHeading___Toc3242578_3804643083">
            <w:r>
              <w:rPr>
                <w:webHidden/>
                <w:rStyle w:val="IndexLink"/>
                <w:rtl w:val="true"/>
              </w:rPr>
              <w:t>و هنا أمور</w:t>
            </w:r>
            <w:r>
              <w:rPr>
                <w:rStyle w:val="IndexLink"/>
                <w:rtl w:val="true"/>
              </w:rPr>
              <w:t>:</w:t>
              <w:tab/>
            </w:r>
            <w:r>
              <w:rPr>
                <w:rStyle w:val="IndexLink"/>
              </w:rPr>
              <w:t>5</w:t>
            </w:r>
          </w:hyperlink>
        </w:p>
        <w:p>
          <w:pPr>
            <w:pStyle w:val="Contents3"/>
            <w:tabs>
              <w:tab w:val="clear" w:pos="8459"/>
              <w:tab w:val="right" w:pos="9026" w:leader="dot"/>
            </w:tabs>
            <w:rPr/>
          </w:pPr>
          <w:hyperlink w:anchor="__RefHeading___Toc3242580_3804643083">
            <w:r>
              <w:rPr>
                <w:webHidden/>
                <w:rStyle w:val="IndexLink"/>
                <w:rtl w:val="true"/>
              </w:rPr>
              <w:t>أحدها</w:t>
            </w:r>
            <w:r>
              <w:rPr>
                <w:rStyle w:val="IndexLink"/>
                <w:rtl w:val="true"/>
              </w:rPr>
              <w:t xml:space="preserve">: </w:t>
            </w:r>
            <w:r>
              <w:rPr>
                <w:rStyle w:val="IndexLink"/>
                <w:rtl w:val="true"/>
              </w:rPr>
              <w:t>الودیعة عقد الإذن</w:t>
            </w:r>
            <w:r>
              <w:rPr>
                <w:rStyle w:val="IndexLink"/>
                <w:rtl w:val="true"/>
              </w:rPr>
              <w:tab/>
            </w:r>
            <w:r>
              <w:rPr>
                <w:rStyle w:val="IndexLink"/>
              </w:rPr>
              <w:t>5</w:t>
            </w:r>
          </w:hyperlink>
        </w:p>
        <w:p>
          <w:pPr>
            <w:pStyle w:val="Contents3"/>
            <w:tabs>
              <w:tab w:val="clear" w:pos="8459"/>
              <w:tab w:val="right" w:pos="9026" w:leader="dot"/>
            </w:tabs>
            <w:rPr/>
          </w:pPr>
          <w:hyperlink w:anchor="__RefHeading___Toc3242582_3804643083">
            <w:r>
              <w:rPr>
                <w:webHidden/>
                <w:rStyle w:val="IndexLink"/>
                <w:rtl w:val="true"/>
              </w:rPr>
              <w:t>ثانیها</w:t>
            </w:r>
            <w:r>
              <w:rPr>
                <w:rStyle w:val="IndexLink"/>
                <w:rtl w:val="true"/>
              </w:rPr>
              <w:t xml:space="preserve">: </w:t>
            </w:r>
            <w:r>
              <w:rPr>
                <w:rStyle w:val="IndexLink"/>
                <w:rtl w:val="true"/>
              </w:rPr>
              <w:t>إذا قبض المستودع الودیعة وجب علیه الحفظ لوجوب الرد و التأدیة</w:t>
            </w:r>
            <w:r>
              <w:rPr>
                <w:rStyle w:val="IndexLink"/>
                <w:rtl w:val="true"/>
              </w:rPr>
              <w:tab/>
            </w:r>
            <w:r>
              <w:rPr>
                <w:rStyle w:val="IndexLink"/>
              </w:rPr>
              <w:t>6</w:t>
            </w:r>
          </w:hyperlink>
        </w:p>
        <w:p>
          <w:pPr>
            <w:pStyle w:val="Contents3"/>
            <w:tabs>
              <w:tab w:val="clear" w:pos="8459"/>
              <w:tab w:val="right" w:pos="9026" w:leader="dot"/>
            </w:tabs>
            <w:rPr/>
          </w:pPr>
          <w:hyperlink w:anchor="__RefHeading___Toc3242584_3804643083">
            <w:r>
              <w:rPr>
                <w:webHidden/>
                <w:rStyle w:val="IndexLink"/>
                <w:rtl w:val="true"/>
              </w:rPr>
              <w:t>ثالثها</w:t>
            </w:r>
            <w:r>
              <w:rPr>
                <w:rStyle w:val="IndexLink"/>
                <w:rtl w:val="true"/>
              </w:rPr>
              <w:t xml:space="preserve">: </w:t>
            </w:r>
            <w:r>
              <w:rPr>
                <w:rStyle w:val="IndexLink"/>
                <w:rtl w:val="true"/>
              </w:rPr>
              <w:t>لو دفع الودعی الودیعة لغیر المودع ملجأً و إکراهاً أو تقیةً علی نفس أو مال یضر بحاله</w:t>
            </w:r>
            <w:r>
              <w:rPr>
                <w:rStyle w:val="IndexLink"/>
                <w:rtl w:val="true"/>
              </w:rPr>
              <w:tab/>
            </w:r>
            <w:r>
              <w:rPr>
                <w:rStyle w:val="IndexLink"/>
              </w:rPr>
              <w:t>7</w:t>
            </w:r>
          </w:hyperlink>
        </w:p>
        <w:p>
          <w:pPr>
            <w:pStyle w:val="Contents3"/>
            <w:tabs>
              <w:tab w:val="clear" w:pos="8459"/>
              <w:tab w:val="right" w:pos="9026" w:leader="dot"/>
            </w:tabs>
            <w:rPr/>
          </w:pPr>
          <w:hyperlink w:anchor="__RefHeading___Toc3242586_3804643083">
            <w:r>
              <w:rPr>
                <w:webHidden/>
                <w:rStyle w:val="IndexLink"/>
                <w:rtl w:val="true"/>
              </w:rPr>
              <w:t>رابعها</w:t>
            </w:r>
            <w:r>
              <w:rPr>
                <w:rStyle w:val="IndexLink"/>
                <w:rtl w:val="true"/>
              </w:rPr>
              <w:t xml:space="preserve">: </w:t>
            </w:r>
            <w:r>
              <w:rPr>
                <w:rStyle w:val="IndexLink"/>
                <w:rtl w:val="true"/>
              </w:rPr>
              <w:t>الودیعة تبطل بالفسخ من المودع و المستودع</w:t>
            </w:r>
            <w:r>
              <w:rPr>
                <w:rStyle w:val="IndexLink"/>
                <w:rtl w:val="true"/>
              </w:rPr>
              <w:tab/>
            </w:r>
            <w:r>
              <w:rPr>
                <w:rStyle w:val="IndexLink"/>
              </w:rPr>
              <w:t>8</w:t>
            </w:r>
          </w:hyperlink>
        </w:p>
        <w:p>
          <w:pPr>
            <w:pStyle w:val="Contents3"/>
            <w:tabs>
              <w:tab w:val="clear" w:pos="8459"/>
              <w:tab w:val="right" w:pos="9026" w:leader="dot"/>
            </w:tabs>
            <w:rPr/>
          </w:pPr>
          <w:hyperlink w:anchor="__RefHeading___Toc3242588_3804643083">
            <w:r>
              <w:rPr>
                <w:webHidden/>
                <w:rStyle w:val="IndexLink"/>
                <w:rtl w:val="true"/>
              </w:rPr>
              <w:t>خامسها</w:t>
            </w:r>
            <w:r>
              <w:rPr>
                <w:rStyle w:val="IndexLink"/>
                <w:rtl w:val="true"/>
              </w:rPr>
              <w:t xml:space="preserve">: </w:t>
            </w:r>
            <w:r>
              <w:rPr>
                <w:rStyle w:val="IndexLink"/>
                <w:rtl w:val="true"/>
              </w:rPr>
              <w:t>قد تقدم الحکم بوجوب الحفظ علی الودعی</w:t>
            </w:r>
            <w:r>
              <w:rPr>
                <w:rStyle w:val="IndexLink"/>
                <w:rtl w:val="true"/>
              </w:rPr>
              <w:tab/>
            </w:r>
            <w:r>
              <w:rPr>
                <w:rStyle w:val="IndexLink"/>
              </w:rPr>
              <w:t>9</w:t>
            </w:r>
          </w:hyperlink>
        </w:p>
        <w:p>
          <w:pPr>
            <w:pStyle w:val="Contents3"/>
            <w:tabs>
              <w:tab w:val="clear" w:pos="8459"/>
              <w:tab w:val="right" w:pos="9026" w:leader="dot"/>
            </w:tabs>
            <w:rPr/>
          </w:pPr>
          <w:hyperlink w:anchor="__RefHeading___Toc3242590_3804643083">
            <w:r>
              <w:rPr>
                <w:webHidden/>
                <w:rStyle w:val="IndexLink"/>
                <w:rtl w:val="true"/>
              </w:rPr>
              <w:t>سادسها</w:t>
            </w:r>
            <w:r>
              <w:rPr>
                <w:rStyle w:val="IndexLink"/>
                <w:rtl w:val="true"/>
              </w:rPr>
              <w:t xml:space="preserve">: </w:t>
            </w:r>
            <w:r>
              <w:rPr>
                <w:rStyle w:val="IndexLink"/>
                <w:rtl w:val="true"/>
              </w:rPr>
              <w:t>لو أودع عنده دابة و قبلها المستودع</w:t>
            </w:r>
            <w:r>
              <w:rPr>
                <w:rStyle w:val="IndexLink"/>
                <w:rtl w:val="true"/>
              </w:rPr>
              <w:tab/>
            </w:r>
            <w:r>
              <w:rPr>
                <w:rStyle w:val="IndexLink"/>
              </w:rPr>
              <w:t>9</w:t>
            </w:r>
          </w:hyperlink>
        </w:p>
        <w:p>
          <w:pPr>
            <w:pStyle w:val="Contents3"/>
            <w:tabs>
              <w:tab w:val="clear" w:pos="8459"/>
              <w:tab w:val="right" w:pos="9026" w:leader="dot"/>
            </w:tabs>
            <w:rPr/>
          </w:pPr>
          <w:hyperlink w:anchor="__RefHeading___Toc3242592_3804643083">
            <w:r>
              <w:rPr>
                <w:webHidden/>
                <w:rStyle w:val="IndexLink"/>
                <w:rtl w:val="true"/>
              </w:rPr>
              <w:t>سابعها</w:t>
            </w:r>
            <w:r>
              <w:rPr>
                <w:rStyle w:val="IndexLink"/>
                <w:rtl w:val="true"/>
              </w:rPr>
              <w:t xml:space="preserve">: </w:t>
            </w:r>
            <w:r>
              <w:rPr>
                <w:rStyle w:val="IndexLink"/>
                <w:rtl w:val="true"/>
              </w:rPr>
              <w:t>لو عین المودع للودیعة حرزاً علی جهة تعیین الجنسیة أو النوعیة أو الشخصیة</w:t>
            </w:r>
            <w:r>
              <w:rPr>
                <w:rStyle w:val="IndexLink"/>
                <w:rtl w:val="true"/>
              </w:rPr>
              <w:tab/>
            </w:r>
            <w:r>
              <w:rPr>
                <w:rStyle w:val="IndexLink"/>
              </w:rPr>
              <w:t>10</w:t>
            </w:r>
          </w:hyperlink>
        </w:p>
        <w:p>
          <w:pPr>
            <w:pStyle w:val="Contents3"/>
            <w:tabs>
              <w:tab w:val="clear" w:pos="8459"/>
              <w:tab w:val="right" w:pos="9026" w:leader="dot"/>
            </w:tabs>
            <w:rPr/>
          </w:pPr>
          <w:hyperlink w:anchor="__RefHeading___Toc3242594_3804643083">
            <w:r>
              <w:rPr>
                <w:webHidden/>
                <w:rStyle w:val="IndexLink"/>
                <w:rtl w:val="true"/>
              </w:rPr>
              <w:t>ثامنها</w:t>
            </w:r>
            <w:r>
              <w:rPr>
                <w:rStyle w:val="IndexLink"/>
                <w:rtl w:val="true"/>
              </w:rPr>
              <w:t xml:space="preserve">: </w:t>
            </w:r>
            <w:r>
              <w:rPr>
                <w:rStyle w:val="IndexLink"/>
                <w:rtl w:val="true"/>
              </w:rPr>
              <w:t>تضمن الودیعة بالتعدی و التفریط</w:t>
            </w:r>
            <w:r>
              <w:rPr>
                <w:rStyle w:val="IndexLink"/>
                <w:rtl w:val="true"/>
              </w:rPr>
              <w:tab/>
            </w:r>
            <w:r>
              <w:rPr>
                <w:rStyle w:val="IndexLink"/>
              </w:rPr>
              <w:t>11</w:t>
            </w:r>
          </w:hyperlink>
        </w:p>
        <w:p>
          <w:pPr>
            <w:pStyle w:val="Contents3"/>
            <w:tabs>
              <w:tab w:val="clear" w:pos="8459"/>
              <w:tab w:val="right" w:pos="9026" w:leader="dot"/>
            </w:tabs>
            <w:rPr/>
          </w:pPr>
          <w:hyperlink w:anchor="__RefHeading___Toc3242596_3804643083">
            <w:r>
              <w:rPr>
                <w:webHidden/>
                <w:rStyle w:val="IndexLink"/>
                <w:rtl w:val="true"/>
              </w:rPr>
              <w:t>تاسعها</w:t>
            </w:r>
            <w:r>
              <w:rPr>
                <w:rStyle w:val="IndexLink"/>
                <w:rtl w:val="true"/>
              </w:rPr>
              <w:t xml:space="preserve">: </w:t>
            </w:r>
            <w:r>
              <w:rPr>
                <w:rStyle w:val="IndexLink"/>
                <w:rtl w:val="true"/>
              </w:rPr>
              <w:t>لا تصح الودیعة من المجنون و الصبی</w:t>
            </w:r>
            <w:r>
              <w:rPr>
                <w:rStyle w:val="IndexLink"/>
                <w:rtl w:val="true"/>
              </w:rPr>
              <w:tab/>
            </w:r>
            <w:r>
              <w:rPr>
                <w:rStyle w:val="IndexLink"/>
              </w:rPr>
              <w:t>12</w:t>
            </w:r>
          </w:hyperlink>
        </w:p>
        <w:p>
          <w:pPr>
            <w:pStyle w:val="Contents3"/>
            <w:tabs>
              <w:tab w:val="clear" w:pos="8459"/>
              <w:tab w:val="right" w:pos="9026" w:leader="dot"/>
            </w:tabs>
            <w:rPr/>
          </w:pPr>
          <w:hyperlink w:anchor="__RefHeading___Toc3242598_3804643083">
            <w:r>
              <w:rPr>
                <w:webHidden/>
                <w:rStyle w:val="IndexLink"/>
                <w:rtl w:val="true"/>
              </w:rPr>
              <w:t>عاشرها</w:t>
            </w:r>
            <w:r>
              <w:rPr>
                <w:rStyle w:val="IndexLink"/>
                <w:rtl w:val="true"/>
              </w:rPr>
              <w:t xml:space="preserve">: </w:t>
            </w:r>
            <w:r>
              <w:rPr>
                <w:rStyle w:val="IndexLink"/>
                <w:rtl w:val="true"/>
              </w:rPr>
              <w:t>یجب رد الودیعة علی المالک أو وکیله إن کان حاضراً</w:t>
            </w:r>
            <w:r>
              <w:rPr>
                <w:rStyle w:val="IndexLink"/>
                <w:rtl w:val="true"/>
              </w:rPr>
              <w:tab/>
            </w:r>
            <w:r>
              <w:rPr>
                <w:rStyle w:val="IndexLink"/>
              </w:rPr>
              <w:t>12</w:t>
            </w:r>
          </w:hyperlink>
        </w:p>
        <w:p>
          <w:pPr>
            <w:pStyle w:val="Contents3"/>
            <w:tabs>
              <w:tab w:val="clear" w:pos="8459"/>
              <w:tab w:val="right" w:pos="9026" w:leader="dot"/>
            </w:tabs>
            <w:rPr/>
          </w:pPr>
          <w:hyperlink w:anchor="__RefHeading___Toc3242600_3804643083">
            <w:r>
              <w:rPr>
                <w:webHidden/>
                <w:rStyle w:val="IndexLink"/>
                <w:rtl w:val="true"/>
              </w:rPr>
              <w:t>حادی عشرها</w:t>
            </w:r>
            <w:r>
              <w:rPr>
                <w:rStyle w:val="IndexLink"/>
                <w:rtl w:val="true"/>
              </w:rPr>
              <w:t xml:space="preserve">: </w:t>
            </w:r>
            <w:r>
              <w:rPr>
                <w:rStyle w:val="IndexLink"/>
                <w:rtl w:val="true"/>
              </w:rPr>
              <w:t>یجب رد الودیعة إلی المالک عند المطالبة</w:t>
            </w:r>
            <w:r>
              <w:rPr>
                <w:rStyle w:val="IndexLink"/>
                <w:rtl w:val="true"/>
              </w:rPr>
              <w:tab/>
            </w:r>
            <w:r>
              <w:rPr>
                <w:rStyle w:val="IndexLink"/>
              </w:rPr>
              <w:t>13</w:t>
            </w:r>
          </w:hyperlink>
        </w:p>
        <w:p>
          <w:pPr>
            <w:pStyle w:val="Contents3"/>
            <w:tabs>
              <w:tab w:val="clear" w:pos="8459"/>
              <w:tab w:val="right" w:pos="9026" w:leader="dot"/>
            </w:tabs>
            <w:rPr/>
          </w:pPr>
          <w:hyperlink w:anchor="__RefHeading___Toc3242602_3804643083">
            <w:r>
              <w:rPr>
                <w:webHidden/>
                <w:rStyle w:val="IndexLink"/>
                <w:rtl w:val="true"/>
              </w:rPr>
              <w:t>ثانی عشرها</w:t>
            </w:r>
            <w:r>
              <w:rPr>
                <w:rStyle w:val="IndexLink"/>
                <w:rtl w:val="true"/>
              </w:rPr>
              <w:t xml:space="preserve">: </w:t>
            </w:r>
            <w:r>
              <w:rPr>
                <w:rStyle w:val="IndexLink"/>
                <w:rtl w:val="true"/>
              </w:rPr>
              <w:t>لو نهی المالک صریحاً عن جعل الودیعة فی مکان معین</w:t>
            </w:r>
            <w:r>
              <w:rPr>
                <w:rStyle w:val="IndexLink"/>
                <w:rtl w:val="true"/>
              </w:rPr>
              <w:tab/>
            </w:r>
            <w:r>
              <w:rPr>
                <w:rStyle w:val="IndexLink"/>
              </w:rPr>
              <w:t>14</w:t>
            </w:r>
          </w:hyperlink>
        </w:p>
        <w:p>
          <w:pPr>
            <w:pStyle w:val="Contents3"/>
            <w:tabs>
              <w:tab w:val="clear" w:pos="8459"/>
              <w:tab w:val="right" w:pos="9026" w:leader="dot"/>
            </w:tabs>
            <w:rPr/>
          </w:pPr>
          <w:hyperlink w:anchor="__RefHeading___Toc3242604_3804643083">
            <w:r>
              <w:rPr>
                <w:webHidden/>
                <w:rStyle w:val="IndexLink"/>
                <w:rtl w:val="true"/>
              </w:rPr>
              <w:t>ثالث عشرها</w:t>
            </w:r>
            <w:r>
              <w:rPr>
                <w:rStyle w:val="IndexLink"/>
                <w:rtl w:val="true"/>
              </w:rPr>
              <w:t xml:space="preserve">: </w:t>
            </w:r>
            <w:r>
              <w:rPr>
                <w:rStyle w:val="IndexLink"/>
                <w:rtl w:val="true"/>
              </w:rPr>
              <w:t>لو تصرف المستودع فی الودیعة ببیع أو شراء</w:t>
            </w:r>
            <w:r>
              <w:rPr>
                <w:rStyle w:val="IndexLink"/>
                <w:rtl w:val="true"/>
              </w:rPr>
              <w:tab/>
            </w:r>
            <w:r>
              <w:rPr>
                <w:rStyle w:val="IndexLink"/>
              </w:rPr>
              <w:t>14</w:t>
            </w:r>
          </w:hyperlink>
        </w:p>
        <w:p>
          <w:pPr>
            <w:pStyle w:val="Contents3"/>
            <w:tabs>
              <w:tab w:val="clear" w:pos="8459"/>
              <w:tab w:val="right" w:pos="9026" w:leader="dot"/>
            </w:tabs>
            <w:rPr/>
          </w:pPr>
          <w:hyperlink w:anchor="__RefHeading___Toc3242606_3804643083">
            <w:r>
              <w:rPr>
                <w:webHidden/>
                <w:rStyle w:val="IndexLink"/>
                <w:rtl w:val="true"/>
              </w:rPr>
              <w:t>رابع عشرها</w:t>
            </w:r>
            <w:r>
              <w:rPr>
                <w:rStyle w:val="IndexLink"/>
                <w:rtl w:val="true"/>
              </w:rPr>
              <w:t xml:space="preserve">: </w:t>
            </w:r>
            <w:r>
              <w:rPr>
                <w:rStyle w:val="IndexLink"/>
                <w:rtl w:val="true"/>
              </w:rPr>
              <w:t>لو ظهرت علی المستودع أمارات الموت لزمه رد الودیعة إلی المالک</w:t>
            </w:r>
            <w:r>
              <w:rPr>
                <w:rStyle w:val="IndexLink"/>
                <w:rtl w:val="true"/>
              </w:rPr>
              <w:tab/>
            </w:r>
            <w:r>
              <w:rPr>
                <w:rStyle w:val="IndexLink"/>
              </w:rPr>
              <w:t>16</w:t>
            </w:r>
          </w:hyperlink>
        </w:p>
        <w:p>
          <w:pPr>
            <w:pStyle w:val="Contents3"/>
            <w:tabs>
              <w:tab w:val="clear" w:pos="8459"/>
              <w:tab w:val="right" w:pos="9026" w:leader="dot"/>
            </w:tabs>
            <w:rPr/>
          </w:pPr>
          <w:hyperlink w:anchor="__RefHeading___Toc3242608_3804643083">
            <w:r>
              <w:rPr>
                <w:webHidden/>
                <w:rStyle w:val="IndexLink"/>
                <w:rtl w:val="true"/>
              </w:rPr>
              <w:t>خامس عشرها</w:t>
            </w:r>
            <w:r>
              <w:rPr>
                <w:rStyle w:val="IndexLink"/>
                <w:rtl w:val="true"/>
              </w:rPr>
              <w:t xml:space="preserve">: </w:t>
            </w:r>
            <w:r>
              <w:rPr>
                <w:rStyle w:val="IndexLink"/>
                <w:rtl w:val="true"/>
              </w:rPr>
              <w:t>لو کانت الودیعة غصباً</w:t>
            </w:r>
            <w:r>
              <w:rPr>
                <w:rStyle w:val="IndexLink"/>
                <w:rtl w:val="true"/>
              </w:rPr>
              <w:tab/>
            </w:r>
            <w:r>
              <w:rPr>
                <w:rStyle w:val="IndexLink"/>
              </w:rPr>
              <w:t>16</w:t>
            </w:r>
          </w:hyperlink>
        </w:p>
        <w:p>
          <w:pPr>
            <w:pStyle w:val="Contents3"/>
            <w:tabs>
              <w:tab w:val="clear" w:pos="8459"/>
              <w:tab w:val="right" w:pos="9026" w:leader="dot"/>
            </w:tabs>
            <w:rPr/>
          </w:pPr>
          <w:hyperlink w:anchor="__RefHeading___Toc3242610_3804643083">
            <w:r>
              <w:rPr>
                <w:webHidden/>
                <w:rStyle w:val="IndexLink"/>
                <w:rtl w:val="true"/>
              </w:rPr>
              <w:t>سادس عشرها</w:t>
            </w:r>
            <w:r>
              <w:rPr>
                <w:rStyle w:val="IndexLink"/>
                <w:rtl w:val="true"/>
              </w:rPr>
              <w:t xml:space="preserve">: </w:t>
            </w:r>
            <w:r>
              <w:rPr>
                <w:rStyle w:val="IndexLink"/>
                <w:rtl w:val="true"/>
              </w:rPr>
              <w:t>لو أراد المستودع السفر بعیداً أو قریباً شرعیاً أو عرفیاً</w:t>
            </w:r>
            <w:r>
              <w:rPr>
                <w:rStyle w:val="IndexLink"/>
                <w:rtl w:val="true"/>
              </w:rPr>
              <w:tab/>
            </w:r>
            <w:r>
              <w:rPr>
                <w:rStyle w:val="IndexLink"/>
              </w:rPr>
              <w:t>17</w:t>
            </w:r>
          </w:hyperlink>
        </w:p>
        <w:p>
          <w:pPr>
            <w:pStyle w:val="Contents3"/>
            <w:tabs>
              <w:tab w:val="clear" w:pos="8459"/>
              <w:tab w:val="right" w:pos="9026" w:leader="dot"/>
            </w:tabs>
            <w:rPr/>
          </w:pPr>
          <w:hyperlink w:anchor="__RefHeading___Toc3242612_3804643083">
            <w:r>
              <w:rPr>
                <w:webHidden/>
                <w:rStyle w:val="IndexLink"/>
                <w:rtl w:val="true"/>
              </w:rPr>
              <w:t>سابع عشرها</w:t>
            </w:r>
            <w:r>
              <w:rPr>
                <w:rStyle w:val="IndexLink"/>
                <w:rtl w:val="true"/>
              </w:rPr>
              <w:t xml:space="preserve">: </w:t>
            </w:r>
            <w:r>
              <w:rPr>
                <w:rStyle w:val="IndexLink"/>
                <w:rtl w:val="true"/>
              </w:rPr>
              <w:t>لو أودع الودیعة عند غیره من دون إذن المالک</w:t>
            </w:r>
            <w:r>
              <w:rPr>
                <w:rStyle w:val="IndexLink"/>
                <w:rtl w:val="true"/>
              </w:rPr>
              <w:tab/>
            </w:r>
            <w:r>
              <w:rPr>
                <w:rStyle w:val="IndexLink"/>
              </w:rPr>
              <w:t>18</w:t>
            </w:r>
          </w:hyperlink>
        </w:p>
        <w:p>
          <w:pPr>
            <w:pStyle w:val="Contents3"/>
            <w:tabs>
              <w:tab w:val="clear" w:pos="8459"/>
              <w:tab w:val="right" w:pos="9026" w:leader="dot"/>
            </w:tabs>
            <w:rPr/>
          </w:pPr>
          <w:hyperlink w:anchor="__RefHeading___Toc3242614_3804643083">
            <w:r>
              <w:rPr>
                <w:webHidden/>
                <w:rStyle w:val="IndexLink"/>
                <w:rtl w:val="true"/>
              </w:rPr>
              <w:t>ثامن عشرها</w:t>
            </w:r>
            <w:r>
              <w:rPr>
                <w:rStyle w:val="IndexLink"/>
                <w:rtl w:val="true"/>
              </w:rPr>
              <w:t xml:space="preserve">: </w:t>
            </w:r>
            <w:r>
              <w:rPr>
                <w:rStyle w:val="IndexLink"/>
                <w:rtl w:val="true"/>
              </w:rPr>
              <w:t>لو قبض المستودع الودیعة ابتداءً بقصد الخیانة</w:t>
            </w:r>
            <w:r>
              <w:rPr>
                <w:rStyle w:val="IndexLink"/>
                <w:rtl w:val="true"/>
              </w:rPr>
              <w:tab/>
            </w:r>
            <w:r>
              <w:rPr>
                <w:rStyle w:val="IndexLink"/>
              </w:rPr>
              <w:t>19</w:t>
            </w:r>
          </w:hyperlink>
        </w:p>
        <w:p>
          <w:pPr>
            <w:pStyle w:val="Contents3"/>
            <w:tabs>
              <w:tab w:val="clear" w:pos="8459"/>
              <w:tab w:val="right" w:pos="9026" w:leader="dot"/>
            </w:tabs>
            <w:rPr/>
          </w:pPr>
          <w:hyperlink w:anchor="__RefHeading___Toc3242616_3804643083">
            <w:r>
              <w:rPr>
                <w:webHidden/>
                <w:rStyle w:val="IndexLink"/>
                <w:rtl w:val="true"/>
              </w:rPr>
              <w:t>تاسع عشرها</w:t>
            </w:r>
            <w:r>
              <w:rPr>
                <w:rStyle w:val="IndexLink"/>
                <w:rtl w:val="true"/>
              </w:rPr>
              <w:t xml:space="preserve">: </w:t>
            </w:r>
            <w:r>
              <w:rPr>
                <w:rStyle w:val="IndexLink"/>
                <w:rtl w:val="true"/>
              </w:rPr>
              <w:t>التفریط سبب فی الضمان و لو لم تتلف الودیعة به</w:t>
            </w:r>
            <w:r>
              <w:rPr>
                <w:rStyle w:val="IndexLink"/>
                <w:rtl w:val="true"/>
              </w:rPr>
              <w:tab/>
            </w:r>
            <w:r>
              <w:rPr>
                <w:rStyle w:val="IndexLink"/>
              </w:rPr>
              <w:t>19</w:t>
            </w:r>
          </w:hyperlink>
        </w:p>
        <w:p>
          <w:pPr>
            <w:pStyle w:val="Contents3"/>
            <w:tabs>
              <w:tab w:val="clear" w:pos="8459"/>
              <w:tab w:val="right" w:pos="9026" w:leader="dot"/>
            </w:tabs>
            <w:rPr/>
          </w:pPr>
          <w:hyperlink w:anchor="__RefHeading___Toc3242618_3804643083">
            <w:r>
              <w:rPr>
                <w:webHidden/>
                <w:rStyle w:val="IndexLink"/>
                <w:rtl w:val="true"/>
              </w:rPr>
              <w:t>العشرون</w:t>
            </w:r>
            <w:r>
              <w:rPr>
                <w:rStyle w:val="IndexLink"/>
                <w:rtl w:val="true"/>
              </w:rPr>
              <w:t xml:space="preserve">: </w:t>
            </w:r>
            <w:r>
              <w:rPr>
                <w:rStyle w:val="IndexLink"/>
                <w:rtl w:val="true"/>
              </w:rPr>
              <w:t>لو أمره المالک بدفع الودیعة إلی الوکیل</w:t>
            </w:r>
            <w:r>
              <w:rPr>
                <w:rStyle w:val="IndexLink"/>
                <w:rtl w:val="true"/>
              </w:rPr>
              <w:tab/>
            </w:r>
            <w:r>
              <w:rPr>
                <w:rStyle w:val="IndexLink"/>
              </w:rPr>
              <w:t>19</w:t>
            </w:r>
          </w:hyperlink>
        </w:p>
        <w:p>
          <w:pPr>
            <w:pStyle w:val="Contents3"/>
            <w:tabs>
              <w:tab w:val="clear" w:pos="8459"/>
              <w:tab w:val="right" w:pos="9026" w:leader="dot"/>
            </w:tabs>
            <w:rPr/>
          </w:pPr>
          <w:hyperlink w:anchor="__RefHeading___Toc3242620_3804643083">
            <w:r>
              <w:rPr>
                <w:webHidden/>
                <w:rStyle w:val="IndexLink"/>
                <w:rtl w:val="true"/>
              </w:rPr>
              <w:t>الحادی و العشرون</w:t>
            </w:r>
            <w:r>
              <w:rPr>
                <w:rStyle w:val="IndexLink"/>
                <w:rtl w:val="true"/>
              </w:rPr>
              <w:t xml:space="preserve">: </w:t>
            </w:r>
            <w:r>
              <w:rPr>
                <w:rStyle w:val="IndexLink"/>
                <w:rtl w:val="true"/>
              </w:rPr>
              <w:t>لو جحد الودعی الودیعة من غیر عذر کتقیة أو نسیان أو خوف علیها من ظالم أو سارق</w:t>
            </w:r>
            <w:r>
              <w:rPr>
                <w:rStyle w:val="IndexLink"/>
                <w:rtl w:val="true"/>
              </w:rPr>
              <w:tab/>
            </w:r>
            <w:r>
              <w:rPr>
                <w:rStyle w:val="IndexLink"/>
              </w:rPr>
              <w:t>20</w:t>
            </w:r>
          </w:hyperlink>
        </w:p>
        <w:p>
          <w:pPr>
            <w:pStyle w:val="Contents3"/>
            <w:tabs>
              <w:tab w:val="clear" w:pos="8459"/>
              <w:tab w:val="right" w:pos="9026" w:leader="dot"/>
            </w:tabs>
            <w:rPr/>
          </w:pPr>
          <w:hyperlink w:anchor="__RefHeading___Toc3242622_3804643083">
            <w:r>
              <w:rPr>
                <w:webHidden/>
                <w:rStyle w:val="IndexLink"/>
                <w:rtl w:val="true"/>
              </w:rPr>
              <w:t>الثانی و العشرون</w:t>
            </w:r>
            <w:r>
              <w:rPr>
                <w:rStyle w:val="IndexLink"/>
                <w:rtl w:val="true"/>
              </w:rPr>
              <w:t xml:space="preserve">: </w:t>
            </w:r>
            <w:r>
              <w:rPr>
                <w:rStyle w:val="IndexLink"/>
                <w:rtl w:val="true"/>
              </w:rPr>
              <w:t>لو مزج الودیعة بماله أو بمال المالک</w:t>
            </w:r>
            <w:r>
              <w:rPr>
                <w:rStyle w:val="IndexLink"/>
                <w:rtl w:val="true"/>
              </w:rPr>
              <w:tab/>
            </w:r>
            <w:r>
              <w:rPr>
                <w:rStyle w:val="IndexLink"/>
              </w:rPr>
              <w:t>20</w:t>
            </w:r>
          </w:hyperlink>
        </w:p>
        <w:p>
          <w:pPr>
            <w:pStyle w:val="Contents3"/>
            <w:tabs>
              <w:tab w:val="clear" w:pos="8459"/>
              <w:tab w:val="right" w:pos="9026" w:leader="dot"/>
            </w:tabs>
            <w:rPr/>
          </w:pPr>
          <w:hyperlink w:anchor="__RefHeading___Toc3242624_3804643083">
            <w:r>
              <w:rPr>
                <w:webHidden/>
                <w:rStyle w:val="IndexLink"/>
                <w:rtl w:val="true"/>
              </w:rPr>
              <w:t>الثالث و العشرون</w:t>
            </w:r>
            <w:r>
              <w:rPr>
                <w:rStyle w:val="IndexLink"/>
                <w:rtl w:val="true"/>
              </w:rPr>
              <w:t xml:space="preserve">: </w:t>
            </w:r>
            <w:r>
              <w:rPr>
                <w:rStyle w:val="IndexLink"/>
                <w:rtl w:val="true"/>
              </w:rPr>
              <w:t>لو أجری علی الودیعة عقود معاوضة</w:t>
            </w:r>
            <w:r>
              <w:rPr>
                <w:rStyle w:val="IndexLink"/>
                <w:rtl w:val="true"/>
              </w:rPr>
              <w:tab/>
            </w:r>
            <w:r>
              <w:rPr>
                <w:rStyle w:val="IndexLink"/>
              </w:rPr>
              <w:t>21</w:t>
            </w:r>
          </w:hyperlink>
        </w:p>
        <w:p>
          <w:pPr>
            <w:pStyle w:val="Contents3"/>
            <w:tabs>
              <w:tab w:val="clear" w:pos="8459"/>
              <w:tab w:val="right" w:pos="9026" w:leader="dot"/>
            </w:tabs>
            <w:rPr/>
          </w:pPr>
          <w:hyperlink w:anchor="__RefHeading___Toc3242626_3804643083">
            <w:r>
              <w:rPr>
                <w:webHidden/>
                <w:rStyle w:val="IndexLink"/>
                <w:rtl w:val="true"/>
              </w:rPr>
              <w:t>الرابع و العشرون</w:t>
            </w:r>
            <w:r>
              <w:rPr>
                <w:rStyle w:val="IndexLink"/>
                <w:rtl w:val="true"/>
              </w:rPr>
              <w:t xml:space="preserve">: </w:t>
            </w:r>
            <w:r>
              <w:rPr>
                <w:rStyle w:val="IndexLink"/>
                <w:rtl w:val="true"/>
              </w:rPr>
              <w:t>لا یجوز التصرف بالودیعة من غیر إذن صاحبها</w:t>
            </w:r>
            <w:r>
              <w:rPr>
                <w:rStyle w:val="IndexLink"/>
                <w:rtl w:val="true"/>
              </w:rPr>
              <w:tab/>
            </w:r>
            <w:r>
              <w:rPr>
                <w:rStyle w:val="IndexLink"/>
              </w:rPr>
              <w:t>21</w:t>
            </w:r>
          </w:hyperlink>
        </w:p>
        <w:p>
          <w:pPr>
            <w:pStyle w:val="Contents3"/>
            <w:tabs>
              <w:tab w:val="clear" w:pos="8459"/>
              <w:tab w:val="right" w:pos="9026" w:leader="dot"/>
            </w:tabs>
            <w:rPr/>
          </w:pPr>
          <w:hyperlink w:anchor="__RefHeading___Toc3242628_3804643083">
            <w:r>
              <w:rPr>
                <w:webHidden/>
                <w:rStyle w:val="IndexLink"/>
                <w:rtl w:val="true"/>
              </w:rPr>
              <w:t>الخامس و العشرون</w:t>
            </w:r>
            <w:r>
              <w:rPr>
                <w:rStyle w:val="IndexLink"/>
                <w:rtl w:val="true"/>
              </w:rPr>
              <w:t xml:space="preserve">: </w:t>
            </w:r>
            <w:r>
              <w:rPr>
                <w:rStyle w:val="IndexLink"/>
                <w:rtl w:val="true"/>
              </w:rPr>
              <w:t>لو تصرف المستودع بالودیعة حتی ضمن تعلق به الضمان</w:t>
            </w:r>
            <w:r>
              <w:rPr>
                <w:rStyle w:val="IndexLink"/>
                <w:rtl w:val="true"/>
              </w:rPr>
              <w:tab/>
            </w:r>
            <w:r>
              <w:rPr>
                <w:rStyle w:val="IndexLink"/>
              </w:rPr>
              <w:t>21</w:t>
            </w:r>
          </w:hyperlink>
        </w:p>
        <w:p>
          <w:pPr>
            <w:pStyle w:val="Contents3"/>
            <w:tabs>
              <w:tab w:val="clear" w:pos="8459"/>
              <w:tab w:val="right" w:pos="9026" w:leader="dot"/>
            </w:tabs>
            <w:rPr/>
          </w:pPr>
          <w:hyperlink w:anchor="__RefHeading___Toc3242630_3804643083">
            <w:r>
              <w:rPr>
                <w:webHidden/>
                <w:rStyle w:val="IndexLink"/>
                <w:rtl w:val="true"/>
              </w:rPr>
              <w:t>السادس و العشرون</w:t>
            </w:r>
            <w:r>
              <w:rPr>
                <w:rStyle w:val="IndexLink"/>
                <w:rtl w:val="true"/>
              </w:rPr>
              <w:t xml:space="preserve">: </w:t>
            </w:r>
            <w:r>
              <w:rPr>
                <w:rStyle w:val="IndexLink"/>
                <w:rtl w:val="true"/>
              </w:rPr>
              <w:t>فی جملة مما یتعلق بالدعوی</w:t>
            </w:r>
            <w:r>
              <w:rPr>
                <w:rStyle w:val="IndexLink"/>
                <w:rtl w:val="true"/>
              </w:rPr>
              <w:tab/>
            </w:r>
            <w:r>
              <w:rPr>
                <w:rStyle w:val="IndexLink"/>
              </w:rPr>
              <w:t>22</w:t>
            </w:r>
          </w:hyperlink>
        </w:p>
        <w:p>
          <w:pPr>
            <w:pStyle w:val="Contents4"/>
            <w:tabs>
              <w:tab w:val="clear" w:pos="8176"/>
              <w:tab w:val="right" w:pos="9026" w:leader="dot"/>
            </w:tabs>
            <w:rPr/>
          </w:pPr>
          <w:hyperlink w:anchor="__RefHeading___Toc3242632_380464308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242634_3804643083">
            <w:r>
              <w:rPr>
                <w:webHidden/>
                <w:rStyle w:val="IndexLink"/>
                <w:rtl w:val="true"/>
              </w:rPr>
              <w:t>أحدها</w:t>
            </w:r>
            <w:r>
              <w:rPr>
                <w:rStyle w:val="IndexLink"/>
                <w:rtl w:val="true"/>
              </w:rPr>
              <w:t xml:space="preserve">: </w:t>
            </w:r>
            <w:r>
              <w:rPr>
                <w:rStyle w:val="IndexLink"/>
                <w:rtl w:val="true"/>
              </w:rPr>
              <w:t>لو اختلفا فی أصل الودیعة</w:t>
            </w:r>
            <w:r>
              <w:rPr>
                <w:rStyle w:val="IndexLink"/>
                <w:rtl w:val="true"/>
              </w:rPr>
              <w:tab/>
            </w:r>
            <w:r>
              <w:rPr>
                <w:rStyle w:val="IndexLink"/>
              </w:rPr>
              <w:t>22</w:t>
            </w:r>
          </w:hyperlink>
        </w:p>
        <w:p>
          <w:pPr>
            <w:pStyle w:val="Contents4"/>
            <w:tabs>
              <w:tab w:val="clear" w:pos="8176"/>
              <w:tab w:val="right" w:pos="9026" w:leader="dot"/>
            </w:tabs>
            <w:rPr/>
          </w:pPr>
          <w:hyperlink w:anchor="__RefHeading___Toc3242636_3804643083">
            <w:r>
              <w:rPr>
                <w:webHidden/>
                <w:rStyle w:val="IndexLink"/>
                <w:rtl w:val="true"/>
              </w:rPr>
              <w:t>ثانیها</w:t>
            </w:r>
            <w:r>
              <w:rPr>
                <w:rStyle w:val="IndexLink"/>
                <w:rtl w:val="true"/>
              </w:rPr>
              <w:t xml:space="preserve">: </w:t>
            </w:r>
            <w:r>
              <w:rPr>
                <w:rStyle w:val="IndexLink"/>
                <w:rtl w:val="true"/>
              </w:rPr>
              <w:t>لو ادعی الودعی الرد</w:t>
            </w:r>
            <w:r>
              <w:rPr>
                <w:rStyle w:val="IndexLink"/>
                <w:rtl w:val="true"/>
              </w:rPr>
              <w:tab/>
            </w:r>
            <w:r>
              <w:rPr>
                <w:rStyle w:val="IndexLink"/>
              </w:rPr>
              <w:t>23</w:t>
            </w:r>
          </w:hyperlink>
        </w:p>
        <w:p>
          <w:pPr>
            <w:pStyle w:val="Contents4"/>
            <w:tabs>
              <w:tab w:val="clear" w:pos="8176"/>
              <w:tab w:val="right" w:pos="9026" w:leader="dot"/>
            </w:tabs>
            <w:rPr/>
          </w:pPr>
          <w:hyperlink w:anchor="__RefHeading___Toc3242638_3804643083">
            <w:r>
              <w:rPr>
                <w:webHidden/>
                <w:rStyle w:val="IndexLink"/>
                <w:rtl w:val="true"/>
              </w:rPr>
              <w:t>ثالثها</w:t>
            </w:r>
            <w:r>
              <w:rPr>
                <w:rStyle w:val="IndexLink"/>
                <w:rtl w:val="true"/>
              </w:rPr>
              <w:t xml:space="preserve">: </w:t>
            </w:r>
            <w:r>
              <w:rPr>
                <w:rStyle w:val="IndexLink"/>
                <w:rtl w:val="true"/>
              </w:rPr>
              <w:t>لو اختلف المالک مع من فی یده المال</w:t>
            </w:r>
            <w:r>
              <w:rPr>
                <w:rStyle w:val="IndexLink"/>
                <w:rtl w:val="true"/>
              </w:rPr>
              <w:tab/>
            </w:r>
            <w:r>
              <w:rPr>
                <w:rStyle w:val="IndexLink"/>
              </w:rPr>
              <w:t>23</w:t>
            </w:r>
          </w:hyperlink>
        </w:p>
        <w:p>
          <w:pPr>
            <w:pStyle w:val="Contents4"/>
            <w:tabs>
              <w:tab w:val="clear" w:pos="8176"/>
              <w:tab w:val="right" w:pos="9026" w:leader="dot"/>
            </w:tabs>
            <w:rPr/>
          </w:pPr>
          <w:hyperlink w:anchor="__RefHeading___Toc3242640_3804643083">
            <w:r>
              <w:rPr>
                <w:webHidden/>
                <w:rStyle w:val="IndexLink"/>
                <w:rtl w:val="true"/>
              </w:rPr>
              <w:t>رابعها</w:t>
            </w:r>
            <w:r>
              <w:rPr>
                <w:rStyle w:val="IndexLink"/>
                <w:rtl w:val="true"/>
              </w:rPr>
              <w:t xml:space="preserve">: </w:t>
            </w:r>
            <w:r>
              <w:rPr>
                <w:rStyle w:val="IndexLink"/>
                <w:rtl w:val="true"/>
              </w:rPr>
              <w:t>لو اختلفا فی قدر قیمة الودیعة بعد تلفها إذا کانت مضمونة</w:t>
            </w:r>
            <w:r>
              <w:rPr>
                <w:rStyle w:val="IndexLink"/>
                <w:rtl w:val="true"/>
              </w:rPr>
              <w:tab/>
            </w:r>
            <w:r>
              <w:rPr>
                <w:rStyle w:val="IndexLink"/>
              </w:rPr>
              <w:t>24</w:t>
            </w:r>
          </w:hyperlink>
        </w:p>
        <w:p>
          <w:pPr>
            <w:pStyle w:val="Contents4"/>
            <w:tabs>
              <w:tab w:val="clear" w:pos="8176"/>
              <w:tab w:val="right" w:pos="9026" w:leader="dot"/>
            </w:tabs>
            <w:rPr/>
          </w:pPr>
          <w:hyperlink w:anchor="__RefHeading___Toc3242642_3804643083">
            <w:r>
              <w:rPr>
                <w:webHidden/>
                <w:rStyle w:val="IndexLink"/>
                <w:rtl w:val="true"/>
              </w:rPr>
              <w:t>خامسها</w:t>
            </w:r>
            <w:r>
              <w:rPr>
                <w:rStyle w:val="IndexLink"/>
                <w:rtl w:val="true"/>
              </w:rPr>
              <w:t xml:space="preserve">: </w:t>
            </w:r>
            <w:r>
              <w:rPr>
                <w:rStyle w:val="IndexLink"/>
                <w:rtl w:val="true"/>
              </w:rPr>
              <w:t>لو اختلفا فی أصل الودیعة أو فی قدرها أو فی اشتراط أمر زائد فیها</w:t>
            </w:r>
            <w:r>
              <w:rPr>
                <w:rStyle w:val="IndexLink"/>
                <w:rtl w:val="true"/>
              </w:rPr>
              <w:tab/>
            </w:r>
            <w:r>
              <w:rPr>
                <w:rStyle w:val="IndexLink"/>
              </w:rPr>
              <w:t>24</w:t>
            </w:r>
          </w:hyperlink>
        </w:p>
        <w:p>
          <w:pPr>
            <w:pStyle w:val="Contents4"/>
            <w:tabs>
              <w:tab w:val="clear" w:pos="8176"/>
              <w:tab w:val="right" w:pos="9026" w:leader="dot"/>
            </w:tabs>
            <w:rPr/>
          </w:pPr>
          <w:hyperlink w:anchor="__RefHeading___Toc3242644_3804643083">
            <w:r>
              <w:rPr>
                <w:webHidden/>
                <w:rStyle w:val="IndexLink"/>
                <w:rtl w:val="true"/>
              </w:rPr>
              <w:t>سادسها</w:t>
            </w:r>
            <w:r>
              <w:rPr>
                <w:rStyle w:val="IndexLink"/>
                <w:rtl w:val="true"/>
              </w:rPr>
              <w:t xml:space="preserve">: </w:t>
            </w:r>
            <w:r>
              <w:rPr>
                <w:rStyle w:val="IndexLink"/>
                <w:rtl w:val="true"/>
              </w:rPr>
              <w:t>إذا مات المودع سلمت الودیعة إلی المعلوم أنه وارث أو من أقامت علیه البینة</w:t>
            </w:r>
            <w:r>
              <w:rPr>
                <w:rStyle w:val="IndexLink"/>
                <w:rtl w:val="true"/>
              </w:rPr>
              <w:tab/>
            </w:r>
            <w:r>
              <w:rPr>
                <w:rStyle w:val="IndexLink"/>
              </w:rPr>
              <w:t>24</w:t>
            </w:r>
          </w:hyperlink>
        </w:p>
        <w:p>
          <w:pPr>
            <w:pStyle w:val="Contents4"/>
            <w:tabs>
              <w:tab w:val="clear" w:pos="8176"/>
              <w:tab w:val="right" w:pos="9026" w:leader="dot"/>
            </w:tabs>
            <w:rPr/>
          </w:pPr>
          <w:hyperlink w:anchor="__RefHeading___Toc3242646_3804643083">
            <w:r>
              <w:rPr>
                <w:webHidden/>
                <w:rStyle w:val="IndexLink"/>
                <w:rtl w:val="true"/>
              </w:rPr>
              <w:t>سابعها</w:t>
            </w:r>
            <w:r>
              <w:rPr>
                <w:rStyle w:val="IndexLink"/>
                <w:rtl w:val="true"/>
              </w:rPr>
              <w:t xml:space="preserve">: </w:t>
            </w:r>
            <w:r>
              <w:rPr>
                <w:rStyle w:val="IndexLink"/>
                <w:rtl w:val="true"/>
              </w:rPr>
              <w:t>لو مات الودعی</w:t>
            </w:r>
            <w:r>
              <w:rPr>
                <w:rStyle w:val="IndexLink"/>
                <w:rtl w:val="true"/>
              </w:rPr>
              <w:tab/>
            </w:r>
            <w:r>
              <w:rPr>
                <w:rStyle w:val="IndexLink"/>
              </w:rPr>
              <w:t>24</w:t>
            </w:r>
          </w:hyperlink>
        </w:p>
        <w:p>
          <w:pPr>
            <w:pStyle w:val="Contents4"/>
            <w:tabs>
              <w:tab w:val="clear" w:pos="8176"/>
              <w:tab w:val="right" w:pos="9026" w:leader="dot"/>
            </w:tabs>
            <w:rPr/>
          </w:pPr>
          <w:hyperlink w:anchor="__RefHeading___Toc3242648_3804643083">
            <w:r>
              <w:rPr>
                <w:webHidden/>
                <w:rStyle w:val="IndexLink"/>
                <w:rtl w:val="true"/>
              </w:rPr>
              <w:t>ثامنها</w:t>
            </w:r>
            <w:r>
              <w:rPr>
                <w:rStyle w:val="IndexLink"/>
                <w:rtl w:val="true"/>
              </w:rPr>
              <w:t xml:space="preserve">: </w:t>
            </w:r>
            <w:r>
              <w:rPr>
                <w:rStyle w:val="IndexLink"/>
                <w:rtl w:val="true"/>
              </w:rPr>
              <w:t>لو أنکر الودیعة ثمّ أقر بها ابتداءً</w:t>
            </w:r>
            <w:r>
              <w:rPr>
                <w:rStyle w:val="IndexLink"/>
                <w:rtl w:val="true"/>
              </w:rPr>
              <w:tab/>
            </w:r>
            <w:r>
              <w:rPr>
                <w:rStyle w:val="IndexLink"/>
              </w:rPr>
              <w:t>25</w:t>
            </w:r>
          </w:hyperlink>
        </w:p>
        <w:p>
          <w:pPr>
            <w:pStyle w:val="Contents4"/>
            <w:tabs>
              <w:tab w:val="clear" w:pos="8176"/>
              <w:tab w:val="right" w:pos="9026" w:leader="dot"/>
            </w:tabs>
            <w:rPr/>
          </w:pPr>
          <w:hyperlink w:anchor="__RefHeading___Toc3242650_3804643083">
            <w:r>
              <w:rPr>
                <w:webHidden/>
                <w:rStyle w:val="IndexLink"/>
                <w:rtl w:val="true"/>
              </w:rPr>
              <w:t>تاسعها</w:t>
            </w:r>
            <w:r>
              <w:rPr>
                <w:rStyle w:val="IndexLink"/>
                <w:rtl w:val="true"/>
              </w:rPr>
              <w:t xml:space="preserve">: </w:t>
            </w:r>
            <w:r>
              <w:rPr>
                <w:rStyle w:val="IndexLink"/>
                <w:rtl w:val="true"/>
              </w:rPr>
              <w:t>إذا کانت عنده ودیعة فادعاها اثنان</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20_23720"/>
      <w:bookmarkStart w:id="1" w:name="pg2420_23720"/>
      <w:bookmarkEnd w:id="1"/>
    </w:p>
    <w:p>
      <w:pPr>
        <w:pStyle w:val="Heading2"/>
        <w:numPr>
          <w:ilvl w:val="1"/>
          <w:numId w:val="1"/>
        </w:numPr>
        <w:rPr/>
      </w:pPr>
      <w:bookmarkStart w:id="2" w:name="pg2420_23720"/>
      <w:bookmarkStart w:id="3" w:name="__RefHeading___Toc324257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الودیعة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242574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کتاب الودیعة</w:t>
      </w:r>
    </w:p>
    <w:p>
      <w:pPr>
        <w:pStyle w:val="BookText"/>
        <w:rPr/>
      </w:pPr>
      <w:r>
        <w:rPr>
          <w:rFonts w:ascii="IRNazanin" w:hAnsi="IRNazanin" w:eastAsia="IRNazanin"/>
          <w:color w:val="111111"/>
          <w:sz w:val="28"/>
          <w:sz w:val="28"/>
          <w:szCs w:val="28"/>
          <w:rtl w:val="true"/>
          <w:lang w:bidi="fa-IR"/>
        </w:rPr>
        <w:t xml:space="preserve">و هی فعیلة بمعنی مفعولة من ودع یدع إذا استقر و سکن أو من یدع إذا ترک أو من الدعة و هی الحفظة و الراحة یقال ودع الرجل فهو ودیع لأنها فی دعة عند المودع لا تتغیر و لا تتبدل و لا تستعمل و الودیعة فی العرف العام هو المال المستودع عند الغیر لیحفظه و أودعته کذا إذا دفعت إلیه الودیعة و أودعته کذا إذا دفعها إلیک فقبلتها و هو من الأضداد فی الشرع هی الاستنابة فی حفظ العین من المالک أو ممن یقوم مقامه أصالة بمعنی کون المقصد الأصلی فیها ذلک فخرجت العین المستأجرة بید المستأجر و العاریة بید المستعیر و العین الموکل علی بیعها أو نقلها أو غیر ذلک و المال المضارب علیه و نحو ذلک و فی عرف المتشرعة أنه عقد قولی أو فعلی أو مرکب منهما ثمرته الاستنابة فی الحفظ أصالة و لیست من باب الإذن المجردة التی لا تفتقر إلی إیجاب و قبول بل هی من العقود الجائزة بالإجماع و قد تلزم إذا وقعت شرطاً فی عقد لازم و یکفی فی إیجابها القول بأی لفظ کان و الفعل الدال علی ذلک و کذا یکفی فی قبولها ذلک و لا یتفاوت فی الفعل بین کونه معاطاة أو غیرها إلا أن الفرق أن الدفع و القبض لو حصل بین المودع و المستودع التزم بالحفظ إلی أن یرد المال إلی أهله و لو لم یحصل لم یلزم علیه الحفظ سیما لو کان المال باقیاً فی بیت مالکه سواء کانت الودیعة بلفظ أو بفعل دال علیها و لو کانت الودیعة فی موضع غیر موضع المالک و غیر موضع الودعی ففی تحقق الاستیداع بمجرد القول و لزوم الحفظ إشکال و مشروعیة الودیعة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و سنة و إجماعاً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واجبة کفایة للمضطر للاستیداع علی کافة المؤمنین لأنها من المصالح العامة و ضروریات النظام و إن انحصر الاستیداع فیه کان واجباً عیناً و قد یناقش فی وجوبه الکفائی و العینی و مستصحبه عند عدم الاضطرار لما فیها من قضاء حاجة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242576_3804643083"/>
      <w:bookmarkStart w:id="8" w:name="_Toc3"/>
      <w:bookmarkEnd w:id="7"/>
      <w:r>
        <w:rPr>
          <w:rtl w:val="true"/>
        </w:rPr>
        <w:t>[</w:t>
      </w:r>
      <w:r>
        <w:rPr>
          <w:rtl w:val="true"/>
        </w:rPr>
        <w:t>فی معنی الودیعة</w:t>
      </w:r>
      <w:r>
        <w:rPr>
          <w:rtl w:val="true"/>
        </w:rPr>
        <w:t>]</w:t>
      </w:r>
      <w:bookmarkStart w:id="9" w:name="pg2420_23721"/>
      <w:bookmarkEnd w:id="8"/>
    </w:p>
    <w:p>
      <w:pPr>
        <w:pStyle w:val="BookText"/>
        <w:rPr/>
      </w:pPr>
      <w:bookmarkEnd w:id="9"/>
      <w:r>
        <w:rPr>
          <w:rFonts w:ascii="IRNazanin" w:hAnsi="IRNazanin" w:eastAsia="IRNazanin"/>
          <w:color w:val="111111"/>
          <w:sz w:val="28"/>
          <w:sz w:val="28"/>
          <w:szCs w:val="28"/>
          <w:rtl w:val="true"/>
          <w:lang w:bidi="fa-IR"/>
        </w:rPr>
        <w:t>المؤمن و إدخال السرور علیه و المعاونة علی البر و محرمة علی الودعی إذا کان الودعی عاجزاً من الحفظ غاراً للمستودع أو کان علیه فی قبول الودیعة ضرراً علی نفسه أو علی ماله أو أهله و قد تکون مکروهة إذا کانت مشتملة علی شبه محرمة أو کانت لکافر لا یتعلق بحفظ ماله جهة رجحان و قد تکون مباحة إذا خلت عن رجحان فی الفعل و رجحان فی الترک بحیث لم تشتمل علی نیة التقرب أو لم یمکن اشتمالها علیها</w:t>
      </w:r>
    </w:p>
    <w:p>
      <w:pPr>
        <w:pStyle w:val="Heading2"/>
        <w:numPr>
          <w:ilvl w:val="1"/>
          <w:numId w:val="1"/>
        </w:numPr>
        <w:rPr/>
      </w:pPr>
      <w:bookmarkStart w:id="10" w:name="__RefHeading___Toc3242578_3804643083"/>
      <w:bookmarkStart w:id="11" w:name="_Toc4"/>
      <w:bookmarkEnd w:id="10"/>
      <w:r>
        <w:rPr>
          <w:rtl w:val="true"/>
        </w:rPr>
        <w:t>و هنا أمور</w:t>
      </w:r>
      <w:r>
        <w:rPr>
          <w:rtl w:val="true"/>
        </w:rPr>
        <w:t>:</w:t>
      </w:r>
      <w:bookmarkEnd w:id="11"/>
    </w:p>
    <w:p>
      <w:pPr>
        <w:pStyle w:val="Heading3"/>
        <w:numPr>
          <w:ilvl w:val="2"/>
          <w:numId w:val="1"/>
        </w:numPr>
        <w:rPr/>
      </w:pPr>
      <w:bookmarkStart w:id="12" w:name="__RefHeading___Toc3242580_3804643083"/>
      <w:bookmarkStart w:id="13" w:name="_Toc5"/>
      <w:bookmarkEnd w:id="12"/>
      <w:r>
        <w:rPr>
          <w:rtl w:val="true"/>
        </w:rPr>
        <w:t>أحدها</w:t>
      </w:r>
      <w:r>
        <w:rPr>
          <w:rtl w:val="true"/>
        </w:rPr>
        <w:t xml:space="preserve">: </w:t>
      </w:r>
      <w:r>
        <w:rPr>
          <w:rtl w:val="true"/>
        </w:rPr>
        <w:t>الودیعة عقد الإذن</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قال شخص 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 فی قبض مالی و حفظه کان بحکم الودیعة لا ودیعة شرعیة و عقدها قولی و فعلی و مرکب منهما و الفعلی دفع و قبض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الصور جائزة علی الظاهر و لا یفتقر فی القولی عربیة أو صراحة أو فعلیة أو ماضویة أو ترتیب و فی اشتراط عدم الفصل الطویل بین الإیجاب و القبول إشکال کما أن العقد القولی المجرد عن القبض أو الفعلی المجرد عنه من إشارة أو کتابة لا یخلو الحکم من إجراء حکم الودیعة علیها لو کان المال فی غیر ید المالک أو مطروحاً من إشکال و لو طرح شخص مالًا عند آخر بقربه أو ببیته أو علیه فإن لم یفهمه بکونه ودیعة لم تکن ودیعة قطعاً و مجرد الطرح لا یقضی بذلک و لکن إن لم یقبل المطروح عنده المال یجب حفظه و إن قبله قولًا أو فعلًا و قد قبضه جری علیه حکم الودیعة من وجوب الحفظ و الضمان لعموم علی الید ما أخذت و إن لم یسم ودیعة و إن قبله و لم یقبضه کما إذا کان مطروحاً بقربه و لم ینقله أو یمسکه فلا یسمی ودیعة و لا یجری علیه أحکامها و الظاهر أن المال الموضوع فی البیت أو تحت الید إذا قبله صاحب البیت أو الموضوع تحت یده بمنزلة القبض الجدید فیجری علیه أحکام الضمان و أحکام القبض فإذا قبله لفظاً أو فعلًا و الحال ذلک ألزم بحفظه و ضمنه بدون ذلک و إن فهمه بکونه ودیعة فإن قبضها أو کانت بحکم المقبوض کانت ودیعة و جری علیه أحکامها و إن قبلها من دون قبض فإن کانت بید المالک لم تجرِ علیها أحکام الودیعة و إن لم تکن فی یده ففی جریان حکم الودیعة إشکال و لو طرح المالک الودیعة عنده و لم یقبل فغاب المالک فهل یلتزم بالحفظ لأنه من باب المعاونة علی البر و إعانة المحتاج</w:t>
      </w:r>
      <w:bookmarkStart w:id="14" w:name="pg2420_23722"/>
    </w:p>
    <w:p>
      <w:pPr>
        <w:pStyle w:val="BookText"/>
        <w:rPr/>
      </w:pPr>
      <w:bookmarkEnd w:id="14"/>
      <w:r>
        <w:rPr>
          <w:rFonts w:ascii="IRNazanin" w:hAnsi="IRNazanin" w:eastAsia="IRNazanin"/>
          <w:color w:val="111111"/>
          <w:sz w:val="28"/>
          <w:sz w:val="28"/>
          <w:szCs w:val="28"/>
          <w:rtl w:val="true"/>
          <w:lang w:bidi="fa-IR"/>
        </w:rPr>
        <w:t>أو لا یلتزم للأصل و لتعریض المالک ماله للتلف وجهان أوجههما الأخیر و لو غاب المستودع بعد قبض الودیعة و قبولها و المالک حاضر لم یکن رداً ما لم ینضم إلی الذهاب قرائن تدل علی إرادة الرد و حینئذِ فیضمن الودعی لو تلفت الودیعة بعد ذهابه و لو أکره المودع علی الإیداع لم تکن ودیعة و کانت أمانة شرعیة یجب إیصالها إلی أهلها فوراً لعموم وجوب رد الأمانة الظاهر فی الفوریة و لا یقبل قوله فی الرد بخلاف الودیعة فإنه لا یجب ردها إلا مع مطالبة المالک أو من هو بحکمه و کأنه موضع وفاق و لو أکره علی قبض الودیعة و لم تکن ودیعة و لا تجری علیها أحکامها أیضاً و لو زال الإکراه فإن لم یضع یده علیها فلا کلام و إن وضع یده اختیاراً فإن کان بنیة الاستیداع جری علیها أحکام الودیعة لعموم علی الید و هل تکون ودیعة شرعیة لحصول القبض الاختیاری بعد استیداع المالک و لا یضر الفصل بینهما أو تکون أمانة شرعیة وجهان و لا یبعد الأول و حینئذ یجری علیها حکم الأمانات الشرعیة و وجوب الرد فوراً من دون مطالبة المالک و إن کان وضعه لا بنیة الاستیداع بل بنیة الغصب أو بلا نیة کان ضامناً ابتداءً و کانت أمانة شرعیة یجب إیصالها إلی أهلها فوراً و لا یقبل قوله فی الرد</w:t>
      </w:r>
      <w:r>
        <w:rPr>
          <w:rFonts w:eastAsia="IRNazanin" w:cs="IRNazanin"/>
          <w:color w:val="111111"/>
          <w:sz w:val="28"/>
          <w:szCs w:val="28"/>
          <w:rtl w:val="true"/>
          <w:lang w:bidi="fa-IR"/>
        </w:rPr>
        <w:t>.</w:t>
      </w:r>
    </w:p>
    <w:p>
      <w:pPr>
        <w:pStyle w:val="Heading3"/>
        <w:numPr>
          <w:ilvl w:val="2"/>
          <w:numId w:val="1"/>
        </w:numPr>
        <w:rPr/>
      </w:pPr>
      <w:bookmarkStart w:id="15" w:name="__RefHeading___Toc3242582_3804643083"/>
      <w:bookmarkStart w:id="16" w:name="_Toc6"/>
      <w:bookmarkEnd w:id="15"/>
      <w:r>
        <w:rPr>
          <w:rtl w:val="true"/>
        </w:rPr>
        <w:t>ثانیها</w:t>
      </w:r>
      <w:r>
        <w:rPr>
          <w:rtl w:val="true"/>
        </w:rPr>
        <w:t xml:space="preserve">: </w:t>
      </w:r>
      <w:r>
        <w:rPr>
          <w:rtl w:val="true"/>
        </w:rPr>
        <w:t>إذا قبض المستودع الودیعة وجب علیه الحفظ لوجوب الرد و التأدیة</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إلا بوجوب الحفظ و فیه نظر بل وجوب الحفظ دل علیه الإجماع و ظاهر أخبار الضمان مع عدم الحفظ کما سیأتی إن شاء الله تعالی و وجوب الحفظ مشروط ببقاء الودیعة و إلا فله فسخها ورد الودیعة فیبرأ من وجوب الحفظ لا یضمن المستودع الودیعة ما لم یفرط فیها أو یتعدَّ للإجماع و الأخبار ففی المعتبر صاحب الودیعة و المضاربة مؤتمنان و فی الآخر کل ما کان من ودیعة و لم تکن مضمونة فلا یلزم، و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استودع رجلًا ألف درهم فضاعت فاختلفا فی أنها ودیعة أو قرض فقال المال لازم له إلا أن یقیم ببینة أنها کانت ودیعة، و 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یستودع المال فیهلک أو یسرق أعلی صاحبه ضمان فقال لیس علیه غرم بعد أن یکون أمیناً، و فی الخامس فیمن استأجر أجیراً فقعده علی متاعه فسرق فقال هو مؤتمن إلی غیر ذلک</w:t>
      </w:r>
      <w:r>
        <w:rPr>
          <w:rFonts w:eastAsia="IRNazanin" w:cs="IRNazanin"/>
          <w:color w:val="111111"/>
          <w:sz w:val="28"/>
          <w:szCs w:val="28"/>
          <w:rtl w:val="true"/>
          <w:lang w:bidi="fa-IR"/>
        </w:rPr>
        <w:t>.</w:t>
      </w:r>
      <w:bookmarkStart w:id="17" w:name="pg2420_23723"/>
    </w:p>
    <w:p>
      <w:pPr>
        <w:pStyle w:val="Heading3"/>
        <w:numPr>
          <w:ilvl w:val="2"/>
          <w:numId w:val="1"/>
        </w:numPr>
        <w:rPr/>
      </w:pPr>
      <w:bookmarkStart w:id="18" w:name="__RefHeading___Toc3242584_3804643083"/>
      <w:bookmarkStart w:id="19" w:name="_Toc7"/>
      <w:bookmarkEnd w:id="17"/>
      <w:bookmarkEnd w:id="18"/>
      <w:r>
        <w:rPr>
          <w:rtl w:val="true"/>
        </w:rPr>
        <w:t>ثالثها</w:t>
      </w:r>
      <w:r>
        <w:rPr>
          <w:rtl w:val="true"/>
        </w:rPr>
        <w:t xml:space="preserve">: </w:t>
      </w:r>
      <w:r>
        <w:rPr>
          <w:rtl w:val="true"/>
        </w:rPr>
        <w:t>لو دفع الودعی الودیعة لغیر المودع ملجأً و إکراهاً أو تقیةً علی نفس أو مال یضر بحاله</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أکثر أو أقل و سواء دفعها بیده أو أخذها الظالم بنفسه لم یضمن الودعی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أمکنه الدفع بما لا یضر بحاله من غیبة أو ادّخار للودیعة أو إنکار لزم و لا یلزمه تحمل الضرر الذی لا یلیق بحاله من جرح أو شتم أو سب أو إهانة و لو أمکنه الدفع بدفع بعض الودیعة دون بعض لزم لوجوب حفظ الکل علیه و لا یترک المیسور بالمعسور و لو أهمل و الحال ذلک ضمن المقدار الزائد الذی یمکن حفظه لأن الباقی مأخوذ علی التقدیرین مع احتمال ضمان الجمیع لتفریطه فی حفظه فی الجملة و المفرط ضامن و إن تلفت بغیر تفریطه و لو أمکنه الدفع بمال آخر للمودع عنده أقل من الودیعة ففی لزومه بحث و لو أمکنه الدفع بمال منه بنیة الرجوع علی المودع ففی لزومه و جواز الرجوع لأنه محسن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قوی و لو أخبر الظالم بالودیعة ابتداءً ضمن و کذا لو أخبر السارق بمکانها أو بها إذا ترتب علی ذلک علمه بمکانها و کذا لو سأله الظالم عنها فأقر بها أو بمکانها خوفاً من الکذب لأن الکذب جائز و ترکه تفریط و قد ورد أن الله تعالی یبغض الصدق فی الإفساد کما یحب الکذب فی الإصلاح ثمّ إن المودع یرجع علی الظالم بالودیعة لو قبضها بیده أو دخلت فی خزائنه فی وجه قوی و نسب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رجوع المودع علی المستودع لو دفعها بیده إلی الظالم قهراً أو یرجع هو علی الظالم لعموم علی الید و فیه نظر لأن دفعها بالإذن الشرعیة و الأصل فیها عدم ثبوت الضمان و إن لم تنافه و کلاهما ظاهر الأصحاب و لو أراد الظالم الودیعة فتوقف دفعه علی الیمین الکاذبة بأنها لیست عنده لزم علیه الحلف الکاذب لتخلیص الودیعة و یضمن مع ترکه أو مع الإقرار بها لارتفاع قبح الکذب و الیمین الکاذبة حینئذ کما یظهر من الأخبار و کلام الأصحاب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 أو حلفتم علیه من یمین فی تقیته 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 کاذباً و نجّ أخاک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یمر به العشار فیطلب منه أن یحلف له بالله و یخلی سبیله فقال فاحلف لهم إنه أحلی من التمر و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مثله و فی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bookmarkStart w:id="20" w:name="pg2420_23724"/>
    </w:p>
    <w:p>
      <w:pPr>
        <w:pStyle w:val="BookText"/>
        <w:rPr/>
      </w:pPr>
      <w:bookmarkEnd w:id="20"/>
      <w:r>
        <w:rPr>
          <w:rFonts w:ascii="IRNazanin" w:hAnsi="IRNazanin" w:eastAsia="IRNazanin"/>
          <w:color w:val="111111"/>
          <w:sz w:val="28"/>
          <w:sz w:val="28"/>
          <w:szCs w:val="28"/>
          <w:rtl w:val="true"/>
          <w:lang w:bidi="fa-IR"/>
        </w:rPr>
        <w:t xml:space="preserve">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تصدقت علیه أُمُّهُ بدار فادعی شراءها و دفع الثمن لیأخذها فسأل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الأم فقال احلف و خذ ما جعلت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مهما أمکن الحالف أن یوری بیمینه وجب تخلصاً من الکذب بحسب النیة و إن تساویا بحسب الظاهر و لأنه أقل القبیحین و فی الخبر عن الرجل یحلف و ضمیره علی غیر ما حلف علیه قال الیمین علی الضمیر و فی آخر مثله و إن لم تمکنه التوریة لزمه قصد اللفظ فقط دون نیة عقد الیمین</w:t>
      </w:r>
      <w:r>
        <w:rPr>
          <w:rFonts w:eastAsia="IRNazanin" w:cs="IRNazanin"/>
          <w:color w:val="111111"/>
          <w:sz w:val="28"/>
          <w:szCs w:val="28"/>
          <w:rtl w:val="true"/>
          <w:lang w:bidi="fa-IR"/>
        </w:rPr>
        <w:t>.</w:t>
      </w:r>
    </w:p>
    <w:p>
      <w:pPr>
        <w:pStyle w:val="Heading3"/>
        <w:numPr>
          <w:ilvl w:val="2"/>
          <w:numId w:val="1"/>
        </w:numPr>
        <w:rPr/>
      </w:pPr>
      <w:bookmarkStart w:id="21" w:name="__RefHeading___Toc3242586_3804643083"/>
      <w:bookmarkStart w:id="22" w:name="_Toc8"/>
      <w:bookmarkEnd w:id="21"/>
      <w:r>
        <w:rPr>
          <w:rtl w:val="true"/>
        </w:rPr>
        <w:t>رابعها</w:t>
      </w:r>
      <w:r>
        <w:rPr>
          <w:rtl w:val="true"/>
        </w:rPr>
        <w:t xml:space="preserve">: </w:t>
      </w:r>
      <w:r>
        <w:rPr>
          <w:rtl w:val="true"/>
        </w:rPr>
        <w:t>الودیعة تبطل بالفسخ من المودع و المستودع</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إذناً أو عقداً جائزاً لأن العقد الجائز للمتعاقدین فسخه متی شاءا و هل یجری یعد الفسخ علیها حکم الودیعة المالکیة أو الأمانة الشرعیة وجهان أقواهما الأول و لو وقع عقد الودیعة فاسداً لفساد صیغته فالأظهر إجراء حکم الودیعة المالکیة علیه تبعاً لبقاء الإذن المطلقة فی القبض و لو کان الفساد لاشتراط شرط فاسد کاشتراط الضمان فلا یبعد أنها تعود أمانة شرعیة و لو طرأ علی المودع أو المستودع موت أو جنون أو سفه انفسخ عقد الودیعة و بقیت أمانة شرعیة یجب ردها فوراً و إن لم یطالب بها المالک و لا یقبل قوله فی الرد کما یقبل قول المستودع فی الودیعة المالکیة للأصل و لأنه لم یقبض من ید المالک لمصلحته و لم یستأمنه المالک فیها فحکمها کحکم مال اللقطة و مجهول المالک و مال المضاربة و العاریة و الإجارة فی عدم قبول قول المؤتمن فی الرد و حکم ما لو أطارت الریح ثوباً فی بیته و لم یعلم صاحبه أو اشتری صندوقاً فوجد فیه متاعاً لصاحب الصندوق أو أخذ من ید الصبی أو المجنون مالًا ببیع أو إجارة أو عاریة أو ودیعة أو نزع المغصوب من غاصبه حسنة لصاحبه أو وجد بید من ولی علیه مالًا من سرقة أو لعب بالجوز و القمار إلا أن من هذه ما یکون مضموناً علی القابض و منه ما لا یکون کذلک ثمّ المیت إذا کان المودع لزم علی المستودع السؤال عن الوارث و دفع الودیعة إلیه أو إلی وکیله أو ولیه و إن کان غائباً أو لم یتمکن من الوصول إلیه دفع الودیعة إلی الحاکم الشرعی أو إلی عدول المسلمین إن لم یحد من نفسه الأمانة فإن سُئل لم یقرّ علی وارث دفعها إلی الحاکم الشرعی لیتطلب الوارث فإن لم یجد کان هو الوارث لمن لا وارث له و إن وجد وارثاً واحداً و لم یعلم غیره جاز دفع المال إلیه لأصالة عدم وارث آخر</w:t>
      </w:r>
      <w:bookmarkStart w:id="23" w:name="pg2420_23725"/>
    </w:p>
    <w:p>
      <w:pPr>
        <w:pStyle w:val="BookText"/>
        <w:rPr/>
      </w:pPr>
      <w:bookmarkEnd w:id="23"/>
      <w:r>
        <w:rPr>
          <w:rFonts w:ascii="IRNazanin" w:hAnsi="IRNazanin" w:eastAsia="IRNazanin"/>
          <w:color w:val="111111"/>
          <w:sz w:val="28"/>
          <w:sz w:val="28"/>
          <w:szCs w:val="28"/>
          <w:rtl w:val="true"/>
          <w:lang w:bidi="fa-IR"/>
        </w:rPr>
        <w:t>و جاز أن یمنع عنه قدر ما یحتمله أنه لغیره لأصالة عدم استحقاقه جمیع الإرث و الظاهر أنه لا ضمان علیه لو منع لاحتمال وارث آخر و لا ضمان علیه لو دفع لأصالة عدمه و لثبوت کون الموجود وارثاً و الأصل عدم مانع آخر له عن الإرث و یحتمل ضمانه مع الدفع لواحد لأن الإذن الإلهیة لا تنافی الضمان و إن کان الأصل فیها عدمه</w:t>
      </w:r>
      <w:r>
        <w:rPr>
          <w:rFonts w:eastAsia="IRNazanin" w:cs="IRNazanin"/>
          <w:color w:val="111111"/>
          <w:sz w:val="28"/>
          <w:szCs w:val="28"/>
          <w:rtl w:val="true"/>
          <w:lang w:bidi="fa-IR"/>
        </w:rPr>
        <w:t>.</w:t>
      </w:r>
    </w:p>
    <w:p>
      <w:pPr>
        <w:pStyle w:val="Heading3"/>
        <w:numPr>
          <w:ilvl w:val="2"/>
          <w:numId w:val="1"/>
        </w:numPr>
        <w:rPr/>
      </w:pPr>
      <w:bookmarkStart w:id="24" w:name="__RefHeading___Toc3242588_3804643083"/>
      <w:bookmarkStart w:id="25" w:name="_Toc9"/>
      <w:bookmarkEnd w:id="24"/>
      <w:r>
        <w:rPr>
          <w:rtl w:val="true"/>
        </w:rPr>
        <w:t>خامسها</w:t>
      </w:r>
      <w:r>
        <w:rPr>
          <w:rtl w:val="true"/>
        </w:rPr>
        <w:t xml:space="preserve">: </w:t>
      </w:r>
      <w:r>
        <w:rPr>
          <w:rtl w:val="true"/>
        </w:rPr>
        <w:t>قد تقدم الحکم بوجوب الحفظ علی الودعی</w:t>
      </w:r>
      <w:bookmarkEnd w:id="25"/>
    </w:p>
    <w:p>
      <w:pPr>
        <w:pStyle w:val="BookText"/>
        <w:rPr/>
      </w:pPr>
      <w:r>
        <w:rPr>
          <w:rFonts w:ascii="IRNazanin" w:hAnsi="IRNazanin" w:eastAsia="IRNazanin"/>
          <w:color w:val="111111"/>
          <w:sz w:val="28"/>
          <w:sz w:val="28"/>
          <w:szCs w:val="28"/>
          <w:rtl w:val="true"/>
          <w:lang w:bidi="fa-IR"/>
        </w:rPr>
        <w:t>فالمرجع فیه إلی العرف و العادة حیث لم یکن له حد شرعی فیجب حفظ الدراهم و الدنانیر فی خزانة أو صندوق مقفولین و مثلهما ما یکون بحکمهما عرفاً و عادةً من الثیاب و الأوانی و الجواهر و یجب حفظ الطعام فی البیت و کذا کثیر من الفرش و الأوانی و یجب حفظ الدابة فی المکان المعتاد لها و الشاة فی مراحها و کذا البقر و الإبل و یجب حفظ الجاریة فی بیته فلو خالف من الأعلی إلی الأدنی ضمن و لو عکس لم یضمن إلا إذا کان محل خطر کما إذا وضع الشاة فی مکان مقفول فاحتصرت فماتت مع احتمال الضمان مطلقاً لأن مخالفة العادة تعدی و لا فرق فی لزوم حفظ کل فی محله المعتاد للحفظ فیه بین کون الودعی مالکاً له و حاصلًا عنده و بین ما لم یکن فیجب علیه تحصیله و بین ما کان المودع عالماً بکونه عنده أو لم یکن إلا إذا فهم من حال المودع أنه أَذِنَ فی وضعه فی غیر الحرز المعتاد و لا یجوز وضع الودیعة فی المکان المشترک بینه و بین غیره و لو کان أمیناً ما لم یأذن له المودع فلو وضع الودیعة فی صندوق مشترک أو بیت کذلک بحیث یدخل فیه غیره ضمن و هذا ظاهر جملة من الأصحاب و لکنه لا یخلو من ضعف بل الحق أن الاشتراک إن کان بین الودعی و بین أجنبی مجهول الحال عنده ضمن و لو کان بین عیاله و أولاده أو إخوانه أو جواریه الذی یأمن منهم عادة و یضع أمواله بأیدیهم غالباً فإنه لا ضمان لجریان العادات بحفظ الودائع علی ذلک النحو و الاحتیاط غیر خفی</w:t>
      </w:r>
      <w:r>
        <w:rPr>
          <w:rFonts w:eastAsia="IRNazanin" w:cs="IRNazanin"/>
          <w:color w:val="111111"/>
          <w:sz w:val="28"/>
          <w:szCs w:val="28"/>
          <w:rtl w:val="true"/>
          <w:lang w:bidi="fa-IR"/>
        </w:rPr>
        <w:t>.</w:t>
      </w:r>
    </w:p>
    <w:p>
      <w:pPr>
        <w:pStyle w:val="Heading3"/>
        <w:numPr>
          <w:ilvl w:val="2"/>
          <w:numId w:val="1"/>
        </w:numPr>
        <w:rPr/>
      </w:pPr>
      <w:bookmarkStart w:id="26" w:name="__RefHeading___Toc3242590_3804643083"/>
      <w:bookmarkStart w:id="27" w:name="_Toc10"/>
      <w:bookmarkEnd w:id="26"/>
      <w:r>
        <w:rPr>
          <w:rtl w:val="true"/>
        </w:rPr>
        <w:t>سادسها</w:t>
      </w:r>
      <w:r>
        <w:rPr>
          <w:rtl w:val="true"/>
        </w:rPr>
        <w:t xml:space="preserve">: </w:t>
      </w:r>
      <w:r>
        <w:rPr>
          <w:rtl w:val="true"/>
        </w:rPr>
        <w:t>لو أودع عنده دابة و قبلها المستودع</w:t>
      </w:r>
      <w:bookmarkEnd w:id="2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 الودعی الإنفاق علیها کما یجب علیه حفظها و حراستها من العوارض و من المؤذی من الحیوان صغیراً کان أو کبیراً و لا یجب علیه المباشرة بنفسه بل مما تقضی به العادة منه أو من وکیله أو من عبیده أو أزواجه بشرط الائتمان و کونه مما لا یباشر بنفسه عادة و لا یثبت له أجرة المثل لظهور</w:t>
      </w:r>
      <w:bookmarkStart w:id="28" w:name="pg2420_23726"/>
    </w:p>
    <w:p>
      <w:pPr>
        <w:pStyle w:val="BookText"/>
        <w:rPr/>
      </w:pPr>
      <w:bookmarkEnd w:id="28"/>
      <w:r>
        <w:rPr>
          <w:rFonts w:ascii="IRNazanin" w:hAnsi="IRNazanin" w:eastAsia="IRNazanin"/>
          <w:color w:val="111111"/>
          <w:sz w:val="28"/>
          <w:sz w:val="28"/>
          <w:szCs w:val="28"/>
          <w:rtl w:val="true"/>
          <w:lang w:bidi="fa-IR"/>
        </w:rPr>
        <w:t xml:space="preserve">التبرع فی عمل الودعی إلا مع الشرط أو جریان العادة بالأجرة هذا إن کانت النفقة من مال المالک فإن لم یدفع المالک النفقة و أمره بالإنفاق وجب علیه أیضاً بذل المال للنفقة و رجع بها إلی المالک لظهور الأمر بالرجوع علیه و لو أطلق المودع فلم یأمرهُ بالإنفاق و لا ببذل المال و لم ینهه عنهما لزمه أیضاً الإنفاق و بذل المال و لکن إن کان المالک موجوداً توصل إلی إذنه أو إذن وکیله و یرجع علیه بعد ذلک و إلا رجع إلی الحاکم فإن أنفق منه أو من بیت المال فلا کلام و إلا أذن للمستودع بالإنفاق بنیة الرجوع فإذا انفق رجع و للحاکم أن یأذن للمستودع بالاستدانة و الرجوع علی المالک و له أن یأذن له ببیع بعض الودیعة أو قبولها بالإنفاق علیها و حفظ باقیها و لو أنفق المستودع من دون رجوع إلی الحاکم جاز و لا ضمان علیه بل لا یبعد أن له أن ینفق بنیة الرجوع و یرجع مع الإشهاد من غیر حاجة إلی الرجوع إلی الحاکم لأنه محسن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إن الإیداع مع الإطلاق بمنزلة الإذن الضمنیة فی الإنفاق و لو لم یوجد الحاکم انفق بنیة الرجوع و رجع علی المودع و الأحوط الرجوع إلی عدول المسلمین و یصدق قول المستودع فی نیته الرجوع عملًا بالظاهر و لأنه أبصر بنیته و الأحوط انضمام الیمین إلیه و لو اختلفا فی قدر النفقة أو طول زمانها فالقول قول المودع عملًا بالأصل و فی حکم النفقة الدواء المحتاج إلیه فی الحفظ و الظرف المحتاج إلیه فی حکم الحیوان غیره کسقی الشجر و الزرع و لو نهی المالک عن الإنفاق بعد قبول الودیعة وجب علی المستودع الإنفاق إن لم یکن حیواناً و لا ضمان علیه بعدم الإنفاق علی أی تقدیر لإذن المالک له فی إتلاف ماله کما یأمره بقتل حیوانه و لکن لو أنفق مع الوجوب فإن کان بإذن الحاکم ونیة بنیة الرجوع رجع و إن لم یکن بإذن الحاکم ففی رجوعه مع نیة الرجوع إشکال بل قد یقال إن إنفاقه بعد نهی المالک من دون رجوع إلی الحاکم تعدی مقتضی للضمان فاللازم حینئذ الرجوع إلی الحاکم لینفق هو أو یبیع بعضاً من الودیعة لحفظ باقیها أو یأمر المستودع بالاستدانة أو بالإنفاق بنیة الرجوع نعم لو لم یوجد الحاکم لزمه الإنفاق و کان نهیُ المالک لا عبرة به و جاز له الرجوع بعد نیته</w:t>
      </w:r>
      <w:r>
        <w:rPr>
          <w:rFonts w:eastAsia="IRNazanin" w:cs="IRNazanin"/>
          <w:color w:val="111111"/>
          <w:sz w:val="28"/>
          <w:szCs w:val="28"/>
          <w:rtl w:val="true"/>
          <w:lang w:bidi="fa-IR"/>
        </w:rPr>
        <w:t>.</w:t>
      </w:r>
    </w:p>
    <w:p>
      <w:pPr>
        <w:pStyle w:val="Heading3"/>
        <w:numPr>
          <w:ilvl w:val="2"/>
          <w:numId w:val="1"/>
        </w:numPr>
        <w:rPr/>
      </w:pPr>
      <w:bookmarkStart w:id="29" w:name="__RefHeading___Toc3242592_3804643083"/>
      <w:bookmarkStart w:id="30" w:name="_Toc11"/>
      <w:bookmarkEnd w:id="29"/>
      <w:r>
        <w:rPr>
          <w:rtl w:val="true"/>
        </w:rPr>
        <w:t>سابعها</w:t>
      </w:r>
      <w:r>
        <w:rPr>
          <w:rtl w:val="true"/>
        </w:rPr>
        <w:t xml:space="preserve">: </w:t>
      </w:r>
      <w:r>
        <w:rPr>
          <w:rtl w:val="true"/>
        </w:rPr>
        <w:t>لو عین المودع للودیعة حرزاً علی جهة تعیین الجنسیة أو النوعیة أو الشخصیة</w:t>
      </w:r>
      <w:bookmarkEnd w:id="3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المستودع ذلک و لا یجوز له وضعه فی غیره أو نقله منه بعد وضعه فیه</w:t>
      </w:r>
      <w:bookmarkStart w:id="31" w:name="pg2420_23727"/>
    </w:p>
    <w:p>
      <w:pPr>
        <w:pStyle w:val="BookText"/>
        <w:rPr/>
      </w:pPr>
      <w:bookmarkEnd w:id="31"/>
      <w:r>
        <w:rPr>
          <w:rFonts w:ascii="IRNazanin" w:hAnsi="IRNazanin" w:eastAsia="IRNazanin"/>
          <w:color w:val="111111"/>
          <w:sz w:val="28"/>
          <w:sz w:val="28"/>
          <w:szCs w:val="28"/>
          <w:rtl w:val="true"/>
          <w:lang w:bidi="fa-IR"/>
        </w:rPr>
        <w:t>سواء فی ذلک الأدنی و المساوی فی الحفظ بل و الأعلی إذا لم یفهم أن القصد فی التعیین هو نفس الحفظ فیکون الأعلی داخلًا بمفهوم الأولویة و مثله المساوی فی دخوله بمفهوم المساواة و أما إذا لم یظهر من المودع أن المقصود هو نفس الحفظ سواء ظهر خلافه أو شک فی قصده فالحکم فیه بعدم جواز التغییر و النقل مطلقاً هو الأظهر نعم قد یقال إن ظاهر الإیداع یقضی بأن المقصود هو نفس الحفظ لا غیره و حینئذ فیتجه الجواز مطلقاً و التفصیل بین الأعلی فیجوز و بین المساوی فلا یجوز للفرق بین مفهوم المساواة و الأولویة قوی و لو قلنا بأن الظاهر من الإیداع هو إرادة نفس الحفظ لصدق التعدی عرفاً مع مخالفة المالک فیما نص علیه</w:t>
      </w:r>
      <w:r>
        <w:rPr>
          <w:rFonts w:eastAsia="IRNazanin" w:cs="IRNazanin"/>
          <w:color w:val="111111"/>
          <w:sz w:val="28"/>
          <w:szCs w:val="28"/>
          <w:rtl w:val="true"/>
          <w:lang w:bidi="fa-IR"/>
        </w:rPr>
        <w:t>.</w:t>
      </w:r>
    </w:p>
    <w:p>
      <w:pPr>
        <w:pStyle w:val="Heading3"/>
        <w:numPr>
          <w:ilvl w:val="2"/>
          <w:numId w:val="1"/>
        </w:numPr>
        <w:rPr/>
      </w:pPr>
      <w:bookmarkStart w:id="32" w:name="__RefHeading___Toc3242594_3804643083"/>
      <w:bookmarkStart w:id="33" w:name="_Toc12"/>
      <w:bookmarkEnd w:id="32"/>
      <w:r>
        <w:rPr>
          <w:rtl w:val="true"/>
        </w:rPr>
        <w:t>ثامنها</w:t>
      </w:r>
      <w:r>
        <w:rPr>
          <w:rtl w:val="true"/>
        </w:rPr>
        <w:t xml:space="preserve">: </w:t>
      </w:r>
      <w:r>
        <w:rPr>
          <w:rtl w:val="true"/>
        </w:rPr>
        <w:t>تضمن الودیعة بالتعدی و التفریط</w:t>
      </w:r>
      <w:bookmarkEnd w:id="3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بقسمیه علی الظاهر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وضع عند رجل ودیعة فوضعها فی منزل جاره فضاعت هل یجب علیه إذا خالف أمره و أخرجها عن ملکه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التعدی و التفریط إلی العرف و مرجع التعدی إلی فعل ما لا یجوز فعله فی الأمانة مع عدم إذن المالک به و مرجع التفریط إلی ترک ما لا یجوز ترکه مع عدم إذن المالک به فمن الأول لبس الثوب و رکوب الدابة و إنکار الودیعة مع مطالبة المالک أو مطلقاً علی قول أو نقلها إلی مکان آخر أو السفر بها أو فتح قفلها أو فتح الکیس المختوم أو تناول شی‌ء منه أو النسخ علی الکتاب مع فتحه و التصرف فیه و أما النسخ علیه مفتوحاً أو النقش علی الودیعة من بعد فالظاهر أنه لیس من التعدی و من التعدی خلط الودیعة مع غیرها سواء کان مما یتمیز أم لا و لیس منه جعل الودائع فی مکان واحد و بالجملة فالضابط ما یعد به خائناً و من الثانی ترک نفقة الدابة و ترک التحفظ علیها و ترک جعلها فی الجرز و ترک نشر الثوب و طیه و لبسه فی مقام لزوم لبسه و ترک نقلها أو السفر بها مع لزومهما إلی غیر ذلک و قد حکی الإجماع علی الضمان فی کثیر مما ذکرنا و یلحق غیره به للمساواة نعم قد یظهر من المنقول عن الصدوق فی الرهن الذی هو بحکم الودیعة عدم الضمان بترک نشر الثوب و لو احتاج إلیه کما یظهر من جملة من الأخبار ذلک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رهن عنده ثیاباً ترکها مطویة لم یتعهدها و لم ینشرها حتی هلکت</w:t>
      </w:r>
      <w:bookmarkStart w:id="34" w:name="pg2420_23728"/>
    </w:p>
    <w:p>
      <w:pPr>
        <w:pStyle w:val="BookText"/>
        <w:rPr/>
      </w:pPr>
      <w:bookmarkEnd w:id="34"/>
      <w:r>
        <w:rPr>
          <w:rFonts w:ascii="IRNazanin" w:hAnsi="IRNazanin" w:eastAsia="IRNazanin"/>
          <w:color w:val="111111"/>
          <w:sz w:val="28"/>
          <w:sz w:val="28"/>
          <w:szCs w:val="28"/>
          <w:rtl w:val="true"/>
          <w:lang w:bidi="fa-IR"/>
        </w:rPr>
        <w:t>قال هذا نحو واحد یکون حقه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غیره و کذا فی المنقول عن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الجمیع قصور عن الدلالة علی نفی الضمان و غایته أنه دال علی بقاء الدین و لا ملازمة بینه و بین عدم الضمان إلا علی القول بوقوع التهاتر القهری بین الدینین و هو محل کلام</w:t>
      </w:r>
      <w:r>
        <w:rPr>
          <w:rFonts w:eastAsia="IRNazanin" w:cs="IRNazanin"/>
          <w:color w:val="111111"/>
          <w:sz w:val="28"/>
          <w:szCs w:val="28"/>
          <w:rtl w:val="true"/>
          <w:lang w:bidi="fa-IR"/>
        </w:rPr>
        <w:t>.</w:t>
      </w:r>
    </w:p>
    <w:p>
      <w:pPr>
        <w:pStyle w:val="Heading3"/>
        <w:numPr>
          <w:ilvl w:val="2"/>
          <w:numId w:val="1"/>
        </w:numPr>
        <w:rPr/>
      </w:pPr>
      <w:bookmarkStart w:id="35" w:name="__RefHeading___Toc3242596_3804643083"/>
      <w:bookmarkStart w:id="36" w:name="_Toc13"/>
      <w:bookmarkEnd w:id="35"/>
      <w:r>
        <w:rPr>
          <w:rtl w:val="true"/>
        </w:rPr>
        <w:t>تاسعها</w:t>
      </w:r>
      <w:r>
        <w:rPr>
          <w:rtl w:val="true"/>
        </w:rPr>
        <w:t xml:space="preserve">: </w:t>
      </w:r>
      <w:r>
        <w:rPr>
          <w:rtl w:val="true"/>
        </w:rPr>
        <w:t>لا تصح الودیعة من المجنون و الصبی</w:t>
      </w:r>
      <w:bookmarkEnd w:id="36"/>
    </w:p>
    <w:p>
      <w:pPr>
        <w:pStyle w:val="BookText"/>
        <w:rPr/>
      </w:pPr>
      <w:r>
        <w:rPr>
          <w:rFonts w:ascii="IRNazanin" w:hAnsi="IRNazanin" w:eastAsia="IRNazanin"/>
          <w:color w:val="111111"/>
          <w:sz w:val="28"/>
          <w:sz w:val="28"/>
          <w:szCs w:val="28"/>
          <w:rtl w:val="true"/>
          <w:lang w:bidi="fa-IR"/>
        </w:rPr>
        <w:t>و فی صحتها من السفیه بحیث لو أودع الصبی أو المجنون مالًا ضمنه القابض و لا یبرأ برده علیهما بل لا بد من رده فوراً علی الولی أو الوصی أو الحاکم الشرعی و لو خیف من التلف علی ما فی ید الطفل أو المجنون فقبضهما القابض حسبة لم یضمن إلا مع التعدی أو التفریط أو تأخیر الرد إلی ولیهما فوراً بحسب الإمکان و لو أودع الکامل طفلًا أو مجنوناً غیر ممیزین لم یضمنا سواء کان جاهلًا بهما أو عالماً و سواء تلفا بتعدّ أو تفریط أو بغیرهما و سواء تلف المال لنفسه أو أتلفاه کل ذلک للأصل و لأن الأصل فی الضمان مترتبة علی وجوب الحفظ و لا وجوب علیهما فلا ضمان و لو أودع ممیزاً احتمل ضمانه مطلقاً لعموم علی الید و هو من خطاب الوضع فلا یختص بالمکلفین خاصة و احتمل عدمه مطلقاً لانصراف الخطاب إلی المکلفین لأن الغالب تبعِیّة خطاب الوضع للخطاب الشرعی و احتمل التفصیل بین ما إذا تعدی أو فرط فإنه یضمن و بین ما لم یتعدَ أو یفرط فلا و الأوجه التفصیل بین مباشرة الإتلاف فیضمن و بین عدمه فلا تمسکا بعموم ما دل علی ضمان من أتلف مال غیره</w:t>
      </w:r>
      <w:r>
        <w:rPr>
          <w:rFonts w:eastAsia="IRNazanin" w:cs="IRNazanin"/>
          <w:color w:val="111111"/>
          <w:sz w:val="28"/>
          <w:szCs w:val="28"/>
          <w:rtl w:val="true"/>
          <w:lang w:bidi="fa-IR"/>
        </w:rPr>
        <w:t>.</w:t>
      </w:r>
    </w:p>
    <w:p>
      <w:pPr>
        <w:pStyle w:val="Heading3"/>
        <w:numPr>
          <w:ilvl w:val="2"/>
          <w:numId w:val="1"/>
        </w:numPr>
        <w:rPr/>
      </w:pPr>
      <w:bookmarkStart w:id="37" w:name="__RefHeading___Toc3242598_3804643083"/>
      <w:bookmarkStart w:id="38" w:name="_Toc14"/>
      <w:bookmarkEnd w:id="37"/>
      <w:r>
        <w:rPr>
          <w:rtl w:val="true"/>
        </w:rPr>
        <w:t>عاشرها</w:t>
      </w:r>
      <w:r>
        <w:rPr>
          <w:rtl w:val="true"/>
        </w:rPr>
        <w:t xml:space="preserve">: </w:t>
      </w:r>
      <w:r>
        <w:rPr>
          <w:rtl w:val="true"/>
        </w:rPr>
        <w:t>یجب رد الودیعة علی المالک أو وکیله إن کان حاضراً</w:t>
      </w:r>
      <w:bookmarkEnd w:id="3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غائباً انتظره و لا یجوز له أن یدفعها إلی غیره و لو إلی الحاکم إلا لضرورة کالخوف علیها أو التقیة أو إرادة السفر المضطر إلیه فیجوز دفعها إلی الحاکم و إلا فإلی عدول المسلمین و یحتمل جواز دفعها إلی الحاکم إذا لم یکن المالک حاضراً مطلقاً سواء اضطر إلی الدفع أم لم یضطر إلیه لعموم ولایة الحاکم علی مال الغائب و لکنه ضعیف لمخالفته لظاهر فتوی الأصحاب و هل یجب علی الحاکم القبول عند الرد إلیه لأنه معد للمصالح العامة و ولی علی من لا ولی له أو لا یجب وجهان و الأحوط الأول و یجری الحکم فی</w:t>
      </w:r>
      <w:bookmarkStart w:id="39" w:name="pg2420_23729"/>
    </w:p>
    <w:p>
      <w:pPr>
        <w:pStyle w:val="BookText"/>
        <w:rPr/>
      </w:pPr>
      <w:bookmarkEnd w:id="39"/>
      <w:r>
        <w:rPr>
          <w:rFonts w:ascii="IRNazanin" w:hAnsi="IRNazanin" w:eastAsia="IRNazanin"/>
          <w:color w:val="111111"/>
          <w:sz w:val="28"/>
          <w:sz w:val="28"/>
          <w:szCs w:val="28"/>
          <w:rtl w:val="true"/>
          <w:lang w:bidi="fa-IR"/>
        </w:rPr>
        <w:t>کل أمانة و فی الدین عند غیبة الغریم و إرادة صاحبه الوفاء و فی المغصوب عند إرادة إرجاعه</w:t>
      </w:r>
      <w:r>
        <w:rPr>
          <w:rFonts w:eastAsia="IRNazanin" w:cs="IRNazanin"/>
          <w:color w:val="111111"/>
          <w:sz w:val="28"/>
          <w:szCs w:val="28"/>
          <w:rtl w:val="true"/>
          <w:lang w:bidi="fa-IR"/>
        </w:rPr>
        <w:t>.</w:t>
      </w:r>
    </w:p>
    <w:p>
      <w:pPr>
        <w:pStyle w:val="Heading3"/>
        <w:numPr>
          <w:ilvl w:val="2"/>
          <w:numId w:val="1"/>
        </w:numPr>
        <w:rPr/>
      </w:pPr>
      <w:bookmarkStart w:id="40" w:name="__RefHeading___Toc3242600_3804643083"/>
      <w:bookmarkStart w:id="41" w:name="_Toc15"/>
      <w:bookmarkEnd w:id="40"/>
      <w:r>
        <w:rPr>
          <w:rtl w:val="true"/>
        </w:rPr>
        <w:t>حادی عشرها</w:t>
      </w:r>
      <w:r>
        <w:rPr>
          <w:rtl w:val="true"/>
        </w:rPr>
        <w:t xml:space="preserve">: </w:t>
      </w:r>
      <w:r>
        <w:rPr>
          <w:rtl w:val="true"/>
        </w:rPr>
        <w:t>یجب رد الودیعة إلی المالک عند المطالبة</w:t>
      </w:r>
      <w:bookmarkEnd w:id="4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رفع یده عنها و التخلیة بینه و بینها للإجماع و الآیة و الأخبار و منها فیمن استودع آخر و هو خارجی شیطان و لم أدع شیئاً فقال قل له یرده علیه فإنه ائتمنه بأمانة الله تعالی و فی آخر دال علی لزوم رد الودیعة و لو إلی قاتل ولد الأنبیاء و فی ثالث و لو کان سیف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منها أنه لا یتفاوت فی وجوب الرد بین کون المال لمسلم أو کافر حربی أو غیره و لا ینافی ذلک کون مال الحربی فیئاً للمسلم للزوم تخصیص ذلک بالودیعة أو الحکم بکونه للمسلم و مع ذلک فیجب رده علی الکافر و أوجب بعضهم رد ودیعة الحربی إلی سلطان المسلمین و هو ضعیف و ظاهر الأصحاب لزوم الرد فوراً و ناقشهم بعض المتأخرین لعدم عموم دلالة الأمر علی الفور و هو ضعیف و ذلک لأن المقتضی الفور لیس مجرد الأمر بل هو حرمة وضع الید علی مال الغیر فی جمیع الأزمان خرج زمن الفور و بقی الباقی و یراد بالفور الفور العرفی فلا یجب علی المستودع الرکض و السرعة فی المشی علی غیر النحو المعتاد و لا یجب علیه قطع الفریضة أو ترک ما یضر بحاله ترکه عادة أو شرعاً فلا یجب علیه قطع النافلة و لا قطع الحمام و لا قطع الأکل و الشرب و لا المسیر فی المطر و الاحتیاط غیر خفی و هل تفسد العبادة الموسعة عند فعلها بوقت المطالبة یبنی علی أن الآمر بالشی‌ء هل یقتضی النهی عن ضده الخاص أم لا و قد یقال علی القول بالاقتضاء یعدم فساد العبادة للسیرة الدالة علی عدم الفساد و للزوم العسر و الحرج لو قلنا بالفساد و هل الاشهاد علی المودع فی رد الودیعة عذر عن الفوریة مطلقاً أو لیس بعذر مطلقاً أو التفصیل بین ما یکون أخذها بالإشهاد فیکون التأخیر إلیه عذراً أو بین ما لم یکن فلا یکون عذراً و الأوجه أنه فی الودیعة لیس بعذر لتصدیق قول الودعی فی الرد دون غیره إلا أن یقال إن الإشهاد لدفع ضرر الیمین و لو صادقاً و مثل الإشهاد علم الناس بها</w:t>
      </w:r>
      <w:r>
        <w:rPr>
          <w:rFonts w:eastAsia="IRNazanin" w:cs="IRNazanin"/>
          <w:color w:val="111111"/>
          <w:sz w:val="28"/>
          <w:szCs w:val="28"/>
          <w:rtl w:val="true"/>
          <w:lang w:bidi="fa-IR"/>
        </w:rPr>
        <w:t>.</w:t>
      </w:r>
      <w:bookmarkStart w:id="42" w:name="pg2420_23730"/>
    </w:p>
    <w:p>
      <w:pPr>
        <w:pStyle w:val="Heading3"/>
        <w:numPr>
          <w:ilvl w:val="2"/>
          <w:numId w:val="1"/>
        </w:numPr>
        <w:rPr/>
      </w:pPr>
      <w:bookmarkStart w:id="43" w:name="__RefHeading___Toc3242602_3804643083"/>
      <w:bookmarkStart w:id="44" w:name="_Toc16"/>
      <w:bookmarkEnd w:id="42"/>
      <w:bookmarkEnd w:id="43"/>
      <w:r>
        <w:rPr>
          <w:rtl w:val="true"/>
        </w:rPr>
        <w:t>ثانی عشرها</w:t>
      </w:r>
      <w:r>
        <w:rPr>
          <w:rtl w:val="true"/>
        </w:rPr>
        <w:t xml:space="preserve">: </w:t>
      </w:r>
      <w:r>
        <w:rPr>
          <w:rtl w:val="true"/>
        </w:rPr>
        <w:t>لو نهی المالک صریحاً عن جعل الودیعة فی مکان معین</w:t>
      </w:r>
      <w:bookmarkEnd w:id="44"/>
    </w:p>
    <w:p>
      <w:pPr>
        <w:pStyle w:val="BookText"/>
        <w:rPr/>
      </w:pPr>
      <w:r>
        <w:rPr>
          <w:rFonts w:ascii="IRNazanin" w:hAnsi="IRNazanin" w:eastAsia="IRNazanin"/>
          <w:color w:val="111111"/>
          <w:sz w:val="28"/>
          <w:sz w:val="28"/>
          <w:szCs w:val="28"/>
          <w:rtl w:val="true"/>
          <w:lang w:bidi="fa-IR"/>
        </w:rPr>
        <w:t>لزم اتباعه و ضمن المستودع بمخالفته سواء کان مساویاً أو أحرز و فرق بین النهی الصریح و النهی الضمنی التابع للأمر بوضعها فی مکان معین حیث احتملنا أن نقلها إلی المساوی أو إلی الأحرز لا یوجب ضماناً بل ربما ادعی الإجماع علی أن نقلها إلی الأحرز جائز و غیر موجب للضمان و إن کان لا یخلو عن مناقشة هذا کله إن لم یخف علی الودیعة من التلف جزماً ناشئاً عن علم أو ظن متاخم أو مطلقاً بل لا یبعد حتی مع الشک لصدق الخوف معه عرفاً فإن خاف جاز النقل بل وجب علی ما یظهر من جملة من الأصحاب و لو مع النهی الصریح و لا ضمان حیث فهم من نهیه أن المقصود منه الحفظ أو لم یفهم شی‌ء من ذلک فإن نهاه عن النقل مع التصریح بأنه و لو مع الخوف فهل یجوز النقل لبطلان نهیه لأنه بمنزلة السفه و مؤدٍ إلی إضاعة المال المنهی عنها فیلغو و یجب لوجوب حفظ المال المحترم کما یظهر من جملة من الأصحاب أو لا یجوز لأنه تصرف بمال الغیر مع نهیه عنه و الأقوی الأول و هو ظاهر الفقهاء و علیه فلا ضمان لو نقل أما لو لم ینقل فتلف فالظاهر أنه لا ضمان کذلک لسقوط احترام المال بإسقاط صاحبه له و لو احتاج النقل إلی أجرة لزم دفعها علی المستودع حین وجوبه علیه و هل یرجع بها علی المودع مع نیة الرجوع مطلقاً أو یرجع علی عدم النهی عن النقل لا معه وجوه أقواها الأخیر للأصل و أما کونه محسناً و ما علی المحسنین من سبیل فموهون بنهی المالک نعم فی غیر صورة النهی یکون محسناً و تحمل الأجرة علیه ضرر منفی و له الرجوع حینئذ و هل یجب مع النقل کونه إلی الأحرز أو إلی المساوی أو یجوز و لو إلی الأدنی وجهان من لزوم الاقتصار فی التصرف بمال الغیر علی المقطوع به و لأنه بمنزلة الوکیل فی اتباع الأصلح و من الأصل و استواء الأمکنة فی الحرز کما إذا قبل الودیعة ابتداءً فإنه لا یجب علیه تحری الاحرز و هذا الأخیر أقوی</w:t>
      </w:r>
      <w:r>
        <w:rPr>
          <w:rFonts w:eastAsia="IRNazanin" w:cs="IRNazanin"/>
          <w:color w:val="111111"/>
          <w:sz w:val="28"/>
          <w:szCs w:val="28"/>
          <w:rtl w:val="true"/>
          <w:lang w:bidi="fa-IR"/>
        </w:rPr>
        <w:t>.</w:t>
      </w:r>
    </w:p>
    <w:p>
      <w:pPr>
        <w:pStyle w:val="Heading3"/>
        <w:numPr>
          <w:ilvl w:val="2"/>
          <w:numId w:val="1"/>
        </w:numPr>
        <w:rPr/>
      </w:pPr>
      <w:bookmarkStart w:id="45" w:name="__RefHeading___Toc3242604_3804643083"/>
      <w:bookmarkStart w:id="46" w:name="_Toc17"/>
      <w:bookmarkEnd w:id="45"/>
      <w:r>
        <w:rPr>
          <w:rtl w:val="true"/>
        </w:rPr>
        <w:t>ثالث عشرها</w:t>
      </w:r>
      <w:r>
        <w:rPr>
          <w:rtl w:val="true"/>
        </w:rPr>
        <w:t xml:space="preserve">: </w:t>
      </w:r>
      <w:r>
        <w:rPr>
          <w:rtl w:val="true"/>
        </w:rPr>
        <w:t>لو تصرف المستودع فی الودیعة ببیع أو شراء</w:t>
      </w:r>
      <w:bookmarkEnd w:id="4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التصرف فضولیاً موقوفاً علی الإجازة فإن لم یجز المالک وقع التصرف باطلًا و إن أجاز صح و لو کان هناک ربح کان الربح للمالک و علی أی تقدیر فالمستودع ضامن و فی الخبر المعتبر بوجود ابن محبوب فی سنده المنقول الإجماع علی تصحیح ما یصح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استودع</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مالًا ثمّ جاءه بعد ذلک بالمال قال فهذا مالک فخذه و هذه أربعة آلاف ربحها فی مالک فهی لک مع مالک و اجعلنی فی حل و أخذت منه المال و أبیت أن آخذ الربح منه و أتیت حتی أستطلع رأیک فما تری قال فقال خذ نصف الربح و أعطه النصف إن هذا رجل تائب و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صحة عقود الودعی قهراً و انتقال الربح للمودع کذلک و الأمر بإعطائه النصف عوضاً عن عمله للاستحباب لمکان توبته کما هو ظاهره و هو مخالف للقواعد القاضیة بعدم نفوذ عقد الفضولی إلا مع الإجازة و حینئذ فحمله علی وقوع الإجازة من المالک کما هو الغالب أوجه و یمکن الأخذ بظاهره تعبداً فی صورة عدم إمکان استرداد عین الودیعة کما هو الظاهر من مورد الخبر لمکان الضرر علی المودع بعدم استرداد عین ماله و بحبس المال منه تلک المدة کما یشیر إلیه ما جاء فی التجارة بمال الیتیم بغیر وجه شرعی من أن الربح للیتیم فإن کون الربح له غیر موقوف علی إجازة الولی و تنزیله علی الإجازة الإلهیة کما نزله الوالد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نهج القوانین العادیة بل من الأمور الخفیة و ربما عاد إلی ما ذکرناه أما مع إمکان استرداد العین فالأخذ به بعید جداً اقتصاراً فی مخالفة القواعد علی القدر الممکن و قد یظهر من إطلاق الخبر أیضاً عدم الفرق فی استحقاق المالک الربح بین أن یأذن للودعی فی التجارة بشرط الضمان و بین أن لا یأذن و هو فی الثانی کما تقدم و خالف ابن الجنید فی الأول فجعل الربح للودعی و نفی عنه البأس فی المختلف لانقلاب الودیعة قرضاً عنده و ربما شهدت به الأخبار الواردة فی المضاربة و لکنه بعید أیضاً لمخالفته القواعد من جهة أخری و هو تبعیة الربح لرأس المال و ما ورد فی المضاربة لو قلنا به فللدلیل ثمّ إنا لو أخذنا بظاهر الخبر المتقدم فالظاهر عدم التفاوت بین کون الشراء بنفس العین و بین کونه بالذمة سواء اشتری بذمة المالک أو بالذمة مطلقاً إذا دفع عنهما من نفس العین بل لو اشتری بذمته فدفع عنها من الودیعة کما هو الغالب فی معاملة الخائن کان مشمولًا لإطلاق الخبر المتقدم و لکنه مشکل جداً لاقتضاء القاعدة کون الربح للودعی و کون الدفع فضولًا عما فی الذمة فلا یؤثر فساداً</w:t>
      </w:r>
      <w:r>
        <w:rPr>
          <w:rFonts w:eastAsia="IRNazanin" w:cs="IRNazanin"/>
          <w:color w:val="111111"/>
          <w:sz w:val="28"/>
          <w:szCs w:val="28"/>
          <w:rtl w:val="true"/>
          <w:lang w:bidi="fa-IR"/>
        </w:rPr>
        <w:t>.</w:t>
      </w:r>
      <w:bookmarkStart w:id="47" w:name="pg2420_23732"/>
    </w:p>
    <w:p>
      <w:pPr>
        <w:pStyle w:val="Heading3"/>
        <w:numPr>
          <w:ilvl w:val="2"/>
          <w:numId w:val="1"/>
        </w:numPr>
        <w:rPr/>
      </w:pPr>
      <w:bookmarkStart w:id="48" w:name="__RefHeading___Toc3242606_3804643083"/>
      <w:bookmarkStart w:id="49" w:name="_Toc18"/>
      <w:bookmarkEnd w:id="47"/>
      <w:bookmarkEnd w:id="48"/>
      <w:r>
        <w:rPr>
          <w:rtl w:val="true"/>
        </w:rPr>
        <w:t>رابع عشرها</w:t>
      </w:r>
      <w:r>
        <w:rPr>
          <w:rtl w:val="true"/>
        </w:rPr>
        <w:t xml:space="preserve">: </w:t>
      </w:r>
      <w:r>
        <w:rPr>
          <w:rtl w:val="true"/>
        </w:rPr>
        <w:t>لو ظهرت علی المستودع أمارات الموت لزمه رد الودیعة إلی المالک</w:t>
      </w:r>
      <w:bookmarkEnd w:id="49"/>
    </w:p>
    <w:p>
      <w:pPr>
        <w:pStyle w:val="BookText"/>
        <w:rPr/>
      </w:pPr>
      <w:r>
        <w:rPr>
          <w:rFonts w:ascii="IRNazanin" w:hAnsi="IRNazanin" w:eastAsia="IRNazanin"/>
          <w:color w:val="111111"/>
          <w:sz w:val="28"/>
          <w:sz w:val="28"/>
          <w:szCs w:val="28"/>
          <w:rtl w:val="true"/>
          <w:lang w:bidi="fa-IR"/>
        </w:rPr>
        <w:t>أو الحاکم عند تعذره و تعذر الرد إلی وکیله أو إیداعها عند ثقة أو الإشهاد علیها علی نحو الشهادة المقبولة و الإیصاء بردها لثقة مأمون و إلا کان مفرطاً ضامناً حتی لو تبین کذب إمارة الموت کان ذلک من التفریط الموجب للضمان و لو لم تظهر له أمارات الموت فمات فجأةً فلا شی‌ء علیه و یکفی فی الإشهاد شهادة العدل الواحد لجواز ثبوت الحق بشهادته مع الیمین و یمین الاستظهار و قد یقال بوجوب الترتیب بین تلک الأفراد المتقدمة الرد ثمّ الإشهاد ثمّ الإیصاء و لا شک أنه أحوط إلا أن الإیداع عند الثقة قد یساوی الإیصاء و الإشهاد و قد یتقدم الإشهاد علیه و لو لم یوصِ و لو لم یشهد فأنکر الورثة الودیعة کان القول قولهم و للمودع علیهم الیمین علی نفی العلم بها لا علی البت کما هی القاعدة فی الحلف علی نفی فعل الغیر و لو أقر الوارث بالودیعة و أنکر کونها فی جملة الترکة الموجودة کان القول قوله مع یمینه علی نفی العلم و کذا لو ادعی المودع علی الوارث تفریط المستودع بها و لو بترک الرد أو الإشهاد أو الوصیة کان القول قول الوارث مع یمینه لأصالة براءة ذمة المورث من الضمان</w:t>
      </w:r>
      <w:r>
        <w:rPr>
          <w:rFonts w:eastAsia="IRNazanin" w:cs="IRNazanin"/>
          <w:color w:val="111111"/>
          <w:sz w:val="28"/>
          <w:szCs w:val="28"/>
          <w:rtl w:val="true"/>
          <w:lang w:bidi="fa-IR"/>
        </w:rPr>
        <w:t>.</w:t>
      </w:r>
    </w:p>
    <w:p>
      <w:pPr>
        <w:pStyle w:val="Heading3"/>
        <w:numPr>
          <w:ilvl w:val="2"/>
          <w:numId w:val="1"/>
        </w:numPr>
        <w:rPr/>
      </w:pPr>
      <w:bookmarkStart w:id="50" w:name="__RefHeading___Toc3242608_3804643083"/>
      <w:bookmarkStart w:id="51" w:name="_Toc19"/>
      <w:bookmarkEnd w:id="50"/>
      <w:r>
        <w:rPr>
          <w:rtl w:val="true"/>
        </w:rPr>
        <w:t>خامس عشرها</w:t>
      </w:r>
      <w:r>
        <w:rPr>
          <w:rtl w:val="true"/>
        </w:rPr>
        <w:t xml:space="preserve">: </w:t>
      </w:r>
      <w:r>
        <w:rPr>
          <w:rtl w:val="true"/>
        </w:rPr>
        <w:t>لو کانت الودیعة غصباً</w:t>
      </w:r>
      <w:bookmarkEnd w:id="5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المودع مقهوراً و لا ضمان علیه و الضمان علی الدافع إلا أن یزول عنه القهر و لم یردها إلی مالکها فیضمن حینئذٍ و إن لم یکن مقهوراً فإن کان جاهلًا فتلفت عنده جاز رجوع المالک علیه و علی الدافع فإن رجع علیه رجع هو علی الدافع لغروره و إقدامه علی عدم الضمان و المغرور یرجع علی من غره فإن رجع علی الدافع فلا رجوع له و إن علم بالغصب فی الأثناء وجب علیه إرجاع الودیعة إلی صاحبها إن تمکن و علم به فإن لم یتمکن سقط عنه الضمان و إن لم یعلم بصاحبها کان حکمها حکم اللقطة یعرف بها حولًا و من بعد ذلک یتصدق بها عن صاحبها و نسب ذلک للمشهور و دل علیه الخبر بفتوی المشهور نقلًا بل تحصیلًا عن رجل من المسلمین أودعه رجل من اللصوص دراهما أو متاعاً و اللص مسلم هل یرده علیه قال لا یرده فإن أمکنه أن یرده علی صاحبه فعل و إلا کان فی یده بمنزلة اللقطة بعینها یعرّفها حولًا فإن أصاب صاحبها ردها علیه و إلا تصدق بها فإن جاء بعد ذلک خیره بین الأجر و الغرم فإن أختار الأجر فله و إن اختار الغرم غرم له</w:t>
      </w:r>
      <w:bookmarkStart w:id="52" w:name="pg2420_23733"/>
    </w:p>
    <w:p>
      <w:pPr>
        <w:pStyle w:val="BookText"/>
        <w:rPr/>
      </w:pPr>
      <w:bookmarkEnd w:id="52"/>
      <w:r>
        <w:rPr>
          <w:rFonts w:ascii="IRNazanin" w:hAnsi="IRNazanin" w:eastAsia="IRNazanin"/>
          <w:color w:val="111111"/>
          <w:sz w:val="28"/>
          <w:sz w:val="28"/>
          <w:szCs w:val="28"/>
          <w:rtl w:val="true"/>
          <w:lang w:bidi="fa-IR"/>
        </w:rPr>
        <w:t xml:space="preserve">و کان الأجر له و ظاهر جعلها بمنزلة اللقطة إنها إذا کانت أقل من درهم لا یجب التعریف بها سیما و إن موردها الدراهم و المتاع و الغالب أنهما أکثر من درهم و الاحتیاط بخلاف ذلک لإطلاق الفتوی بوجوب التعریف و کذا ظاهر ذلک أنه یجوز بعد التعریف بها سنة أن ینوی بهما التملک مع الغرم و أن یبقیها أمانة و أن یدفعها إلی الحاکم کما هو الشأن فی اللقطة علی ما هو التحقیق إلا أن ذیل الروایة مما یؤذن بلزوم التصدق علیه فیکون کالمخصص لعموم المنزلة و الاحتیاط أیضاً قاض بذلک و نسب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الودیعة إذا لم یعرف أربابها أخرج منها الخمس لفقراء السادة و الباقی لفقراء المؤمنین و نسب لأبی الصلاح لزوم حملها إلی الإمام فإن تعذر ذلک لزم حفظها و الوصیة بها و نسب لابن إدریس ذلک أیضاً و جعله جملة من المحققین أنه الأحوط و نسب للشهید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الصدقة بها و التعریف و بین إبقائها أمانة و ظاهرهم قبل التعریف و بعده و هو قریب إلی الأخبار الواردة فی مجهول المالک و الأخذ بالاحتیاط فی هذه الموارد أجمل و لو مزج الغاصب الودیعة بماله و أودع الجمیع فإن أمکن الودعی تمییز کل منهما رد کلًا منهما علی صاحبه و إن لم یمکنه رد الجمیع علی الغاصب لأن منعه منه یقضی بمنعه عن ماله و یحتمل لزوم رد الجمیع علی المغصوب منه و علیه رد غیر المغصوب و الأوجه لزوم الرجوع إلی الحاکم لتمییز المغصوب من غیره فإن و لم یمکن الرجوع تولّی ذلک عدول المسلمین فإن لم یمکن تولّی ذلک المستودع و لو أراد الغاصب الودیعة من المستودع لیردها إلی المالک لم یجز دفعها إلیه و لو لم یعرف المستودع المالک بحث عنه و لا یجوز أن یردها إلی الغاصب و إن عرفه</w:t>
      </w:r>
      <w:r>
        <w:rPr>
          <w:rFonts w:eastAsia="IRNazanin" w:cs="IRNazanin"/>
          <w:color w:val="111111"/>
          <w:sz w:val="28"/>
          <w:szCs w:val="28"/>
          <w:rtl w:val="true"/>
          <w:lang w:bidi="fa-IR"/>
        </w:rPr>
        <w:t>.</w:t>
      </w:r>
    </w:p>
    <w:p>
      <w:pPr>
        <w:pStyle w:val="Heading3"/>
        <w:numPr>
          <w:ilvl w:val="2"/>
          <w:numId w:val="1"/>
        </w:numPr>
        <w:rPr/>
      </w:pPr>
      <w:bookmarkStart w:id="53" w:name="__RefHeading___Toc3242610_3804643083"/>
      <w:bookmarkStart w:id="54" w:name="_Toc20"/>
      <w:bookmarkEnd w:id="53"/>
      <w:r>
        <w:rPr>
          <w:rtl w:val="true"/>
        </w:rPr>
        <w:t>سادس عشرها</w:t>
      </w:r>
      <w:r>
        <w:rPr>
          <w:rtl w:val="true"/>
        </w:rPr>
        <w:t xml:space="preserve">: </w:t>
      </w:r>
      <w:r>
        <w:rPr>
          <w:rtl w:val="true"/>
        </w:rPr>
        <w:t>لو أراد المستودع السفر بعیداً أو قریباً شرعیاً أو عرفیاً</w:t>
      </w:r>
      <w:bookmarkEnd w:id="5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جاز له کما هو ظاهر الفقهاء و لا یلزمه الامتناع للأصل و لما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أراد الهجرة سلم الودائع لأم أیمن و 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 و الظاهر بل المقطوع به أن أهل الودائع لم یأذنوا له بالسفر و لا بالإیداع و مثل السفر أیضاً التردد فی محال البلد و حدودها فلا یجب علی الودعی المقام عند الودیعة و نظارتها ما لم یخش علیها عادة فی ذهابه عنها الذهاب للأصل و لقضاء السیرة بذلک و بالجملة فالواجب معاملة الودیعة</w:t>
      </w:r>
      <w:bookmarkStart w:id="55" w:name="pg2420_23734"/>
    </w:p>
    <w:p>
      <w:pPr>
        <w:pStyle w:val="BookText"/>
        <w:rPr/>
      </w:pPr>
      <w:bookmarkEnd w:id="55"/>
      <w:r>
        <w:rPr>
          <w:rFonts w:ascii="IRNazanin" w:hAnsi="IRNazanin" w:eastAsia="IRNazanin"/>
          <w:color w:val="111111"/>
          <w:sz w:val="28"/>
          <w:sz w:val="28"/>
          <w:szCs w:val="28"/>
          <w:rtl w:val="true"/>
          <w:lang w:bidi="fa-IR"/>
        </w:rPr>
        <w:t>معاملة صاحب المال الحریص علیه و لا یجوز للمستودع اصطحابها معه فی السفر من غیر عذر لأن السفر بها تعد و تغریر سواء کان الطریق مأموناً أو مخوفاً بل یجب علیه ردها إلی المالک أو وکیله فإن لم یمکن فإلی الحاکم لأنه الولی العام فی مثل هذا المقام فإن لم یمکن أودعها عند من یوثق به مع الإشهاد مهما أمکن الاحتیاط علیها و فی الخبر المتقدم ما یدل علی جواز الإیداع فإن لم یمکن ذلک دفنها فی بلده و أوصی بذلک من یأمنه و یثق به و لا یجوز دفنها سراً لتأدیته إلی تلفها و اضمحلالها عند موته و شبهه و إن خاف علیها من الإبقاء فی البلد من حرق أو نهب أو غرق و أمن علیها فی السفر لزمه اصطحابها معه فی السفر لوجوب حفظها علیه و لا یتم إلا به و کذا لو کان خطر السفر أقل من خطر الحضر و لو تساوی فی الخطران رجح خطر الحضر لأن السفر فی نفسه مظنة الخطر زیادة علی الحضر و لو لم یمکنه السفر بها أو کان علیها خطر فی السفر و لم یمکنه فی الحضر تسلیمها إلی المالک أو من بحکمه و لا إلی الحاکم و لا إیداعها من المأمون حرم علیه السفر و وجب علیه البقاء لحفظها لوجوب ما لا یتم الواجب إلا به و الأحوط ثبوت الضمان علیه لو سافر بها من غیر ضرورة إلی السفر و لم یکن فی إبقائها خطر علیها و لکن لم یجد من یبقیها عنده و لو استودع الودیعة مسافراً کان حالها حاله إلی أن یرجع من سفره و فی حکمه فی سفر آخر وجهان أحوطهما عدم السفر بها هذا کله مع الإطلاق و أما مع الإذن فحکمها تبعیة الإذن فلو أذن له باصطحابها فی السفر جاز و کما و لا یجوز السفر بالودیعة اختیاراً کذلک لا یجوز التردد بها فی الطرق و الأسواق إذا کانت مما یوضع فی مکان خاص أما لو کان مما بنی علی النقل و الانتقال أو ما توضع فی الجیب و نحوه جاز</w:t>
      </w:r>
      <w:r>
        <w:rPr>
          <w:rFonts w:eastAsia="IRNazanin" w:cs="IRNazanin"/>
          <w:color w:val="111111"/>
          <w:sz w:val="28"/>
          <w:szCs w:val="28"/>
          <w:rtl w:val="true"/>
          <w:lang w:bidi="fa-IR"/>
        </w:rPr>
        <w:t>.</w:t>
      </w:r>
    </w:p>
    <w:p>
      <w:pPr>
        <w:pStyle w:val="Heading3"/>
        <w:numPr>
          <w:ilvl w:val="2"/>
          <w:numId w:val="1"/>
        </w:numPr>
        <w:rPr/>
      </w:pPr>
      <w:bookmarkStart w:id="56" w:name="__RefHeading___Toc3242612_3804643083"/>
      <w:bookmarkStart w:id="57" w:name="_Toc21"/>
      <w:bookmarkEnd w:id="56"/>
      <w:r>
        <w:rPr>
          <w:rtl w:val="true"/>
        </w:rPr>
        <w:t>سابع عشرها</w:t>
      </w:r>
      <w:r>
        <w:rPr>
          <w:rtl w:val="true"/>
        </w:rPr>
        <w:t xml:space="preserve">: </w:t>
      </w:r>
      <w:r>
        <w:rPr>
          <w:rtl w:val="true"/>
        </w:rPr>
        <w:t>لو أودع الودیعة عند غیره من دون إذن المالک</w:t>
      </w:r>
      <w:bookmarkEnd w:id="5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من غیر خلاف سواء فی ذلک البعید و القریب و الزوجة و غیرها إلا إذا أراد السفر و لم یمکن إیصالها إلی المالک أو وکیله أو إلی الحاکم أودعته للإیداع ضرورة کالخوف علیها من نهب أو حرق أو کان الرجل ممن تجری عادته بعدم تولی مفتاح الصندوق أو الغرفة أو عدم اختصاصه بمکان خاص عن عیاله بحیث لا یدخل علیه أحد منهم و کان المودع عالماً بذلک أو یکون المستودع قد أعلمه بذلک جاز حینئذ الإیداع عند الغیر و المشارکة</w:t>
      </w:r>
      <w:bookmarkStart w:id="58" w:name="pg2420_23735"/>
    </w:p>
    <w:p>
      <w:pPr>
        <w:pStyle w:val="BookText"/>
        <w:rPr/>
      </w:pPr>
      <w:bookmarkEnd w:id="58"/>
      <w:r>
        <w:rPr>
          <w:rFonts w:ascii="IRNazanin" w:hAnsi="IRNazanin" w:eastAsia="IRNazanin"/>
          <w:color w:val="111111"/>
          <w:sz w:val="28"/>
          <w:sz w:val="28"/>
          <w:szCs w:val="28"/>
          <w:rtl w:val="true"/>
          <w:lang w:bidi="fa-IR"/>
        </w:rPr>
        <w:t>معه فیها و تسلیط غیره علیها علی ذلک النحو المذکور و لو لم یمکن حفظ الودیعة إلا بلبس الثوب أو النوم علی الفراش أو الرکوب علی الدابة لزم ذلک و یتولاه المستودع و لا أجرة علیه للمودع لو فعل ذلک و لو لم یفعل ضمن</w:t>
      </w:r>
      <w:r>
        <w:rPr>
          <w:rFonts w:eastAsia="IRNazanin" w:cs="IRNazanin"/>
          <w:color w:val="111111"/>
          <w:sz w:val="28"/>
          <w:szCs w:val="28"/>
          <w:rtl w:val="true"/>
          <w:lang w:bidi="fa-IR"/>
        </w:rPr>
        <w:t>.</w:t>
      </w:r>
    </w:p>
    <w:p>
      <w:pPr>
        <w:pStyle w:val="Heading3"/>
        <w:numPr>
          <w:ilvl w:val="2"/>
          <w:numId w:val="1"/>
        </w:numPr>
        <w:rPr/>
      </w:pPr>
      <w:bookmarkStart w:id="59" w:name="__RefHeading___Toc3242614_3804643083"/>
      <w:bookmarkStart w:id="60" w:name="_Toc22"/>
      <w:bookmarkEnd w:id="59"/>
      <w:r>
        <w:rPr>
          <w:rtl w:val="true"/>
        </w:rPr>
        <w:t>ثامن عشرها</w:t>
      </w:r>
      <w:r>
        <w:rPr>
          <w:rtl w:val="true"/>
        </w:rPr>
        <w:t xml:space="preserve">: </w:t>
      </w:r>
      <w:r>
        <w:rPr>
          <w:rtl w:val="true"/>
        </w:rPr>
        <w:t>لو قبض المستودع الودیعة ابتداءً بقصد الخیانة</w:t>
      </w:r>
      <w:bookmarkEnd w:id="60"/>
    </w:p>
    <w:p>
      <w:pPr>
        <w:pStyle w:val="BookText"/>
        <w:rPr/>
      </w:pPr>
      <w:r>
        <w:rPr>
          <w:rFonts w:ascii="IRNazanin" w:hAnsi="IRNazanin" w:eastAsia="IRNazanin"/>
          <w:color w:val="111111"/>
          <w:sz w:val="28"/>
          <w:sz w:val="28"/>
          <w:szCs w:val="28"/>
          <w:rtl w:val="true"/>
          <w:lang w:bidi="fa-IR"/>
        </w:rPr>
        <w:t>أو قصد الخیانة فی الأثناء و احتمل القول بلزوم الضمان مطلقاً لعموم علی الید مع الشک فی الخروج عنه للشک فی صدق الودیعة الشرعیة ابتداءً أو استدامة مع قصد الخیانة علیها و احتمل العدم لصدق الودیعة عرفاً علیها و منع تسمیته خائناً بمجرد النیة و منع لزوم الضمان للخیانة مطلقاً إذا لم یصدق علیها اسم التعدی و التفریط</w:t>
      </w:r>
      <w:r>
        <w:rPr>
          <w:rFonts w:eastAsia="IRNazanin" w:cs="IRNazanin"/>
          <w:color w:val="111111"/>
          <w:sz w:val="28"/>
          <w:szCs w:val="28"/>
          <w:rtl w:val="true"/>
          <w:lang w:bidi="fa-IR"/>
        </w:rPr>
        <w:t>.</w:t>
      </w:r>
    </w:p>
    <w:p>
      <w:pPr>
        <w:pStyle w:val="Heading3"/>
        <w:numPr>
          <w:ilvl w:val="2"/>
          <w:numId w:val="1"/>
        </w:numPr>
        <w:rPr/>
      </w:pPr>
      <w:bookmarkStart w:id="61" w:name="__RefHeading___Toc3242616_3804643083"/>
      <w:bookmarkStart w:id="62" w:name="_Toc23"/>
      <w:bookmarkEnd w:id="61"/>
      <w:r>
        <w:rPr>
          <w:rtl w:val="true"/>
        </w:rPr>
        <w:t>تاسع عشرها</w:t>
      </w:r>
      <w:r>
        <w:rPr>
          <w:rtl w:val="true"/>
        </w:rPr>
        <w:t xml:space="preserve">: </w:t>
      </w:r>
      <w:r>
        <w:rPr>
          <w:rtl w:val="true"/>
        </w:rPr>
        <w:t>التفریط سبب فی الضمان و لو لم تتلف الودیعة به</w:t>
      </w:r>
      <w:bookmarkEnd w:id="62"/>
    </w:p>
    <w:p>
      <w:pPr>
        <w:pStyle w:val="BookText"/>
        <w:rPr/>
      </w:pPr>
      <w:r>
        <w:rPr>
          <w:rFonts w:ascii="IRNazanin" w:hAnsi="IRNazanin" w:eastAsia="IRNazanin"/>
          <w:color w:val="111111"/>
          <w:sz w:val="28"/>
          <w:sz w:val="28"/>
          <w:szCs w:val="28"/>
          <w:rtl w:val="true"/>
          <w:lang w:bidi="fa-IR"/>
        </w:rPr>
        <w:t>فعلی ذلک لو ترک سقی الدابة و علفها علی النحو المعتاد ضمن الدابة سواء ماتت بترک السقی أو غیره و سواء ماتت فی زمان یموت مثلها عادة بترک السقی فیه أو فی أقل منه و یظهر من بعضهم اشتراط الضمان بأن تموت بنفس الترک فی زمان یموت مثلها فیه بترکه حتی أنها لو ماتت قبل المدة التی یموت مثلها فیها بالترک لم یضمن و لو لم تمت مع مضی تلک المدة ضمن النقصان و هو محل نظر و تأمل</w:t>
      </w:r>
      <w:r>
        <w:rPr>
          <w:rFonts w:eastAsia="IRNazanin" w:cs="IRNazanin"/>
          <w:color w:val="111111"/>
          <w:sz w:val="28"/>
          <w:szCs w:val="28"/>
          <w:rtl w:val="true"/>
          <w:lang w:bidi="fa-IR"/>
        </w:rPr>
        <w:t>.</w:t>
      </w:r>
    </w:p>
    <w:p>
      <w:pPr>
        <w:pStyle w:val="Heading3"/>
        <w:numPr>
          <w:ilvl w:val="2"/>
          <w:numId w:val="1"/>
        </w:numPr>
        <w:rPr/>
      </w:pPr>
      <w:bookmarkStart w:id="63" w:name="__RefHeading___Toc3242618_3804643083"/>
      <w:bookmarkStart w:id="64" w:name="_Toc24"/>
      <w:bookmarkEnd w:id="63"/>
      <w:r>
        <w:rPr>
          <w:rtl w:val="true"/>
        </w:rPr>
        <w:t>العشرون</w:t>
      </w:r>
      <w:r>
        <w:rPr>
          <w:rtl w:val="true"/>
        </w:rPr>
        <w:t xml:space="preserve">: </w:t>
      </w:r>
      <w:r>
        <w:rPr>
          <w:rtl w:val="true"/>
        </w:rPr>
        <w:t>لو أمره المالک بدفع الودیعة إلی الوکیل</w:t>
      </w:r>
      <w:bookmarkEnd w:id="6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و هل له التأخیر إلی الإشهاد یبنی علی ان الودعی یصدق قوله فی الرد إلی الوکیل کما یصدق قوله فی الرد إلیه و ان المأمور بالدفع إلی شخص یصدق قوله بالدفع إلیه لأنه وکیل علی الرد و الوکیل أمین و الأمین مصدق علی ما اؤتمن علیه أو لا یصدق أحدهما فعلی الأخیر یجوز له ذلک مخالفة التضمین و الظاهر الأول لأن ید الوکیل ید الموکل نعم لو حلف الوکیل علی عدم وصولها إلیه صدق و لم یغرم للمالک بمجرد یمین الودعی علی الإیصال إلیه و إنما فائدة یمین الودعی رفع الضمان عنه و یحتمل أن للودعی التأخیر للإشهاد و إن صدق قوله بالدفع إلی الوکیل و ذلک لرفع مئونة الیمین عنه و لو صادقاً لو أذن المودع للمستودع بالإیداع فهل له أن یودع بلا إشهاد و هل یصدق قوله بالإیداع الظاهر ذلک فی المقامین</w:t>
      </w:r>
      <w:r>
        <w:rPr>
          <w:rFonts w:eastAsia="IRNazanin" w:cs="IRNazanin"/>
          <w:color w:val="111111"/>
          <w:sz w:val="28"/>
          <w:szCs w:val="28"/>
          <w:rtl w:val="true"/>
          <w:lang w:bidi="fa-IR"/>
        </w:rPr>
        <w:t>:</w:t>
      </w:r>
      <w:bookmarkStart w:id="65" w:name="pg2420_23736"/>
    </w:p>
    <w:p>
      <w:pPr>
        <w:pStyle w:val="BookText"/>
        <w:rPr/>
      </w:pPr>
      <w:bookmarkEnd w:id="65"/>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أمر الودائع مبنی علی الإخفاء بخلاف الدین و شبهه و لأن قول الودعی مقبول فی الرد فلا حاجة للإشهاد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وکیل فی التصرف بهذا النوع الخاص و الوکیل یقبل قوله فیما وکل فیه أما لو أمره بدفع الودیعة لوکیله ففی لزوم الإشهاد وجهان من أن عدم الإشهاد تفریط لاحتمال إنکار الوکیل ما دفع إلیه فیحلف علی عدمه و یحلف الودعی علی إیصاله إلی المالک فلم یبق للمالک حق علی أحد منهما فیعود علیه الضرر و من أن أمر الودائع مبنی علی الإخفاء أخذاً و دفعاً فلا یلزمه الإشهاد ما لم ینص علیه و لا یبعد الأخیر استناداً للسیرة</w:t>
      </w:r>
      <w:r>
        <w:rPr>
          <w:rFonts w:eastAsia="IRNazanin" w:cs="IRNazanin"/>
          <w:color w:val="111111"/>
          <w:sz w:val="28"/>
          <w:szCs w:val="28"/>
          <w:rtl w:val="true"/>
          <w:lang w:bidi="fa-IR"/>
        </w:rPr>
        <w:t>.</w:t>
      </w:r>
    </w:p>
    <w:p>
      <w:pPr>
        <w:pStyle w:val="Heading3"/>
        <w:numPr>
          <w:ilvl w:val="2"/>
          <w:numId w:val="1"/>
        </w:numPr>
        <w:rPr/>
      </w:pPr>
      <w:bookmarkStart w:id="66" w:name="__RefHeading___Toc3242620_3804643083"/>
      <w:bookmarkStart w:id="67" w:name="_Toc25"/>
      <w:bookmarkEnd w:id="66"/>
      <w:r>
        <w:rPr>
          <w:rtl w:val="true"/>
        </w:rPr>
        <w:t>الحادی و العشرون</w:t>
      </w:r>
      <w:r>
        <w:rPr>
          <w:rtl w:val="true"/>
        </w:rPr>
        <w:t xml:space="preserve">: </w:t>
      </w:r>
      <w:r>
        <w:rPr>
          <w:rtl w:val="true"/>
        </w:rPr>
        <w:t>لو جحد الودعی الودیعة من غیر عذر کتقیة أو نسیان أو خوف علیها من ظالم أو سارق</w:t>
      </w:r>
      <w:bookmarkEnd w:id="67"/>
    </w:p>
    <w:p>
      <w:pPr>
        <w:pStyle w:val="BookText"/>
        <w:rPr/>
      </w:pPr>
      <w:r>
        <w:rPr>
          <w:rFonts w:ascii="IRNazanin" w:hAnsi="IRNazanin" w:eastAsia="IRNazanin"/>
          <w:color w:val="111111"/>
          <w:sz w:val="28"/>
          <w:sz w:val="28"/>
          <w:szCs w:val="28"/>
          <w:rtl w:val="true"/>
          <w:lang w:bidi="fa-IR"/>
        </w:rPr>
        <w:t>و کان ذلک بعد طلب المالک لها ضمنها لو أقر بها بعد ذلک أو قامت علیه البینة لأن الجحود خیانة فتکون یده علیها حالة ید خیانة لا ید أمانة متلقاة عن المالک و العمدة فی ذلک فتوی الأصحاب و أصالة الضمان مع الشک فی شمول إطلاق أدلة عدم ضمان الأمانة لمثل ذلک و لو ادعی أن الجحود لعذر فأنکر المالک کان القول قول المالک لأصالة عدم العذر و کذا الحکم فی کل تعد أو تفریط صدر من الودعی فادعی أنه لعذر و لو لم یکن المالک طالباً لها بل کان سائلًا عنها ففی الضمان وجهان من أن إنکاره خیانة فلا تکون یده عن رضا المالک فلیست ید أمانة و نفی الملزوم بإنکاره نفی للازمه و هو کونها متلقاة عن ید المالک و إذنه و من أن الجواب بالنفی لازم أعم فلعله عازم علی التأدیة و کان الإنکار لمجرد الکذب و التحکم فلا تکون یده بغیر رضا المالک وجهان و لا یبعد الأخیر</w:t>
      </w:r>
      <w:r>
        <w:rPr>
          <w:rFonts w:eastAsia="IRNazanin" w:cs="IRNazanin"/>
          <w:color w:val="111111"/>
          <w:sz w:val="28"/>
          <w:szCs w:val="28"/>
          <w:rtl w:val="true"/>
          <w:lang w:bidi="fa-IR"/>
        </w:rPr>
        <w:t>.</w:t>
      </w:r>
    </w:p>
    <w:p>
      <w:pPr>
        <w:pStyle w:val="Heading3"/>
        <w:numPr>
          <w:ilvl w:val="2"/>
          <w:numId w:val="1"/>
        </w:numPr>
        <w:rPr/>
      </w:pPr>
      <w:bookmarkStart w:id="68" w:name="__RefHeading___Toc3242622_3804643083"/>
      <w:bookmarkStart w:id="69" w:name="_Toc26"/>
      <w:bookmarkEnd w:id="68"/>
      <w:r>
        <w:rPr>
          <w:rtl w:val="true"/>
        </w:rPr>
        <w:t>الثانی و العشرون</w:t>
      </w:r>
      <w:r>
        <w:rPr>
          <w:rtl w:val="true"/>
        </w:rPr>
        <w:t xml:space="preserve">: </w:t>
      </w:r>
      <w:r>
        <w:rPr>
          <w:rtl w:val="true"/>
        </w:rPr>
        <w:t>لو مزج الودیعة بماله أو بمال المالک</w:t>
      </w:r>
      <w:bookmarkEnd w:id="6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بمال ثالث مزجاً لا یتمیز أو یعسر تمییزه ضمن و لو أخذ من دراهم المالک درهماً ثمّ اعاده بعینه ضمنه دون غیره و إن امتزج بغیره و إن أعاد غیره فإن امتزج فی الباقی ضمنه و غیره و إن لم یمتزج ضمنه بنفسه هذا إذا کانت درهماً منثورة فلو کانت فی صندوق أو فی کیس أو صرة ففتحها و أخذ منها درهماً ضمن الجمیع نفس المأخوذ لصدق التعدی علی الجمیع فی ضمان الظرف مع المظروف وجهان و لا یبعد الضمان هذا إن کان الظرف قد شده أو</w:t>
      </w:r>
      <w:bookmarkStart w:id="70" w:name="pg2420_23737"/>
    </w:p>
    <w:p>
      <w:pPr>
        <w:pStyle w:val="BookText"/>
        <w:rPr/>
      </w:pPr>
      <w:bookmarkEnd w:id="70"/>
      <w:r>
        <w:rPr>
          <w:rFonts w:ascii="IRNazanin" w:hAnsi="IRNazanin" w:eastAsia="IRNazanin"/>
          <w:color w:val="111111"/>
          <w:sz w:val="28"/>
          <w:sz w:val="28"/>
          <w:szCs w:val="28"/>
          <w:rtl w:val="true"/>
          <w:lang w:bidi="fa-IR"/>
        </w:rPr>
        <w:t>قفله المودع أو صدر الشدة أو القفل بأمره و إلا فلا ضمان و لو فتح الکیس غیر مرید أخذ شی‌ء منه ضمن أیضاً لتعدیه علیه عرفاً و کذا لو فتحه فدار فی کیساً آخر أمکن تمییزه أم لا و لو شقه أو بقره من أسفل ضمن الظرف و الأظهر ضمان المظروف أیضاً و لو أودع عنده شیئاً واحداً عرفاً فتصرف ببعضه ضمن الجمیع و لو کانت أشیاء لم یضمن سوی ما تصرف فیه و إن کانت الودیعة مرة واحدة فالمثلیات المجتمعة شی‌ء واحد و القیمیات أشیاء متعددة و فی الدراهم إشکال</w:t>
      </w:r>
      <w:r>
        <w:rPr>
          <w:rFonts w:eastAsia="IRNazanin" w:cs="IRNazanin"/>
          <w:color w:val="111111"/>
          <w:sz w:val="28"/>
          <w:szCs w:val="28"/>
          <w:rtl w:val="true"/>
          <w:lang w:bidi="fa-IR"/>
        </w:rPr>
        <w:t>.</w:t>
      </w:r>
    </w:p>
    <w:p>
      <w:pPr>
        <w:pStyle w:val="Heading3"/>
        <w:numPr>
          <w:ilvl w:val="2"/>
          <w:numId w:val="1"/>
        </w:numPr>
        <w:rPr/>
      </w:pPr>
      <w:bookmarkStart w:id="71" w:name="__RefHeading___Toc3242624_3804643083"/>
      <w:bookmarkStart w:id="72" w:name="_Toc27"/>
      <w:bookmarkEnd w:id="71"/>
      <w:r>
        <w:rPr>
          <w:rtl w:val="true"/>
        </w:rPr>
        <w:t>الثالث و العشرون</w:t>
      </w:r>
      <w:r>
        <w:rPr>
          <w:rtl w:val="true"/>
        </w:rPr>
        <w:t xml:space="preserve">: </w:t>
      </w:r>
      <w:r>
        <w:rPr>
          <w:rtl w:val="true"/>
        </w:rPr>
        <w:t>لو أجری علی الودیعة عقود معاوضة</w:t>
      </w:r>
      <w:bookmarkEnd w:id="72"/>
    </w:p>
    <w:p>
      <w:pPr>
        <w:pStyle w:val="BookText"/>
        <w:rPr/>
      </w:pPr>
      <w:r>
        <w:rPr>
          <w:rFonts w:ascii="IRNazanin" w:hAnsi="IRNazanin" w:eastAsia="IRNazanin"/>
          <w:color w:val="111111"/>
          <w:sz w:val="28"/>
          <w:sz w:val="28"/>
          <w:szCs w:val="28"/>
          <w:rtl w:val="true"/>
          <w:lang w:bidi="fa-IR"/>
        </w:rPr>
        <w:t>من بیع و إجارة أو صلح أو هبة أو غیرها من وقف و سکنی أو صدقة و عتق ففی الضمان و عدمه وجهان من أن مجرد اللفظ الخالی عن دفع لیس من التعدی عرفاً و لأنه مع قصد النقل و الانتقال متعد عرفاً لزیادته علی مجرد نیة الخیانة بانضمام النواقل إلیها و لو أذن المالک للودعی بحمل الأخف فحملها الأثقل ضمن الدابة و ضمن الأجرة إن تغایر الجنس کما إذا أذن له بقطن فحملها حدیداً و لو کان لزیادة الوزن ضمن تفاوت أجرة الزیادة دون المأذون فیه مع احتمال ضمان جمیع أجرة الحمل و ضمن جمیع قیمة الدابة لو تلفت به لا نسیئة قیمتها إلی المأذون فیه و قدر الزیادة</w:t>
      </w:r>
      <w:r>
        <w:rPr>
          <w:rFonts w:eastAsia="IRNazanin" w:cs="IRNazanin"/>
          <w:color w:val="111111"/>
          <w:sz w:val="28"/>
          <w:szCs w:val="28"/>
          <w:rtl w:val="true"/>
          <w:lang w:bidi="fa-IR"/>
        </w:rPr>
        <w:t>.</w:t>
      </w:r>
    </w:p>
    <w:p>
      <w:pPr>
        <w:pStyle w:val="Heading3"/>
        <w:numPr>
          <w:ilvl w:val="2"/>
          <w:numId w:val="1"/>
        </w:numPr>
        <w:rPr/>
      </w:pPr>
      <w:bookmarkStart w:id="73" w:name="__RefHeading___Toc3242626_3804643083"/>
      <w:bookmarkStart w:id="74" w:name="_Toc28"/>
      <w:bookmarkEnd w:id="73"/>
      <w:r>
        <w:rPr>
          <w:rtl w:val="true"/>
        </w:rPr>
        <w:t>الرابع و العشرون</w:t>
      </w:r>
      <w:r>
        <w:rPr>
          <w:rtl w:val="true"/>
        </w:rPr>
        <w:t xml:space="preserve">: </w:t>
      </w:r>
      <w:r>
        <w:rPr>
          <w:rtl w:val="true"/>
        </w:rPr>
        <w:t>لا یجوز التصرف بالودیعة من غیر إذن صاحبها</w:t>
      </w:r>
      <w:bookmarkEnd w:id="74"/>
    </w:p>
    <w:p>
      <w:pPr>
        <w:pStyle w:val="BookText"/>
        <w:rPr/>
      </w:pPr>
      <w:r>
        <w:rPr>
          <w:rFonts w:ascii="IRNazanin" w:hAnsi="IRNazanin" w:eastAsia="IRNazanin"/>
          <w:color w:val="111111"/>
          <w:sz w:val="28"/>
          <w:sz w:val="28"/>
          <w:szCs w:val="28"/>
          <w:rtl w:val="true"/>
          <w:lang w:bidi="fa-IR"/>
        </w:rPr>
        <w:t>و لو بالفحوی لقبح التصرف بمال الغیر عقلًا و نقلًا کتاباً و سنة و إجماعاً و فی بعض الأخبار کخبر قرب الأسناد و جامع البیزنطی ما یؤذن بجواز التصرف مع نیة الرد و هما محمولان علی حصول الإذن بالفحوی کما یفعله الیوم کثیر من الناس</w:t>
      </w:r>
      <w:r>
        <w:rPr>
          <w:rFonts w:eastAsia="IRNazanin" w:cs="IRNazanin"/>
          <w:color w:val="111111"/>
          <w:sz w:val="28"/>
          <w:szCs w:val="28"/>
          <w:rtl w:val="true"/>
          <w:lang w:bidi="fa-IR"/>
        </w:rPr>
        <w:t>.</w:t>
      </w:r>
    </w:p>
    <w:p>
      <w:pPr>
        <w:pStyle w:val="Heading3"/>
        <w:numPr>
          <w:ilvl w:val="2"/>
          <w:numId w:val="1"/>
        </w:numPr>
        <w:rPr/>
      </w:pPr>
      <w:bookmarkStart w:id="75" w:name="__RefHeading___Toc3242628_3804643083"/>
      <w:bookmarkStart w:id="76" w:name="_Toc29"/>
      <w:bookmarkEnd w:id="75"/>
      <w:r>
        <w:rPr>
          <w:rtl w:val="true"/>
        </w:rPr>
        <w:t>الخامس و العشرون</w:t>
      </w:r>
      <w:r>
        <w:rPr>
          <w:rtl w:val="true"/>
        </w:rPr>
        <w:t xml:space="preserve">: </w:t>
      </w:r>
      <w:r>
        <w:rPr>
          <w:rtl w:val="true"/>
        </w:rPr>
        <w:t>لو تصرف المستودع بالودیعة حتی ضمن تعلق به الضمان</w:t>
      </w:r>
      <w:bookmarkEnd w:id="7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یبرأ بمجرد إرجاعها إلی الحرز أو ترک التصرف بها بعد ذلک أو تدارک التفریط الذی صدر منه بل یبرأ إما بإرجاعها إلی المالک و إیداعها عنده جدیداً أو أذن المالک له بقبضها للودیعة بعد الإذن أو إسقاط الضمان عنه لأنه حقه فله إسقاطه و قد یستشکل فی البراءة من الضمان بالإسقاط لأنه إسقاط ما لم یجب و فیه أن کونه مضموناً ثابت بالفعل و کذا فیما لو قال أودعتکها أو أنت نائب عنی فی حفظها أو استأمنتک علیها</w:t>
      </w:r>
      <w:bookmarkStart w:id="77" w:name="pg2420_23738"/>
    </w:p>
    <w:p>
      <w:pPr>
        <w:pStyle w:val="BookText"/>
        <w:rPr/>
      </w:pPr>
      <w:bookmarkEnd w:id="77"/>
      <w:r>
        <w:rPr>
          <w:rFonts w:ascii="IRNazanin" w:hAnsi="IRNazanin" w:eastAsia="IRNazanin"/>
          <w:color w:val="111111"/>
          <w:sz w:val="28"/>
          <w:sz w:val="28"/>
          <w:szCs w:val="28"/>
          <w:rtl w:val="true"/>
          <w:lang w:bidi="fa-IR"/>
        </w:rPr>
        <w:t xml:space="preserve">و لم یأذن له فی قبضها جدیداً لاستصحاب الضمان و عدم منافاته للاستیداع فی الاستدامة کما لو أودعه مغصوباً و هی بیده فإنه ضامن و لا یزول ضمانه بمجرد صدور عقد الودیعة من المالک و الإشکال فی محله و التحقیق و التفریط لا یخرجان الأمانة المالکیة عن کونها مالکیة و لا یخرجان الودیعة عن حکم الودعی سوی حکم الضمان من حیث أن الودیعة من دونهما غیر مضمونه و معهما مضمونه فعَلی ذلک لو تعلق الضمان بالودعی من حیثیة التعدی و التفریط فلا یزول إلا بإسقاطه بناءً علی جواز إسقاط مثل هذا الحق أو بالإیداع جدیداً أو لا یزول بمجرد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أودعتک هذا أو استنبتک فی الحفظ أو 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یفد فائدة أحری سوی تأکید الاستیداع المتقدم و هو مجامع للضمان فلا یرتفع بما دل علیه</w:t>
      </w:r>
      <w:r>
        <w:rPr>
          <w:rFonts w:eastAsia="IRNazanin" w:cs="IRNazanin"/>
          <w:color w:val="111111"/>
          <w:sz w:val="28"/>
          <w:szCs w:val="28"/>
          <w:rtl w:val="true"/>
          <w:lang w:bidi="fa-IR"/>
        </w:rPr>
        <w:t>.</w:t>
      </w:r>
    </w:p>
    <w:p>
      <w:pPr>
        <w:pStyle w:val="Heading3"/>
        <w:numPr>
          <w:ilvl w:val="2"/>
          <w:numId w:val="1"/>
        </w:numPr>
        <w:rPr/>
      </w:pPr>
      <w:bookmarkStart w:id="78" w:name="__RefHeading___Toc3242630_3804643083"/>
      <w:bookmarkStart w:id="79" w:name="_Toc30"/>
      <w:bookmarkEnd w:id="78"/>
      <w:r>
        <w:rPr>
          <w:rtl w:val="true"/>
        </w:rPr>
        <w:t>السادس و العشرون</w:t>
      </w:r>
      <w:r>
        <w:rPr>
          <w:rtl w:val="true"/>
        </w:rPr>
        <w:t xml:space="preserve">: </w:t>
      </w:r>
      <w:r>
        <w:rPr>
          <w:rtl w:val="true"/>
        </w:rPr>
        <w:t>فی جملة مما یتعلق بالدعوی</w:t>
      </w:r>
      <w:bookmarkEnd w:id="79"/>
    </w:p>
    <w:p>
      <w:pPr>
        <w:pStyle w:val="Heading4"/>
        <w:numPr>
          <w:ilvl w:val="3"/>
          <w:numId w:val="1"/>
        </w:numPr>
        <w:rPr/>
      </w:pPr>
      <w:bookmarkStart w:id="80" w:name="__RefHeading___Toc3242632_3804643083"/>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4"/>
        <w:numPr>
          <w:ilvl w:val="3"/>
          <w:numId w:val="1"/>
        </w:numPr>
        <w:rPr/>
      </w:pPr>
      <w:bookmarkStart w:id="82" w:name="__RefHeading___Toc3242634_3804643083"/>
      <w:bookmarkStart w:id="83" w:name="_Toc32"/>
      <w:bookmarkEnd w:id="82"/>
      <w:r>
        <w:rPr>
          <w:rtl w:val="true"/>
        </w:rPr>
        <w:t>أحدها</w:t>
      </w:r>
      <w:r>
        <w:rPr>
          <w:rtl w:val="true"/>
        </w:rPr>
        <w:t xml:space="preserve">: </w:t>
      </w:r>
      <w:r>
        <w:rPr>
          <w:rtl w:val="true"/>
        </w:rPr>
        <w:t>لو اختلفا فی أصل الودیعة</w:t>
      </w:r>
      <w:bookmarkEnd w:id="8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القبول قول منکرها للأصل و لو اتفقا علی صدورها و اختلفا فی التلف و عدمه کان القول قول الودعی فی حصول التلف لأنه أمین فی الحفظ و قول الأمین مسموع فیما اؤتمن علیه و للإجماع المنقول علی ذلک و للزوم الضرر و الضرار علی الودعی بطلب البینة منه و الظاهر عدم الفرق بین دعوی التلف مطلقاً و بین دعواه مستنداً إلی سبب خاص و لا فرق فی السبب بین کونه ظاهراً أو خفیاً خلافاً لمن یظهر منه الفرق بین السبب الظاهر و الخفی حیث أنه لم یقبله من دون بینة فی الأول و قبله مطلقاً فی الثانی و الأقوی أن قبول قوله مفتقر إلی الیمین اقتصاراً فی سماع قول المدعی علی المورد الیقین و قیل بسماع قوله من دون یمین استناداً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غیر ثقة هل یقبل قوله قال نعم و لا 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یخنک الأمین و لکنک ائتمنت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أن تتهم من ائتمنته و لا تأمن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أن تأمن من خانک و لا تتهم من ائتمنت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دل علی النهی عن اتهام الأمین و هو یلازم تصدیقه من دون اختلاف و فیه ضعف لعدم معارضة الإجماع المنقول المنجبر بفتوی الفحول و قد یقال بالفرق بین کونه متهماً و غیر مأمون فلا یقبل قوله إلا مع الیمین و بین کونه ثقة مأموناً فیلزم تصدیق قوله من دون یمین و ربما قیل فی</w:t>
      </w:r>
      <w:bookmarkStart w:id="84" w:name="pg2420_23739"/>
    </w:p>
    <w:p>
      <w:pPr>
        <w:pStyle w:val="BookText"/>
        <w:rPr/>
      </w:pPr>
      <w:bookmarkEnd w:id="84"/>
      <w:r>
        <w:rPr>
          <w:rFonts w:ascii="IRNazanin" w:hAnsi="IRNazanin" w:eastAsia="IRNazanin"/>
          <w:color w:val="111111"/>
          <w:sz w:val="28"/>
          <w:sz w:val="28"/>
          <w:szCs w:val="28"/>
          <w:rtl w:val="true"/>
          <w:lang w:bidi="fa-IR"/>
        </w:rPr>
        <w:t>الاخبار دلالة علیه</w:t>
      </w:r>
      <w:r>
        <w:rPr>
          <w:rFonts w:eastAsia="IRNazanin" w:cs="IRNazanin"/>
          <w:color w:val="111111"/>
          <w:sz w:val="28"/>
          <w:szCs w:val="28"/>
          <w:rtl w:val="true"/>
          <w:lang w:bidi="fa-IR"/>
        </w:rPr>
        <w:t>.</w:t>
      </w:r>
    </w:p>
    <w:p>
      <w:pPr>
        <w:pStyle w:val="Heading4"/>
        <w:numPr>
          <w:ilvl w:val="3"/>
          <w:numId w:val="1"/>
        </w:numPr>
        <w:rPr/>
      </w:pPr>
      <w:bookmarkStart w:id="85" w:name="__RefHeading___Toc3242636_3804643083"/>
      <w:bookmarkStart w:id="86" w:name="_Toc33"/>
      <w:bookmarkEnd w:id="85"/>
      <w:r>
        <w:rPr>
          <w:rtl w:val="true"/>
        </w:rPr>
        <w:t>ثانیها</w:t>
      </w:r>
      <w:r>
        <w:rPr>
          <w:rtl w:val="true"/>
        </w:rPr>
        <w:t xml:space="preserve">: </w:t>
      </w:r>
      <w:r>
        <w:rPr>
          <w:rtl w:val="true"/>
        </w:rPr>
        <w:t>لو ادعی الودعی الرد</w:t>
      </w:r>
      <w:bookmarkEnd w:id="86"/>
    </w:p>
    <w:p>
      <w:pPr>
        <w:pStyle w:val="BookText"/>
        <w:rPr/>
      </w:pPr>
      <w:r>
        <w:rPr>
          <w:rFonts w:ascii="IRNazanin" w:hAnsi="IRNazanin" w:eastAsia="IRNazanin"/>
          <w:color w:val="111111"/>
          <w:sz w:val="28"/>
          <w:sz w:val="28"/>
          <w:szCs w:val="28"/>
          <w:rtl w:val="true"/>
          <w:lang w:bidi="fa-IR"/>
        </w:rPr>
        <w:t>فإن کان علی المالک صدق قوله بیمینه علی الأظهر الأشهر لأنه قابض لمصلحة المالک فلا یکلف البینة و کذا لو کان الرد علی الوکیل لأن ید الوکیل ید الموکل و کذا لو کان علی غیرهما و کان مأموراً بالدفع إلیه لأنه حینئذ وکیل فی الدفع فیصدق قوله فیه و لا یصدق قوله فی الرد علی الوارث للأصل و لأنه لم یدفع المال إلی الودعی و إن انتقل إلیه بعد ذلک و لو ادعی الودعی الرد إلی من أذن له المالک بالرد إلیه فأنکر المالک الإذن کان القول قوله بیمینه فإذا حلف المالک نظر فإن أقر المدفوع إلیه بالقبض و العین باقیة ردت إلی المالک فإن تعذر ارتجاعها لغیبة أو نحوها تخیر المالک بین الرجوع إلیه و الصبر و بین الرجوع علی الودعی لمکان الحیلولة فإن رجع علی الودعی فأخذ منه البدل رجع الودعی علی المدفوع إلیه و أخذ منه عین الودیعة عوضاً عما دفعه أو ردها علی المالک و أخذ البدل الذی دفعه إلیه إن کان موجوداً و إن کانت العین تالفة فإن رجع علی الودعی لم یرجع علی المدفوع إلیه لاعترافه بظلم المالک له و کذا لو رجع علی المدفوع إلیه لاعتراف الودعی بظلمه فلا یرجع إلیه و إن أنکر القبض فالقول قوله بیمینه فإذا حلف اختص الغرم بالمستودع و إذا أقر المالک بالإذن فإن دفعها مع الإشهاد لزم تصدیقه لأنه وکیل حینئذ فی الدفع و قد أخبر به و إن دفعها بدونه احتمل عدم لزوم الضمان علیه لأن الإذن بدفع الودیعة لا یقضی بلزوم الإشهاد کما یقضی به بقضاء الدین و أحتمل لزومه لأن الدفع بدون الإشهاد تفریط کقضاء الدین من دونه و اعتراف المالک بوصول الودیعة إلی المأذون لا ینافی الضمان من جهة عدم الإشهاد</w:t>
      </w:r>
      <w:r>
        <w:rPr>
          <w:rFonts w:eastAsia="IRNazanin" w:cs="IRNazanin"/>
          <w:color w:val="111111"/>
          <w:sz w:val="28"/>
          <w:szCs w:val="28"/>
          <w:rtl w:val="true"/>
          <w:lang w:bidi="fa-IR"/>
        </w:rPr>
        <w:t>.</w:t>
      </w:r>
    </w:p>
    <w:p>
      <w:pPr>
        <w:pStyle w:val="Heading4"/>
        <w:numPr>
          <w:ilvl w:val="3"/>
          <w:numId w:val="1"/>
        </w:numPr>
        <w:rPr/>
      </w:pPr>
      <w:bookmarkStart w:id="87" w:name="__RefHeading___Toc3242638_3804643083"/>
      <w:bookmarkStart w:id="88" w:name="_Toc34"/>
      <w:bookmarkEnd w:id="87"/>
      <w:r>
        <w:rPr>
          <w:rtl w:val="true"/>
        </w:rPr>
        <w:t>ثالثها</w:t>
      </w:r>
      <w:r>
        <w:rPr>
          <w:rtl w:val="true"/>
        </w:rPr>
        <w:t xml:space="preserve">: </w:t>
      </w:r>
      <w:r>
        <w:rPr>
          <w:rtl w:val="true"/>
        </w:rPr>
        <w:t>لو اختلف المالک مع من فی یده المال</w:t>
      </w:r>
      <w:bookmarkEnd w:id="8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المالک ودیعة و قال الآخر رهن فالقول قول المالک و لو قال المالک هی ودیعة و قال الآخر هی قرض کی یجوز له دفع مثلها أو قیمتها دون عینها کان القول قول المالک و لو اختلفا بعد تلفها من غیر تفریط فقال المالک هی قرض کان القول قول المالک مع یمینه لعموم دلیل ضمان ما أخذت الید و خصوص الموثق عن رجل استودع رجلًا ألف درهم فضاعت فقال الرجل</w:t>
      </w:r>
      <w:bookmarkStart w:id="89" w:name="pg2420_23740"/>
    </w:p>
    <w:p>
      <w:pPr>
        <w:pStyle w:val="BookText"/>
        <w:rPr/>
      </w:pPr>
      <w:bookmarkEnd w:id="89"/>
      <w:r>
        <w:rPr>
          <w:rFonts w:ascii="IRNazanin" w:hAnsi="IRNazanin" w:eastAsia="IRNazanin"/>
          <w:color w:val="111111"/>
          <w:sz w:val="28"/>
          <w:sz w:val="28"/>
          <w:szCs w:val="28"/>
          <w:rtl w:val="true"/>
          <w:lang w:bidi="fa-IR"/>
        </w:rPr>
        <w:t>کانت عندی ودیعة و قال الآخر إنما کانت علیک قرضاً قال المال لازم له إلا أن یقیم البینة إنها کانت ودیعة و نحوه غیره و لابن إدریس هنا تفصیل ضعیف</w:t>
      </w:r>
      <w:r>
        <w:rPr>
          <w:rFonts w:eastAsia="IRNazanin" w:cs="IRNazanin"/>
          <w:color w:val="111111"/>
          <w:sz w:val="28"/>
          <w:szCs w:val="28"/>
          <w:rtl w:val="true"/>
          <w:lang w:bidi="fa-IR"/>
        </w:rPr>
        <w:t>.</w:t>
      </w:r>
    </w:p>
    <w:p>
      <w:pPr>
        <w:pStyle w:val="Heading4"/>
        <w:numPr>
          <w:ilvl w:val="3"/>
          <w:numId w:val="1"/>
        </w:numPr>
        <w:rPr/>
      </w:pPr>
      <w:bookmarkStart w:id="90" w:name="__RefHeading___Toc3242640_3804643083"/>
      <w:bookmarkStart w:id="91" w:name="_Toc35"/>
      <w:bookmarkEnd w:id="90"/>
      <w:r>
        <w:rPr>
          <w:rtl w:val="true"/>
        </w:rPr>
        <w:t>رابعها</w:t>
      </w:r>
      <w:r>
        <w:rPr>
          <w:rtl w:val="true"/>
        </w:rPr>
        <w:t xml:space="preserve">: </w:t>
      </w:r>
      <w:r>
        <w:rPr>
          <w:rtl w:val="true"/>
        </w:rPr>
        <w:t>لو اختلفا فی قدر قیمة الودیعة بعد تلفها إذا کانت مضمونة</w:t>
      </w:r>
      <w:bookmarkEnd w:id="91"/>
    </w:p>
    <w:p>
      <w:pPr>
        <w:pStyle w:val="BookText"/>
        <w:rPr/>
      </w:pPr>
      <w:r>
        <w:rPr>
          <w:rFonts w:ascii="IRNazanin" w:hAnsi="IRNazanin" w:eastAsia="IRNazanin"/>
          <w:color w:val="111111"/>
          <w:sz w:val="28"/>
          <w:sz w:val="28"/>
          <w:szCs w:val="28"/>
          <w:rtl w:val="true"/>
          <w:lang w:bidi="fa-IR"/>
        </w:rPr>
        <w:t>فالقول قول الودعی للأصل لا لکونه أمیناً کی یقال بارتفاع أمانته بالخیانة فی التعدی و التفریط و قیل إن القول قول المودع و نقل أن فیه روایة و هو ضعیف و الروایة لم تثبت</w:t>
      </w:r>
      <w:r>
        <w:rPr>
          <w:rFonts w:eastAsia="IRNazanin" w:cs="IRNazanin"/>
          <w:color w:val="111111"/>
          <w:sz w:val="28"/>
          <w:szCs w:val="28"/>
          <w:rtl w:val="true"/>
          <w:lang w:bidi="fa-IR"/>
        </w:rPr>
        <w:t>.</w:t>
      </w:r>
    </w:p>
    <w:p>
      <w:pPr>
        <w:pStyle w:val="Heading4"/>
        <w:numPr>
          <w:ilvl w:val="3"/>
          <w:numId w:val="1"/>
        </w:numPr>
        <w:rPr/>
      </w:pPr>
      <w:bookmarkStart w:id="92" w:name="__RefHeading___Toc3242642_3804643083"/>
      <w:bookmarkStart w:id="93" w:name="_Toc36"/>
      <w:bookmarkEnd w:id="92"/>
      <w:r>
        <w:rPr>
          <w:rtl w:val="true"/>
        </w:rPr>
        <w:t>خامسها</w:t>
      </w:r>
      <w:r>
        <w:rPr>
          <w:rtl w:val="true"/>
        </w:rPr>
        <w:t xml:space="preserve">: </w:t>
      </w:r>
      <w:r>
        <w:rPr>
          <w:rtl w:val="true"/>
        </w:rPr>
        <w:t>لو اختلفا فی أصل الودیعة أو فی قدرها أو فی اشتراط أمر زائد فیها</w:t>
      </w:r>
      <w:bookmarkEnd w:id="93"/>
    </w:p>
    <w:p>
      <w:pPr>
        <w:pStyle w:val="BookText"/>
        <w:rPr/>
      </w:pPr>
      <w:r>
        <w:rPr>
          <w:rFonts w:ascii="IRNazanin" w:hAnsi="IRNazanin" w:eastAsia="IRNazanin"/>
          <w:color w:val="111111"/>
          <w:sz w:val="28"/>
          <w:sz w:val="28"/>
          <w:szCs w:val="28"/>
          <w:rtl w:val="true"/>
          <w:lang w:bidi="fa-IR"/>
        </w:rPr>
        <w:t>أو فی التعدی أو التفریط فیها أو فی مخالفة أمر المالک فیها کان القول قول الودعی فی ذلک کله</w:t>
      </w:r>
      <w:r>
        <w:rPr>
          <w:rFonts w:eastAsia="IRNazanin" w:cs="IRNazanin"/>
          <w:color w:val="111111"/>
          <w:sz w:val="28"/>
          <w:szCs w:val="28"/>
          <w:rtl w:val="true"/>
          <w:lang w:bidi="fa-IR"/>
        </w:rPr>
        <w:t>.</w:t>
      </w:r>
    </w:p>
    <w:p>
      <w:pPr>
        <w:pStyle w:val="Heading4"/>
        <w:numPr>
          <w:ilvl w:val="3"/>
          <w:numId w:val="1"/>
        </w:numPr>
        <w:rPr/>
      </w:pPr>
      <w:bookmarkStart w:id="94" w:name="__RefHeading___Toc3242644_3804643083"/>
      <w:bookmarkStart w:id="95" w:name="_Toc37"/>
      <w:bookmarkEnd w:id="94"/>
      <w:r>
        <w:rPr>
          <w:rtl w:val="true"/>
        </w:rPr>
        <w:t>سادسها</w:t>
      </w:r>
      <w:r>
        <w:rPr>
          <w:rtl w:val="true"/>
        </w:rPr>
        <w:t xml:space="preserve">: </w:t>
      </w:r>
      <w:r>
        <w:rPr>
          <w:rtl w:val="true"/>
        </w:rPr>
        <w:t>إذا مات المودع سلمت الودیعة إلی المعلوم أنه وارث أو من أقامت علیه البینة</w:t>
      </w:r>
      <w:bookmarkEnd w:id="95"/>
    </w:p>
    <w:p>
      <w:pPr>
        <w:pStyle w:val="BookText"/>
        <w:rPr/>
      </w:pPr>
      <w:r>
        <w:rPr>
          <w:rFonts w:ascii="IRNazanin" w:hAnsi="IRNazanin" w:eastAsia="IRNazanin"/>
          <w:color w:val="111111"/>
          <w:sz w:val="28"/>
          <w:sz w:val="28"/>
          <w:szCs w:val="28"/>
          <w:rtl w:val="true"/>
          <w:lang w:bidi="fa-IR"/>
        </w:rPr>
        <w:t>و فی جواز تأخیرها لاحتمال وجود وارث آخر وجهان تقدم الکلام علیهما و یقوی جواز التأخیر فیما لو ادعی شخص أنه وارث بقدر إثبات دعواه عرفاً و یجب دفعها فوراً و إن لم یطالب الوارث سواء علم أو لم یعلم لأنها تعود أمانة شرعیة و لو کان الوارث متعدداً سلّمها إلی الجمیع أو وکیلهم أو وصیهم و لو سلمها لواحد ضمن حصة الباقین و لو کان الحاضر أحدهم و أراد حصته لم یجز للودعی القسمة بل لا بد من الرجوع إلی الحاکم فی القسمة و دفع حقه إلیه و لو امتنع الودعی من الرجوع إلی الحاکم ضمن حصة المطالب و لا یلزم الودعی مئونة الرد بل علیه الإعلام فوراً و التخلیة و الدفع</w:t>
      </w:r>
      <w:r>
        <w:rPr>
          <w:rFonts w:eastAsia="IRNazanin" w:cs="IRNazanin"/>
          <w:color w:val="111111"/>
          <w:sz w:val="28"/>
          <w:szCs w:val="28"/>
          <w:rtl w:val="true"/>
          <w:lang w:bidi="fa-IR"/>
        </w:rPr>
        <w:t>.</w:t>
      </w:r>
    </w:p>
    <w:p>
      <w:pPr>
        <w:pStyle w:val="Heading4"/>
        <w:numPr>
          <w:ilvl w:val="3"/>
          <w:numId w:val="1"/>
        </w:numPr>
        <w:rPr/>
      </w:pPr>
      <w:bookmarkStart w:id="96" w:name="__RefHeading___Toc3242646_3804643083"/>
      <w:bookmarkStart w:id="97" w:name="_Toc38"/>
      <w:bookmarkEnd w:id="96"/>
      <w:r>
        <w:rPr>
          <w:rtl w:val="true"/>
        </w:rPr>
        <w:t>سابعها</w:t>
      </w:r>
      <w:r>
        <w:rPr>
          <w:rtl w:val="true"/>
        </w:rPr>
        <w:t xml:space="preserve">: </w:t>
      </w:r>
      <w:r>
        <w:rPr>
          <w:rtl w:val="true"/>
        </w:rPr>
        <w:t>لو مات الودعی</w:t>
      </w:r>
      <w:bookmarkEnd w:id="9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علمت الودیعة فلا کلام و إن لم تعلم بعینها فإن علمت أنها فی جملة أعیان الترکة الموجودة کان المودع شریکاً للوارث فی القدر المعلوم أو ما قامت علیه البینة و إن لم یعلم وجودها فی أعیان الترکة فإن علم تفریط الودعی فیها بترک الوصیة أو شبهها کانت دیناً فی ذمته و حکمها کحکم سائر دیون المیت و إن لم یعلم التفریط بها فالأظهر عدم لزوم إحراجها من الترکة لأصالة عدم کونها فی جملة أعیان الترکة کی یحکم بشرکة المودع للوارث و أصالة عدم التعدی و التفریط علیها و بها کی یحکم بضمان الودعی فتعامل معاملة الدین و أصالة بقائها فی الوجود الخارجی أو تحت ید المودع أو فی بیته لا یقضی بکونها فی جملة أمواله إلا إذا علم</w:t>
      </w:r>
      <w:bookmarkStart w:id="98" w:name="pg2420_23741"/>
    </w:p>
    <w:p>
      <w:pPr>
        <w:pStyle w:val="BookText"/>
        <w:rPr/>
      </w:pPr>
      <w:bookmarkEnd w:id="98"/>
      <w:r>
        <w:rPr>
          <w:rFonts w:ascii="IRNazanin" w:hAnsi="IRNazanin" w:eastAsia="IRNazanin"/>
          <w:color w:val="111111"/>
          <w:sz w:val="28"/>
          <w:sz w:val="28"/>
          <w:szCs w:val="28"/>
          <w:rtl w:val="true"/>
          <w:lang w:bidi="fa-IR"/>
        </w:rPr>
        <w:t>کونها فی جملة أمواله قبل الموت أو قبله و یعده و نسب للمشهور أن المیت إذا اعترف بالودیعة و جهلت عینها فإنها تخرج من أصل ترکته و لو کانت له غرماء و ضاقت الترکة حاصرهم المودع لأن اعترافه بالودیعة زمن حیویته أوجب ثبوت یده علیها و التزامه بها إلی أن یردها إلی مالکها فإذا لم تعلم کان ضامناً لعموم علی الید و لأنه بترک تعینها ضامن لها لتفریطه بها و لأصالة بقائها فی یده إلی الموت و بعده تکون فی جملة الترکة فإذا تعذر الوصول إلی عینها وجب البدل فتکون بمنزلة الدین فیحاجوا صاحبها الغرماء و فی هذا الکلام ضعف یظهر مما تقدمه و قد تقدم نظیر ذلک غیر مرة</w:t>
      </w:r>
      <w:r>
        <w:rPr>
          <w:rFonts w:eastAsia="IRNazanin" w:cs="IRNazanin"/>
          <w:color w:val="111111"/>
          <w:sz w:val="28"/>
          <w:szCs w:val="28"/>
          <w:rtl w:val="true"/>
          <w:lang w:bidi="fa-IR"/>
        </w:rPr>
        <w:t>.</w:t>
      </w:r>
    </w:p>
    <w:p>
      <w:pPr>
        <w:pStyle w:val="Heading4"/>
        <w:numPr>
          <w:ilvl w:val="3"/>
          <w:numId w:val="1"/>
        </w:numPr>
        <w:rPr/>
      </w:pPr>
      <w:bookmarkStart w:id="99" w:name="__RefHeading___Toc3242648_3804643083"/>
      <w:bookmarkStart w:id="100" w:name="_Toc39"/>
      <w:bookmarkEnd w:id="99"/>
      <w:r>
        <w:rPr>
          <w:rtl w:val="true"/>
        </w:rPr>
        <w:t>ثامنها</w:t>
      </w:r>
      <w:r>
        <w:rPr>
          <w:rtl w:val="true"/>
        </w:rPr>
        <w:t xml:space="preserve">: </w:t>
      </w:r>
      <w:r>
        <w:rPr>
          <w:rtl w:val="true"/>
        </w:rPr>
        <w:t>لو أنکر الودیعة ثمّ أقر بها ابتداءً</w:t>
      </w:r>
      <w:bookmarkEnd w:id="100"/>
    </w:p>
    <w:p>
      <w:pPr>
        <w:pStyle w:val="BookText"/>
        <w:rPr/>
      </w:pPr>
      <w:r>
        <w:rPr>
          <w:rFonts w:ascii="IRNazanin" w:hAnsi="IRNazanin" w:eastAsia="IRNazanin"/>
          <w:color w:val="111111"/>
          <w:sz w:val="28"/>
          <w:sz w:val="28"/>
          <w:szCs w:val="28"/>
          <w:rtl w:val="true"/>
          <w:lang w:bidi="fa-IR"/>
        </w:rPr>
        <w:t>أو قامت علیه البینة فصدقها ثمّ ادعی بعد الإقرار و التصدیق تلفها مطلقاً أو تلفها بعد الإنکار ضمن و إن ادعی تلفها قبل الإنکار فقیل لا تسمع دعواه و لا تقبل بینته لتکذیبه إیاها و لا یتوجه بها علیه یمین و لا علی المدعی و قیل تسمع دعواه و یقبل یمینه لاحتمال استناد الإنکار لسهو أو نسیان أو غفلة أو نحو ذلک و قیل أنه لا تسمع دعواه و لا تقبل بینته و لا یتوجه علیه یمین و لکن یتوجه بها یمین علی المودع لو طلب إحلافه علی نفی العلم و قیل إنه أظهر لإنکاره تأویلًا ممکناً کأن یقول أردت لیس عندی ودیعة یلزمنی ردها أو ضمنها و نحو ذلک سمعت دعواه و بینته و إلا فلا تسمع و قیل إن کان الإنکار لأصل الإیداع لم تقبل دعواه و لا بینته و إن کان الإنکار لشغل ذمته أو لعدم وجود الودیعة الآن عنده أو لعدم لزوم شی‌ء علیه أو نحو ذلک سمعت دعواه و قبلت بینته بل قیل إن هذا لیس من محل الخلاف فی المسألة و الأظهر القبول و السماع إن أظهر تأویلًا ممکناً لعدم ثبوت التعدی علیه الموجب للضمان و لأن تکذیب بیّنة إنما یثبت بالمحقق لا بالموهوم</w:t>
      </w:r>
      <w:r>
        <w:rPr>
          <w:rFonts w:eastAsia="IRNazanin" w:cs="IRNazanin"/>
          <w:color w:val="111111"/>
          <w:sz w:val="28"/>
          <w:szCs w:val="28"/>
          <w:rtl w:val="true"/>
          <w:lang w:bidi="fa-IR"/>
        </w:rPr>
        <w:t>.</w:t>
      </w:r>
    </w:p>
    <w:p>
      <w:pPr>
        <w:pStyle w:val="Heading4"/>
        <w:numPr>
          <w:ilvl w:val="3"/>
          <w:numId w:val="1"/>
        </w:numPr>
        <w:rPr/>
      </w:pPr>
      <w:bookmarkStart w:id="101" w:name="__RefHeading___Toc3242650_3804643083"/>
      <w:bookmarkStart w:id="102" w:name="_Toc40"/>
      <w:bookmarkEnd w:id="101"/>
      <w:r>
        <w:rPr>
          <w:rtl w:val="true"/>
        </w:rPr>
        <w:t>تاسعها</w:t>
      </w:r>
      <w:r>
        <w:rPr>
          <w:rtl w:val="true"/>
        </w:rPr>
        <w:t xml:space="preserve">: </w:t>
      </w:r>
      <w:r>
        <w:rPr>
          <w:rtl w:val="true"/>
        </w:rPr>
        <w:t>إذا کانت عنده ودیعة فادعاها اثنان</w:t>
      </w:r>
      <w:bookmarkEnd w:id="10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یقر الودعی بکونها لأحدهما خاصة أو یقر بکونها لهما أو یکذبهما أو لا یدری لمن هی منهما مع علمه بأنها لأحدهما أو لا یدری بأنها لهما أو لغیرهما فإن أقر بها لأحدهما وجب علیه تسلیمها إلیه و لزمه الحلف للآخر فإن حلف سقطت دعوی الآخر عنه و للآخر تحلیف المقر له علی عدم کونها له فإن حلف استقر ملکه علیها و إن نکل أو رد الیمین فحلف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عادت إلیه و إن نکل الودعی عن الیمین لمن لم یقر له و قضینا بالنکول أوردت الیمین علی من لم یقر له فحلف علی إنها له غَرم الودعی المثل و القیمة لحیلولته بینها و بینه بإقراره لصاحبه و لا یتفاوت الحال بین کون الیمین المردودة بمنزلة إقرار المنکر أو بمنزلة بینة المدعی لأنها لو کانت بمنزلة البینة فهی بمنزلتها فی حق المتداعیین لا مطلقاً فلا تنتزع الودیعة من المقر له حینئذ علی کل حال فإن أقر بها لهما فقد کذب دعوی کل منهما الجمیع و صدقه فی البعض و حینئذ فتقسم بینهما و یبقی النزاع بینهما بالنصف فإن حلفا معاً أو نکلا قسم بینهما أیضاً و إن حلف أحدهما خاصة قضی له بها و لا خصومة للناکل مع الودعی و لکل منهما الدعوی مع الودعی فی النصف الآخر فإن حلف سلم من الغرم و إن رد الیمین أو نکل غرم للحالف النصف کما تقدم فی الکل و إن کذبهما معا کان لهما إحلافه فإن نکل عن الیمین ردت إلیهما و صارا فی الدعوی سواء لخروج ید کل منهما فإن حلفا أو نکلا قسمت بینهما نصفین و إن اختص أحدهما بالیمین اختص هو بالودیعة و إن قال لا أدری لأیکما فإن وافقاه علی عدم التعیین فلا خصومة و إلا کان لهما علیه الیمین علی نفی العلم بأنه لأحدهما خاصة و هل علیه یمین واحدة لأنها دعوی واحدة فیکتفی فیها بیمین واحدة أو علیه یمینان لکل واحد منهما یمین لعموم البینة علی المدعی و الیمین علی من أنکر وجهان و الأقوی الأخیر فإذا حلف سقطت الدعوی عنه و إن نکل و حلفا علی علمه اغرم القیمة و جعلت مع العین فی أیدیهما لمکان الحیلولة و تراضیا علی ما أخذاه و اصطلحا علیه و متی وقعت المنازعة بینهما بعد یمینه قیل إنه یقرع بینهما فمن خرجت له القرعة حلف و سلمت إلیه الودیعة و قیل أن الأمر یقف إلی أن یصطلحا أو تقوم بینة أنها لأحدهما و قیل تقسم بینهما نصفین بعد تحالفهما و هو الأظهر للزوم الضرر فی الإیقاف و علی کل حال فالأظهر انتزاع الودیعة من یده لانحصار الحق فیهما و مطالبتهما بها مع احتمال الرجوع للحاکم و احتمال إبقائها فی یده ضعیف و إن قال لا أدری لکما أم لغیرکما کان لهما علیه الیمین علی نفی العلم بأنها لهما أو نفی العلم لکل واحد منهما فإذا حلف بقیت فی یده لأنها ودیعة عنده إلی أن تقوم البینة و لیس لأحدهما تحلیف الآخر لأنه لم یثبت لواحد منهما فیها ید استحقاق و لو نکل عن الیمین ففی تسلیمها إلیهما مع حلفهما علی الاستحقاق</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غرامته لهما القیمة لو حلفا علی علمه لانحصار الحق فیهما ظاهراً و لا منازع لهما الآن أو إبقاؤها فی یده لعدم حصر ذی الید الحق فیهما إشکال و لا یبعد الأول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9125</Words>
  <Characters>35061</Characters>
  <CharactersWithSpaces>44056</CharactersWithSpaces>
  <Paragraphs>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2026-08-17T07:49:42Z</dcterms:created>
  <dc:creator>ghaemiyeh.com</dc:creator>
  <dc:description/>
  <dc:language>en-US</dc:language>
  <cp:lastModifiedBy/>
  <dcterms:modified xsi:type="dcterms:W3CDTF">2026-08-17T11:19:43Z</dcterms:modified>
  <cp:revision>1</cp:revision>
  <dc:subject/>
  <dc:title>انوار الفقاهه - کتاب الودیعه</dc:title>
</cp:coreProperties>
</file>

<file path=docProps/custom.xml><?xml version="1.0" encoding="utf-8"?>
<Properties xmlns="http://schemas.openxmlformats.org/officeDocument/2006/custom-properties" xmlns:vt="http://schemas.openxmlformats.org/officeDocument/2006/docPropsVTypes"/>
</file>