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التعادل و الترجیح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4953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04955_3804643083">
            <w:r>
              <w:rPr>
                <w:webHidden/>
                <w:rStyle w:val="IndexLink"/>
                <w:rtl w:val="true"/>
              </w:rPr>
              <w:t>[</w:t>
            </w:r>
            <w:r>
              <w:rPr>
                <w:rStyle w:val="IndexLink"/>
                <w:rtl w:val="true"/>
              </w:rPr>
              <w:t>هویة الکتاب</w:t>
            </w:r>
            <w:r>
              <w:rPr>
                <w:rStyle w:val="IndexLink"/>
                <w:rtl w:val="true"/>
              </w:rPr>
              <w:t>]</w:t>
              <w:tab/>
            </w:r>
            <w:r>
              <w:rPr>
                <w:rStyle w:val="IndexLink"/>
              </w:rPr>
              <w:t>6</w:t>
            </w:r>
          </w:hyperlink>
        </w:p>
        <w:p>
          <w:pPr>
            <w:pStyle w:val="Contents2"/>
            <w:tabs>
              <w:tab w:val="clear" w:pos="8743"/>
              <w:tab w:val="right" w:pos="9026" w:leader="dot"/>
            </w:tabs>
            <w:rPr/>
          </w:pPr>
          <w:hyperlink w:anchor="__RefHeading___Toc2704957_3804643083">
            <w:r>
              <w:rPr>
                <w:webHidden/>
                <w:rStyle w:val="IndexLink"/>
                <w:rtl w:val="true"/>
              </w:rPr>
              <w:t>مقدّمة التحقیق</w:t>
            </w:r>
            <w:r>
              <w:rPr>
                <w:rStyle w:val="IndexLink"/>
                <w:rtl w:val="true"/>
              </w:rPr>
              <w:tab/>
            </w:r>
            <w:r>
              <w:rPr>
                <w:rStyle w:val="IndexLink"/>
              </w:rPr>
              <w:t>9</w:t>
            </w:r>
          </w:hyperlink>
        </w:p>
        <w:p>
          <w:pPr>
            <w:pStyle w:val="Contents3"/>
            <w:tabs>
              <w:tab w:val="clear" w:pos="8459"/>
              <w:tab w:val="right" w:pos="9026" w:leader="dot"/>
            </w:tabs>
            <w:rPr/>
          </w:pPr>
          <w:hyperlink w:anchor="__RefHeading___Toc2704959_380464308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704961_3804643083">
            <w:r>
              <w:rPr>
                <w:webHidden/>
                <w:rStyle w:val="IndexLink"/>
                <w:rtl w:val="true"/>
              </w:rPr>
              <w:t>الأمر الأوّل فی بیان مناشئ اختلاف الأدلّة</w:t>
            </w:r>
            <w:r>
              <w:rPr>
                <w:rStyle w:val="IndexLink"/>
                <w:rtl w:val="true"/>
              </w:rPr>
              <w:tab/>
            </w:r>
            <w:r>
              <w:rPr>
                <w:rStyle w:val="IndexLink"/>
              </w:rPr>
              <w:t>11</w:t>
            </w:r>
          </w:hyperlink>
        </w:p>
        <w:p>
          <w:pPr>
            <w:pStyle w:val="Contents4"/>
            <w:tabs>
              <w:tab w:val="clear" w:pos="8176"/>
              <w:tab w:val="right" w:pos="9026" w:leader="dot"/>
            </w:tabs>
            <w:rPr/>
          </w:pPr>
          <w:hyperlink w:anchor="__RefHeading___Toc2704963_380464308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704965_3804643083">
            <w:r>
              <w:rPr>
                <w:webHidden/>
                <w:rStyle w:val="IndexLink"/>
              </w:rPr>
              <w:t>1</w:t>
            </w:r>
            <w:r>
              <w:rPr>
                <w:rStyle w:val="IndexLink"/>
                <w:rtl w:val="true"/>
              </w:rPr>
              <w:t xml:space="preserve">- </w:t>
            </w:r>
            <w:r>
              <w:rPr>
                <w:rStyle w:val="IndexLink"/>
                <w:rtl w:val="true"/>
              </w:rPr>
              <w:t>وقوع خطأ فی الأدلّة</w:t>
            </w:r>
            <w:r>
              <w:rPr>
                <w:rStyle w:val="IndexLink"/>
                <w:rtl w:val="true"/>
              </w:rPr>
              <w:tab/>
            </w:r>
            <w:r>
              <w:rPr>
                <w:rStyle w:val="IndexLink"/>
              </w:rPr>
              <w:t>12</w:t>
            </w:r>
          </w:hyperlink>
        </w:p>
        <w:p>
          <w:pPr>
            <w:pStyle w:val="Contents4"/>
            <w:tabs>
              <w:tab w:val="clear" w:pos="8176"/>
              <w:tab w:val="right" w:pos="9026" w:leader="dot"/>
            </w:tabs>
            <w:rPr/>
          </w:pPr>
          <w:hyperlink w:anchor="__RefHeading___Toc2704967_3804643083">
            <w:r>
              <w:rPr>
                <w:webHidden/>
                <w:rStyle w:val="IndexLink"/>
              </w:rPr>
              <w:t>2</w:t>
            </w:r>
            <w:r>
              <w:rPr>
                <w:rStyle w:val="IndexLink"/>
                <w:rtl w:val="true"/>
              </w:rPr>
              <w:t xml:space="preserve">- </w:t>
            </w:r>
            <w:r>
              <w:rPr>
                <w:rStyle w:val="IndexLink"/>
                <w:rtl w:val="true"/>
              </w:rPr>
              <w:t>قلّة اطّلاعنا</w:t>
            </w:r>
            <w:r>
              <w:rPr>
                <w:rStyle w:val="IndexLink"/>
                <w:rtl w:val="true"/>
              </w:rPr>
              <w:tab/>
            </w:r>
            <w:r>
              <w:rPr>
                <w:rStyle w:val="IndexLink"/>
              </w:rPr>
              <w:t>12</w:t>
            </w:r>
          </w:hyperlink>
        </w:p>
        <w:p>
          <w:pPr>
            <w:pStyle w:val="Contents4"/>
            <w:tabs>
              <w:tab w:val="clear" w:pos="8176"/>
              <w:tab w:val="right" w:pos="9026" w:leader="dot"/>
            </w:tabs>
            <w:rPr/>
          </w:pPr>
          <w:hyperlink w:anchor="__RefHeading___Toc2704969_3804643083">
            <w:r>
              <w:rPr>
                <w:webHidden/>
                <w:rStyle w:val="IndexLink"/>
              </w:rPr>
              <w:t>3</w:t>
            </w:r>
            <w:r>
              <w:rPr>
                <w:rStyle w:val="IndexLink"/>
                <w:rtl w:val="true"/>
              </w:rPr>
              <w:t xml:space="preserve">- </w:t>
            </w:r>
            <w:r>
              <w:rPr>
                <w:rStyle w:val="IndexLink"/>
                <w:rtl w:val="true"/>
              </w:rPr>
              <w:t>نسخ الأحکام الشرعیّة</w:t>
            </w:r>
            <w:r>
              <w:rPr>
                <w:rStyle w:val="IndexLink"/>
                <w:rtl w:val="true"/>
              </w:rPr>
              <w:tab/>
            </w:r>
            <w:r>
              <w:rPr>
                <w:rStyle w:val="IndexLink"/>
              </w:rPr>
              <w:t>13</w:t>
            </w:r>
          </w:hyperlink>
        </w:p>
        <w:p>
          <w:pPr>
            <w:pStyle w:val="Contents4"/>
            <w:tabs>
              <w:tab w:val="clear" w:pos="8176"/>
              <w:tab w:val="right" w:pos="9026" w:leader="dot"/>
            </w:tabs>
            <w:rPr/>
          </w:pPr>
          <w:hyperlink w:anchor="__RefHeading___Toc2704971_3804643083">
            <w:r>
              <w:rPr>
                <w:webHidden/>
                <w:rStyle w:val="IndexLink"/>
              </w:rPr>
              <w:t>4</w:t>
            </w:r>
            <w:r>
              <w:rPr>
                <w:rStyle w:val="IndexLink"/>
                <w:rtl w:val="true"/>
              </w:rPr>
              <w:t xml:space="preserve">- </w:t>
            </w:r>
            <w:r>
              <w:rPr>
                <w:rStyle w:val="IndexLink"/>
                <w:rtl w:val="true"/>
              </w:rPr>
              <w:t>التدرّج فی البیان</w:t>
            </w:r>
            <w:r>
              <w:rPr>
                <w:rStyle w:val="IndexLink"/>
                <w:rtl w:val="true"/>
              </w:rPr>
              <w:tab/>
            </w:r>
            <w:r>
              <w:rPr>
                <w:rStyle w:val="IndexLink"/>
              </w:rPr>
              <w:t>13</w:t>
            </w:r>
          </w:hyperlink>
        </w:p>
        <w:p>
          <w:pPr>
            <w:pStyle w:val="Contents5"/>
            <w:tabs>
              <w:tab w:val="clear" w:pos="7892"/>
              <w:tab w:val="right" w:pos="9026" w:leader="dot"/>
            </w:tabs>
            <w:rPr/>
          </w:pPr>
          <w:hyperlink w:anchor="__RefHeading___Toc2704973_3804643083">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2704975_3804643083">
            <w:r>
              <w:rPr>
                <w:webHidden/>
                <w:rStyle w:val="IndexLink"/>
                <w:rtl w:val="true"/>
              </w:rPr>
              <w:t>تبصرة</w:t>
            </w:r>
            <w:r>
              <w:rPr>
                <w:rStyle w:val="IndexLink"/>
                <w:rtl w:val="true"/>
              </w:rPr>
              <w:tab/>
            </w:r>
            <w:r>
              <w:rPr>
                <w:rStyle w:val="IndexLink"/>
              </w:rPr>
              <w:t>14</w:t>
            </w:r>
          </w:hyperlink>
        </w:p>
        <w:p>
          <w:pPr>
            <w:pStyle w:val="Contents4"/>
            <w:tabs>
              <w:tab w:val="clear" w:pos="8176"/>
              <w:tab w:val="right" w:pos="9026" w:leader="dot"/>
            </w:tabs>
            <w:rPr/>
          </w:pPr>
          <w:hyperlink w:anchor="__RefHeading___Toc2704977_3804643083">
            <w:r>
              <w:rPr>
                <w:webHidden/>
                <w:rStyle w:val="IndexLink"/>
              </w:rPr>
              <w:t>5</w:t>
            </w:r>
            <w:r>
              <w:rPr>
                <w:rStyle w:val="IndexLink"/>
                <w:rtl w:val="true"/>
              </w:rPr>
              <w:t xml:space="preserve">- </w:t>
            </w:r>
            <w:r>
              <w:rPr>
                <w:rStyle w:val="IndexLink"/>
                <w:rtl w:val="true"/>
              </w:rPr>
              <w:t>التقیّة</w:t>
            </w:r>
            <w:r>
              <w:rPr>
                <w:rStyle w:val="IndexLink"/>
                <w:rtl w:val="true"/>
              </w:rPr>
              <w:tab/>
            </w:r>
            <w:r>
              <w:rPr>
                <w:rStyle w:val="IndexLink"/>
              </w:rPr>
              <w:t>15</w:t>
            </w:r>
          </w:hyperlink>
        </w:p>
        <w:p>
          <w:pPr>
            <w:pStyle w:val="Contents4"/>
            <w:tabs>
              <w:tab w:val="clear" w:pos="8176"/>
              <w:tab w:val="right" w:pos="9026" w:leader="dot"/>
            </w:tabs>
            <w:rPr/>
          </w:pPr>
          <w:hyperlink w:anchor="__RefHeading___Toc2704979_3804643083">
            <w:r>
              <w:rPr>
                <w:webHidden/>
                <w:rStyle w:val="IndexLink"/>
              </w:rPr>
              <w:t>6</w:t>
            </w:r>
            <w:r>
              <w:rPr>
                <w:rStyle w:val="IndexLink"/>
                <w:rtl w:val="true"/>
              </w:rPr>
              <w:t xml:space="preserve">- </w:t>
            </w:r>
            <w:r>
              <w:rPr>
                <w:rStyle w:val="IndexLink"/>
                <w:rtl w:val="true"/>
              </w:rPr>
              <w:t>الدسّ و التزویر</w:t>
            </w:r>
            <w:r>
              <w:rPr>
                <w:rStyle w:val="IndexLink"/>
                <w:rtl w:val="true"/>
              </w:rPr>
              <w:tab/>
            </w:r>
            <w:r>
              <w:rPr>
                <w:rStyle w:val="IndexLink"/>
              </w:rPr>
              <w:t>15</w:t>
            </w:r>
          </w:hyperlink>
        </w:p>
        <w:p>
          <w:pPr>
            <w:pStyle w:val="Contents5"/>
            <w:tabs>
              <w:tab w:val="clear" w:pos="7892"/>
              <w:tab w:val="right" w:pos="9026" w:leader="dot"/>
            </w:tabs>
            <w:rPr/>
          </w:pPr>
          <w:hyperlink w:anchor="__RefHeading___Toc2704981_3804643083">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2704983_3804643083">
            <w:r>
              <w:rPr>
                <w:webHidden/>
                <w:rStyle w:val="IndexLink"/>
                <w:rtl w:val="true"/>
              </w:rPr>
              <w:t>تتمّة</w:t>
            </w:r>
            <w:r>
              <w:rPr>
                <w:rStyle w:val="IndexLink"/>
                <w:rtl w:val="true"/>
              </w:rPr>
              <w:tab/>
            </w:r>
            <w:r>
              <w:rPr>
                <w:rStyle w:val="IndexLink"/>
              </w:rPr>
              <w:t>16</w:t>
            </w:r>
          </w:hyperlink>
        </w:p>
        <w:p>
          <w:pPr>
            <w:pStyle w:val="Contents3"/>
            <w:tabs>
              <w:tab w:val="clear" w:pos="8459"/>
              <w:tab w:val="right" w:pos="9026" w:leader="dot"/>
            </w:tabs>
            <w:rPr/>
          </w:pPr>
          <w:hyperlink w:anchor="__RefHeading___Toc2704985_3804643083">
            <w:r>
              <w:rPr>
                <w:webHidden/>
                <w:rStyle w:val="IndexLink"/>
                <w:rtl w:val="true"/>
              </w:rPr>
              <w:t>الأمر الثانی الجمع العرفیّ</w:t>
            </w:r>
            <w:r>
              <w:rPr>
                <w:rStyle w:val="IndexLink"/>
                <w:rtl w:val="true"/>
              </w:rPr>
              <w:tab/>
            </w:r>
            <w:r>
              <w:rPr>
                <w:rStyle w:val="IndexLink"/>
              </w:rPr>
              <w:t>17</w:t>
            </w:r>
          </w:hyperlink>
        </w:p>
        <w:p>
          <w:pPr>
            <w:pStyle w:val="Contents4"/>
            <w:tabs>
              <w:tab w:val="clear" w:pos="8176"/>
              <w:tab w:val="right" w:pos="9026" w:leader="dot"/>
            </w:tabs>
            <w:rPr/>
          </w:pPr>
          <w:hyperlink w:anchor="__RefHeading___Toc2704987_380464308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704989_3804643083">
            <w:r>
              <w:rPr>
                <w:webHidden/>
                <w:rStyle w:val="IndexLink"/>
                <w:rtl w:val="true"/>
              </w:rPr>
              <w:t>تبصرة</w:t>
            </w:r>
            <w:r>
              <w:rPr>
                <w:rStyle w:val="IndexLink"/>
                <w:rtl w:val="true"/>
              </w:rPr>
              <w:tab/>
            </w:r>
            <w:r>
              <w:rPr>
                <w:rStyle w:val="IndexLink"/>
              </w:rPr>
              <w:t>20</w:t>
            </w:r>
          </w:hyperlink>
        </w:p>
        <w:p>
          <w:pPr>
            <w:pStyle w:val="Contents3"/>
            <w:tabs>
              <w:tab w:val="clear" w:pos="8459"/>
              <w:tab w:val="right" w:pos="9026" w:leader="dot"/>
            </w:tabs>
            <w:rPr/>
          </w:pPr>
          <w:hyperlink w:anchor="__RefHeading___Toc2704991_3804643083">
            <w:r>
              <w:rPr>
                <w:webHidden/>
                <w:rStyle w:val="IndexLink"/>
                <w:rtl w:val="true"/>
              </w:rPr>
              <w:t>الأمر الثالث المرجّحات المنصوصة و غیر المنصوصة</w:t>
            </w:r>
            <w:r>
              <w:rPr>
                <w:rStyle w:val="IndexLink"/>
                <w:rtl w:val="true"/>
              </w:rPr>
              <w:tab/>
            </w:r>
            <w:r>
              <w:rPr>
                <w:rStyle w:val="IndexLink"/>
              </w:rPr>
              <w:t>20</w:t>
            </w:r>
          </w:hyperlink>
        </w:p>
        <w:p>
          <w:pPr>
            <w:pStyle w:val="Contents4"/>
            <w:tabs>
              <w:tab w:val="clear" w:pos="8176"/>
              <w:tab w:val="right" w:pos="9026" w:leader="dot"/>
            </w:tabs>
            <w:rPr/>
          </w:pPr>
          <w:hyperlink w:anchor="__RefHeading___Toc2704993_380464308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704995_3804643083">
            <w:r>
              <w:rPr>
                <w:webHidden/>
                <w:rStyle w:val="IndexLink"/>
                <w:rtl w:val="true"/>
              </w:rPr>
              <w:t>حول هذه الطبعة</w:t>
            </w:r>
            <w:r>
              <w:rPr>
                <w:rStyle w:val="IndexLink"/>
                <w:rtl w:val="true"/>
              </w:rPr>
              <w:tab/>
            </w:r>
            <w:r>
              <w:rPr>
                <w:rStyle w:val="IndexLink"/>
              </w:rPr>
              <w:t>24</w:t>
            </w:r>
          </w:hyperlink>
        </w:p>
        <w:p>
          <w:pPr>
            <w:pStyle w:val="Contents2"/>
            <w:tabs>
              <w:tab w:val="clear" w:pos="8743"/>
              <w:tab w:val="right" w:pos="9026" w:leader="dot"/>
            </w:tabs>
            <w:rPr/>
          </w:pPr>
          <w:hyperlink w:anchor="__RefHeading___Toc2704997_3804643083">
            <w:r>
              <w:rPr>
                <w:webHidden/>
                <w:rStyle w:val="IndexLink"/>
                <w:rtl w:val="true"/>
              </w:rPr>
              <w:t>مبحث التعارض و اختلاف الأدلّة</w:t>
            </w:r>
            <w:r>
              <w:rPr>
                <w:rStyle w:val="IndexLink"/>
                <w:rtl w:val="true"/>
              </w:rPr>
              <w:tab/>
            </w:r>
            <w:r>
              <w:rPr>
                <w:rStyle w:val="IndexLink"/>
              </w:rPr>
              <w:t>27</w:t>
            </w:r>
          </w:hyperlink>
        </w:p>
        <w:p>
          <w:pPr>
            <w:pStyle w:val="Contents3"/>
            <w:tabs>
              <w:tab w:val="clear" w:pos="8459"/>
              <w:tab w:val="right" w:pos="9026" w:leader="dot"/>
            </w:tabs>
            <w:rPr/>
          </w:pPr>
          <w:hyperlink w:anchor="__RefHeading___Toc2704999_380464308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705001_3804643083">
            <w:r>
              <w:rPr>
                <w:webHidden/>
                <w:rStyle w:val="IndexLink"/>
                <w:rtl w:val="true"/>
              </w:rPr>
              <w:t>الأمر الأوّل عدم تعارض العامّ و الخاصّ</w:t>
            </w:r>
            <w:r>
              <w:rPr>
                <w:rStyle w:val="IndexLink"/>
                <w:rtl w:val="true"/>
              </w:rPr>
              <w:tab/>
            </w:r>
            <w:r>
              <w:rPr>
                <w:rStyle w:val="IndexLink"/>
              </w:rPr>
              <w:t>28</w:t>
            </w:r>
          </w:hyperlink>
        </w:p>
        <w:p>
          <w:pPr>
            <w:pStyle w:val="Contents4"/>
            <w:tabs>
              <w:tab w:val="clear" w:pos="8176"/>
              <w:tab w:val="right" w:pos="9026" w:leader="dot"/>
            </w:tabs>
            <w:rPr/>
          </w:pPr>
          <w:hyperlink w:anchor="__RefHeading___Toc2705003_3804643083">
            <w:r>
              <w:rPr>
                <w:webHidden/>
                <w:rStyle w:val="IndexLink"/>
                <w:rtl w:val="true"/>
              </w:rPr>
              <w:t>اختصاص الکلام فی هذا الباب بتعارض الأخبار</w:t>
            </w:r>
            <w:r>
              <w:rPr>
                <w:rStyle w:val="IndexLink"/>
                <w:rtl w:val="true"/>
              </w:rPr>
              <w:tab/>
            </w:r>
            <w:r>
              <w:rPr>
                <w:rStyle w:val="IndexLink"/>
              </w:rPr>
              <w:t>28</w:t>
            </w:r>
          </w:hyperlink>
        </w:p>
        <w:p>
          <w:pPr>
            <w:pStyle w:val="Contents4"/>
            <w:tabs>
              <w:tab w:val="clear" w:pos="8176"/>
              <w:tab w:val="right" w:pos="9026" w:leader="dot"/>
            </w:tabs>
            <w:rPr/>
          </w:pPr>
          <w:hyperlink w:anchor="__RefHeading___Toc2705005_3804643083">
            <w:r>
              <w:rPr>
                <w:webHidden/>
                <w:rStyle w:val="IndexLink"/>
                <w:rtl w:val="true"/>
              </w:rPr>
              <w:t>لزوم فرض التعارض فی محیط التشریع</w:t>
            </w:r>
            <w:r>
              <w:rPr>
                <w:rStyle w:val="IndexLink"/>
                <w:rtl w:val="true"/>
              </w:rPr>
              <w:tab/>
            </w:r>
            <w:r>
              <w:rPr>
                <w:rStyle w:val="IndexLink"/>
              </w:rPr>
              <w:t>30</w:t>
            </w:r>
          </w:hyperlink>
        </w:p>
        <w:p>
          <w:pPr>
            <w:pStyle w:val="Contents4"/>
            <w:tabs>
              <w:tab w:val="clear" w:pos="8176"/>
              <w:tab w:val="right" w:pos="9026" w:leader="dot"/>
            </w:tabs>
            <w:rPr/>
          </w:pPr>
          <w:hyperlink w:anchor="__RefHeading___Toc2705007_3804643083">
            <w:r>
              <w:rPr>
                <w:webHidden/>
                <w:rStyle w:val="IndexLink"/>
                <w:rtl w:val="true"/>
              </w:rPr>
              <w:t>سرّ عدم التعارض بین العامّ و الخاصّ</w:t>
            </w:r>
            <w:r>
              <w:rPr>
                <w:rStyle w:val="IndexLink"/>
                <w:rtl w:val="true"/>
              </w:rPr>
              <w:tab/>
            </w:r>
            <w:r>
              <w:rPr>
                <w:rStyle w:val="IndexLink"/>
              </w:rPr>
              <w:t>32</w:t>
            </w:r>
          </w:hyperlink>
        </w:p>
        <w:p>
          <w:pPr>
            <w:pStyle w:val="Contents4"/>
            <w:tabs>
              <w:tab w:val="clear" w:pos="8176"/>
              <w:tab w:val="right" w:pos="9026" w:leader="dot"/>
            </w:tabs>
            <w:rPr/>
          </w:pPr>
          <w:hyperlink w:anchor="__RefHeading___Toc2705009_3804643083">
            <w:r>
              <w:rPr>
                <w:webHidden/>
                <w:rStyle w:val="IndexLink"/>
                <w:rtl w:val="true"/>
              </w:rPr>
              <w:t>کلام المحقّقین فی وجه تقدیم الخاصّ علی العامّ</w:t>
            </w:r>
            <w:r>
              <w:rPr>
                <w:rStyle w:val="IndexLink"/>
                <w:rtl w:val="true"/>
              </w:rPr>
              <w:tab/>
            </w:r>
            <w:r>
              <w:rPr>
                <w:rStyle w:val="IndexLink"/>
              </w:rPr>
              <w:t>33</w:t>
            </w:r>
          </w:hyperlink>
        </w:p>
        <w:p>
          <w:pPr>
            <w:pStyle w:val="Contents4"/>
            <w:tabs>
              <w:tab w:val="clear" w:pos="8176"/>
              <w:tab w:val="right" w:pos="9026" w:leader="dot"/>
            </w:tabs>
            <w:rPr/>
          </w:pPr>
          <w:hyperlink w:anchor="__RefHeading___Toc2705011_3804643083">
            <w:r>
              <w:rPr>
                <w:webHidden/>
                <w:rStyle w:val="IndexLink"/>
                <w:rtl w:val="true"/>
              </w:rPr>
              <w:t>الإشکال علی الشیخ الأعظم قدس سره</w:t>
            </w:r>
            <w:r>
              <w:rPr>
                <w:rStyle w:val="IndexLink"/>
                <w:rtl w:val="true"/>
              </w:rPr>
              <w:tab/>
            </w:r>
            <w:r>
              <w:rPr>
                <w:rStyle w:val="IndexLink"/>
              </w:rPr>
              <w:t>36</w:t>
            </w:r>
          </w:hyperlink>
        </w:p>
        <w:p>
          <w:pPr>
            <w:pStyle w:val="Contents4"/>
            <w:tabs>
              <w:tab w:val="clear" w:pos="8176"/>
              <w:tab w:val="right" w:pos="9026" w:leader="dot"/>
            </w:tabs>
            <w:rPr/>
          </w:pPr>
          <w:hyperlink w:anchor="__RefHeading___Toc2705013_3804643083">
            <w:r>
              <w:rPr>
                <w:webHidden/>
                <w:rStyle w:val="IndexLink"/>
                <w:rtl w:val="true"/>
              </w:rPr>
              <w:t>کلام مع بعض أعاظم العصر قدس سره</w:t>
            </w:r>
            <w:r>
              <w:rPr>
                <w:rStyle w:val="IndexLink"/>
                <w:rtl w:val="true"/>
              </w:rPr>
              <w:tab/>
            </w:r>
            <w:r>
              <w:rPr>
                <w:rStyle w:val="IndexLink"/>
              </w:rPr>
              <w:t>38</w:t>
            </w:r>
          </w:hyperlink>
        </w:p>
        <w:p>
          <w:pPr>
            <w:pStyle w:val="Contents4"/>
            <w:tabs>
              <w:tab w:val="clear" w:pos="8176"/>
              <w:tab w:val="right" w:pos="9026" w:leader="dot"/>
            </w:tabs>
            <w:rPr/>
          </w:pPr>
          <w:hyperlink w:anchor="__RefHeading___Toc2705015_3804643083">
            <w:r>
              <w:rPr>
                <w:webHidden/>
                <w:rStyle w:val="IndexLink"/>
                <w:rtl w:val="true"/>
              </w:rPr>
              <w:t>کلام مع شیخنا العلّامة أعلی اللَّه مقامه</w:t>
            </w:r>
            <w:r>
              <w:rPr>
                <w:rStyle w:val="IndexLink"/>
                <w:rtl w:val="true"/>
              </w:rPr>
              <w:tab/>
            </w:r>
            <w:r>
              <w:rPr>
                <w:rStyle w:val="IndexLink"/>
              </w:rPr>
              <w:t>41</w:t>
            </w:r>
          </w:hyperlink>
        </w:p>
        <w:p>
          <w:pPr>
            <w:pStyle w:val="Contents4"/>
            <w:tabs>
              <w:tab w:val="clear" w:pos="8176"/>
              <w:tab w:val="right" w:pos="9026" w:leader="dot"/>
            </w:tabs>
            <w:rPr/>
          </w:pPr>
          <w:hyperlink w:anchor="__RefHeading___Toc2705017_3804643083">
            <w:r>
              <w:rPr>
                <w:webHidden/>
                <w:rStyle w:val="IndexLink"/>
                <w:rtl w:val="true"/>
              </w:rPr>
              <w:t>کلام مع المحقّق الخراسانی قدس سره</w:t>
            </w:r>
            <w:r>
              <w:rPr>
                <w:rStyle w:val="IndexLink"/>
                <w:rtl w:val="true"/>
              </w:rPr>
              <w:tab/>
            </w:r>
            <w:r>
              <w:rPr>
                <w:rStyle w:val="IndexLink"/>
              </w:rPr>
              <w:t>42</w:t>
            </w:r>
          </w:hyperlink>
        </w:p>
        <w:p>
          <w:pPr>
            <w:pStyle w:val="Contents4"/>
            <w:tabs>
              <w:tab w:val="clear" w:pos="8176"/>
              <w:tab w:val="right" w:pos="9026" w:leader="dot"/>
            </w:tabs>
            <w:rPr/>
          </w:pPr>
          <w:hyperlink w:anchor="__RefHeading___Toc2705019_3804643083">
            <w:r>
              <w:rPr>
                <w:webHidden/>
                <w:rStyle w:val="IndexLink"/>
                <w:rtl w:val="true"/>
              </w:rPr>
              <w:t>بیان أصالتی الحقیقة و الجدّ</w:t>
            </w:r>
            <w:r>
              <w:rPr>
                <w:rStyle w:val="IndexLink"/>
                <w:rtl w:val="true"/>
              </w:rPr>
              <w:tab/>
            </w:r>
            <w:r>
              <w:rPr>
                <w:rStyle w:val="IndexLink"/>
              </w:rPr>
              <w:t>44</w:t>
            </w:r>
          </w:hyperlink>
        </w:p>
        <w:p>
          <w:pPr>
            <w:pStyle w:val="Contents3"/>
            <w:tabs>
              <w:tab w:val="clear" w:pos="8459"/>
              <w:tab w:val="right" w:pos="9026" w:leader="dot"/>
            </w:tabs>
            <w:rPr/>
          </w:pPr>
          <w:hyperlink w:anchor="__RefHeading___Toc2705021_3804643083">
            <w:r>
              <w:rPr>
                <w:webHidden/>
                <w:rStyle w:val="IndexLink"/>
                <w:rtl w:val="true"/>
              </w:rPr>
              <w:t>الأمر الثانی فی عدم شمول أخبار العلاج للعامّ و الخاصّ</w:t>
            </w:r>
            <w:r>
              <w:rPr>
                <w:rStyle w:val="IndexLink"/>
                <w:rtl w:val="true"/>
              </w:rPr>
              <w:tab/>
            </w:r>
            <w:r>
              <w:rPr>
                <w:rStyle w:val="IndexLink"/>
              </w:rPr>
              <w:t>48</w:t>
            </w:r>
          </w:hyperlink>
        </w:p>
        <w:p>
          <w:pPr>
            <w:pStyle w:val="Contents4"/>
            <w:tabs>
              <w:tab w:val="clear" w:pos="8176"/>
              <w:tab w:val="right" w:pos="9026" w:leader="dot"/>
            </w:tabs>
            <w:rPr/>
          </w:pPr>
          <w:hyperlink w:anchor="__RefHeading___Toc2705023_380464308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705025_3804643083">
            <w:r>
              <w:rPr>
                <w:webHidden/>
                <w:rStyle w:val="IndexLink"/>
                <w:rtl w:val="true"/>
              </w:rPr>
              <w:t xml:space="preserve">نقل کلام العلمین المحقّق الخراسانیّ و شیخنا العلّامة </w:t>
            </w:r>
            <w:r>
              <w:rPr>
                <w:rStyle w:val="IndexLink"/>
              </w:rPr>
              <w:t>0</w:t>
            </w:r>
            <w:r>
              <w:rPr>
                <w:rStyle w:val="IndexLink"/>
                <w:rtl w:val="true"/>
              </w:rPr>
              <w:tab/>
            </w:r>
            <w:r>
              <w:rPr>
                <w:rStyle w:val="IndexLink"/>
              </w:rPr>
              <w:t>49</w:t>
            </w:r>
          </w:hyperlink>
        </w:p>
        <w:p>
          <w:pPr>
            <w:pStyle w:val="Contents4"/>
            <w:tabs>
              <w:tab w:val="clear" w:pos="8176"/>
              <w:tab w:val="right" w:pos="9026" w:leader="dot"/>
            </w:tabs>
            <w:rPr/>
          </w:pPr>
          <w:hyperlink w:anchor="__RefHeading___Toc2705027_3804643083">
            <w:r>
              <w:rPr>
                <w:webHidden/>
                <w:rStyle w:val="IndexLink"/>
                <w:rtl w:val="true"/>
              </w:rPr>
              <w:t>الإیراد علی المحقّق الخراسانیّ رحمه الله</w:t>
            </w:r>
            <w:r>
              <w:rPr>
                <w:rStyle w:val="IndexLink"/>
                <w:rtl w:val="true"/>
              </w:rPr>
              <w:tab/>
            </w:r>
            <w:r>
              <w:rPr>
                <w:rStyle w:val="IndexLink"/>
              </w:rPr>
              <w:t>52</w:t>
            </w:r>
          </w:hyperlink>
        </w:p>
        <w:p>
          <w:pPr>
            <w:pStyle w:val="Contents4"/>
            <w:tabs>
              <w:tab w:val="clear" w:pos="8176"/>
              <w:tab w:val="right" w:pos="9026" w:leader="dot"/>
            </w:tabs>
            <w:rPr/>
          </w:pPr>
          <w:hyperlink w:anchor="__RefHeading___Toc2705029_3804643083">
            <w:r>
              <w:rPr>
                <w:webHidden/>
                <w:rStyle w:val="IndexLink"/>
                <w:rtl w:val="true"/>
              </w:rPr>
              <w:t>کلام مع شیخنا الاستاذ رحمه الله</w:t>
            </w:r>
            <w:r>
              <w:rPr>
                <w:rStyle w:val="IndexLink"/>
                <w:rtl w:val="true"/>
              </w:rPr>
              <w:tab/>
            </w:r>
            <w:r>
              <w:rPr>
                <w:rStyle w:val="IndexLink"/>
              </w:rPr>
              <w:t>54</w:t>
            </w:r>
          </w:hyperlink>
        </w:p>
        <w:p>
          <w:pPr>
            <w:pStyle w:val="Contents3"/>
            <w:tabs>
              <w:tab w:val="clear" w:pos="8459"/>
              <w:tab w:val="right" w:pos="9026" w:leader="dot"/>
            </w:tabs>
            <w:rPr/>
          </w:pPr>
          <w:hyperlink w:anchor="__RefHeading___Toc2705031_3804643083">
            <w:r>
              <w:rPr>
                <w:webHidden/>
                <w:rStyle w:val="IndexLink"/>
                <w:rtl w:val="true"/>
              </w:rPr>
              <w:t>الأمر الثالث فی إبطال قاعدة الجمع مهما أمکن، أولی</w:t>
            </w:r>
            <w:r>
              <w:rPr>
                <w:rStyle w:val="IndexLink"/>
                <w:rtl w:val="true"/>
              </w:rPr>
              <w:tab/>
            </w:r>
            <w:r>
              <w:rPr>
                <w:rStyle w:val="IndexLink"/>
              </w:rPr>
              <w:t>56</w:t>
            </w:r>
          </w:hyperlink>
        </w:p>
        <w:p>
          <w:pPr>
            <w:pStyle w:val="Contents3"/>
            <w:tabs>
              <w:tab w:val="clear" w:pos="8459"/>
              <w:tab w:val="right" w:pos="9026" w:leader="dot"/>
            </w:tabs>
            <w:rPr/>
          </w:pPr>
          <w:hyperlink w:anchor="__RefHeading___Toc2705033_3804643083">
            <w:r>
              <w:rPr>
                <w:webHidden/>
                <w:rStyle w:val="IndexLink"/>
                <w:rtl w:val="true"/>
              </w:rPr>
              <w:t>الأمر الرابع کلام الشیخ فی موضوع الترجیح بحسب الدلالة و ما فیه</w:t>
            </w:r>
            <w:r>
              <w:rPr>
                <w:rStyle w:val="IndexLink"/>
                <w:rtl w:val="true"/>
              </w:rPr>
              <w:tab/>
            </w:r>
            <w:r>
              <w:rPr>
                <w:rStyle w:val="IndexLink"/>
              </w:rPr>
              <w:t>58</w:t>
            </w:r>
          </w:hyperlink>
        </w:p>
        <w:p>
          <w:pPr>
            <w:pStyle w:val="Contents3"/>
            <w:tabs>
              <w:tab w:val="clear" w:pos="8459"/>
              <w:tab w:val="right" w:pos="9026" w:leader="dot"/>
            </w:tabs>
            <w:rPr/>
          </w:pPr>
          <w:hyperlink w:anchor="__RefHeading___Toc2705035_3804643083">
            <w:r>
              <w:rPr>
                <w:webHidden/>
                <w:rStyle w:val="IndexLink"/>
                <w:rtl w:val="true"/>
              </w:rPr>
              <w:t>الأمر الخامس الموارد الخارجة عن أخبار العلاج</w:t>
            </w:r>
            <w:r>
              <w:rPr>
                <w:rStyle w:val="IndexLink"/>
                <w:rtl w:val="true"/>
              </w:rPr>
              <w:tab/>
            </w:r>
            <w:r>
              <w:rPr>
                <w:rStyle w:val="IndexLink"/>
              </w:rPr>
              <w:t>61</w:t>
            </w:r>
          </w:hyperlink>
        </w:p>
        <w:p>
          <w:pPr>
            <w:pStyle w:val="Contents4"/>
            <w:tabs>
              <w:tab w:val="clear" w:pos="8176"/>
              <w:tab w:val="right" w:pos="9026" w:leader="dot"/>
            </w:tabs>
            <w:rPr/>
          </w:pPr>
          <w:hyperlink w:anchor="__RefHeading___Toc2705037_380464308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705039_3804643083">
            <w:r>
              <w:rPr>
                <w:webHidden/>
                <w:rStyle w:val="IndexLink"/>
                <w:rtl w:val="true"/>
              </w:rPr>
              <w:t>المبحث الأوّل فیما یمکن أن یقال أو قیل بأنّهما من قبیل النصّ و الظاهر</w:t>
            </w:r>
            <w:r>
              <w:rPr>
                <w:rStyle w:val="IndexLink"/>
                <w:rtl w:val="true"/>
              </w:rPr>
              <w:tab/>
            </w:r>
            <w:r>
              <w:rPr>
                <w:rStyle w:val="IndexLink"/>
              </w:rPr>
              <w:t>62</w:t>
            </w:r>
          </w:hyperlink>
        </w:p>
        <w:p>
          <w:pPr>
            <w:pStyle w:val="Contents4"/>
            <w:tabs>
              <w:tab w:val="clear" w:pos="8176"/>
              <w:tab w:val="right" w:pos="9026" w:leader="dot"/>
            </w:tabs>
            <w:rPr/>
          </w:pPr>
          <w:hyperlink w:anchor="__RefHeading___Toc2705041_3804643083">
            <w:r>
              <w:rPr>
                <w:webHidden/>
                <w:rStyle w:val="IndexLink"/>
                <w:rtl w:val="true"/>
              </w:rPr>
              <w:t>المبحث الثانی فیما عدّ من المرجّحات النوعیّة الدلالیّة فی تعارض الدلیلین فقط</w:t>
            </w:r>
            <w:r>
              <w:rPr>
                <w:rStyle w:val="IndexLink"/>
                <w:rtl w:val="true"/>
              </w:rPr>
              <w:tab/>
            </w:r>
            <w:r>
              <w:rPr>
                <w:rStyle w:val="IndexLink"/>
              </w:rPr>
              <w:t>67</w:t>
            </w:r>
          </w:hyperlink>
        </w:p>
        <w:p>
          <w:pPr>
            <w:pStyle w:val="Contents5"/>
            <w:tabs>
              <w:tab w:val="clear" w:pos="7892"/>
              <w:tab w:val="right" w:pos="9026" w:leader="dot"/>
            </w:tabs>
            <w:rPr/>
          </w:pPr>
          <w:hyperlink w:anchor="__RefHeading___Toc2705043_380464308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705045_3804643083">
            <w:r>
              <w:rPr>
                <w:webHidden/>
                <w:rStyle w:val="IndexLink"/>
                <w:rtl w:val="true"/>
              </w:rPr>
              <w:t>وجه تقدّم العامّ علی المطلق</w:t>
            </w:r>
            <w:r>
              <w:rPr>
                <w:rStyle w:val="IndexLink"/>
                <w:rtl w:val="true"/>
              </w:rPr>
              <w:tab/>
            </w:r>
            <w:r>
              <w:rPr>
                <w:rStyle w:val="IndexLink"/>
              </w:rPr>
              <w:t>69</w:t>
            </w:r>
          </w:hyperlink>
        </w:p>
        <w:p>
          <w:pPr>
            <w:pStyle w:val="Contents5"/>
            <w:tabs>
              <w:tab w:val="clear" w:pos="7892"/>
              <w:tab w:val="right" w:pos="9026" w:leader="dot"/>
            </w:tabs>
            <w:rPr/>
          </w:pPr>
          <w:hyperlink w:anchor="__RefHeading___Toc2705047_3804643083">
            <w:r>
              <w:rPr>
                <w:webHidden/>
                <w:rStyle w:val="IndexLink"/>
                <w:rtl w:val="true"/>
              </w:rPr>
              <w:t>و من الموارد دوران الأمر بین التخصیص و النسخ</w:t>
            </w:r>
            <w:r>
              <w:rPr>
                <w:rStyle w:val="IndexLink"/>
                <w:rtl w:val="true"/>
              </w:rPr>
              <w:tab/>
            </w:r>
            <w:r>
              <w:rPr>
                <w:rStyle w:val="IndexLink"/>
              </w:rPr>
              <w:t>73</w:t>
            </w:r>
          </w:hyperlink>
        </w:p>
        <w:p>
          <w:pPr>
            <w:pStyle w:val="Contents5"/>
            <w:tabs>
              <w:tab w:val="clear" w:pos="7892"/>
              <w:tab w:val="right" w:pos="9026" w:leader="dot"/>
            </w:tabs>
            <w:rPr/>
          </w:pPr>
          <w:hyperlink w:anchor="__RefHeading___Toc2705049_3804643083">
            <w:r>
              <w:rPr>
                <w:webHidden/>
                <w:rStyle w:val="IndexLink"/>
                <w:rtl w:val="true"/>
              </w:rPr>
              <w:t>علل الاختلاف بین العامّة و الخاصّة و تأخیر بیان المخصّصات</w:t>
            </w:r>
            <w:r>
              <w:rPr>
                <w:rStyle w:val="IndexLink"/>
                <w:rtl w:val="true"/>
              </w:rPr>
              <w:tab/>
            </w:r>
            <w:r>
              <w:rPr>
                <w:rStyle w:val="IndexLink"/>
              </w:rPr>
              <w:t>75</w:t>
            </w:r>
          </w:hyperlink>
        </w:p>
        <w:p>
          <w:pPr>
            <w:pStyle w:val="Contents5"/>
            <w:tabs>
              <w:tab w:val="clear" w:pos="7892"/>
              <w:tab w:val="right" w:pos="9026" w:leader="dot"/>
            </w:tabs>
            <w:rPr/>
          </w:pPr>
          <w:hyperlink w:anchor="__RefHeading___Toc2705051_3804643083">
            <w:r>
              <w:rPr>
                <w:webHidden/>
                <w:rStyle w:val="IndexLink"/>
                <w:rtl w:val="true"/>
              </w:rPr>
              <w:t>و من الموارد المتقدّمة دوران الأمر بین تقیید الإطلاق و حمل الأمر علی الاستحباب، أو النهی علی الکراهة</w:t>
            </w:r>
            <w:r>
              <w:rPr>
                <w:rStyle w:val="IndexLink"/>
                <w:rtl w:val="true"/>
              </w:rPr>
              <w:tab/>
            </w:r>
            <w:r>
              <w:rPr>
                <w:rStyle w:val="IndexLink"/>
              </w:rPr>
              <w:t>84</w:t>
            </w:r>
          </w:hyperlink>
        </w:p>
        <w:p>
          <w:pPr>
            <w:pStyle w:val="Contents4"/>
            <w:tabs>
              <w:tab w:val="clear" w:pos="8176"/>
              <w:tab w:val="right" w:pos="9026" w:leader="dot"/>
            </w:tabs>
            <w:rPr/>
          </w:pPr>
          <w:hyperlink w:anchor="__RefHeading___Toc2705053_3804643083">
            <w:r>
              <w:rPr>
                <w:webHidden/>
                <w:rStyle w:val="IndexLink"/>
                <w:rtl w:val="true"/>
              </w:rPr>
              <w:t>المبحث الثالث ما إذا کان التعارض بین أکثر من دلیلَین</w:t>
            </w:r>
            <w:r>
              <w:rPr>
                <w:rStyle w:val="IndexLink"/>
                <w:rtl w:val="true"/>
              </w:rPr>
              <w:tab/>
            </w:r>
            <w:r>
              <w:rPr>
                <w:rStyle w:val="IndexLink"/>
              </w:rPr>
              <w:t>87</w:t>
            </w:r>
          </w:hyperlink>
        </w:p>
        <w:p>
          <w:pPr>
            <w:pStyle w:val="Contents5"/>
            <w:tabs>
              <w:tab w:val="clear" w:pos="7892"/>
              <w:tab w:val="right" w:pos="9026" w:leader="dot"/>
            </w:tabs>
            <w:rPr/>
          </w:pPr>
          <w:hyperlink w:anchor="__RefHeading___Toc2705055_3804643083">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705057_3804643083">
            <w:r>
              <w:rPr>
                <w:webHidden/>
                <w:rStyle w:val="IndexLink"/>
                <w:rtl w:val="true"/>
              </w:rPr>
              <w:t>منها</w:t>
            </w:r>
            <w:r>
              <w:rPr>
                <w:rStyle w:val="IndexLink"/>
                <w:rtl w:val="true"/>
              </w:rPr>
              <w:t xml:space="preserve">: </w:t>
            </w:r>
            <w:r>
              <w:rPr>
                <w:rStyle w:val="IndexLink"/>
                <w:rtl w:val="true"/>
              </w:rPr>
              <w:t>ما إذا ورد عامّ و خاصّان مختلفان موضوعاً</w:t>
            </w:r>
            <w:r>
              <w:rPr>
                <w:rStyle w:val="IndexLink"/>
                <w:rtl w:val="true"/>
              </w:rPr>
              <w:tab/>
            </w:r>
            <w:r>
              <w:rPr>
                <w:rStyle w:val="IndexLink"/>
              </w:rPr>
              <w:t>87</w:t>
            </w:r>
          </w:hyperlink>
        </w:p>
        <w:p>
          <w:pPr>
            <w:pStyle w:val="Contents5"/>
            <w:tabs>
              <w:tab w:val="clear" w:pos="7892"/>
              <w:tab w:val="right" w:pos="9026" w:leader="dot"/>
            </w:tabs>
            <w:rPr/>
          </w:pPr>
          <w:hyperlink w:anchor="__RefHeading___Toc2705059_3804643083">
            <w:r>
              <w:rPr>
                <w:webHidden/>
                <w:rStyle w:val="IndexLink"/>
                <w:rtl w:val="true"/>
              </w:rPr>
              <w:t>و منها</w:t>
            </w:r>
            <w:r>
              <w:rPr>
                <w:rStyle w:val="IndexLink"/>
                <w:rtl w:val="true"/>
              </w:rPr>
              <w:t xml:space="preserve">: </w:t>
            </w:r>
            <w:r>
              <w:rPr>
                <w:rStyle w:val="IndexLink"/>
                <w:rtl w:val="true"/>
              </w:rPr>
              <w:t>ما إذا ورد عامّ و خاصّان، مع کون النسبة بین الخاصّین العموم المطلق</w:t>
            </w:r>
            <w:r>
              <w:rPr>
                <w:rStyle w:val="IndexLink"/>
                <w:rtl w:val="true"/>
              </w:rPr>
              <w:tab/>
            </w:r>
            <w:r>
              <w:rPr>
                <w:rStyle w:val="IndexLink"/>
              </w:rPr>
              <w:t>90</w:t>
            </w:r>
          </w:hyperlink>
        </w:p>
        <w:p>
          <w:pPr>
            <w:pStyle w:val="Contents5"/>
            <w:tabs>
              <w:tab w:val="clear" w:pos="7892"/>
              <w:tab w:val="right" w:pos="9026" w:leader="dot"/>
            </w:tabs>
            <w:rPr/>
          </w:pPr>
          <w:hyperlink w:anchor="__RefHeading___Toc2705061_3804643083">
            <w:r>
              <w:rPr>
                <w:webHidden/>
                <w:rStyle w:val="IndexLink"/>
                <w:rtl w:val="true"/>
              </w:rPr>
              <w:t>و منها</w:t>
            </w:r>
            <w:r>
              <w:rPr>
                <w:rStyle w:val="IndexLink"/>
                <w:rtl w:val="true"/>
              </w:rPr>
              <w:t xml:space="preserve">: </w:t>
            </w:r>
            <w:r>
              <w:rPr>
                <w:rStyle w:val="IndexLink"/>
                <w:rtl w:val="true"/>
              </w:rPr>
              <w:t>ما إذا ورد عامّ و خاصّان، و کانت النسبة بین الخاصّین عموماً من وجه</w:t>
            </w:r>
            <w:r>
              <w:rPr>
                <w:rStyle w:val="IndexLink"/>
                <w:rtl w:val="true"/>
              </w:rPr>
              <w:tab/>
            </w:r>
            <w:r>
              <w:rPr>
                <w:rStyle w:val="IndexLink"/>
              </w:rPr>
              <w:t>91</w:t>
            </w:r>
          </w:hyperlink>
        </w:p>
        <w:p>
          <w:pPr>
            <w:pStyle w:val="Contents5"/>
            <w:tabs>
              <w:tab w:val="clear" w:pos="7892"/>
              <w:tab w:val="right" w:pos="9026" w:leader="dot"/>
            </w:tabs>
            <w:rPr/>
          </w:pPr>
          <w:hyperlink w:anchor="__RefHeading___Toc2705063_3804643083">
            <w:r>
              <w:rPr>
                <w:webHidden/>
                <w:rStyle w:val="IndexLink"/>
                <w:rtl w:val="true"/>
              </w:rPr>
              <w:t>و منها</w:t>
            </w:r>
            <w:r>
              <w:rPr>
                <w:rStyle w:val="IndexLink"/>
                <w:rtl w:val="true"/>
              </w:rPr>
              <w:t xml:space="preserve">: </w:t>
            </w:r>
            <w:r>
              <w:rPr>
                <w:rStyle w:val="IndexLink"/>
                <w:rtl w:val="true"/>
              </w:rPr>
              <w:t>ما إذا ورد عامّان من وجه و خاصّ</w:t>
            </w:r>
            <w:r>
              <w:rPr>
                <w:rStyle w:val="IndexLink"/>
                <w:rtl w:val="true"/>
              </w:rPr>
              <w:tab/>
            </w:r>
            <w:r>
              <w:rPr>
                <w:rStyle w:val="IndexLink"/>
              </w:rPr>
              <w:t>93</w:t>
            </w:r>
          </w:hyperlink>
        </w:p>
        <w:p>
          <w:pPr>
            <w:pStyle w:val="Contents5"/>
            <w:tabs>
              <w:tab w:val="clear" w:pos="7892"/>
              <w:tab w:val="right" w:pos="9026" w:leader="dot"/>
            </w:tabs>
            <w:rPr/>
          </w:pPr>
          <w:hyperlink w:anchor="__RefHeading___Toc2705065_3804643083">
            <w:r>
              <w:rPr>
                <w:webHidden/>
                <w:rStyle w:val="IndexLink"/>
                <w:rtl w:val="true"/>
              </w:rPr>
              <w:t>و منها</w:t>
            </w:r>
            <w:r>
              <w:rPr>
                <w:rStyle w:val="IndexLink"/>
                <w:rtl w:val="true"/>
              </w:rPr>
              <w:t xml:space="preserve">: </w:t>
            </w:r>
            <w:r>
              <w:rPr>
                <w:rStyle w:val="IndexLink"/>
                <w:rtl w:val="true"/>
              </w:rPr>
              <w:t>ما إذا ورد دلیلان متباینان</w:t>
            </w:r>
            <w:r>
              <w:rPr>
                <w:rStyle w:val="IndexLink"/>
                <w:rtl w:val="true"/>
              </w:rPr>
              <w:tab/>
            </w:r>
            <w:r>
              <w:rPr>
                <w:rStyle w:val="IndexLink"/>
              </w:rPr>
              <w:t>93</w:t>
            </w:r>
          </w:hyperlink>
        </w:p>
        <w:p>
          <w:pPr>
            <w:pStyle w:val="Contents5"/>
            <w:tabs>
              <w:tab w:val="clear" w:pos="7892"/>
              <w:tab w:val="right" w:pos="9026" w:leader="dot"/>
            </w:tabs>
            <w:rPr/>
          </w:pPr>
          <w:hyperlink w:anchor="__RefHeading___Toc2705067_3804643083">
            <w:r>
              <w:rPr>
                <w:webHidden/>
                <w:rStyle w:val="IndexLink"/>
                <w:rtl w:val="true"/>
              </w:rPr>
              <w:t>فصل فی أنّ العامّین من وجه هل یندرجان فی أخبار العلاج؟</w:t>
            </w:r>
            <w:r>
              <w:rPr>
                <w:rStyle w:val="IndexLink"/>
                <w:rtl w:val="true"/>
              </w:rPr>
              <w:tab/>
            </w:r>
            <w:r>
              <w:rPr>
                <w:rStyle w:val="IndexLink"/>
              </w:rPr>
              <w:t>94</w:t>
            </w:r>
          </w:hyperlink>
        </w:p>
        <w:p>
          <w:pPr>
            <w:pStyle w:val="Contents5"/>
            <w:tabs>
              <w:tab w:val="clear" w:pos="7892"/>
              <w:tab w:val="right" w:pos="9026" w:leader="dot"/>
            </w:tabs>
            <w:rPr/>
          </w:pPr>
          <w:hyperlink w:anchor="__RefHeading___Toc2705069_3804643083">
            <w:r>
              <w:rPr>
                <w:webHidden/>
                <w:rStyle w:val="IndexLink"/>
                <w:rtl w:val="true"/>
              </w:rPr>
              <w:t>هل المرجّحات الصدوریّة جاریة فی العامّین من وجه أم لا؟</w:t>
            </w:r>
            <w:r>
              <w:rPr>
                <w:rStyle w:val="IndexLink"/>
                <w:rtl w:val="true"/>
              </w:rPr>
              <w:tab/>
            </w:r>
            <w:r>
              <w:rPr>
                <w:rStyle w:val="IndexLink"/>
              </w:rPr>
              <w:t>97</w:t>
            </w:r>
          </w:hyperlink>
        </w:p>
        <w:p>
          <w:pPr>
            <w:pStyle w:val="Contents2"/>
            <w:tabs>
              <w:tab w:val="clear" w:pos="8743"/>
              <w:tab w:val="right" w:pos="9026" w:leader="dot"/>
            </w:tabs>
            <w:rPr/>
          </w:pPr>
          <w:hyperlink w:anchor="__RefHeading___Toc2705071_3804643083">
            <w:r>
              <w:rPr>
                <w:webHidden/>
                <w:rStyle w:val="IndexLink"/>
                <w:rtl w:val="true"/>
              </w:rPr>
              <w:t>المقصد الأوّل فی المتکافئین</w:t>
            </w:r>
            <w:r>
              <w:rPr>
                <w:rStyle w:val="IndexLink"/>
                <w:rtl w:val="true"/>
              </w:rPr>
              <w:tab/>
            </w:r>
            <w:r>
              <w:rPr>
                <w:rStyle w:val="IndexLink"/>
              </w:rPr>
              <w:t>100</w:t>
            </w:r>
          </w:hyperlink>
        </w:p>
        <w:p>
          <w:pPr>
            <w:pStyle w:val="Contents3"/>
            <w:tabs>
              <w:tab w:val="clear" w:pos="8459"/>
              <w:tab w:val="right" w:pos="9026" w:leader="dot"/>
            </w:tabs>
            <w:rPr/>
          </w:pPr>
          <w:hyperlink w:anchor="__RefHeading___Toc2705073_380464308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705075_3804643083">
            <w:r>
              <w:rPr>
                <w:webHidden/>
                <w:rStyle w:val="IndexLink"/>
                <w:rtl w:val="true"/>
              </w:rPr>
              <w:t>البحث الأوّل فی مقتضی الأصل فیهما مع قطع النظر عن الأخبار</w:t>
            </w:r>
            <w:r>
              <w:rPr>
                <w:rStyle w:val="IndexLink"/>
                <w:rtl w:val="true"/>
              </w:rPr>
              <w:tab/>
            </w:r>
            <w:r>
              <w:rPr>
                <w:rStyle w:val="IndexLink"/>
              </w:rPr>
              <w:t>101</w:t>
            </w:r>
          </w:hyperlink>
        </w:p>
        <w:p>
          <w:pPr>
            <w:pStyle w:val="Contents4"/>
            <w:tabs>
              <w:tab w:val="clear" w:pos="8176"/>
              <w:tab w:val="right" w:pos="9026" w:leader="dot"/>
            </w:tabs>
            <w:rPr/>
          </w:pPr>
          <w:hyperlink w:anchor="__RefHeading___Toc2705077_380464308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705079_3804643083">
            <w:r>
              <w:rPr>
                <w:webHidden/>
                <w:rStyle w:val="IndexLink"/>
                <w:rtl w:val="true"/>
              </w:rPr>
              <w:t>مقتضی الأصل علی الطریقیّة</w:t>
            </w:r>
            <w:r>
              <w:rPr>
                <w:rStyle w:val="IndexLink"/>
                <w:rtl w:val="true"/>
              </w:rPr>
              <w:tab/>
            </w:r>
            <w:r>
              <w:rPr>
                <w:rStyle w:val="IndexLink"/>
              </w:rPr>
              <w:t>101</w:t>
            </w:r>
          </w:hyperlink>
        </w:p>
        <w:p>
          <w:pPr>
            <w:pStyle w:val="Contents4"/>
            <w:tabs>
              <w:tab w:val="clear" w:pos="8176"/>
              <w:tab w:val="right" w:pos="9026" w:leader="dot"/>
            </w:tabs>
            <w:rPr/>
          </w:pPr>
          <w:hyperlink w:anchor="__RefHeading___Toc2705081_3804643083">
            <w:r>
              <w:rPr>
                <w:webHidden/>
                <w:rStyle w:val="IndexLink"/>
                <w:rtl w:val="true"/>
              </w:rPr>
              <w:t>مقتضی الأصل علی السببیّة</w:t>
            </w:r>
            <w:r>
              <w:rPr>
                <w:rStyle w:val="IndexLink"/>
                <w:rtl w:val="true"/>
              </w:rPr>
              <w:tab/>
            </w:r>
            <w:r>
              <w:rPr>
                <w:rStyle w:val="IndexLink"/>
              </w:rPr>
              <w:t>106</w:t>
            </w:r>
          </w:hyperlink>
        </w:p>
        <w:p>
          <w:pPr>
            <w:pStyle w:val="Contents3"/>
            <w:tabs>
              <w:tab w:val="clear" w:pos="8459"/>
              <w:tab w:val="right" w:pos="9026" w:leader="dot"/>
            </w:tabs>
            <w:rPr/>
          </w:pPr>
          <w:hyperlink w:anchor="__RefHeading___Toc2705083_3804643083">
            <w:r>
              <w:rPr>
                <w:webHidden/>
                <w:rStyle w:val="IndexLink"/>
                <w:rtl w:val="true"/>
              </w:rPr>
              <w:t>البحث الثانی فی حال المتکافئین بمقتضی الأخبار الواردة فی المقام</w:t>
            </w:r>
            <w:r>
              <w:rPr>
                <w:rStyle w:val="IndexLink"/>
                <w:rtl w:val="true"/>
              </w:rPr>
              <w:tab/>
            </w:r>
            <w:r>
              <w:rPr>
                <w:rStyle w:val="IndexLink"/>
              </w:rPr>
              <w:t>110</w:t>
            </w:r>
          </w:hyperlink>
        </w:p>
        <w:p>
          <w:pPr>
            <w:pStyle w:val="Contents4"/>
            <w:tabs>
              <w:tab w:val="clear" w:pos="8176"/>
              <w:tab w:val="right" w:pos="9026" w:leader="dot"/>
            </w:tabs>
            <w:rPr/>
          </w:pPr>
          <w:hyperlink w:anchor="__RefHeading___Toc2705085_380464308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705087_3804643083">
            <w:r>
              <w:rPr>
                <w:webHidden/>
                <w:rStyle w:val="IndexLink"/>
                <w:rtl w:val="true"/>
              </w:rPr>
              <w:t>نقل أخبار التخییر</w:t>
            </w:r>
            <w:r>
              <w:rPr>
                <w:rStyle w:val="IndexLink"/>
                <w:rtl w:val="true"/>
              </w:rPr>
              <w:tab/>
            </w:r>
            <w:r>
              <w:rPr>
                <w:rStyle w:val="IndexLink"/>
              </w:rPr>
              <w:t>110</w:t>
            </w:r>
          </w:hyperlink>
        </w:p>
        <w:p>
          <w:pPr>
            <w:pStyle w:val="Contents4"/>
            <w:tabs>
              <w:tab w:val="clear" w:pos="8176"/>
              <w:tab w:val="right" w:pos="9026" w:leader="dot"/>
            </w:tabs>
            <w:rPr/>
          </w:pPr>
          <w:hyperlink w:anchor="__RefHeading___Toc2705089_3804643083">
            <w:r>
              <w:rPr>
                <w:webHidden/>
                <w:rStyle w:val="IndexLink"/>
                <w:rtl w:val="true"/>
              </w:rPr>
              <w:t>مفاد أخبار التخییر</w:t>
            </w:r>
            <w:r>
              <w:rPr>
                <w:rStyle w:val="IndexLink"/>
                <w:rtl w:val="true"/>
              </w:rPr>
              <w:tab/>
            </w:r>
            <w:r>
              <w:rPr>
                <w:rStyle w:val="IndexLink"/>
              </w:rPr>
              <w:t>117</w:t>
            </w:r>
          </w:hyperlink>
        </w:p>
        <w:p>
          <w:pPr>
            <w:pStyle w:val="Contents4"/>
            <w:tabs>
              <w:tab w:val="clear" w:pos="8176"/>
              <w:tab w:val="right" w:pos="9026" w:leader="dot"/>
            </w:tabs>
            <w:rPr/>
          </w:pPr>
          <w:hyperlink w:anchor="__RefHeading___Toc2705091_3804643083">
            <w:r>
              <w:rPr>
                <w:webHidden/>
                <w:rStyle w:val="IndexLink"/>
                <w:rtl w:val="true"/>
              </w:rPr>
              <w:t>نقل أخبار التوقّف</w:t>
            </w:r>
            <w:r>
              <w:rPr>
                <w:rStyle w:val="IndexLink"/>
                <w:rtl w:val="true"/>
              </w:rPr>
              <w:tab/>
            </w:r>
            <w:r>
              <w:rPr>
                <w:rStyle w:val="IndexLink"/>
              </w:rPr>
              <w:t>119</w:t>
            </w:r>
          </w:hyperlink>
        </w:p>
        <w:p>
          <w:pPr>
            <w:pStyle w:val="Contents4"/>
            <w:tabs>
              <w:tab w:val="clear" w:pos="8176"/>
              <w:tab w:val="right" w:pos="9026" w:leader="dot"/>
            </w:tabs>
            <w:rPr/>
          </w:pPr>
          <w:hyperlink w:anchor="__RefHeading___Toc2705093_3804643083">
            <w:r>
              <w:rPr>
                <w:webHidden/>
                <w:rStyle w:val="IndexLink"/>
                <w:rtl w:val="true"/>
              </w:rPr>
              <w:t>جمع الشیخ الأعظم و العلّامة الحائری و ما فیهما</w:t>
            </w:r>
            <w:r>
              <w:rPr>
                <w:rStyle w:val="IndexLink"/>
                <w:rtl w:val="true"/>
              </w:rPr>
              <w:tab/>
            </w:r>
            <w:r>
              <w:rPr>
                <w:rStyle w:val="IndexLink"/>
              </w:rPr>
              <w:t>123</w:t>
            </w:r>
          </w:hyperlink>
        </w:p>
        <w:p>
          <w:pPr>
            <w:pStyle w:val="Contents4"/>
            <w:tabs>
              <w:tab w:val="clear" w:pos="8176"/>
              <w:tab w:val="right" w:pos="9026" w:leader="dot"/>
            </w:tabs>
            <w:rPr/>
          </w:pPr>
          <w:hyperlink w:anchor="__RefHeading___Toc2705095_3804643083">
            <w:r>
              <w:rPr>
                <w:webHidden/>
                <w:rStyle w:val="IndexLink"/>
                <w:rtl w:val="true"/>
              </w:rPr>
              <w:t>وجه الجمع بین الأخبار</w:t>
            </w:r>
            <w:r>
              <w:rPr>
                <w:rStyle w:val="IndexLink"/>
                <w:rtl w:val="true"/>
              </w:rPr>
              <w:tab/>
            </w:r>
            <w:r>
              <w:rPr>
                <w:rStyle w:val="IndexLink"/>
              </w:rPr>
              <w:t>125</w:t>
            </w:r>
          </w:hyperlink>
        </w:p>
        <w:p>
          <w:pPr>
            <w:pStyle w:val="Contents4"/>
            <w:tabs>
              <w:tab w:val="clear" w:pos="8176"/>
              <w:tab w:val="right" w:pos="9026" w:leader="dot"/>
            </w:tabs>
            <w:rPr/>
          </w:pPr>
          <w:hyperlink w:anchor="__RefHeading___Toc2705097_3804643083">
            <w:r>
              <w:rPr>
                <w:webHidden/>
                <w:rStyle w:val="IndexLink"/>
                <w:rtl w:val="true"/>
              </w:rPr>
              <w:t>تنبیهات</w:t>
            </w:r>
            <w:r>
              <w:rPr>
                <w:rStyle w:val="IndexLink"/>
                <w:rtl w:val="true"/>
              </w:rPr>
              <w:tab/>
            </w:r>
            <w:r>
              <w:rPr>
                <w:rStyle w:val="IndexLink"/>
              </w:rPr>
              <w:t>133</w:t>
            </w:r>
          </w:hyperlink>
        </w:p>
        <w:p>
          <w:pPr>
            <w:pStyle w:val="Contents5"/>
            <w:tabs>
              <w:tab w:val="clear" w:pos="7892"/>
              <w:tab w:val="right" w:pos="9026" w:leader="dot"/>
            </w:tabs>
            <w:rPr/>
          </w:pPr>
          <w:hyperlink w:anchor="__RefHeading___Toc2705099_3804643083">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2705101_3804643083">
            <w:r>
              <w:rPr>
                <w:webHidden/>
                <w:rStyle w:val="IndexLink"/>
                <w:rtl w:val="true"/>
              </w:rPr>
              <w:t>الأوّل فی معنی التخییر فی المسألة الاصولیّة</w:t>
            </w:r>
            <w:r>
              <w:rPr>
                <w:rStyle w:val="IndexLink"/>
                <w:rtl w:val="true"/>
              </w:rPr>
              <w:tab/>
            </w:r>
            <w:r>
              <w:rPr>
                <w:rStyle w:val="IndexLink"/>
              </w:rPr>
              <w:t>133</w:t>
            </w:r>
          </w:hyperlink>
        </w:p>
        <w:p>
          <w:pPr>
            <w:pStyle w:val="Contents5"/>
            <w:tabs>
              <w:tab w:val="clear" w:pos="7892"/>
              <w:tab w:val="right" w:pos="9026" w:leader="dot"/>
            </w:tabs>
            <w:rPr/>
          </w:pPr>
          <w:hyperlink w:anchor="__RefHeading___Toc2705103_3804643083">
            <w:r>
              <w:rPr>
                <w:webHidden/>
                <w:rStyle w:val="IndexLink"/>
                <w:rtl w:val="true"/>
              </w:rPr>
              <w:t>الثانی فی حکم تخییر القاضی و المفتی فی عمله و عمل مقلّدیه</w:t>
            </w:r>
            <w:r>
              <w:rPr>
                <w:rStyle w:val="IndexLink"/>
                <w:rtl w:val="true"/>
              </w:rPr>
              <w:tab/>
            </w:r>
            <w:r>
              <w:rPr>
                <w:rStyle w:val="IndexLink"/>
              </w:rPr>
              <w:t>137</w:t>
            </w:r>
          </w:hyperlink>
        </w:p>
        <w:p>
          <w:pPr>
            <w:pStyle w:val="Contents5"/>
            <w:tabs>
              <w:tab w:val="clear" w:pos="7892"/>
              <w:tab w:val="right" w:pos="9026" w:leader="dot"/>
            </w:tabs>
            <w:rPr/>
          </w:pPr>
          <w:hyperlink w:anchor="__RefHeading___Toc2705105_3804643083">
            <w:r>
              <w:rPr>
                <w:webHidden/>
                <w:rStyle w:val="IndexLink"/>
                <w:rtl w:val="true"/>
              </w:rPr>
              <w:t>الثالث فی أنّ التخییر بدویّ أو استمراریّ</w:t>
            </w:r>
            <w:r>
              <w:rPr>
                <w:rStyle w:val="IndexLink"/>
                <w:rtl w:val="true"/>
              </w:rPr>
              <w:tab/>
            </w:r>
            <w:r>
              <w:rPr>
                <w:rStyle w:val="IndexLink"/>
              </w:rPr>
              <w:t>141</w:t>
            </w:r>
          </w:hyperlink>
        </w:p>
        <w:p>
          <w:pPr>
            <w:pStyle w:val="Contents5"/>
            <w:tabs>
              <w:tab w:val="clear" w:pos="7892"/>
              <w:tab w:val="right" w:pos="9026" w:leader="dot"/>
            </w:tabs>
            <w:rPr/>
          </w:pPr>
          <w:hyperlink w:anchor="__RefHeading___Toc2705107_3804643083">
            <w:r>
              <w:rPr>
                <w:webHidden/>
                <w:rStyle w:val="IndexLink"/>
                <w:rtl w:val="true"/>
              </w:rPr>
              <w:t>الرابع فی صور مجی‌ء الخبرین المختلفین فی الإخبار مع الواسطة</w:t>
            </w:r>
            <w:r>
              <w:rPr>
                <w:rStyle w:val="IndexLink"/>
                <w:rtl w:val="true"/>
              </w:rPr>
              <w:tab/>
            </w:r>
            <w:r>
              <w:rPr>
                <w:rStyle w:val="IndexLink"/>
              </w:rPr>
              <w:t>146</w:t>
            </w:r>
          </w:hyperlink>
        </w:p>
        <w:p>
          <w:pPr>
            <w:pStyle w:val="Contents2"/>
            <w:tabs>
              <w:tab w:val="clear" w:pos="8743"/>
              <w:tab w:val="right" w:pos="9026" w:leader="dot"/>
            </w:tabs>
            <w:rPr/>
          </w:pPr>
          <w:hyperlink w:anchor="__RefHeading___Toc2705109_3804643083">
            <w:r>
              <w:rPr>
                <w:webHidden/>
                <w:rStyle w:val="IndexLink"/>
                <w:rtl w:val="true"/>
              </w:rPr>
              <w:t>المقصد الثانی فیما إذا کانت لأحد الخبرین مزیّة</w:t>
            </w:r>
            <w:r>
              <w:rPr>
                <w:rStyle w:val="IndexLink"/>
                <w:rtl w:val="true"/>
              </w:rPr>
              <w:tab/>
            </w:r>
            <w:r>
              <w:rPr>
                <w:rStyle w:val="IndexLink"/>
              </w:rPr>
              <w:t>151</w:t>
            </w:r>
          </w:hyperlink>
        </w:p>
        <w:p>
          <w:pPr>
            <w:pStyle w:val="Contents3"/>
            <w:tabs>
              <w:tab w:val="clear" w:pos="8459"/>
              <w:tab w:val="right" w:pos="9026" w:leader="dot"/>
            </w:tabs>
            <w:rPr/>
          </w:pPr>
          <w:hyperlink w:anchor="__RefHeading___Toc2705111_380464308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2705113_3804643083">
            <w:r>
              <w:rPr>
                <w:webHidden/>
                <w:rStyle w:val="IndexLink"/>
                <w:rtl w:val="true"/>
              </w:rPr>
              <w:t>[</w:t>
            </w:r>
            <w:r>
              <w:rPr>
                <w:rStyle w:val="IndexLink"/>
                <w:rtl w:val="true"/>
              </w:rPr>
              <w:t>الأمر</w:t>
            </w:r>
            <w:r>
              <w:rPr>
                <w:rStyle w:val="IndexLink"/>
                <w:rtl w:val="true"/>
              </w:rPr>
              <w:t xml:space="preserve">] </w:t>
            </w:r>
            <w:r>
              <w:rPr>
                <w:rStyle w:val="IndexLink"/>
                <w:rtl w:val="true"/>
              </w:rPr>
              <w:t>الأوّل فی اقتضاء الأصل للتعیین</w:t>
            </w:r>
            <w:r>
              <w:rPr>
                <w:rStyle w:val="IndexLink"/>
                <w:rtl w:val="true"/>
              </w:rPr>
              <w:tab/>
            </w:r>
            <w:r>
              <w:rPr>
                <w:rStyle w:val="IndexLink"/>
              </w:rPr>
              <w:t>152</w:t>
            </w:r>
          </w:hyperlink>
        </w:p>
        <w:p>
          <w:pPr>
            <w:pStyle w:val="Contents3"/>
            <w:tabs>
              <w:tab w:val="clear" w:pos="8459"/>
              <w:tab w:val="right" w:pos="9026" w:leader="dot"/>
            </w:tabs>
            <w:rPr/>
          </w:pPr>
          <w:hyperlink w:anchor="__RefHeading___Toc2705115_3804643083">
            <w:r>
              <w:rPr>
                <w:webHidden/>
                <w:rStyle w:val="IndexLink"/>
                <w:rtl w:val="true"/>
              </w:rPr>
              <w:t>[</w:t>
            </w:r>
            <w:r>
              <w:rPr>
                <w:rStyle w:val="IndexLink"/>
                <w:rtl w:val="true"/>
              </w:rPr>
              <w:t>الأمر</w:t>
            </w:r>
            <w:r>
              <w:rPr>
                <w:rStyle w:val="IndexLink"/>
                <w:rtl w:val="true"/>
              </w:rPr>
              <w:t xml:space="preserve">] </w:t>
            </w:r>
            <w:r>
              <w:rPr>
                <w:rStyle w:val="IndexLink"/>
                <w:rtl w:val="true"/>
              </w:rPr>
              <w:t>الثانی فی حال أخبار العلاج</w:t>
            </w:r>
            <w:r>
              <w:rPr>
                <w:rStyle w:val="IndexLink"/>
                <w:rtl w:val="true"/>
              </w:rPr>
              <w:tab/>
            </w:r>
            <w:r>
              <w:rPr>
                <w:rStyle w:val="IndexLink"/>
              </w:rPr>
              <w:t>154</w:t>
            </w:r>
          </w:hyperlink>
        </w:p>
        <w:p>
          <w:pPr>
            <w:pStyle w:val="Contents4"/>
            <w:tabs>
              <w:tab w:val="clear" w:pos="8176"/>
              <w:tab w:val="right" w:pos="9026" w:leader="dot"/>
            </w:tabs>
            <w:rPr/>
          </w:pPr>
          <w:hyperlink w:anchor="__RefHeading___Toc2705117_380464308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705119_3804643083">
            <w:r>
              <w:rPr>
                <w:webHidden/>
                <w:rStyle w:val="IndexLink"/>
                <w:rtl w:val="true"/>
              </w:rPr>
              <w:t>الکلام حول المقبولة</w:t>
            </w:r>
            <w:r>
              <w:rPr>
                <w:rStyle w:val="IndexLink"/>
                <w:rtl w:val="true"/>
              </w:rPr>
              <w:tab/>
            </w:r>
            <w:r>
              <w:rPr>
                <w:rStyle w:val="IndexLink"/>
              </w:rPr>
              <w:t>158</w:t>
            </w:r>
          </w:hyperlink>
        </w:p>
        <w:p>
          <w:pPr>
            <w:pStyle w:val="Contents4"/>
            <w:tabs>
              <w:tab w:val="clear" w:pos="8176"/>
              <w:tab w:val="right" w:pos="9026" w:leader="dot"/>
            </w:tabs>
            <w:rPr/>
          </w:pPr>
          <w:hyperlink w:anchor="__RefHeading___Toc2705121_3804643083">
            <w:r>
              <w:rPr>
                <w:webHidden/>
                <w:rStyle w:val="IndexLink"/>
                <w:rtl w:val="true"/>
              </w:rPr>
              <w:t xml:space="preserve">معنی </w:t>
            </w:r>
            <w:r>
              <w:rPr>
                <w:rStyle w:val="IndexLink"/>
                <w:rtl w:val="true"/>
              </w:rPr>
              <w:t>«</w:t>
            </w:r>
            <w:r>
              <w:rPr>
                <w:rStyle w:val="IndexLink"/>
                <w:rtl w:val="true"/>
              </w:rPr>
              <w:t>المجمع علیه بین الأصحاب</w:t>
            </w:r>
            <w:r>
              <w:rPr>
                <w:rStyle w:val="IndexLink"/>
                <w:rtl w:val="true"/>
              </w:rPr>
              <w:t>»</w:t>
              <w:tab/>
            </w:r>
            <w:r>
              <w:rPr>
                <w:rStyle w:val="IndexLink"/>
              </w:rPr>
              <w:t>164</w:t>
            </w:r>
          </w:hyperlink>
        </w:p>
        <w:p>
          <w:pPr>
            <w:pStyle w:val="Contents4"/>
            <w:tabs>
              <w:tab w:val="clear" w:pos="8176"/>
              <w:tab w:val="right" w:pos="9026" w:leader="dot"/>
            </w:tabs>
            <w:rPr/>
          </w:pPr>
          <w:hyperlink w:anchor="__RefHeading___Toc2705123_3804643083">
            <w:r>
              <w:rPr>
                <w:webHidden/>
                <w:rStyle w:val="IndexLink"/>
                <w:rtl w:val="true"/>
              </w:rPr>
              <w:t>رَجْعٌ إلی إشکالَی العلّامة الحائریّ و جوابهما</w:t>
            </w:r>
            <w:r>
              <w:rPr>
                <w:rStyle w:val="IndexLink"/>
                <w:rtl w:val="true"/>
              </w:rPr>
              <w:tab/>
            </w:r>
            <w:r>
              <w:rPr>
                <w:rStyle w:val="IndexLink"/>
              </w:rPr>
              <w:t>168</w:t>
            </w:r>
          </w:hyperlink>
        </w:p>
        <w:p>
          <w:pPr>
            <w:pStyle w:val="Contents4"/>
            <w:tabs>
              <w:tab w:val="clear" w:pos="8176"/>
              <w:tab w:val="right" w:pos="9026" w:leader="dot"/>
            </w:tabs>
            <w:rPr/>
          </w:pPr>
          <w:hyperlink w:anchor="__RefHeading___Toc2705125_3804643083">
            <w:r>
              <w:rPr>
                <w:webHidden/>
                <w:rStyle w:val="IndexLink"/>
                <w:rtl w:val="true"/>
              </w:rPr>
              <w:t>البحث الأوّل فی حال الأخبار الواردة فی موافقة الکتاب و مخالفته</w:t>
            </w:r>
            <w:r>
              <w:rPr>
                <w:rStyle w:val="IndexLink"/>
                <w:rtl w:val="true"/>
              </w:rPr>
              <w:tab/>
            </w:r>
            <w:r>
              <w:rPr>
                <w:rStyle w:val="IndexLink"/>
              </w:rPr>
              <w:t>170</w:t>
            </w:r>
          </w:hyperlink>
        </w:p>
        <w:p>
          <w:pPr>
            <w:pStyle w:val="Contents5"/>
            <w:tabs>
              <w:tab w:val="clear" w:pos="7892"/>
              <w:tab w:val="right" w:pos="9026" w:leader="dot"/>
            </w:tabs>
            <w:rPr/>
          </w:pPr>
          <w:hyperlink w:anchor="__RefHeading___Toc2705127_380464308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705129_3804643083">
            <w:r>
              <w:rPr>
                <w:webHidden/>
                <w:rStyle w:val="IndexLink"/>
                <w:rtl w:val="true"/>
              </w:rPr>
              <w:t>التوفیق بین الأخبار</w:t>
            </w:r>
            <w:r>
              <w:rPr>
                <w:rStyle w:val="IndexLink"/>
                <w:rtl w:val="true"/>
              </w:rPr>
              <w:tab/>
            </w:r>
            <w:r>
              <w:rPr>
                <w:rStyle w:val="IndexLink"/>
              </w:rPr>
              <w:t>174</w:t>
            </w:r>
          </w:hyperlink>
        </w:p>
        <w:p>
          <w:pPr>
            <w:pStyle w:val="Contents5"/>
            <w:tabs>
              <w:tab w:val="clear" w:pos="7892"/>
              <w:tab w:val="right" w:pos="9026" w:leader="dot"/>
            </w:tabs>
            <w:rPr/>
          </w:pPr>
          <w:hyperlink w:anchor="__RefHeading___Toc2705131_3804643083">
            <w:r>
              <w:rPr>
                <w:webHidden/>
                <w:rStyle w:val="IndexLink"/>
                <w:rtl w:val="true"/>
              </w:rPr>
              <w:t>تحقیق المقام</w:t>
            </w:r>
            <w:r>
              <w:rPr>
                <w:rStyle w:val="IndexLink"/>
                <w:rtl w:val="true"/>
              </w:rPr>
              <w:tab/>
            </w:r>
            <w:r>
              <w:rPr>
                <w:rStyle w:val="IndexLink"/>
              </w:rPr>
              <w:t>176</w:t>
            </w:r>
          </w:hyperlink>
        </w:p>
        <w:p>
          <w:pPr>
            <w:pStyle w:val="Contents5"/>
            <w:tabs>
              <w:tab w:val="clear" w:pos="7892"/>
              <w:tab w:val="right" w:pos="9026" w:leader="dot"/>
            </w:tabs>
            <w:rPr/>
          </w:pPr>
          <w:hyperlink w:anchor="__RefHeading___Toc2705133_3804643083">
            <w:r>
              <w:rPr>
                <w:webHidden/>
                <w:rStyle w:val="IndexLink"/>
                <w:rtl w:val="true"/>
              </w:rPr>
              <w:t>مرجّحیّة موافقة الکتاب و الثمرة بین المرجعیّة و المرجّحیة</w:t>
            </w:r>
            <w:r>
              <w:rPr>
                <w:rStyle w:val="IndexLink"/>
                <w:rtl w:val="true"/>
              </w:rPr>
              <w:tab/>
            </w:r>
            <w:r>
              <w:rPr>
                <w:rStyle w:val="IndexLink"/>
              </w:rPr>
              <w:t>179</w:t>
            </w:r>
          </w:hyperlink>
        </w:p>
        <w:p>
          <w:pPr>
            <w:pStyle w:val="Contents4"/>
            <w:tabs>
              <w:tab w:val="clear" w:pos="8176"/>
              <w:tab w:val="right" w:pos="9026" w:leader="dot"/>
            </w:tabs>
            <w:rPr/>
          </w:pPr>
          <w:hyperlink w:anchor="__RefHeading___Toc2705135_3804643083">
            <w:r>
              <w:rPr>
                <w:webHidden/>
                <w:rStyle w:val="IndexLink"/>
                <w:rtl w:val="true"/>
              </w:rPr>
              <w:t>البحث الثانی فی حال الأخبار الواردة فی مخالفة العامّة</w:t>
            </w:r>
            <w:r>
              <w:rPr>
                <w:rStyle w:val="IndexLink"/>
                <w:rtl w:val="true"/>
              </w:rPr>
              <w:tab/>
            </w:r>
            <w:r>
              <w:rPr>
                <w:rStyle w:val="IndexLink"/>
              </w:rPr>
              <w:t>180</w:t>
            </w:r>
          </w:hyperlink>
        </w:p>
        <w:p>
          <w:pPr>
            <w:pStyle w:val="Contents5"/>
            <w:tabs>
              <w:tab w:val="clear" w:pos="7892"/>
              <w:tab w:val="right" w:pos="9026" w:leader="dot"/>
            </w:tabs>
            <w:rPr/>
          </w:pPr>
          <w:hyperlink w:anchor="__RefHeading___Toc2705137_3804643083">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2705139_3804643083">
            <w:r>
              <w:rPr>
                <w:webHidden/>
                <w:rStyle w:val="IndexLink"/>
                <w:rtl w:val="true"/>
              </w:rPr>
              <w:t>تتمیم</w:t>
            </w:r>
            <w:r>
              <w:rPr>
                <w:rStyle w:val="IndexLink"/>
                <w:rtl w:val="true"/>
              </w:rPr>
              <w:tab/>
            </w:r>
            <w:r>
              <w:rPr>
                <w:rStyle w:val="IndexLink"/>
              </w:rPr>
              <w:t>187</w:t>
            </w:r>
          </w:hyperlink>
        </w:p>
        <w:p>
          <w:pPr>
            <w:pStyle w:val="Contents3"/>
            <w:tabs>
              <w:tab w:val="clear" w:pos="8459"/>
              <w:tab w:val="right" w:pos="9026" w:leader="dot"/>
            </w:tabs>
            <w:rPr/>
          </w:pPr>
          <w:hyperlink w:anchor="__RefHeading___Toc2705141_3804643083">
            <w:r>
              <w:rPr>
                <w:webHidden/>
                <w:rStyle w:val="IndexLink"/>
                <w:rtl w:val="true"/>
              </w:rPr>
              <w:t>الأمر الثالث هل یتعدّی من المرجّح المنصوص إلی غیره أم لا؟</w:t>
            </w:r>
            <w:r>
              <w:rPr>
                <w:rStyle w:val="IndexLink"/>
                <w:rtl w:val="true"/>
              </w:rPr>
              <w:tab/>
            </w:r>
            <w:r>
              <w:rPr>
                <w:rStyle w:val="IndexLink"/>
              </w:rPr>
              <w:t>189</w:t>
            </w:r>
          </w:hyperlink>
        </w:p>
        <w:p>
          <w:pPr>
            <w:pStyle w:val="Contents4"/>
            <w:tabs>
              <w:tab w:val="clear" w:pos="8176"/>
              <w:tab w:val="right" w:pos="9026" w:leader="dot"/>
            </w:tabs>
            <w:rPr/>
          </w:pPr>
          <w:hyperlink w:anchor="__RefHeading___Toc2705143_380464308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705145_3804643083">
            <w:r>
              <w:rPr>
                <w:webHidden/>
                <w:rStyle w:val="IndexLink"/>
                <w:rtl w:val="true"/>
              </w:rPr>
              <w:t>الوجوه التی استدلّ بها الشیخ علی التعدّی من المنصوص و نقدها</w:t>
            </w:r>
            <w:r>
              <w:rPr>
                <w:rStyle w:val="IndexLink"/>
                <w:rtl w:val="true"/>
              </w:rPr>
              <w:tab/>
            </w:r>
            <w:r>
              <w:rPr>
                <w:rStyle w:val="IndexLink"/>
              </w:rPr>
              <w:t>191</w:t>
            </w:r>
          </w:hyperlink>
        </w:p>
        <w:p>
          <w:pPr>
            <w:pStyle w:val="Contents4"/>
            <w:tabs>
              <w:tab w:val="clear" w:pos="8176"/>
              <w:tab w:val="right" w:pos="9026" w:leader="dot"/>
            </w:tabs>
            <w:rPr/>
          </w:pPr>
          <w:hyperlink w:anchor="__RefHeading___Toc2705147_3804643083">
            <w:r>
              <w:rPr>
                <w:webHidden/>
                <w:rStyle w:val="IndexLink"/>
                <w:rtl w:val="true"/>
              </w:rPr>
              <w:t>تقریب الترجیح بکل مزیّة</w:t>
            </w:r>
            <w:r>
              <w:rPr>
                <w:rStyle w:val="IndexLink"/>
                <w:rtl w:val="true"/>
              </w:rPr>
              <w:tab/>
            </w:r>
            <w:r>
              <w:rPr>
                <w:rStyle w:val="IndexLink"/>
              </w:rPr>
              <w:t>200</w:t>
            </w:r>
          </w:hyperlink>
        </w:p>
        <w:p>
          <w:pPr>
            <w:pStyle w:val="Contents3"/>
            <w:tabs>
              <w:tab w:val="clear" w:pos="8459"/>
              <w:tab w:val="right" w:pos="9026" w:leader="dot"/>
            </w:tabs>
            <w:rPr/>
          </w:pPr>
          <w:hyperlink w:anchor="__RefHeading___Toc2705149_3804643083">
            <w:r>
              <w:rPr>
                <w:webHidden/>
                <w:rStyle w:val="IndexLink"/>
                <w:rtl w:val="true"/>
              </w:rPr>
              <w:t>الأمر الرابع فی إمکان کون کلّ من المرجّحین مرجّحاً للصدور أو لجهته</w:t>
            </w:r>
            <w:r>
              <w:rPr>
                <w:rStyle w:val="IndexLink"/>
                <w:rtl w:val="true"/>
              </w:rPr>
              <w:tab/>
            </w:r>
            <w:r>
              <w:rPr>
                <w:rStyle w:val="IndexLink"/>
              </w:rPr>
              <w:t>202</w:t>
            </w:r>
          </w:hyperlink>
        </w:p>
        <w:p>
          <w:pPr>
            <w:pStyle w:val="Contents2"/>
            <w:tabs>
              <w:tab w:val="clear" w:pos="8743"/>
              <w:tab w:val="right" w:pos="9026" w:leader="dot"/>
            </w:tabs>
            <w:rPr/>
          </w:pPr>
          <w:hyperlink w:anchor="__RefHeading___Toc2705151_3804643083">
            <w:r>
              <w:rPr>
                <w:webHidden/>
                <w:rStyle w:val="IndexLink"/>
                <w:rtl w:val="true"/>
              </w:rPr>
              <w:t>الفهارس العامّة</w:t>
            </w:r>
            <w:r>
              <w:rPr>
                <w:rStyle w:val="IndexLink"/>
                <w:rtl w:val="true"/>
              </w:rPr>
              <w:tab/>
            </w:r>
            <w:r>
              <w:rPr>
                <w:rStyle w:val="IndexLink"/>
              </w:rPr>
              <w:t>207</w:t>
            </w:r>
          </w:hyperlink>
        </w:p>
        <w:p>
          <w:pPr>
            <w:pStyle w:val="Contents3"/>
            <w:tabs>
              <w:tab w:val="clear" w:pos="8459"/>
              <w:tab w:val="right" w:pos="9026" w:leader="dot"/>
            </w:tabs>
            <w:rPr/>
          </w:pPr>
          <w:hyperlink w:anchor="__RefHeading___Toc2705153_3804643083">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2705155_3804643083">
            <w:r>
              <w:rPr>
                <w:webHidden/>
                <w:rStyle w:val="IndexLink"/>
                <w:rtl w:val="true"/>
              </w:rPr>
              <w:t>فهرس الآیات</w:t>
            </w:r>
            <w:r>
              <w:rPr>
                <w:rStyle w:val="IndexLink"/>
                <w:rtl w:val="true"/>
              </w:rPr>
              <w:tab/>
            </w:r>
            <w:r>
              <w:rPr>
                <w:rStyle w:val="IndexLink"/>
              </w:rPr>
              <w:t>208</w:t>
            </w:r>
          </w:hyperlink>
        </w:p>
        <w:p>
          <w:pPr>
            <w:pStyle w:val="Contents3"/>
            <w:tabs>
              <w:tab w:val="clear" w:pos="8459"/>
              <w:tab w:val="right" w:pos="9026" w:leader="dot"/>
            </w:tabs>
            <w:rPr/>
          </w:pPr>
          <w:hyperlink w:anchor="__RefHeading___Toc2705157_3804643083">
            <w:r>
              <w:rPr>
                <w:webHidden/>
                <w:rStyle w:val="IndexLink"/>
                <w:rtl w:val="true"/>
              </w:rPr>
              <w:t>فهرس الأحادیث</w:t>
            </w:r>
            <w:r>
              <w:rPr>
                <w:rStyle w:val="IndexLink"/>
                <w:rtl w:val="true"/>
              </w:rPr>
              <w:tab/>
            </w:r>
            <w:r>
              <w:rPr>
                <w:rStyle w:val="IndexLink"/>
              </w:rPr>
              <w:t>209</w:t>
            </w:r>
          </w:hyperlink>
        </w:p>
        <w:p>
          <w:pPr>
            <w:pStyle w:val="Contents3"/>
            <w:tabs>
              <w:tab w:val="clear" w:pos="8459"/>
              <w:tab w:val="right" w:pos="9026" w:leader="dot"/>
            </w:tabs>
            <w:rPr/>
          </w:pPr>
          <w:hyperlink w:anchor="__RefHeading___Toc2705159_3804643083">
            <w:r>
              <w:rPr>
                <w:webHidden/>
                <w:rStyle w:val="IndexLink"/>
                <w:rtl w:val="true"/>
              </w:rPr>
              <w:t>فهرس أسماء المعصومین علیهم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2705161_3804643083">
            <w:r>
              <w:rPr>
                <w:webHidden/>
                <w:rStyle w:val="IndexLink"/>
                <w:rtl w:val="true"/>
              </w:rPr>
              <w:t>فهرس الأعلام المذکورین فی المتن و الهامش</w:t>
            </w:r>
            <w:r>
              <w:rPr>
                <w:rStyle w:val="IndexLink"/>
                <w:rtl w:val="true"/>
              </w:rPr>
              <w:tab/>
            </w:r>
            <w:r>
              <w:rPr>
                <w:rStyle w:val="IndexLink"/>
              </w:rPr>
              <w:t>215</w:t>
            </w:r>
          </w:hyperlink>
        </w:p>
        <w:p>
          <w:pPr>
            <w:pStyle w:val="Contents3"/>
            <w:tabs>
              <w:tab w:val="clear" w:pos="8459"/>
              <w:tab w:val="right" w:pos="9026" w:leader="dot"/>
            </w:tabs>
            <w:rPr/>
          </w:pPr>
          <w:hyperlink w:anchor="__RefHeading___Toc2705163_3804643083">
            <w:r>
              <w:rPr>
                <w:webHidden/>
                <w:rStyle w:val="IndexLink"/>
                <w:rtl w:val="true"/>
              </w:rPr>
              <w:t>فهرس الأماکن و البلدان و البقاع</w:t>
            </w:r>
            <w:r>
              <w:rPr>
                <w:rStyle w:val="IndexLink"/>
                <w:rtl w:val="true"/>
              </w:rPr>
              <w:tab/>
            </w:r>
            <w:r>
              <w:rPr>
                <w:rStyle w:val="IndexLink"/>
              </w:rPr>
              <w:t>226</w:t>
            </w:r>
          </w:hyperlink>
        </w:p>
        <w:p>
          <w:pPr>
            <w:pStyle w:val="Contents3"/>
            <w:tabs>
              <w:tab w:val="clear" w:pos="8459"/>
              <w:tab w:val="right" w:pos="9026" w:leader="dot"/>
            </w:tabs>
            <w:rPr/>
          </w:pPr>
          <w:hyperlink w:anchor="__RefHeading___Toc2705165_3804643083">
            <w:r>
              <w:rPr>
                <w:webHidden/>
                <w:rStyle w:val="IndexLink"/>
                <w:rtl w:val="true"/>
              </w:rPr>
              <w:t>فهرس أسماء الکتب الواردة فی المتن و الهامش</w:t>
            </w:r>
            <w:r>
              <w:rPr>
                <w:rStyle w:val="IndexLink"/>
                <w:rtl w:val="true"/>
              </w:rPr>
              <w:tab/>
            </w:r>
            <w:r>
              <w:rPr>
                <w:rStyle w:val="IndexLink"/>
              </w:rPr>
              <w:t>228</w:t>
            </w:r>
          </w:hyperlink>
        </w:p>
        <w:p>
          <w:pPr>
            <w:pStyle w:val="Contents3"/>
            <w:tabs>
              <w:tab w:val="clear" w:pos="8459"/>
              <w:tab w:val="right" w:pos="9026" w:leader="dot"/>
            </w:tabs>
            <w:rPr/>
          </w:pPr>
          <w:hyperlink w:anchor="__RefHeading___Toc2705167_3804643083">
            <w:r>
              <w:rPr>
                <w:webHidden/>
                <w:rStyle w:val="IndexLink"/>
                <w:rtl w:val="true"/>
              </w:rPr>
              <w:t>فهرس مصادر التحقیق</w:t>
            </w:r>
            <w:r>
              <w:rPr>
                <w:rStyle w:val="IndexLink"/>
                <w:rtl w:val="true"/>
              </w:rPr>
              <w:tab/>
            </w:r>
            <w:r>
              <w:rPr>
                <w:rStyle w:val="IndexLink"/>
              </w:rPr>
              <w:t>237</w:t>
            </w:r>
          </w:hyperlink>
        </w:p>
        <w:p>
          <w:pPr>
            <w:pStyle w:val="Contents3"/>
            <w:tabs>
              <w:tab w:val="clear" w:pos="8459"/>
              <w:tab w:val="right" w:pos="9026" w:leader="dot"/>
            </w:tabs>
            <w:rPr/>
          </w:pPr>
          <w:hyperlink w:anchor="__RefHeading___Toc2705169_3804643083">
            <w:r>
              <w:rPr>
                <w:webHidden/>
                <w:rStyle w:val="IndexLink"/>
                <w:rtl w:val="true"/>
              </w:rPr>
              <w:t>فهرس الموضوعات</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3_14570"/>
      <w:bookmarkStart w:id="1" w:name="pg2353_14570"/>
      <w:bookmarkEnd w:id="1"/>
    </w:p>
    <w:p>
      <w:pPr>
        <w:pStyle w:val="Heading2"/>
        <w:numPr>
          <w:ilvl w:val="1"/>
          <w:numId w:val="1"/>
        </w:numPr>
        <w:rPr/>
      </w:pPr>
      <w:bookmarkStart w:id="2" w:name="pg2353_14570"/>
      <w:bookmarkStart w:id="3" w:name="__RefHeading___Toc2704953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الامام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۱۶۶</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۹۰۴۰</w:t>
      </w:r>
    </w:p>
    <w:p>
      <w:pPr>
        <w:pStyle w:val="Heading2"/>
        <w:numPr>
          <w:ilvl w:val="1"/>
          <w:numId w:val="1"/>
        </w:numPr>
        <w:rPr/>
      </w:pPr>
      <w:bookmarkStart w:id="5" w:name="__RefHeading___Toc2704955_3804643083"/>
      <w:bookmarkStart w:id="6" w:name="_Toc2"/>
      <w:bookmarkEnd w:id="5"/>
      <w:r>
        <w:rPr>
          <w:rtl w:val="true"/>
        </w:rPr>
        <w:t>[</w:t>
      </w:r>
      <w:r>
        <w:rPr>
          <w:rtl w:val="true"/>
        </w:rPr>
        <w:t>هویة الکتاب</w:t>
      </w:r>
      <w:r>
        <w:rPr>
          <w:rtl w:val="true"/>
        </w:rPr>
        <w:t>]</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 الترجیح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2353_14574"/>
    </w:p>
    <w:p>
      <w:pPr>
        <w:pStyle w:val="Heading2"/>
        <w:numPr>
          <w:ilvl w:val="1"/>
          <w:numId w:val="1"/>
        </w:numPr>
        <w:rPr/>
      </w:pPr>
      <w:bookmarkStart w:id="8" w:name="__RefHeading___Toc2704957_3804643083"/>
      <w:bookmarkStart w:id="9" w:name="_Toc3"/>
      <w:bookmarkEnd w:id="7"/>
      <w:bookmarkEnd w:id="8"/>
      <w:r>
        <w:rPr>
          <w:rtl w:val="true"/>
        </w:rPr>
        <w:t>مقدّمة التحقیق</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704959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و السلام علی سیّد المرسلین؛ محمّد، و علی آله الطاهرین المعصومین</w:t>
      </w:r>
    </w:p>
    <w:p>
      <w:pPr>
        <w:pStyle w:val="BookText"/>
        <w:rPr/>
      </w:pPr>
      <w:r>
        <w:rPr>
          <w:rFonts w:ascii="IRNazanin" w:hAnsi="IRNazanin" w:eastAsia="IRNazanin"/>
          <w:color w:val="111111"/>
          <w:sz w:val="28"/>
          <w:sz w:val="28"/>
          <w:szCs w:val="28"/>
          <w:rtl w:val="true"/>
          <w:lang w:bidi="fa-IR"/>
        </w:rPr>
        <w:t>و بعد، فالبحث عن اختلاف الأدلّة و تعارض بعضها مع بعض، من أهمّ المسائل الاصولیّة، و علیها یدور الاجتهاد، و بها یتمکّن الفقیه من الإفتاء؛ فإنّا کثیراً ما نری أدلّة مختلفة یناقض بعضها بعضاً فی مسألة واحدة، و یتحیّر العرف العامّ فی حلّ الاختلاف، و تعیین الصحیح من السقیم، و تبیین مقصود قائلیه، فیرجع إلی أهل الخبرة لاستیضاح مرام الشارع، فیجب علی الطالب لمعرفة حکم اللَّه وفقه الشریعة الخاتمة للشرائع و الملل، الاطّلاع علی مواضع الاختلاف بین الأدلّة الشرعیّة، و کیفیّة حلّ الاختلاف، و ترجیح السلیم علی السقیم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فبالحریّ أن یبحث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الممهّد لتشخیص الحجّة عن اللّاحجّة</w:t>
      </w:r>
      <w:r>
        <w:rPr>
          <w:rFonts w:eastAsia="IRNazanin" w:cs="IRNazanin"/>
          <w:color w:val="111111"/>
          <w:sz w:val="28"/>
          <w:szCs w:val="28"/>
          <w:rtl w:val="true"/>
          <w:lang w:bidi="fa-IR"/>
        </w:rPr>
        <w:t>-</w:t>
      </w:r>
      <w:bookmarkStart w:id="12" w:name="pg2353_14577"/>
    </w:p>
    <w:p>
      <w:pPr>
        <w:pStyle w:val="BookText"/>
        <w:rPr/>
      </w:pPr>
      <w:bookmarkEnd w:id="12"/>
      <w:r>
        <w:rPr>
          <w:rFonts w:ascii="IRNazanin" w:hAnsi="IRNazanin" w:eastAsia="IRNazanin"/>
          <w:color w:val="111111"/>
          <w:sz w:val="28"/>
          <w:sz w:val="28"/>
          <w:szCs w:val="28"/>
          <w:rtl w:val="true"/>
          <w:lang w:bidi="fa-IR"/>
        </w:rPr>
        <w:t>عن ضوابط ترجیح أحد الدلیلین علی الآخر و تعیین الحجّة من بین الأدلّة المتخالفة المتکاذبة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اختصّت أهمّ مسائل علم الاصول برفع اختلاف الأدلّة و الجمع العرفیّ بینها، نحو مباحث النسخ و التخصیص و التقیید و الحکومة و الورود، و بعد إثبات عدم وجود جمع عرفیّ بین الأدلّة تصل النوبة للبحث عن الترجیح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امور لم یتعرّض لبیانها إمامنا الراحل قدس سره بنحو مستقلّ، و قد آثرنا الإشارة إلیها؛ تکمیلًا للبحث، و لما فیها من الفوائد المهمّة، و هی ثلاثة امور</w:t>
      </w:r>
      <w:r>
        <w:rPr>
          <w:rFonts w:eastAsia="IRNazanin" w:cs="IRNazanin"/>
          <w:color w:val="111111"/>
          <w:sz w:val="28"/>
          <w:szCs w:val="28"/>
          <w:rtl w:val="true"/>
          <w:lang w:bidi="fa-IR"/>
        </w:rPr>
        <w:t>:</w:t>
      </w:r>
    </w:p>
    <w:p>
      <w:pPr>
        <w:pStyle w:val="Heading3"/>
        <w:numPr>
          <w:ilvl w:val="2"/>
          <w:numId w:val="1"/>
        </w:numPr>
        <w:rPr/>
      </w:pPr>
      <w:bookmarkStart w:id="13" w:name="__RefHeading___Toc2704961_3804643083"/>
      <w:bookmarkStart w:id="14" w:name="_Toc5"/>
      <w:bookmarkEnd w:id="13"/>
      <w:r>
        <w:rPr>
          <w:rtl w:val="true"/>
        </w:rPr>
        <w:t>الأمر الأوّل فی بیان مناشئ اختلاف الأدلّة</w:t>
      </w:r>
      <w:bookmarkEnd w:id="14"/>
    </w:p>
    <w:p>
      <w:pPr>
        <w:pStyle w:val="Heading4"/>
        <w:numPr>
          <w:ilvl w:val="3"/>
          <w:numId w:val="1"/>
        </w:numPr>
        <w:rPr/>
      </w:pPr>
      <w:bookmarkStart w:id="15" w:name="__RefHeading___Toc2704963_3804643083"/>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لا شکّ فی أنّ لکلّ موضوع من الموضوعات الفقهیّة حکماً واحداً مختصّاً به، فإن کان فعلٌ واجباً فی الواقع، فلا یمکن أن یکون غیر واجب واقعاً؛ إذ الشارع الحکیم لا یجعل فی آن واحد لموضوع واحد حکمین أو أکثر، و ما تری من تکاذب الأدلّة و تعارضها فإنّما هو من جهة الدلالة و مقام الإثبات، أو ناشئ من خطأ واقع فی الأدلّة، لذا فینبغی البحث عن مناشئ اختلاف الأدلّة التی بأیدینا، حتّی نتمکّن من الجمع بینها أو طرح بعضها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البحث من أهمّ الامور التی لا یتعرّض لها الاصولیّون مستقلًّا إلّا فی</w:t>
      </w:r>
      <w:bookmarkStart w:id="17" w:name="pg2353_14578"/>
    </w:p>
    <w:p>
      <w:pPr>
        <w:pStyle w:val="BookText"/>
        <w:rPr/>
      </w:pPr>
      <w:bookmarkEnd w:id="17"/>
      <w:r>
        <w:rPr>
          <w:rFonts w:ascii="IRNazanin" w:hAnsi="IRNazanin" w:eastAsia="IRNazanin"/>
          <w:color w:val="111111"/>
          <w:sz w:val="28"/>
          <w:sz w:val="28"/>
          <w:szCs w:val="28"/>
          <w:rtl w:val="true"/>
          <w:lang w:bidi="fa-IR"/>
        </w:rPr>
        <w:t>ضمن بعض المباحث إجمالًا، أو ضمن تحقیقاتهم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للسید الشهید آیة اللَّه محمد باقر الصدر فی ابتداء مسألة التعادل و الترجیح کلام مفید و استقصاء للأقسام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مناشئ التعارض تکمن فی امور</w:t>
      </w:r>
      <w:r>
        <w:rPr>
          <w:rFonts w:eastAsia="IRNazanin" w:cs="IRNazanin"/>
          <w:color w:val="111111"/>
          <w:sz w:val="28"/>
          <w:szCs w:val="28"/>
          <w:rtl w:val="true"/>
          <w:lang w:bidi="fa-IR"/>
        </w:rPr>
        <w:t>:</w:t>
      </w:r>
    </w:p>
    <w:p>
      <w:pPr>
        <w:pStyle w:val="Heading4"/>
        <w:numPr>
          <w:ilvl w:val="3"/>
          <w:numId w:val="1"/>
        </w:numPr>
        <w:rPr/>
      </w:pPr>
      <w:bookmarkStart w:id="18" w:name="__RefHeading___Toc2704965_3804643083"/>
      <w:bookmarkStart w:id="19" w:name="_Toc7"/>
      <w:bookmarkEnd w:id="18"/>
      <w:r>
        <w:rPr/>
        <w:t>1</w:t>
      </w:r>
      <w:r>
        <w:rPr>
          <w:rtl w:val="true"/>
        </w:rPr>
        <w:t xml:space="preserve">- </w:t>
      </w:r>
      <w:r>
        <w:rPr>
          <w:rtl w:val="true"/>
        </w:rPr>
        <w:t>وقوع خطأ فی الأدلّة</w:t>
      </w:r>
      <w:bookmarkEnd w:id="19"/>
    </w:p>
    <w:p>
      <w:pPr>
        <w:pStyle w:val="BookText"/>
        <w:rPr/>
      </w:pPr>
      <w:r>
        <w:rPr>
          <w:rFonts w:ascii="IRNazanin" w:hAnsi="IRNazanin" w:eastAsia="IRNazanin"/>
          <w:color w:val="111111"/>
          <w:sz w:val="28"/>
          <w:sz w:val="28"/>
          <w:szCs w:val="28"/>
          <w:rtl w:val="true"/>
          <w:lang w:bidi="fa-IR"/>
        </w:rPr>
        <w:t>قد ینقل الراوی بالمعنی، فیقع الخطأ فی ضبط المعنی بعینه؛ لعدم ممارسته للّغة العربیة، و عدم اطّلاعه علی أسالیبها، لذا یشترط فی الناقل بالمعنی المعرفة بهذه اللّغة، حتّی یتسنّی له أداء نفس المعنی بعبارة اخری،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فکثیر من الروایات قد دوّنت فی الاصول بعد عصر الصادقین علیهما السلام، ثمّ نقلت منها إلی کتب المتأخّرین عنهم، و بطبیعة الحال فإنّ النقل من کتاب إلی کتاب ممّا یوفّر المناخ المناسب للسهو و الاشتباه</w:t>
      </w:r>
      <w:r>
        <w:rPr>
          <w:rFonts w:eastAsia="IRNazanin" w:cs="IRNazanin"/>
          <w:color w:val="111111"/>
          <w:sz w:val="28"/>
          <w:szCs w:val="28"/>
          <w:rtl w:val="true"/>
          <w:lang w:bidi="fa-IR"/>
        </w:rPr>
        <w:t>.</w:t>
      </w:r>
    </w:p>
    <w:p>
      <w:pPr>
        <w:pStyle w:val="Heading4"/>
        <w:numPr>
          <w:ilvl w:val="3"/>
          <w:numId w:val="1"/>
        </w:numPr>
        <w:rPr/>
      </w:pPr>
      <w:bookmarkStart w:id="20" w:name="__RefHeading___Toc2704967_3804643083"/>
      <w:bookmarkStart w:id="21" w:name="_Toc8"/>
      <w:bookmarkEnd w:id="20"/>
      <w:r>
        <w:rPr/>
        <w:t>2</w:t>
      </w:r>
      <w:r>
        <w:rPr>
          <w:rtl w:val="true"/>
        </w:rPr>
        <w:t xml:space="preserve">- </w:t>
      </w:r>
      <w:r>
        <w:rPr>
          <w:rtl w:val="true"/>
        </w:rPr>
        <w:t>قلّة اطّلاعنا</w:t>
      </w:r>
      <w:bookmarkEnd w:id="21"/>
    </w:p>
    <w:p>
      <w:pPr>
        <w:pStyle w:val="BookText"/>
        <w:rPr/>
      </w:pPr>
      <w:r>
        <w:rPr>
          <w:rFonts w:ascii="IRNazanin" w:hAnsi="IRNazanin" w:eastAsia="IRNazanin"/>
          <w:color w:val="111111"/>
          <w:sz w:val="28"/>
          <w:sz w:val="28"/>
          <w:szCs w:val="28"/>
          <w:rtl w:val="true"/>
          <w:lang w:bidi="fa-IR"/>
        </w:rPr>
        <w:t>إنّ الروایتین اللّتین یدّعی تعارضهما و تنافیهما، کثیراً ما تکونان محتفّتین بقرائن حالیّة و مقالیّة حال صدورهما، و لکن قد تقع الغفلة عنها، فبعض القرائن لا یعتنی بها، فیفهم من اللفظ ما هو غیر مقصود، و بعض القرائن المقامیّة و الأوضاع اللّغویة مجهولة لدینا، فتحمل الروایة علی المعنی المتبادر عندنا، لا المعنی الذی کان یفهم فی زمان صدور النصّ، فیقع التعارض و التنافی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الخصوصیّات الخفیّة التی توقعنا فی الغلط و الخطأ، أعمّ من التخصیصات</w:t>
      </w:r>
      <w:bookmarkStart w:id="22" w:name="pg2353_14579"/>
    </w:p>
    <w:p>
      <w:pPr>
        <w:pStyle w:val="BookText"/>
        <w:rPr/>
      </w:pPr>
      <w:bookmarkEnd w:id="22"/>
      <w:r>
        <w:rPr>
          <w:rFonts w:ascii="IRNazanin" w:hAnsi="IRNazanin" w:eastAsia="IRNazanin"/>
          <w:color w:val="111111"/>
          <w:sz w:val="28"/>
          <w:sz w:val="28"/>
          <w:szCs w:val="28"/>
          <w:rtl w:val="true"/>
          <w:lang w:bidi="fa-IR"/>
        </w:rPr>
        <w:t>و التقییدات، و قیود الموضوع، و زمان الأحکام، و الشرائط المندرجة فی الأسئلة، و العهد الذهنیّ و الذکریّ للسائل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الروایات بعد التقطیع و التبویب و ذکر کلّ قطعة منها فی الباب الخاصّ بها، صارت مجملة مخفیّة القرائن، فربّ روایة واحدة صادرة فی مجلس واحد، صارت قطعاً مجزّأة غیر مترابطة، لا یتمکّن الفقیه من جمع شتاتها و فهم فقراتها، و کم من روایات غیر مرتبطة یُفهم منها معنی واحد بواسطة ذکرها فی باب واحد</w:t>
      </w:r>
      <w:r>
        <w:rPr>
          <w:rFonts w:eastAsia="IRNazanin" w:cs="IRNazanin"/>
          <w:color w:val="111111"/>
          <w:sz w:val="28"/>
          <w:szCs w:val="28"/>
          <w:rtl w:val="true"/>
          <w:lang w:bidi="fa-IR"/>
        </w:rPr>
        <w:t>.</w:t>
      </w:r>
    </w:p>
    <w:p>
      <w:pPr>
        <w:pStyle w:val="Heading4"/>
        <w:numPr>
          <w:ilvl w:val="3"/>
          <w:numId w:val="1"/>
        </w:numPr>
        <w:rPr/>
      </w:pPr>
      <w:bookmarkStart w:id="23" w:name="__RefHeading___Toc2704969_3804643083"/>
      <w:bookmarkStart w:id="24" w:name="_Toc9"/>
      <w:bookmarkEnd w:id="23"/>
      <w:r>
        <w:rPr/>
        <w:t>3</w:t>
      </w:r>
      <w:r>
        <w:rPr>
          <w:rtl w:val="true"/>
        </w:rPr>
        <w:t xml:space="preserve">- </w:t>
      </w:r>
      <w:r>
        <w:rPr>
          <w:rtl w:val="true"/>
        </w:rPr>
        <w:t>نسخ الأحکام الشرعیّة</w:t>
      </w:r>
      <w:bookmarkEnd w:id="24"/>
    </w:p>
    <w:p>
      <w:pPr>
        <w:pStyle w:val="BookText"/>
        <w:rPr/>
      </w:pPr>
      <w:r>
        <w:rPr>
          <w:rFonts w:ascii="IRNazanin" w:hAnsi="IRNazanin" w:eastAsia="IRNazanin"/>
          <w:color w:val="111111"/>
          <w:sz w:val="28"/>
          <w:sz w:val="28"/>
          <w:szCs w:val="28"/>
          <w:rtl w:val="true"/>
          <w:lang w:bidi="fa-IR"/>
        </w:rPr>
        <w:t>علی الرغم من أنّ حقیقة النسخ عبارة عن دفع حکم المنسوخ ثبوتاً، من جهة أنّ غایة العمل بالمنسوخ هی زمان صدور الناسخ، إلّا أنّه حیث کان رفعاً لحکم المنسوخ بحسب مقام الإثبات؛ لأجل عدم ذکر القید الزمانیّ فی المنسوخ، لذا یتخیّل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الفقیه المتأخّر عنه بقرون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المنسوخ أبدیّ شامل لکلّ مکلّف فی جمیع القرون و الأعصار، و لکن بعد صدور الناسخ، و عدم قیام دلیل لدینا علی تأخّره، یقع التعارض بینهما إثباتاً و بنظرنا</w:t>
      </w:r>
      <w:r>
        <w:rPr>
          <w:rFonts w:eastAsia="IRNazanin" w:cs="IRNazanin"/>
          <w:color w:val="111111"/>
          <w:sz w:val="28"/>
          <w:szCs w:val="28"/>
          <w:rtl w:val="true"/>
          <w:lang w:bidi="fa-IR"/>
        </w:rPr>
        <w:t>.</w:t>
      </w:r>
    </w:p>
    <w:p>
      <w:pPr>
        <w:pStyle w:val="Heading4"/>
        <w:numPr>
          <w:ilvl w:val="3"/>
          <w:numId w:val="1"/>
        </w:numPr>
        <w:rPr/>
      </w:pPr>
      <w:bookmarkStart w:id="25" w:name="__RefHeading___Toc2704971_3804643083"/>
      <w:bookmarkStart w:id="26" w:name="_Toc10"/>
      <w:bookmarkEnd w:id="25"/>
      <w:r>
        <w:rPr/>
        <w:t>4</w:t>
      </w:r>
      <w:r>
        <w:rPr>
          <w:rtl w:val="true"/>
        </w:rPr>
        <w:t xml:space="preserve">- </w:t>
      </w:r>
      <w:r>
        <w:rPr>
          <w:rtl w:val="true"/>
        </w:rPr>
        <w:t>التدرّج فی البیان</w:t>
      </w:r>
      <w:bookmarkEnd w:id="26"/>
    </w:p>
    <w:p>
      <w:pPr>
        <w:pStyle w:val="Heading5"/>
        <w:numPr>
          <w:ilvl w:val="4"/>
          <w:numId w:val="1"/>
        </w:numPr>
        <w:rPr/>
      </w:pPr>
      <w:bookmarkStart w:id="27" w:name="__RefHeading___Toc2704973_3804643083"/>
      <w:bookmarkStart w:id="28" w:name="_Toc11"/>
      <w:bookmarkEnd w:id="27"/>
      <w:r>
        <w:rPr>
          <w:rtl w:val="true"/>
        </w:rPr>
        <w:t>اشارة</w:t>
      </w:r>
      <w:bookmarkEnd w:id="2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الظاهر من الروایات اتخاذ الأئمّة علیهم السلام اسلوب التدرّج فی بیان الأحکام و تبلیغ الشریعة، فقد یصدر العامّ فی زمان إمام، و لا یصدر تخصیصه إلّا بعد قرن فی کلام إمام آخر، بل ربّما تلاحظ هذه الحالة فی حدیث واحد؛ فإنّ</w:t>
      </w:r>
      <w:bookmarkStart w:id="29" w:name="pg2353_14580"/>
    </w:p>
    <w:p>
      <w:pPr>
        <w:pStyle w:val="BookText"/>
        <w:rPr/>
      </w:pPr>
      <w:bookmarkEnd w:id="29"/>
      <w:r>
        <w:rPr>
          <w:rFonts w:ascii="IRNazanin" w:hAnsi="IRNazanin" w:eastAsia="IRNazanin"/>
          <w:color w:val="111111"/>
          <w:sz w:val="28"/>
          <w:sz w:val="28"/>
          <w:szCs w:val="28"/>
          <w:rtl w:val="true"/>
          <w:lang w:bidi="fa-IR"/>
        </w:rPr>
        <w:t>الإمام علیه السلام قد یلقی حکماً عامّاً غیر مخصّص، فلا یقنع السائل و یطلب المزید من البیان، فیقیّد الإمام الحکم العامّ و یخصّصه، و لو لا سؤال السائل لما صدر التقیید و التخصیص</w:t>
      </w:r>
      <w:r>
        <w:rPr>
          <w:rFonts w:eastAsia="IRNazanin" w:cs="IRNazanin"/>
          <w:color w:val="111111"/>
          <w:sz w:val="28"/>
          <w:szCs w:val="28"/>
          <w:rtl w:val="true"/>
          <w:lang w:bidi="fa-IR"/>
        </w:rPr>
        <w:t>.</w:t>
      </w:r>
    </w:p>
    <w:p>
      <w:pPr>
        <w:pStyle w:val="Heading5"/>
        <w:numPr>
          <w:ilvl w:val="4"/>
          <w:numId w:val="1"/>
        </w:numPr>
        <w:rPr/>
      </w:pPr>
      <w:bookmarkStart w:id="30" w:name="__RefHeading___Toc2704975_3804643083"/>
      <w:bookmarkStart w:id="31" w:name="_Toc12"/>
      <w:bookmarkEnd w:id="30"/>
      <w:r>
        <w:rPr>
          <w:rtl w:val="true"/>
        </w:rPr>
        <w:t>تبصرة</w:t>
      </w:r>
      <w:bookmarkEnd w:id="31"/>
    </w:p>
    <w:p>
      <w:pPr>
        <w:pStyle w:val="BookText"/>
        <w:rPr/>
      </w:pPr>
      <w:r>
        <w:rPr>
          <w:rFonts w:ascii="IRNazanin" w:hAnsi="IRNazanin" w:eastAsia="IRNazanin"/>
          <w:color w:val="111111"/>
          <w:sz w:val="28"/>
          <w:sz w:val="28"/>
          <w:szCs w:val="28"/>
          <w:rtl w:val="true"/>
          <w:lang w:bidi="fa-IR"/>
        </w:rPr>
        <w:t>إنّ اختفاء المقیّدات و المخصّصات المتّصلة، أو نسخ الأحکام الشرعیّة، أو التدرّج فی بیانها لمصلحة فی التأخیر، من مناشئ التعارض التی احتملها القوم، و أمّا إمامنا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اللَّه علیه شآبیب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استبعد هذه الاحتمالات؛ لبُعْد احتمال ضیاع المخصّصات و المقیّدات فی زمن النبیّ صلی الله علیه و آله و سلم بَعْد نقل الخاصّة و العامّة لروایاته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التشریع و التقنین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عامّات غیر مخصّصات، و عدم وجود غرض عقلائیّ فی صرف الکلام عن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احتمال السهو و النسیان فی جمیع الأحادیث، أمر غیر عقلائیّ، و لا یرتضیه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استبعاد احتمال النسخ عنده طاب ثراه، هو اختصاصه بالروایات الصادرة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التدرّج فی بیان الأحکام الشرعیّة، و وجود مصلحة فی تأخیر البیان عن وقت الحاجة، فمستلزم لتعطیل الأحکام، و مخالف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 رسول اللَّه صلی الله علیه و آله و سلم فی</w:t>
      </w:r>
      <w:bookmarkStart w:id="32" w:name="pg2353_14581"/>
    </w:p>
    <w:p>
      <w:pPr>
        <w:pStyle w:val="BookText"/>
        <w:rPr/>
      </w:pPr>
      <w:bookmarkEnd w:id="32"/>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من الجنّة و یباعدکم من النار إلّا و قد أمرتکم به، و ما من شی‌ء یقرّبکم من النار و یباعدکم من الجنّة إلّا و قد نهیتکم عنه</w:t>
      </w:r>
      <w:r>
        <w:rPr>
          <w:rFonts w:eastAsia="IRNazanin" w:cs="IRNazanin"/>
          <w:color w:val="111111"/>
          <w:sz w:val="28"/>
          <w:szCs w:val="28"/>
          <w:rtl w:val="true"/>
          <w:lang w:bidi="fa-IR"/>
        </w:rPr>
        <w:t>».</w:t>
      </w:r>
    </w:p>
    <w:p>
      <w:pPr>
        <w:pStyle w:val="Heading4"/>
        <w:numPr>
          <w:ilvl w:val="3"/>
          <w:numId w:val="1"/>
        </w:numPr>
        <w:rPr/>
      </w:pPr>
      <w:bookmarkStart w:id="33" w:name="__RefHeading___Toc2704977_3804643083"/>
      <w:bookmarkStart w:id="34" w:name="_Toc13"/>
      <w:bookmarkEnd w:id="33"/>
      <w:r>
        <w:rPr/>
        <w:t>5</w:t>
      </w:r>
      <w:r>
        <w:rPr>
          <w:rtl w:val="true"/>
        </w:rPr>
        <w:t xml:space="preserve">- </w:t>
      </w:r>
      <w:r>
        <w:rPr>
          <w:rtl w:val="true"/>
        </w:rPr>
        <w:t>التقیّة</w:t>
      </w:r>
      <w:bookmarkEnd w:id="34"/>
    </w:p>
    <w:p>
      <w:pPr>
        <w:pStyle w:val="BookText"/>
        <w:rPr/>
      </w:pPr>
      <w:r>
        <w:rPr>
          <w:rFonts w:ascii="IRNazanin" w:hAnsi="IRNazanin" w:eastAsia="IRNazanin"/>
          <w:color w:val="111111"/>
          <w:sz w:val="28"/>
          <w:sz w:val="28"/>
          <w:szCs w:val="28"/>
          <w:rtl w:val="true"/>
          <w:lang w:bidi="fa-IR"/>
        </w:rPr>
        <w:t>و هی إحدی العلل المهمّة التی أوجبت اختلاف الأخبار، فقد عاش أکثر الأئمّة علیهم السلام فی عصور عصیبة، فرضت علیهم التقیّة لحفظ الإسلام و دماء الشیعة و أعراضهم، فصدرت من الأئمّة أحکام موافقة لفتوی حکّام العامّة و امرائهم و الرأی الغالب فی عوامّهم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التقیّة لم تکن بصورة دائمیّة، بل قد أظهر الأئمّة علیهم السلام أحکام اللَّه الواقعیّة لخاصّة أصحابهم، أو بعد زوال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اختلطت الأحکام الواقعیّة مع الصادرة عن تقیّة، و صارت الروایات متخالفة متکاذبة، فیجب علی الفقیه الوقوف علی أقوال العامّة المعاصرین للأئمّة علیهم السلام، حتی یتمکّن من تمییز الغثّ من السمین</w:t>
      </w:r>
      <w:r>
        <w:rPr>
          <w:rFonts w:eastAsia="IRNazanin" w:cs="IRNazanin"/>
          <w:color w:val="111111"/>
          <w:sz w:val="28"/>
          <w:szCs w:val="28"/>
          <w:rtl w:val="true"/>
          <w:lang w:bidi="fa-IR"/>
        </w:rPr>
        <w:t>.</w:t>
      </w:r>
    </w:p>
    <w:p>
      <w:pPr>
        <w:pStyle w:val="Heading4"/>
        <w:numPr>
          <w:ilvl w:val="3"/>
          <w:numId w:val="1"/>
        </w:numPr>
        <w:rPr/>
      </w:pPr>
      <w:bookmarkStart w:id="35" w:name="__RefHeading___Toc2704979_3804643083"/>
      <w:bookmarkStart w:id="36" w:name="_Toc14"/>
      <w:bookmarkEnd w:id="35"/>
      <w:r>
        <w:rPr/>
        <w:t>6</w:t>
      </w:r>
      <w:r>
        <w:rPr>
          <w:rtl w:val="true"/>
        </w:rPr>
        <w:t xml:space="preserve">- </w:t>
      </w:r>
      <w:r>
        <w:rPr>
          <w:rtl w:val="true"/>
        </w:rPr>
        <w:t>الدسّ و التزویر</w:t>
      </w:r>
      <w:bookmarkEnd w:id="36"/>
    </w:p>
    <w:p>
      <w:pPr>
        <w:pStyle w:val="Heading5"/>
        <w:numPr>
          <w:ilvl w:val="4"/>
          <w:numId w:val="1"/>
        </w:numPr>
        <w:rPr/>
      </w:pPr>
      <w:bookmarkStart w:id="37" w:name="__RefHeading___Toc2704981_3804643083"/>
      <w:bookmarkStart w:id="38" w:name="_Toc15"/>
      <w:bookmarkEnd w:id="37"/>
      <w:r>
        <w:rPr>
          <w:rtl w:val="true"/>
        </w:rPr>
        <w:t>اشارة</w:t>
      </w:r>
      <w:bookmarkEnd w:id="3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العوامل الموجبة لتعارض الأحادیث، دسّ بعض الکذّابین فی الروایات و کتب أصحاب الأئمّة علیهم السلام، و نقل الأکاذیب و نسبتها إلی المعصومین علیهم السلام؛ لأغراض دینیّة أو دنیویّة، و لهذا تحرّز أصحابنا من کلّ کاذب أو فاسد المذهب أو غیر عادل، و لم یأخذوا الحدیث عنهم، و لم یعاشروهم، بل قد</w:t>
      </w:r>
      <w:bookmarkStart w:id="39" w:name="pg2353_14582"/>
    </w:p>
    <w:p>
      <w:pPr>
        <w:pStyle w:val="BookText"/>
        <w:rPr/>
      </w:pPr>
      <w:bookmarkEnd w:id="39"/>
      <w:r>
        <w:rPr>
          <w:rFonts w:ascii="IRNazanin" w:hAnsi="IRNazanin" w:eastAsia="IRNazanin"/>
          <w:color w:val="111111"/>
          <w:sz w:val="28"/>
          <w:sz w:val="28"/>
          <w:szCs w:val="28"/>
          <w:rtl w:val="true"/>
          <w:lang w:bidi="fa-IR"/>
        </w:rPr>
        <w:t>یطرد من یعاشر راویاً کذّاباً أو مجهول الحال، و یضعّف من یروی عن الضعفاء و یعتمد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تجلّی هذا الأمر بوضوح فی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المقدّسة آنذاک، فقد کذّبوا مَن تفرّد بروایة فضیلة من فضائل أهل البیت علیهم السلام و رموه بالغلوّ، کی لا یقع الخلط و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اهتمّ المسلمون بعلم الرجال و الدرایة، و برعوا فی التحقیق عن حال الرواة؛ فما من صغیرة و لا کبیرة تتعلّق بالراوی إلّا و جعلوها تحت مجهرهم، بل تجاوزوا أحیاناً إلی معرفة أسماء آباء و أجداد الراوی، حتّی انتهوا به إلی جدّه الأعلی</w:t>
      </w:r>
      <w:r>
        <w:rPr>
          <w:rFonts w:eastAsia="IRNazanin" w:cs="IRNazanin"/>
          <w:color w:val="111111"/>
          <w:sz w:val="28"/>
          <w:szCs w:val="28"/>
          <w:rtl w:val="true"/>
          <w:lang w:bidi="fa-IR"/>
        </w:rPr>
        <w:t>.</w:t>
      </w:r>
    </w:p>
    <w:p>
      <w:pPr>
        <w:pStyle w:val="Heading5"/>
        <w:numPr>
          <w:ilvl w:val="4"/>
          <w:numId w:val="1"/>
        </w:numPr>
        <w:rPr/>
      </w:pPr>
      <w:bookmarkStart w:id="40" w:name="__RefHeading___Toc2704983_3804643083"/>
      <w:bookmarkStart w:id="41" w:name="_Toc16"/>
      <w:bookmarkEnd w:id="40"/>
      <w:r>
        <w:rPr>
          <w:rtl w:val="true"/>
        </w:rPr>
        <w:t>تتمّة</w:t>
      </w:r>
      <w:bookmarkEnd w:id="41"/>
    </w:p>
    <w:p>
      <w:pPr>
        <w:pStyle w:val="BookText"/>
        <w:rPr/>
      </w:pPr>
      <w:r>
        <w:rPr>
          <w:rFonts w:ascii="IRNazanin" w:hAnsi="IRNazanin" w:eastAsia="IRNazanin"/>
          <w:color w:val="111111"/>
          <w:sz w:val="28"/>
          <w:sz w:val="28"/>
          <w:szCs w:val="28"/>
          <w:rtl w:val="true"/>
          <w:lang w:bidi="fa-IR"/>
        </w:rPr>
        <w:t>و من الامور الهامّة فی معرفة المنشأ لتعارض الأخبار، دخالة الزمان و المکان فی الأحکام الشرعیّة، و أوّل من التفت إلیها إمامنا الراحل قدّس سرّه الشریف،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الزمان و المکان دخیلان فی فقه الشیعة الإمامیّة، فکم من موضوع یکون ذا حکم ثابت ظاهراً، و لکن لأجل تغیّر الروابط الاجتماعیّة و السیاسیّة و الاقتصادیّة یفقد الحکم الأوّل، و یستدعی حکماً جدیداً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الالتفاتة الرائعة شواهد من الروایات، فإنّا نری أنّ لبعض الموضوعات فی زمن أمیر المؤمنین علیه السلام، حکماً لا یطّرد فی زمن باقی الأئمّة، بل</w:t>
      </w:r>
      <w:bookmarkStart w:id="42" w:name="pg2353_14583"/>
    </w:p>
    <w:p>
      <w:pPr>
        <w:pStyle w:val="BookText"/>
        <w:rPr/>
      </w:pPr>
      <w:bookmarkEnd w:id="42"/>
      <w:r>
        <w:rPr>
          <w:rFonts w:ascii="IRNazanin" w:hAnsi="IRNazanin" w:eastAsia="IRNazanin"/>
          <w:color w:val="111111"/>
          <w:sz w:val="28"/>
          <w:sz w:val="28"/>
          <w:szCs w:val="28"/>
          <w:rtl w:val="true"/>
          <w:lang w:bidi="fa-IR"/>
        </w:rPr>
        <w:t>قد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المصالح العامّة للعباد أوجبت ذلک الحکم فی زمان حکومته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الأحکام قد تغیّرت فی زمان بعض الأئمّة علیهم السلام، فراجع روایات إباحة الأنفال أو الخمس للشیعة، أو تضمین الأجیر و نحو ذلک، فإنّ بعض الأحکام و إن لم یقیّد فی مقام الإثبات بزمان خاصّ و شرائط مخصوصة، لکن بعد التأمّل یفهم الفقیه أنّ الموضوع قد تغیّر و احتاج إلی حکم جدید، بل لعلّ الحکم بترجیح الروایة الأحدث عند التعارض، أیضاً ناظر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لهذا الأمر فی هذه الرسالة الإمام العلّامة الأکبر رحمه اللَّه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تأخیر بیان المخصّصات و المقیّدات إلی زمان الصادقین علیهما السلام، إنّما هو لابتلاء سائر الأئمّة المتقدّمین علیهما ببلیّات کثیرة، سدّ علیهم لأجلها بیان الأحکام، کما یشهد به التأریخ، فلمّا بلغ زمانهما اتسع لهما المجال فی برهة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فانتشرت الأحکام، و لو اتسع المجال لغیرهما ما اتسع لهما لصارت الأحکام منتشرة قبلهما</w:t>
      </w:r>
      <w:r>
        <w:rPr>
          <w:rFonts w:eastAsia="IRNazanin" w:cs="IRNazanin"/>
          <w:color w:val="111111"/>
          <w:sz w:val="28"/>
          <w:szCs w:val="28"/>
          <w:rtl w:val="true"/>
          <w:lang w:bidi="fa-IR"/>
        </w:rPr>
        <w:t>».</w:t>
      </w:r>
    </w:p>
    <w:p>
      <w:pPr>
        <w:pStyle w:val="Heading3"/>
        <w:numPr>
          <w:ilvl w:val="2"/>
          <w:numId w:val="1"/>
        </w:numPr>
        <w:rPr/>
      </w:pPr>
      <w:bookmarkStart w:id="43" w:name="__RefHeading___Toc2704985_3804643083"/>
      <w:bookmarkStart w:id="44" w:name="_Toc17"/>
      <w:bookmarkEnd w:id="43"/>
      <w:r>
        <w:rPr>
          <w:rtl w:val="true"/>
        </w:rPr>
        <w:t>الأمر الثانی الجمع العرفیّ</w:t>
      </w:r>
      <w:bookmarkEnd w:id="44"/>
    </w:p>
    <w:p>
      <w:pPr>
        <w:pStyle w:val="Heading4"/>
        <w:numPr>
          <w:ilvl w:val="3"/>
          <w:numId w:val="1"/>
        </w:numPr>
        <w:rPr/>
      </w:pPr>
      <w:bookmarkStart w:id="45" w:name="__RefHeading___Toc2704987_3804643083"/>
      <w:bookmarkStart w:id="46" w:name="_Toc18"/>
      <w:bookmarkEnd w:id="45"/>
      <w:r>
        <w:rPr>
          <w:rtl w:val="true"/>
        </w:rPr>
        <w:t>اشارة</w:t>
      </w:r>
      <w:bookmarkEnd w:id="4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الجمع العرفیّ بین المتعارضین، أولی من طرح أحدهما و الأخذ بالآخر، و علی هذا فیجب علی الفقیه الاطّلاع علی أقسام الجمع العرفیّ؛ لئلّا یطرح ما یجب الأخذ به و العمل علی طبقه، و حیث لم تذکر الجموع العرفیّة فی</w:t>
      </w:r>
    </w:p>
    <w:p>
      <w:pPr>
        <w:pStyle w:val="BookText"/>
        <w:rPr/>
      </w:pPr>
      <w:r>
        <w:rPr>
          <w:rFonts w:ascii="IRNazanin" w:hAnsi="IRNazanin" w:eastAsia="IRNazanin"/>
          <w:color w:val="111111"/>
          <w:sz w:val="28"/>
          <w:sz w:val="28"/>
          <w:szCs w:val="28"/>
          <w:rtl w:val="true"/>
          <w:lang w:bidi="fa-IR"/>
        </w:rPr>
        <w:t>الفقه و الاصول إلّا نادراً، فینبغی الإحاطة بأقسامها قبل البحث عن المتعارضین، و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 الحمل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حکم علی موضوع عامّ شمولیّ أو بدلیّ، و ورد حکم علی موضوع خاصّ مغایر لحکم العامّ، فیخصّص الخاصّ حکم العامّ بمناطات مذکورة فی کتب الاصول مفصّلًا، بشرط أن لا یکون التخصیص مستهجناً، و إلّا فیحمل العامّ علی الخاصّ إن أمکن ادّعاء انصراف العامّ إلی الخاصّ؛ لغلبة الاستعمال أو تعارفه،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و الحمل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حکم مطلق مخالف للمقیّد، فیقیّد المطلق، أو یحمل علی المقیّد، مع إمکان التقیید أو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الموارد التی وقع النزاع فی ضابطهما بین المتأخّرین، لکن علی أیّ حال یقدّم الحاکم و الوارد علی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الاستحباب أو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لفظ دالّ علی الوجوب فی فعل، و ورد أیضاً الحکم بجواز ترکه، یحمل اللفظ الدالّ علی الوجوب علی الاستحباب، و کذا إذا ورد لفظ دالّ علی الاستحباب ظاهراً، و نصّ دالّ علی الوجوب، یحمل اللفظ الأوّل علی الوجوب،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الکراهة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لفظ دالّ علی الحرمة مع الحکم بجواز الفعل، یحمل علی الکراهة و کذا یحمل اللفظ الظاهر فی الکراهة علی الحرمة مع ورود نصّ علی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مراتب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أحکام مختلفة و آثار متفاوتة من الثواب علی فعل، تحمل علی مراتب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فی موضوع خاصّ حکمان مختلفان، یمکن حمل الحکم علی التخییر بینهما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حکم واحد لموضوعین، یمکن حمل أحدهما علی الواقعیّ، و الآخر علی الظاهریّ الدالّ غالباً علی ثبوت الموضوع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حکم لموضوعین مستقلًاّ و معاً فیمکن التقیید، کما یمکن الحمل علی تداخل الأسباب، فیجری الحکم علی کلّ من الموضوعین، و لا یتکرّر عند اجتماعهما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اختصاص الحکم بزمان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حکم من إمام مغایر لما ورد من إمام آخر، فیمکن حمل الحکم علی اختصاصه بزمان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کون القضیّة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ورد بعد السؤال عن واقعة شخصیّة حکم مغایر للحکم الکلیّ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أنحاء الجمع العرفیّ و ما سواها کثیرة تطلب من مواضعها فی مطاوی کلام الأصحاب، و قد جمع کثیراً منها شیخ الطائفة الطوسیّ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w:t>
      </w:r>
      <w:bookmarkStart w:id="47" w:name="pg2353_14586"/>
    </w:p>
    <w:p>
      <w:pPr>
        <w:pStyle w:val="Heading4"/>
        <w:numPr>
          <w:ilvl w:val="3"/>
          <w:numId w:val="1"/>
        </w:numPr>
        <w:rPr/>
      </w:pPr>
      <w:bookmarkStart w:id="48" w:name="__RefHeading___Toc2704989_3804643083"/>
      <w:bookmarkStart w:id="49" w:name="_Toc19"/>
      <w:bookmarkEnd w:id="47"/>
      <w:bookmarkEnd w:id="48"/>
      <w:r>
        <w:rPr>
          <w:rtl w:val="true"/>
        </w:rPr>
        <w:t>تبصرة</w:t>
      </w:r>
      <w:bookmarkEnd w:id="49"/>
    </w:p>
    <w:p>
      <w:pPr>
        <w:pStyle w:val="BookText"/>
        <w:rPr/>
      </w:pPr>
      <w:r>
        <w:rPr>
          <w:rFonts w:ascii="IRNazanin" w:hAnsi="IRNazanin" w:eastAsia="IRNazanin"/>
          <w:color w:val="111111"/>
          <w:sz w:val="28"/>
          <w:sz w:val="28"/>
          <w:szCs w:val="28"/>
          <w:rtl w:val="true"/>
          <w:lang w:bidi="fa-IR"/>
        </w:rPr>
        <w:t>المراد بالجمع العرفیّ هو ما یرتضیه العرف بعد ملاحظة اسلوب التقنین و التشریع، و قد انتبه إلی هذه الدقیقة الإمام الخمینیّ رحمه الله، فإنّه بعد ذکره للخطابات القانونیّة، و التفریق بینها و بین القضایا العلمیّة و العرفیّة، و تفریع بعض المسائل الهامّة فی الاصول علی هذا الفرق، ذکر أنّ الجمع العرفیّ یجب أن یکون بعد ملاحظة أنّ اسلوب التقنین هو ذکر العمومات و المطلقات أوّلًا، و ذکر الخاصّ و المقیّد و الحاکم و أمثالها ثانیاً، و انفصال البیان عن المجمل، و إلّا فلا یقبل العرف الساذج من أحد إلقاء العامّ و تأخیر الخاصّ، و لا یقبل فی عرف العلماء عند تصنیف الکتب ادّعاء عامّ فی صدر الکتاب، و ذکر المخصّصات عند انقضاء البحث، بل یعدّونه متناقضاً فی کلامه، غیر متدبّر عند الکتابة</w:t>
      </w:r>
      <w:r>
        <w:rPr>
          <w:rFonts w:eastAsia="IRNazanin" w:cs="IRNazanin"/>
          <w:color w:val="111111"/>
          <w:sz w:val="28"/>
          <w:szCs w:val="28"/>
          <w:rtl w:val="true"/>
          <w:lang w:bidi="fa-IR"/>
        </w:rPr>
        <w:t>.</w:t>
      </w:r>
    </w:p>
    <w:p>
      <w:pPr>
        <w:pStyle w:val="Heading3"/>
        <w:numPr>
          <w:ilvl w:val="2"/>
          <w:numId w:val="1"/>
        </w:numPr>
        <w:rPr/>
      </w:pPr>
      <w:bookmarkStart w:id="50" w:name="__RefHeading___Toc2704991_3804643083"/>
      <w:bookmarkStart w:id="51" w:name="_Toc20"/>
      <w:bookmarkEnd w:id="50"/>
      <w:r>
        <w:rPr>
          <w:rtl w:val="true"/>
        </w:rPr>
        <w:t>الأمر الثالث المرجّحات المنصوصة و غیر المنصوصة</w:t>
      </w:r>
      <w:bookmarkEnd w:id="51"/>
    </w:p>
    <w:p>
      <w:pPr>
        <w:pStyle w:val="Heading4"/>
        <w:numPr>
          <w:ilvl w:val="3"/>
          <w:numId w:val="1"/>
        </w:numPr>
        <w:rPr/>
      </w:pPr>
      <w:bookmarkStart w:id="52" w:name="__RefHeading___Toc2704993_3804643083"/>
      <w:bookmarkStart w:id="53" w:name="_Toc21"/>
      <w:bookmarkEnd w:id="52"/>
      <w:r>
        <w:rPr>
          <w:rtl w:val="true"/>
        </w:rPr>
        <w:t>اشارة</w:t>
      </w:r>
      <w:bookmarkEnd w:id="5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فرض عدم وجود جمع عرفیّ بین المتعارضات و استقرار التعارض و التنافی بین الأدلّة، یجب الأخذ بالراجح و طرح المرجوح، و مع تکافئهما و عدم</w:t>
      </w:r>
    </w:p>
    <w:p>
      <w:pPr>
        <w:pStyle w:val="BookText"/>
        <w:rPr/>
      </w:pPr>
      <w:r>
        <w:rPr>
          <w:rFonts w:ascii="IRNazanin" w:hAnsi="IRNazanin" w:eastAsia="IRNazanin"/>
          <w:color w:val="111111"/>
          <w:sz w:val="28"/>
          <w:sz w:val="28"/>
          <w:szCs w:val="28"/>
          <w:rtl w:val="true"/>
          <w:lang w:bidi="fa-IR"/>
        </w:rPr>
        <w:t>وجود مرجّح فی البین یتعیّن علیه التوقّف و الاحتیاط، علی ما استقرّ علیه رأی المصنّف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فبناءً علی الاقتصار علی المرجّحات المنصوصة، یجب تحدید هذه المرجّحات الواردة فی کلام الصادقین علیهما السلام، و تمییزها من غیر المنصوصة، لئلّا یقع الخلط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محیص من الترجیح بکلّ مزیّة توجب الأقربیّة إلی الواقع أو یظنّ بمقرّبیتها؛ لأصالة التعیین عند دوران الأمر بین التعیین و التخییر، کما استقربه المصنّف العلّامة قدس سره فی آخر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فالمرجّحات التی یدّعی ورودها فی النصوص فی مقام الترجیح بین الخبرین المتعارضین، اثنا عشر مرجّحاً، و إن لم یرتضِ منها العلّامة المصنّف إلّا موافقة الکتاب و مخالفة العامّة، و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أعدلیّة الراوی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الروایة شهرة فتوائیّة أو روائیّة، علی خلاف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الروایة للکتاب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لحکّام العامّة و قضاتهم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لروایات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الروایة للاحتیاط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أحدثیّة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المرجّحات غیر المنصوصة فهی کثیرة، لکن أهمّ ما ذکر منها فی کتب القوم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رواة أحد الخبرین، بناءً علی أنّ المراد بالشهرة فی الأخبار هی الفتوائیّة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أضبطیّة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النقل باللفظ علی النقل بالمعنی، إذا لم یکن الناقل للّفظ معروفاً بالضبط و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دلالة أحد الخبرین بالقسم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بلفظ فصیح، و الآخر برکیک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بلفظ حقیقیّ، و الآخر بمجازیّ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الروایة أو مخالفتها للأصل، علی خلاف فی ذلک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شهرة القدماء،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شهرة المتأخّرین، بناءً علی إرادة</w:t>
      </w:r>
    </w:p>
    <w:p>
      <w:pPr>
        <w:pStyle w:val="BookText"/>
        <w:rPr/>
      </w:pPr>
      <w:r>
        <w:rPr>
          <w:rFonts w:ascii="IRNazanin" w:hAnsi="IRNazanin" w:eastAsia="IRNazanin"/>
          <w:color w:val="111111"/>
          <w:sz w:val="28"/>
          <w:sz w:val="28"/>
          <w:szCs w:val="28"/>
          <w:rtl w:val="true"/>
          <w:lang w:bidi="fa-IR"/>
        </w:rPr>
        <w:t>الشهرة الروائیّة فی أخبار الترجیح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الشیعة الإمامیّة علی باقی فرق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الروایة لحکم العقل أو التجربة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أعلمیّة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الخبر المرویّ سماعاً علی المرویّ 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الخبر المتضمّن للزیادة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الخبر المرویّ بالمشافهة علی المرویّ بالمکاتبة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بشهرة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الأعلم 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روایة صاحب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روایة من هو أکثر مجالسة للعلماء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روایة من عُلمت عدالته بالاختبار علی المزکّی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روایة الراوی الجازم علی الظانّ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روایة المشهور بالرئاسة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مرجوحیّة روایة من یلتبس اسمه باسم بعض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روایة المتحمّل وقت البلوغ علی المتحمّل وقت الصبا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الروایة المتضمّنة لذکر السبب الموجب لصدور الروایة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المدنیّ أرجح من المکّی</w:t>
      </w:r>
      <w:r>
        <w:rPr>
          <w:rFonts w:eastAsia="IRNazanin" w:cs="IRNazanin"/>
          <w:color w:val="111111"/>
          <w:sz w:val="28"/>
          <w:szCs w:val="28"/>
          <w:rtl w:val="true"/>
          <w:lang w:bidi="fa-IR"/>
        </w:rPr>
        <w:t>.</w:t>
      </w:r>
      <w:bookmarkStart w:id="54" w:name="pg2353_14590"/>
    </w:p>
    <w:p>
      <w:pPr>
        <w:pStyle w:val="BookText"/>
        <w:rPr/>
      </w:pPr>
      <w:bookmarkEnd w:id="54"/>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المعلّلة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فیها تهدید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الراوی الأقرب إلی المرویّ عنه</w:t>
      </w:r>
      <w:r>
        <w:rPr>
          <w:rFonts w:eastAsia="IRNazanin" w:cs="IRNazanin"/>
          <w:color w:val="111111"/>
          <w:sz w:val="28"/>
          <w:szCs w:val="28"/>
          <w:rtl w:val="true"/>
          <w:lang w:bidi="fa-IR"/>
        </w:rPr>
        <w:t>.</w:t>
      </w:r>
    </w:p>
    <w:p>
      <w:pPr>
        <w:pStyle w:val="Heading4"/>
        <w:numPr>
          <w:ilvl w:val="3"/>
          <w:numId w:val="1"/>
        </w:numPr>
        <w:rPr/>
      </w:pPr>
      <w:bookmarkStart w:id="55" w:name="__RefHeading___Toc2704995_3804643083"/>
      <w:bookmarkStart w:id="56" w:name="_Toc22"/>
      <w:bookmarkEnd w:id="55"/>
      <w:r>
        <w:rPr>
          <w:rtl w:val="true"/>
        </w:rPr>
        <w:t>حول هذه الطبعة</w:t>
      </w:r>
      <w:bookmarkEnd w:id="56"/>
    </w:p>
    <w:p>
      <w:pPr>
        <w:pStyle w:val="BookText"/>
        <w:rPr/>
      </w:pPr>
      <w:r>
        <w:rPr>
          <w:rFonts w:ascii="IRNazanin" w:hAnsi="IRNazanin" w:eastAsia="IRNazanin"/>
          <w:color w:val="111111"/>
          <w:sz w:val="28"/>
          <w:sz w:val="28"/>
          <w:szCs w:val="28"/>
          <w:rtl w:val="true"/>
          <w:lang w:bidi="fa-IR"/>
        </w:rPr>
        <w:t>طبعت هذه الرسالة الشریفة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المجلد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تذییلات لآیة اللَّه المحقّق الشیخ مجتبی الطهرانیّ فی ربیع الأوّل عام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 الجمیلة، و لکن اختصّت طبعتنا هذه بمزایا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النسخة المطبوعة مع الخطّیة، و استدراک الأخطاء الواقعة فی الطبعة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نصّ الکتاب و تقطیعه و تزیینه بعلامات الترقیم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التأکّد من العناوین التی أثبتها إمامنا الراحل قدس سره فی هوامش النسخة الخطّیة، و وضعها فی محالّها المناسبة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الآیات القرآنیّة الکریمة و الأحادیث الشریفة و أقوال العلماء، حسبما وصلته ید التتبّع</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الرواة و العلماء المذکورین فی متن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نحن إذ نرجو أن یکون تحقیق هذه الرسالة و إخراجها بهذه الحلّة الجدیدة، باعثاً لابتهاج الروح الطاهرة المقدّسة لإمامنا الراحل طاب ثراه، نتضرّع إلی المولی سبحانه و تعالی کی یتقبّل منّا هذا المجهود المتواضع، و یثبت أسماءنا فی سجلّ خدمة دینه الحنیف،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تنظیم و نشر آثار</w:t>
      </w:r>
    </w:p>
    <w:p>
      <w:pPr>
        <w:pStyle w:val="BookText"/>
        <w:rPr/>
      </w:pPr>
      <w:r>
        <w:rPr>
          <w:rFonts w:ascii="IRNazanin" w:hAnsi="IRNazanin" w:eastAsia="IRNazanin"/>
          <w:color w:val="111111"/>
          <w:sz w:val="28"/>
          <w:sz w:val="28"/>
          <w:szCs w:val="28"/>
          <w:rtl w:val="true"/>
          <w:lang w:bidi="fa-IR"/>
        </w:rPr>
        <w:t>الإمام الخمینی قدس سره</w:t>
      </w:r>
    </w:p>
    <w:p>
      <w:pPr>
        <w:pStyle w:val="BookText"/>
        <w:rPr/>
      </w:pPr>
      <w:r>
        <w:rPr>
          <w:rFonts w:ascii="IRNazanin" w:hAnsi="IRNazanin" w:eastAsia="IRNazanin"/>
          <w:color w:val="111111"/>
          <w:sz w:val="28"/>
          <w:sz w:val="28"/>
          <w:szCs w:val="28"/>
          <w:rtl w:val="true"/>
          <w:lang w:bidi="fa-IR"/>
        </w:rPr>
        <w:t>قسم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المشرّفة</w:t>
      </w:r>
    </w:p>
    <w:p>
      <w:pPr>
        <w:pStyle w:val="BookText"/>
        <w:rPr/>
      </w:pP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الرَّحمنِ الرَّحیم و صلّی اللَّه علی محمّد و آله الطاهرین، و لعنة اللَّه علی أعدائهم أجمعین</w:t>
      </w:r>
      <w:r>
        <w:rPr>
          <w:rFonts w:eastAsia="Amiri" w:cs="Amiri" w:ascii="Amiri" w:hAnsi="Amiri"/>
          <w:color w:val="111111"/>
          <w:sz w:val="28"/>
          <w:szCs w:val="28"/>
          <w:rtl w:val="true"/>
          <w:lang w:bidi="ar-SA"/>
        </w:rPr>
        <w:t>.</w:t>
      </w:r>
      <w:bookmarkStart w:id="57" w:name="pg2353_14598"/>
    </w:p>
    <w:p>
      <w:pPr>
        <w:pStyle w:val="Heading2"/>
        <w:numPr>
          <w:ilvl w:val="1"/>
          <w:numId w:val="1"/>
        </w:numPr>
        <w:rPr/>
      </w:pPr>
      <w:bookmarkStart w:id="58" w:name="__RefHeading___Toc2704997_3804643083"/>
      <w:bookmarkStart w:id="59" w:name="_Toc23"/>
      <w:bookmarkEnd w:id="57"/>
      <w:bookmarkEnd w:id="58"/>
      <w:r>
        <w:rPr>
          <w:rtl w:val="true"/>
        </w:rPr>
        <w:t>مبحث التعارض و اختلاف الأدلّة</w:t>
      </w:r>
      <w:bookmarkEnd w:id="59"/>
    </w:p>
    <w:p>
      <w:pPr>
        <w:pStyle w:val="Heading3"/>
        <w:numPr>
          <w:ilvl w:val="2"/>
          <w:numId w:val="1"/>
        </w:numPr>
        <w:rPr/>
      </w:pPr>
      <w:bookmarkStart w:id="60" w:name="__RefHeading___Toc2704999_3804643083"/>
      <w:bookmarkStart w:id="61" w:name="_Toc24"/>
      <w:bookmarkEnd w:id="60"/>
      <w:r>
        <w:rPr>
          <w:rtl w:val="true"/>
        </w:rPr>
        <w:t>اشارة</w:t>
      </w:r>
      <w:bookmarkEnd w:id="6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الورود فی المقصد لا بدّ من ذکر امور</w:t>
      </w:r>
      <w:r>
        <w:rPr>
          <w:rFonts w:eastAsia="IRNazanin" w:cs="IRNazanin"/>
          <w:color w:val="111111"/>
          <w:sz w:val="28"/>
          <w:szCs w:val="28"/>
          <w:rtl w:val="true"/>
          <w:lang w:bidi="fa-IR"/>
        </w:rPr>
        <w:t>:</w:t>
      </w:r>
      <w:bookmarkStart w:id="62" w:name="pg2353_14600"/>
    </w:p>
    <w:p>
      <w:pPr>
        <w:pStyle w:val="Heading3"/>
        <w:numPr>
          <w:ilvl w:val="2"/>
          <w:numId w:val="1"/>
        </w:numPr>
        <w:rPr/>
      </w:pPr>
      <w:bookmarkStart w:id="63" w:name="__RefHeading___Toc2705001_3804643083"/>
      <w:bookmarkStart w:id="64" w:name="_Toc25"/>
      <w:bookmarkEnd w:id="62"/>
      <w:bookmarkEnd w:id="63"/>
      <w:r>
        <w:rPr>
          <w:rtl w:val="true"/>
        </w:rPr>
        <w:t>الأمر الأوّل عدم تعارض العامّ و الخاصّ</w:t>
      </w:r>
      <w:bookmarkEnd w:id="64"/>
    </w:p>
    <w:p>
      <w:pPr>
        <w:pStyle w:val="Heading4"/>
        <w:numPr>
          <w:ilvl w:val="3"/>
          <w:numId w:val="1"/>
        </w:numPr>
        <w:rPr/>
      </w:pPr>
      <w:bookmarkStart w:id="65" w:name="__RefHeading___Toc2705003_3804643083"/>
      <w:bookmarkStart w:id="66" w:name="_Toc26"/>
      <w:bookmarkEnd w:id="65"/>
      <w:r>
        <w:rPr>
          <w:rtl w:val="true"/>
        </w:rPr>
        <w:t>اختصاص الکلام فی هذا الباب بتعارض الأخبار</w:t>
      </w:r>
      <w:bookmarkEnd w:id="66"/>
    </w:p>
    <w:p>
      <w:pPr>
        <w:pStyle w:val="BookText"/>
        <w:rPr/>
      </w:pPr>
      <w:r>
        <w:rPr>
          <w:rFonts w:ascii="IRNazanin" w:hAnsi="IRNazanin" w:eastAsia="IRNazanin"/>
          <w:color w:val="111111"/>
          <w:sz w:val="28"/>
          <w:sz w:val="28"/>
          <w:szCs w:val="28"/>
          <w:rtl w:val="true"/>
          <w:lang w:bidi="fa-IR"/>
        </w:rPr>
        <w:t>إنّ مبحث التعارض و إن کان بعنوانه أعمّ من تعارض الأخبار، لکن لمّا کان البحث عن تعارض غیرها غیرَ معنون فی هذا المبحث فی 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لأهمیّة تعارضها، و ندرة غیره، کتعارض أقوال اللّغویین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البحث فیه بتعارض الأخبار، فلا بدّ من عقد البحث فی تعارضها، و تخصیص الکلام 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العلاجیّة</w:t>
      </w:r>
      <w:r>
        <w:rPr>
          <w:rStyle w:val="FootnoteAnchor"/>
          <w:rtl w:val="true"/>
        </w:rPr>
        <w:footnoteReference w:id="2"/>
      </w:r>
      <w:r>
        <w:rPr>
          <w:rFonts w:ascii="IRNazanin" w:hAnsi="IRNazanin" w:eastAsia="IRNazanin"/>
          <w:color w:val="111111"/>
          <w:sz w:val="28"/>
          <w:sz w:val="28"/>
          <w:szCs w:val="28"/>
          <w:rtl w:val="true"/>
          <w:lang w:bidi="fa-IR"/>
        </w:rPr>
        <w:t>تدور مدار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مرفوعة زرارة</w:t>
      </w:r>
      <w:r>
        <w:rPr>
          <w:rStyle w:val="FootnoteAnchor"/>
          <w:rtl w:val="true"/>
        </w:rPr>
        <w:footnoteReference w:id="3"/>
      </w:r>
      <w:r>
        <w:rPr>
          <w:rFonts w:ascii="IRNazanin" w:hAnsi="IRNazanin" w:eastAsia="IRNazanin"/>
          <w:color w:val="111111"/>
          <w:sz w:val="28"/>
          <w:sz w:val="28"/>
          <w:szCs w:val="28"/>
          <w:rtl w:val="true"/>
          <w:lang w:bidi="fa-IR"/>
        </w:rPr>
        <w:t>و سیأتی الکلام فیها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الخبران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الروایات علی اختلافها فی التعبیر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فالکلام فی باب التعارض یدور مدارهما، و مفادهما یرجع إلی أمر واحد عرفاً و لغة، و لمّا کان المیزان فی تشخیص الموضوعات مصداقاً و مفهوماً هو العرف، فلا بدّ من عرض المفهومین علیه؛ لتشخیص التعارض و اختلاف الأدلّة فإذا صدق العنوان فلا بدّ من العلاج بالرجوع إلی أخبار العلاج،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التعارض و التنافی لدی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الکلامین الصادرین من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فإنّ الکلام قد یصدر من مصنّفی الکتب و متعارف الناس فی محاوراتهم العادیّة؛ ممّا لم یتعارف فیها إلقاء الکلّیات و المطلقات، ثمّ بیان المخصّصات و المقیّدات و قرائن المجازات بعدها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صادراً من مقنّنی القوانین و مشرّعی الشرائع؛ ممّا یتعارف فیها ذلک، فإنّک تری فی القوانین العرفیّة إلقاءَ الکلّیات فی فصل، و بیان حدودها</w:t>
      </w:r>
      <w:bookmarkStart w:id="67" w:name="pg2353_14602"/>
    </w:p>
    <w:p>
      <w:pPr>
        <w:pStyle w:val="BookText"/>
        <w:rPr/>
      </w:pPr>
      <w:bookmarkEnd w:id="67"/>
      <w:r>
        <w:rPr>
          <w:rFonts w:ascii="IRNazanin" w:hAnsi="IRNazanin" w:eastAsia="IRNazanin"/>
          <w:color w:val="111111"/>
          <w:sz w:val="28"/>
          <w:sz w:val="28"/>
          <w:szCs w:val="28"/>
          <w:rtl w:val="true"/>
          <w:lang w:bidi="fa-IR"/>
        </w:rPr>
        <w:t>و مخصّصاتها فی فصول اخر، فمحیط التقنین و التشریع غیر محیط الکتب العلمیّة و المحاورات العرفیة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فیلسوفاً أو اصولیّاً لو ادعی قاعدة کلّیة فی فصل، ثمّ ادعی خلافها فی بعض الموارد،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ینبّه علی انتقاضها فی بعض الموارد، و لکن العرف و العقلاء لا یرون تناقضاً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محیط التقنین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العامّ و الخاصّ، و المطلق و المقیّد، مع ضروریّة التناقض بین الإیجاب الکلّی و السلب الجزئی، و کذا العکس، لکن لمّا شاع و تعارف فی وعاء التقنین و محیط التشریع ذلک، لا یعدّونه تناقضاً</w:t>
      </w:r>
      <w:r>
        <w:rPr>
          <w:rFonts w:eastAsia="IRNazanin" w:cs="IRNazanin"/>
          <w:color w:val="111111"/>
          <w:sz w:val="28"/>
          <w:szCs w:val="28"/>
          <w:rtl w:val="true"/>
          <w:lang w:bidi="fa-IR"/>
        </w:rPr>
        <w:t>.</w:t>
      </w:r>
    </w:p>
    <w:p>
      <w:pPr>
        <w:pStyle w:val="Heading4"/>
        <w:numPr>
          <w:ilvl w:val="3"/>
          <w:numId w:val="1"/>
        </w:numPr>
        <w:rPr/>
      </w:pPr>
      <w:bookmarkStart w:id="68" w:name="__RefHeading___Toc2705005_3804643083"/>
      <w:bookmarkStart w:id="69" w:name="_Toc27"/>
      <w:bookmarkEnd w:id="68"/>
      <w:r>
        <w:rPr>
          <w:rtl w:val="true"/>
        </w:rPr>
        <w:t>لزوم فرض التعارض فی محیط التشریع</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فی تشخیص الخبرین المتعارضین و الحدیثین المختلفین، من فرض الکلام فی محیط التشریع و التقنین، و فی کلام متکلّم صارت عادته إلقاء الکلّیات و الاصول، و بیانَ المخصّصات و الشرائط و الأجزاء و المقیّدات و القرائن منفصلةً، فهذا القرآن الکریم یقول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مع أنّ فیه العموم و الخصوص، و المطلق و المقیّد،</w:t>
      </w:r>
    </w:p>
    <w:p>
      <w:pPr>
        <w:pStyle w:val="BookText"/>
        <w:rPr/>
      </w:pPr>
      <w:r>
        <w:rPr>
          <w:rFonts w:ascii="IRNazanin" w:hAnsi="IRNazanin" w:eastAsia="IRNazanin"/>
          <w:color w:val="111111"/>
          <w:sz w:val="28"/>
          <w:sz w:val="28"/>
          <w:szCs w:val="28"/>
          <w:rtl w:val="true"/>
          <w:lang w:bidi="fa-IR"/>
        </w:rPr>
        <w:t>و لم یستشکل أحد بوقوع الاختلاف فیه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تعالی فی الکتاب الکریم، و الرسولِ الصادع بالقانون الإلهیّ، و أئمّةِ الهدی مع عدم کونهم مشرّعین، لمّا جرت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المشاهد فی الکتاب و السنّة؛ لمصالح هم أعلم بها، و لعلّ منها صیرورة الناس محتاجین إلی العلماء و الفقهاء، و فیه بقاء الدین، و رواج الشریعة، و تقویة الإسلام،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یکون تشخیص الخبرین المتعارضین و المختلفین، مع عطف النظر إلی هذه السنّة و تلک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فالتعارض بناءً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تنافی مدلولی دلیلین أو أکثر عرفاً فی محیط التقنین؛ ممّا لم یکن للعرف إلی الجمع بینهما طریق عقلائیّ مقبول، و صار العرف متحیّراً فی العمل، فالأدلّة الدالّة علی الأحکام الواقعیّة، غیر معارضة للأدلّة الدالّة علی حکم الشکّ؛ لأنّ للعرف فیها طریقاً إلی الجمع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یتعارض الحاکم المحکوم، و قد ذکرنا ضابط الحکومة فی البراءة</w:t>
      </w:r>
      <w:r>
        <w:rPr>
          <w:rStyle w:val="FootnoteAnchor"/>
          <w:rtl w:val="true"/>
        </w:rPr>
        <w:footnoteReference w:id="7"/>
      </w:r>
      <w:r>
        <w:rPr>
          <w:rFonts w:ascii="IRNazanin" w:hAnsi="IRNazanin" w:eastAsia="IRNazanin"/>
          <w:color w:val="111111"/>
          <w:sz w:val="28"/>
          <w:sz w:val="28"/>
          <w:szCs w:val="28"/>
          <w:rtl w:val="true"/>
          <w:lang w:bidi="fa-IR"/>
        </w:rPr>
        <w:t>و الاستصحاب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تعارض عرفاً بین العامّ و الخاصّ، سواءً کانا قطعیّی السند، أو کان أحدهما قطعیّاً، و سواءً کان الخاصّ قطعیّ الدلالة، أو ظنّیها؛ لأنّ العرف لا یری انسلاکهما فی الخبرین المتعارضین و الحدیثین المختلفین</w:t>
      </w:r>
      <w:r>
        <w:rPr>
          <w:rFonts w:eastAsia="IRNazanin" w:cs="IRNazanin"/>
          <w:color w:val="111111"/>
          <w:sz w:val="28"/>
          <w:szCs w:val="28"/>
          <w:rtl w:val="true"/>
          <w:lang w:bidi="fa-IR"/>
        </w:rPr>
        <w:t>.</w:t>
      </w:r>
      <w:bookmarkStart w:id="70" w:name="pg2353_14604"/>
    </w:p>
    <w:p>
      <w:pPr>
        <w:pStyle w:val="Heading4"/>
        <w:numPr>
          <w:ilvl w:val="3"/>
          <w:numId w:val="1"/>
        </w:numPr>
        <w:rPr/>
      </w:pPr>
      <w:bookmarkStart w:id="71" w:name="__RefHeading___Toc2705007_3804643083"/>
      <w:bookmarkStart w:id="72" w:name="_Toc28"/>
      <w:bookmarkEnd w:id="70"/>
      <w:bookmarkEnd w:id="71"/>
      <w:r>
        <w:rPr>
          <w:rtl w:val="true"/>
        </w:rPr>
        <w:t>سرّ عدم التعارض بین العامّ و الخاصّ</w:t>
      </w:r>
      <w:bookmarkEnd w:id="72"/>
    </w:p>
    <w:p>
      <w:pPr>
        <w:pStyle w:val="BookText"/>
        <w:rPr/>
      </w:pPr>
      <w:r>
        <w:rPr>
          <w:rFonts w:ascii="IRNazanin" w:hAnsi="IRNazanin" w:eastAsia="IRNazanin"/>
          <w:color w:val="111111"/>
          <w:sz w:val="28"/>
          <w:sz w:val="28"/>
          <w:szCs w:val="28"/>
          <w:rtl w:val="true"/>
          <w:lang w:bidi="fa-IR"/>
        </w:rPr>
        <w:t>و السرّ فی تقدیم الخاصّ علی العامّ ما أشرنا إلیه؛ من أنّ التعارف و التداول فی محیط التقنین و الأخبار الصادرة عن أئمّة أهل البیت علیهم السلام لمّا کان بیانَ الاصول و القوانین الکلّیة منفصلة عن مخصّصاتها، لا یری العرف تعارضاً بینهما، و یکون الجمع بینهما عرفیّاً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الجدّ فی العامّ صارت ضعیفة فی العمومات الصادرة عن المقنّنین؛ بحیث لا تقاوم أصالة الجدّ فی الخاصّ، فهی تتقدّم علیها؛ لقوّتها و ضعف مقابلتها، للتعارف المشار إلیه، هذا فی الظاهرین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الخاصّ قطعیّ الدلالة و ظنّی السند، فتقدیمه علیه أیضاً لعدم التخالف بینهما فی مقام الجمع و الدلالة، و مع عدم تخالفهما لا یکون السند الظنّی معارضاً للظاهر الظنّی، حتّی یتشبّث بما أفاده العلّامة الأنصاریّ قدس سره</w:t>
      </w:r>
      <w:r>
        <w:rPr>
          <w:rStyle w:val="FootnoteAnchor"/>
          <w:rtl w:val="true"/>
        </w:rPr>
        <w:footnoteReference w:id="9"/>
      </w:r>
      <w:r>
        <w:rPr>
          <w:rFonts w:ascii="Amiri" w:hAnsi="Amiri" w:eastAsia="Amiri" w:cs="Amiri"/>
          <w:color w:val="111111"/>
          <w:sz w:val="28"/>
          <w:sz w:val="28"/>
          <w:szCs w:val="28"/>
          <w:rtl w:val="true"/>
          <w:lang w:bidi="ar-SA"/>
        </w:rPr>
        <w:t>ممّا هو بعید</w:t>
      </w:r>
      <w:bookmarkStart w:id="73" w:name="pg2353_14605"/>
    </w:p>
    <w:p>
      <w:pPr>
        <w:pStyle w:val="BookText"/>
        <w:rPr/>
      </w:pPr>
      <w:bookmarkEnd w:id="73"/>
      <w:r>
        <w:rPr>
          <w:rFonts w:ascii="IRNazanin" w:hAnsi="IRNazanin" w:eastAsia="IRNazanin"/>
          <w:color w:val="111111"/>
          <w:sz w:val="28"/>
          <w:sz w:val="28"/>
          <w:szCs w:val="28"/>
          <w:rtl w:val="true"/>
          <w:lang w:bidi="fa-IR"/>
        </w:rPr>
        <w:t>عن الأفهام، و غیر صحیح فی نفسه، کما سنشیر إلیه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العرف بین الخاصّ و العامّ تعارضاً؛ لا فی الظنّیین، و لا فی الخاصّ القطعیّ الدلالة و الظنّی السند و العامّ، فإذا لم یکن بینهما تعارض، فلا ترفع الید عن السند الظنّی الحجّة؛ لکونه بلا وجه کما لا یخفی، هذا کلّه فی غیر الخاصّ القطعیّ دلالةً و جهةً و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فیه، فالتقدّم یکون بالتخصّص؛ لأنّ بناء العقلاء علی العمل بالأُصول فی غیر مورد العلم بالخلاف</w:t>
      </w:r>
      <w:r>
        <w:rPr>
          <w:rFonts w:eastAsia="IRNazanin" w:cs="IRNazanin"/>
          <w:color w:val="111111"/>
          <w:sz w:val="28"/>
          <w:szCs w:val="28"/>
          <w:rtl w:val="true"/>
          <w:lang w:bidi="fa-IR"/>
        </w:rPr>
        <w:t>.</w:t>
      </w:r>
    </w:p>
    <w:p>
      <w:pPr>
        <w:pStyle w:val="Heading4"/>
        <w:numPr>
          <w:ilvl w:val="3"/>
          <w:numId w:val="1"/>
        </w:numPr>
        <w:rPr/>
      </w:pPr>
      <w:bookmarkStart w:id="74" w:name="__RefHeading___Toc2705009_3804643083"/>
      <w:bookmarkStart w:id="75" w:name="_Toc29"/>
      <w:bookmarkEnd w:id="74"/>
      <w:r>
        <w:rPr>
          <w:rtl w:val="true"/>
        </w:rPr>
        <w:t>کلام المحقّقین فی وجه تقدیم الخاصّ علی العامّ</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کلام المحقّقین مختلف فی وجه تقدیم الخاصّ علی العامّ، فالشیخ الأنصاریّ فصّل بین الموارد،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إذا کان علمیّاً سنداً و دلالة یکون وارداً علی العامّ، و إن کان ظنّیاً بحسب الدلالة یکون مع العامّ من قبیل تعارض</w:t>
      </w:r>
    </w:p>
    <w:p>
      <w:pPr>
        <w:pStyle w:val="BookText"/>
        <w:rPr/>
      </w:pPr>
      <w:r>
        <w:rPr>
          <w:rFonts w:ascii="IRNazanin" w:hAnsi="IRNazanin" w:eastAsia="IRNazanin"/>
          <w:color w:val="111111"/>
          <w:sz w:val="28"/>
          <w:sz w:val="28"/>
          <w:szCs w:val="28"/>
          <w:rtl w:val="true"/>
          <w:lang w:bidi="fa-IR"/>
        </w:rPr>
        <w:t>الظاهرین، فربّما یقدّم العامّ و إن کان قطعیّ الدلالة ظنّی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أصالة الظهور إنّما هو من حیث أصالة عدم القرینة، یکون دلیل اعتبار السند حاکماً علی أصالة الظهور، و احتمل الورود و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اعتبارها من جهة الظنّ النوعیّ الحاصل من الغلبة أو غیرها، فالظاهر أنّ النصّ وارد علیه مطلقاً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المحقّق الخراسانیّ فی تعلیقته إلی الورود مطلقاً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أعاظم العصر إلی الحکومة فی غیر القطعیّ سنداً و دلالة مطلقاً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شیخنا الاستاذ أعلی اللَّه مقامه، إلی أنّ التعبّد بالسند مقدّم؛ لتقدّمه الرتبی</w:t>
      </w:r>
      <w:r>
        <w:rPr>
          <w:rStyle w:val="FootnoteAnchor"/>
          <w:rtl w:val="true"/>
        </w:rPr>
        <w:footnoteReference w:id="14"/>
      </w:r>
      <w:r>
        <w:rPr>
          <w:rFonts w:ascii="Amiri" w:hAnsi="Amiri" w:eastAsia="Amiri" w:cs="Amiri"/>
          <w:color w:val="111111"/>
          <w:sz w:val="28"/>
          <w:sz w:val="28"/>
          <w:szCs w:val="28"/>
          <w:rtl w:val="true"/>
          <w:lang w:bidi="ar-SA"/>
        </w:rPr>
        <w:t>کما أفاد فی الشکّ السببیّ و المسبّبیّ من التقدّم الطبعیّ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76" w:name="pg2353_14608"/>
    </w:p>
    <w:p>
      <w:pPr>
        <w:pStyle w:val="Heading4"/>
        <w:numPr>
          <w:ilvl w:val="3"/>
          <w:numId w:val="1"/>
        </w:numPr>
        <w:rPr/>
      </w:pPr>
      <w:bookmarkStart w:id="77" w:name="__RefHeading___Toc2705011_3804643083"/>
      <w:bookmarkStart w:id="78" w:name="_Toc30"/>
      <w:bookmarkEnd w:id="76"/>
      <w:bookmarkEnd w:id="77"/>
      <w:r>
        <w:rPr>
          <w:rtl w:val="true"/>
        </w:rPr>
        <w:t>الإشکال علی الشیخ الأعظم قدس سره</w:t>
      </w:r>
      <w:bookmarkEnd w:id="78"/>
    </w:p>
    <w:p>
      <w:pPr>
        <w:pStyle w:val="BookText"/>
        <w:rPr/>
      </w:pPr>
      <w:r>
        <w:rPr>
          <w:rFonts w:ascii="IRNazanin" w:hAnsi="IRNazanin" w:eastAsia="IRNazanin"/>
          <w:color w:val="111111"/>
          <w:sz w:val="28"/>
          <w:sz w:val="28"/>
          <w:szCs w:val="28"/>
          <w:rtl w:val="true"/>
          <w:lang w:bidi="fa-IR"/>
        </w:rPr>
        <w:t>و الأولی التعرّض لبعض ما أفاده الشیخ الأعظم،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قضیّة ورود قطعیّ السند و الدلالة علی أصالة الظهور فلا تصحّ؛ لأنّ الورود عبارة عن إخراج فرد حقیقة عن تحت کلّی، بواسطة إعمال التعبّد أو الحکم العقلائیّ لو فرض تحقّقه، و أمّا إذا کان حکم العقل أو بناء العقلاء علی موضوعین، فلا یکون من الورود، بل یکون من قبیل التخصّص، و ما نحن فیه کذلک؛ لأنّ بناء العقلاء علی العمل بالظواهر إنّما هو فی غیر مورد العلم بالخلاف، فمورده خارج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دلیل اعتبار السند علی أصالة الظهور، إذا کان مستندها أصالة عدم القرینة، و وروده علیها إذا کان المستند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هو العکس؛ لأنّ مستند أصالة الظهور إذا کان أصالة عدم القرینة، یکون بناء العقلاء معلّقاً علی عدم القرینة، فإذا احرزت القرینة و لو بالأصل، تتحقّق غایة بنائهم، و الخاصّ قرینة، فتقدّمه یکون بالورود، لا الحکومة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المستند هو الغلبة فلا یکون بناؤهم معلّقاً، بل یکون لأجل نفس الظهور و الظنّ النوعیّ، فتقدّم ظنّ معتبر آخر علیه لا یکون من الورود قطعاً، فیمکن أن یکون من باب الحکومة علی مبناه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الحکومة مطلقاً، أمّا علی ما فسّرها</w:t>
      </w:r>
      <w:r>
        <w:rPr>
          <w:rStyle w:val="FootnoteAnchor"/>
          <w:rtl w:val="true"/>
        </w:rPr>
        <w:footnoteReference w:id="16"/>
      </w:r>
      <w:r>
        <w:rPr>
          <w:rFonts w:ascii="IRNazanin" w:hAnsi="IRNazanin" w:eastAsia="IRNazanin"/>
          <w:color w:val="111111"/>
          <w:sz w:val="28"/>
          <w:sz w:val="28"/>
          <w:szCs w:val="28"/>
          <w:rtl w:val="true"/>
          <w:lang w:bidi="fa-IR"/>
        </w:rPr>
        <w:t>فواضح؛ لأنّ بناء العقلاء علی الأخذ بالسند لا یکون مفسّراً للظاهر و شارحاً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التحقیق فی باب الحکومة کما عرفت فی الاستصحاب</w:t>
      </w:r>
      <w:r>
        <w:rPr>
          <w:rStyle w:val="FootnoteAnchor"/>
          <w:rtl w:val="true"/>
        </w:rPr>
        <w:footnoteReference w:id="17"/>
      </w:r>
      <w:r>
        <w:rPr>
          <w:rFonts w:ascii="IRNazanin" w:hAnsi="IRNazanin" w:eastAsia="IRNazanin"/>
          <w:color w:val="111111"/>
          <w:sz w:val="28"/>
          <w:sz w:val="28"/>
          <w:szCs w:val="28"/>
          <w:rtl w:val="true"/>
          <w:lang w:bidi="fa-IR"/>
        </w:rPr>
        <w:t>، فلأنّ أحد الدلیلین لا یتعرّض لما لا یتعرّضه الآخر، فدلیل اعتبار السند إن کان بناء العقلاء مع عدم الردع أو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البناء کالبناء علی العمل بالظواهر، فلا معنی لحکومة أحدهما علی الآخر بوجه و بأیّ تفسیر فسّرت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الدلیل اللفظیّ، فهو و إن کان خلاف المفروض؛ لأنّ الکلام فی الاصول اللفظیة و بناء العقلاء، لا فی الأدلّة اللفظیة، لکن لا حکومة لمثل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و ابنه ثقتان، فما أدّیا إلیک عنّی فعنّی یؤدّیان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ascii="IRNazanin" w:hAnsi="IRNazanin" w:eastAsia="IRNazanin"/>
          <w:color w:val="111111"/>
          <w:sz w:val="28"/>
          <w:sz w:val="28"/>
          <w:szCs w:val="28"/>
          <w:rtl w:val="true"/>
          <w:lang w:bidi="fa-IR"/>
        </w:rPr>
        <w:t>علی أصالة الظهور، لعدم</w:t>
      </w:r>
      <w:bookmarkStart w:id="79" w:name="pg2353_14610"/>
    </w:p>
    <w:p>
      <w:pPr>
        <w:pStyle w:val="BookText"/>
        <w:rPr/>
      </w:pPr>
      <w:bookmarkEnd w:id="79"/>
      <w:r>
        <w:rPr>
          <w:rFonts w:ascii="IRNazanin" w:hAnsi="IRNazanin" w:eastAsia="IRNazanin"/>
          <w:color w:val="111111"/>
          <w:sz w:val="28"/>
          <w:sz w:val="28"/>
          <w:szCs w:val="28"/>
          <w:rtl w:val="true"/>
          <w:lang w:bidi="fa-IR"/>
        </w:rPr>
        <w:t>تعرّضه له، و لا یرفع موضوعه تعبّداً، فکما أنّ دلیل اعتبار السند یجعل احتمال مخالفته بمنزلة العدم، کذلک دلیل اعتبار الظهور أیضاً،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قبیل الأصل، و دلیلَ اعتبار السند من قبیل الدلیل، فیقدّم علیه</w:t>
      </w:r>
      <w:r>
        <w:rPr>
          <w:rStyle w:val="FootnoteAnchor"/>
          <w:rtl w:val="true"/>
        </w:rPr>
        <w:footnoteReference w:id="19"/>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بالمفهوم فی آیة النبأ</w:t>
      </w:r>
      <w:r>
        <w:rPr>
          <w:rStyle w:val="FootnoteAnchor"/>
          <w:rtl w:val="true"/>
        </w:rPr>
        <w:footnoteReference w:id="20"/>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مفهومها عرفاً أنّ خبر العادل بیّن لا یحتاج إلی التبیّن، لکان لذلک وجه، لکنّه من قبیل احتمال فی احتمال، و بالجملة لا أری للحکومة وجهاً</w:t>
      </w:r>
      <w:r>
        <w:rPr>
          <w:rFonts w:eastAsia="IRNazanin" w:cs="IRNazanin"/>
          <w:color w:val="111111"/>
          <w:sz w:val="28"/>
          <w:szCs w:val="28"/>
          <w:rtl w:val="true"/>
          <w:lang w:bidi="fa-IR"/>
        </w:rPr>
        <w:t>.</w:t>
      </w:r>
    </w:p>
    <w:p>
      <w:pPr>
        <w:pStyle w:val="Heading4"/>
        <w:numPr>
          <w:ilvl w:val="3"/>
          <w:numId w:val="1"/>
        </w:numPr>
        <w:rPr/>
      </w:pPr>
      <w:bookmarkStart w:id="80" w:name="__RefHeading___Toc2705013_3804643083"/>
      <w:bookmarkStart w:id="81" w:name="_Toc31"/>
      <w:bookmarkEnd w:id="80"/>
      <w:r>
        <w:rPr>
          <w:rtl w:val="true"/>
        </w:rPr>
        <w:t>کلام مع بعض أعاظم العصر قدس سره</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الخاصّ بمنزلة القرینة علی التصرّف فی العامّ، و لا ینبغی الشکّ فی حکومة أصالة الظهور فی القرینة، علی أصالة الظهور فی</w:t>
      </w:r>
    </w:p>
    <w:p>
      <w:pPr>
        <w:pStyle w:val="BookText"/>
        <w:rPr/>
      </w:pPr>
      <w:r>
        <w:rPr>
          <w:rFonts w:ascii="IRNazanin" w:hAnsi="IRNazanin" w:eastAsia="IRNazanin"/>
          <w:color w:val="111111"/>
          <w:sz w:val="28"/>
          <w:sz w:val="28"/>
          <w:szCs w:val="28"/>
          <w:rtl w:val="true"/>
          <w:lang w:bidi="fa-IR"/>
        </w:rPr>
        <w:t xml:space="preserve">ذیها و لو کان ظهور القرینة أضعفَ منه، کما یظهر ذلک من قیاس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رمی النبل،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المفترس؛ فإنّه لا إشکال فی کون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المفترس، أقوی من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رمی النبل؛ لأنّه بالوضع، و ذلک بالإطلاق، مع أنّه لم یتأمّل أحد فی حکومة أصالة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أصالة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ذلک إلّا لأجل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التصرّف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الخاصّ إلی العامّ کنسبة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للتوقّف فی تقدیم ظهور الخاصّ فی التخصیص علی ظهور العامّ فی العموم</w:t>
      </w:r>
      <w:r>
        <w:rPr>
          <w:rStyle w:val="FootnoteAnchor"/>
          <w:rtl w:val="true"/>
        </w:rPr>
        <w:footnoteReference w:id="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دعاویه الغریبة المختصّة به رحمه الله؛ ضرورة أنّ صیرورة شی‌ء قرینةً علی صرف ظهور شی‌ء، لا یمکن إلّا بقوّة الظهور، أو بما أشرنا إلیه آنفاً</w:t>
      </w:r>
      <w:r>
        <w:rPr>
          <w:rStyle w:val="FootnoteAnchor"/>
          <w:rtl w:val="true"/>
        </w:rPr>
        <w:footnoteReference w:id="22"/>
      </w:r>
      <w:r>
        <w:rPr>
          <w:rFonts w:ascii="IRNazanin" w:hAnsi="IRNazanin" w:eastAsia="IRNazanin"/>
          <w:color w:val="111111"/>
          <w:sz w:val="28"/>
          <w:sz w:val="28"/>
          <w:szCs w:val="28"/>
          <w:rtl w:val="true"/>
          <w:lang w:bidi="fa-IR"/>
        </w:rPr>
        <w:t>و سنشیر إلیه</w:t>
      </w:r>
      <w:r>
        <w:rPr>
          <w:rStyle w:val="FootnoteAnchor"/>
          <w:rtl w:val="true"/>
        </w:rPr>
        <w:footnoteReference w:id="23"/>
      </w:r>
      <w:r>
        <w:rPr>
          <w:rFonts w:ascii="IRNazanin" w:hAnsi="IRNazanin" w:eastAsia="IRNazanin"/>
          <w:color w:val="111111"/>
          <w:sz w:val="28"/>
          <w:sz w:val="28"/>
          <w:szCs w:val="28"/>
          <w:rtl w:val="true"/>
          <w:lang w:bidi="fa-IR"/>
        </w:rPr>
        <w:t>، أو النظر الحکومتیّ کما قد یتّفق،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المثال الذی صارت بواسطة تکرّره فی الکتب الأدبیّة</w:t>
      </w:r>
      <w:r>
        <w:rPr>
          <w:rStyle w:val="FootnoteAnchor"/>
          <w:rtl w:val="true"/>
        </w:rPr>
        <w:footnoteReference w:id="24"/>
      </w:r>
      <w:r>
        <w:rPr>
          <w:rFonts w:ascii="IRNazanin" w:hAnsi="IRNazanin" w:eastAsia="IRNazanin"/>
          <w:color w:val="111111"/>
          <w:sz w:val="28"/>
          <w:sz w:val="28"/>
          <w:szCs w:val="28"/>
          <w:rtl w:val="true"/>
          <w:lang w:bidi="fa-IR"/>
        </w:rPr>
        <w:t>و غیرها</w:t>
      </w:r>
      <w:r>
        <w:rPr>
          <w:rStyle w:val="FootnoteAnchor"/>
          <w:rtl w:val="true"/>
        </w:rPr>
        <w:footnoteReference w:id="25"/>
      </w:r>
      <w:r>
        <w:rPr>
          <w:rFonts w:ascii="IRNazanin" w:hAnsi="IRNazanin" w:eastAsia="IRNazanin"/>
          <w:color w:val="111111"/>
          <w:sz w:val="28"/>
          <w:sz w:val="28"/>
          <w:szCs w:val="28"/>
          <w:rtl w:val="true"/>
          <w:lang w:bidi="fa-IR"/>
        </w:rPr>
        <w:t xml:space="preserve">و الاستشهاد به مراراً، قرینیّة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القرینة لها خصوصیّة، بها تکون حاکمة علی ذیها</w:t>
      </w:r>
      <w:r>
        <w:rPr>
          <w:rStyle w:val="FootnoteAnchor"/>
          <w:rtl w:val="true"/>
        </w:rPr>
        <w:footnoteReference w:id="26"/>
      </w:r>
      <w:r>
        <w:rPr>
          <w:rFonts w:ascii="IRNazanin" w:hAnsi="IRNazanin" w:eastAsia="IRNazanin"/>
          <w:color w:val="111111"/>
          <w:sz w:val="28"/>
          <w:sz w:val="28"/>
          <w:szCs w:val="28"/>
          <w:rtl w:val="true"/>
          <w:lang w:bidi="fa-IR"/>
        </w:rPr>
        <w:t xml:space="preserve">ممّا لا ینبغی أن یصغی إلیه؛ لأنّ کون هذه الکلمة قرینة علی هذه أو بالعکس، أوّل الکلام، فأیّ ترجیح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بها یصرف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ظهوره لو لا الأظهریة، فإذا ألقی المتکلّم کلاماً إلی السامع، فبأیّ شی‌ء یمیّز القرینة عن ذیها، و یرجّح أحدهما علی الآخر، لصرفه عن معناه الأصلیّ الحقیقیّ إلی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أوّلًا أنّ المتکلّم جعل الکلمة الفلانیّة قرینة علی صرف صاحبها، لم یحتج إلی التشبّث بالظهور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أصالة الظهور فی القرینة حاکمة علی ذیها إلّا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فأیّ دلیل علی أنّ التخصیص بمنزلة القرینة، و هل هذا إلّا دعوی خالیة عن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تقدیم العرف الخاصّ علی العامّ إذا صدر من متکلّم فی مجلس واحد، لا یدلّ علی الحکومة، فإنّ تقدیمه علیه معلوم، لکنّ الکلام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مع وضوح فساده فی الدعویین، لا یخلو من دور أو شبهه، فتدبّر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الشیخ الأعظم دلیلًا علی حکومة النصّ الظنّی السند علی</w:t>
      </w:r>
      <w:bookmarkStart w:id="82" w:name="pg2353_14613"/>
    </w:p>
    <w:p>
      <w:pPr>
        <w:pStyle w:val="BookText"/>
        <w:rPr/>
      </w:pPr>
      <w:bookmarkEnd w:id="82"/>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لم نجد و لا نجد من أنفسنا مورداً، یقدّم فیه العامّ من حیث هو علی الخاصّ و إن فرض کونه أضعف الظنون المعتبرة</w:t>
      </w:r>
      <w:r>
        <w:rPr>
          <w:rStyle w:val="FootnoteAnchor"/>
          <w:rtl w:val="true"/>
        </w:rPr>
        <w:footnoteReference w:id="27"/>
      </w:r>
      <w:r>
        <w:rPr>
          <w:rFonts w:ascii="IRNazanin" w:hAnsi="IRNazanin" w:eastAsia="IRNazanin"/>
          <w:color w:val="111111"/>
          <w:sz w:val="28"/>
          <w:sz w:val="28"/>
          <w:szCs w:val="28"/>
          <w:rtl w:val="true"/>
          <w:lang w:bidi="fa-IR"/>
        </w:rPr>
        <w:t>، فهو جارٍ بعینه فیما إذا کان الخاصّ ظاهراً کالعامّ؛ فإنّا لم نجد مورداً یقدّم العامّ علی الخاصّ لأظهریّته منه، مع أنّ غالب موارد العام و الخاصّ من قبیل الظاهرین، لا النصّ و الظاهر، مع اعترافه بأنّ تعارض الخاصّ الظاهر مع العامّ من قبیل تعارض الظاهرین</w:t>
      </w:r>
      <w:r>
        <w:rPr>
          <w:rStyle w:val="FootnoteAnchor"/>
          <w:rtl w:val="true"/>
        </w:rPr>
        <w:footnoteReference w:id="28"/>
      </w:r>
      <w:r>
        <w:rPr>
          <w:rFonts w:ascii="IRNazanin" w:hAnsi="IRNazanin" w:eastAsia="IRNazanin"/>
          <w:color w:val="111111"/>
          <w:sz w:val="28"/>
          <w:sz w:val="28"/>
          <w:szCs w:val="28"/>
          <w:rtl w:val="true"/>
          <w:lang w:bidi="fa-IR"/>
        </w:rPr>
        <w:t>، فمن ذلک یعلم أنّ تقدیم الخاصّ لیس من باب الحکومة مطلقاً</w:t>
      </w:r>
      <w:r>
        <w:rPr>
          <w:rFonts w:eastAsia="IRNazanin" w:cs="IRNazanin"/>
          <w:color w:val="111111"/>
          <w:sz w:val="28"/>
          <w:szCs w:val="28"/>
          <w:rtl w:val="true"/>
          <w:lang w:bidi="fa-IR"/>
        </w:rPr>
        <w:t>.</w:t>
      </w:r>
    </w:p>
    <w:p>
      <w:pPr>
        <w:pStyle w:val="Heading4"/>
        <w:numPr>
          <w:ilvl w:val="3"/>
          <w:numId w:val="1"/>
        </w:numPr>
        <w:rPr/>
      </w:pPr>
      <w:bookmarkStart w:id="83" w:name="__RefHeading___Toc2705015_3804643083"/>
      <w:bookmarkStart w:id="84" w:name="_Toc32"/>
      <w:bookmarkEnd w:id="83"/>
      <w:r>
        <w:rPr>
          <w:rtl w:val="true"/>
        </w:rPr>
        <w:t>کلام مع شیخنا العلّامة أعلی اللَّه مقامه</w:t>
      </w:r>
      <w:bookmarkEnd w:id="84"/>
    </w:p>
    <w:p>
      <w:pPr>
        <w:pStyle w:val="BookText"/>
        <w:rPr/>
      </w:pPr>
      <w:r>
        <w:rPr>
          <w:rFonts w:ascii="IRNazanin" w:hAnsi="IRNazanin" w:eastAsia="IRNazanin"/>
          <w:color w:val="111111"/>
          <w:sz w:val="28"/>
          <w:sz w:val="28"/>
          <w:szCs w:val="28"/>
          <w:rtl w:val="true"/>
          <w:lang w:bidi="fa-IR"/>
        </w:rPr>
        <w:t>و أمّا التقدّم الرتبیّ الذی أفاده شیخنا العلّامة</w:t>
      </w:r>
      <w:r>
        <w:rPr>
          <w:rStyle w:val="FootnoteAnchor"/>
          <w:rtl w:val="true"/>
        </w:rPr>
        <w:footnoteReference w:id="29"/>
      </w:r>
      <w:r>
        <w:rPr>
          <w:rFonts w:ascii="IRNazanin" w:hAnsi="IRNazanin" w:eastAsia="IRNazanin"/>
          <w:color w:val="111111"/>
          <w:sz w:val="28"/>
          <w:sz w:val="28"/>
          <w:szCs w:val="28"/>
          <w:rtl w:val="true"/>
          <w:lang w:bidi="fa-IR"/>
        </w:rPr>
        <w:t>و الظاهر رجوعه عنه فی بحثه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اعتبار السند، لیس مقدّماً رتبة علی دلیل اعتبار الظهور و لو فی روایة واحدة، و کذا موضوعهما؛ لعدم ملاک التقدّم الرتبیّ فی السند کما لا یخفی</w:t>
      </w:r>
      <w:r>
        <w:rPr>
          <w:rFonts w:eastAsia="IRNazanin" w:cs="IRNazanin"/>
          <w:color w:val="111111"/>
          <w:sz w:val="28"/>
          <w:szCs w:val="28"/>
          <w:rtl w:val="true"/>
          <w:lang w:bidi="fa-IR"/>
        </w:rPr>
        <w:t>.</w:t>
      </w:r>
      <w:bookmarkStart w:id="85" w:name="pg2353_14614"/>
    </w:p>
    <w:p>
      <w:pPr>
        <w:pStyle w:val="BookText"/>
        <w:rPr/>
      </w:pPr>
      <w:bookmarkEnd w:id="85"/>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فی الروایة الواحدة، فهو ممنوع بالنسبة إلی روایتین، فأیّ وجه للتقدّم الرتبیّ لدلیل اعتبار سند روایة أو نفس سندها، علی دلیل اعتبار ظهور روایة اخری أو نفسه، مع فقدان مناط التقدّم حتّی فی الروایة الواحدة، فضلًا عن روایتین؟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ذلک، لکن مجرّد التقدّم الرتبیّ، لیس موجباً للتقدّم، کما ذکرنا فی الأصل السببیّ و المسبّبی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2705017_3804643083"/>
      <w:bookmarkStart w:id="87" w:name="_Toc33"/>
      <w:bookmarkEnd w:id="86"/>
      <w:r>
        <w:rPr>
          <w:rtl w:val="true"/>
        </w:rPr>
        <w:t>کلام مع المحقّق الخراسانی قدس سره</w:t>
      </w:r>
      <w:bookmarkEnd w:id="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أفاده المحقّق الخراسانیّ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هو أظهریّة الخاصّ فی مفاده من العامّ، أو کون الخاصّ نصّاً و العامّ ظاهراً</w:t>
      </w:r>
      <w:r>
        <w:rPr>
          <w:rStyle w:val="FootnoteAnchor"/>
          <w:rtl w:val="true"/>
        </w:rPr>
        <w:footnoteReference w:id="32"/>
      </w:r>
      <w:r>
        <w:rPr>
          <w:rFonts w:ascii="IRNazanin" w:hAnsi="IRNazanin" w:eastAsia="IRNazanin"/>
          <w:color w:val="111111"/>
          <w:sz w:val="28"/>
          <w:sz w:val="28"/>
          <w:szCs w:val="28"/>
          <w:rtl w:val="true"/>
          <w:lang w:bidi="fa-IR"/>
        </w:rPr>
        <w:t>فهو فی النصّ کذلک، لکن کون الخاصّ الظاهر أظهر من العامّ ممنوع؛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أهن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أظهر فی مفاده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هیئة الأمر و مادّته فی کلّ منهما سواء،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منهما بمعنی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منهما مفاده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المتلبّس بالفسق، کدلالة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المتلبّس بالعلم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لو بدّل قوله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الأمر، و یقدّم الخاصّ علی العامّ أیضاً، و لیس لهیئة الکلام ظهور آخر حتّی تدّعی أظهریّة الخاصّ، و لو سلّم لا یکون أظهر،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التصادم بین العامّ و الخاصّ لیس فی مقام الظهور، إن کان المراد منه دلالة الألفاظ علی معانیها اللّغویة أو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التصادم بینهما فی الإرادة الاستعمالیة؛ لأنّ العامّ المخصّص لیس بمجاز علی ما هو المحقّق عندهم</w:t>
      </w:r>
      <w:r>
        <w:rPr>
          <w:rStyle w:val="FootnoteAnchor"/>
          <w:rtl w:val="true"/>
        </w:rPr>
        <w:footnoteReference w:id="33"/>
      </w:r>
      <w:r>
        <w:rPr>
          <w:rFonts w:ascii="IRNazanin" w:hAnsi="IRNazanin" w:eastAsia="IRNazanin"/>
          <w:color w:val="111111"/>
          <w:sz w:val="28"/>
          <w:sz w:val="28"/>
          <w:szCs w:val="28"/>
          <w:rtl w:val="true"/>
          <w:lang w:bidi="fa-IR"/>
        </w:rPr>
        <w:t>فلا یکون الخاصّ موجباً لانصراف العامّ عمّا استعمل فیه، لیکون قرینة علی مجازیّة العامّ، بل هو مستعمل بمادّته و هیئته فی معناه الحقیقیّ، و الخاصّ إنّما یوجب الکشف عن الإرادة اللبّیة، فیتصرّف فی أصالة الجدّ فی العامّ بواسطة الخاصّ، و لهذا لا ینظر العرف إلی أظهریّة الخاصّ من العامّ، بل نفس أخصّیته منه موجبة للتصرّف فیه؛ أی الکشف عن الإرادة الجدّیة فی العام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کلّ السرّ هو ما أشرنا إلیه سابقاً</w:t>
      </w:r>
      <w:r>
        <w:rPr>
          <w:rStyle w:val="FootnoteAnchor"/>
          <w:rtl w:val="true"/>
        </w:rPr>
        <w:footnoteReference w:id="34"/>
      </w:r>
      <w:r>
        <w:rPr>
          <w:rFonts w:ascii="IRNazanin" w:hAnsi="IRNazanin" w:eastAsia="IRNazanin"/>
          <w:color w:val="111111"/>
          <w:sz w:val="28"/>
          <w:sz w:val="28"/>
          <w:szCs w:val="28"/>
          <w:rtl w:val="true"/>
          <w:lang w:bidi="fa-IR"/>
        </w:rPr>
        <w:t>من أنّ تعارف إلقاء العمومات و الاصول، و ذکر المخصّصات منفصلة فی بسیط التشریع و محیط التقنین، أوجب ذلک، فصار بواسطة هذا التعارف ارتکازیّاً للعقلاء و العلماء الباحثین فی الأدلّة الفقهیّة</w:t>
      </w:r>
      <w:r>
        <w:rPr>
          <w:rFonts w:eastAsia="IRNazanin" w:cs="IRNazanin"/>
          <w:color w:val="111111"/>
          <w:sz w:val="28"/>
          <w:szCs w:val="28"/>
          <w:rtl w:val="true"/>
          <w:lang w:bidi="fa-IR"/>
        </w:rPr>
        <w:t>.</w:t>
      </w:r>
      <w:bookmarkStart w:id="88" w:name="pg2353_14616"/>
    </w:p>
    <w:p>
      <w:pPr>
        <w:pStyle w:val="Heading4"/>
        <w:numPr>
          <w:ilvl w:val="3"/>
          <w:numId w:val="1"/>
        </w:numPr>
        <w:rPr/>
      </w:pPr>
      <w:bookmarkStart w:id="89" w:name="__RefHeading___Toc2705019_3804643083"/>
      <w:bookmarkStart w:id="90" w:name="_Toc34"/>
      <w:bookmarkEnd w:id="88"/>
      <w:bookmarkEnd w:id="89"/>
      <w:r>
        <w:rPr>
          <w:rtl w:val="true"/>
        </w:rPr>
        <w:t>بیان أصالتی الحقیقة و الجدّ</w:t>
      </w:r>
      <w:bookmarkEnd w:id="90"/>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قد یقع فی أنّ المتکلّم هل أراد من اللفظ معناه المجازی؟</w:t>
      </w:r>
    </w:p>
    <w:p>
      <w:pPr>
        <w:pStyle w:val="BookText"/>
        <w:rPr/>
      </w:pP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المجازات من قبیل استعمال الألفاظ فی غیر ما وضعت له، أو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بأنّها من قبیل استعمالها فی معانیها الحقیقیّة، و إرادة المعنی المجازیّ بدعوی کونه مصداقاً للمعنی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یشکّ فی أنّه 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الحقیقیّ؛ أی کلّ ما یتلبّس بالعلم، أو الفقهاء خاصّة؛ إمّا باستعمال اللفظ الموضوع للعامّ فی بعض المصادیق لعلاقة، أو بدعوی کون الفقهاء تمام مصادیق العلماء، و تنزیل غیرهم منزلة العدم، کما هو الرأی الفصل فی مطلق المجازات</w:t>
      </w:r>
      <w:r>
        <w:rPr>
          <w:rStyle w:val="FootnoteAnchor"/>
          <w:rtl w:val="true"/>
        </w:rPr>
        <w:footnoteReference w:id="35"/>
      </w:r>
      <w:r>
        <w:rPr>
          <w:rFonts w:ascii="IRNazanin" w:hAnsi="IRNazanin" w:eastAsia="IRNazanin"/>
          <w:color w:val="111111"/>
          <w:sz w:val="28"/>
          <w:sz w:val="28"/>
          <w:szCs w:val="28"/>
          <w:rtl w:val="true"/>
          <w:lang w:bidi="fa-IR"/>
        </w:rPr>
        <w:t>و لا شکّ فی أنّ بناء العقلاء علی الحمل علی المعنی الحقیقیّ، و هذا أصل عقلائیّ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إحراز کون اللفظ مستعملًا فی معناه الحقیقیّ، و مراداً به ذلک لا الادعائیّ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إلقاء العموم إنّما هو لأجل البیان القانونیّ و إلقاء القاعدة، و لا یرید إکرام جمیعهم جدّاً، بل یرید إکرام الفقهاء مثلًا، و یأتی بالمخصّص فی</w:t>
      </w:r>
    </w:p>
    <w:p>
      <w:pPr>
        <w:pStyle w:val="BookText"/>
        <w:rPr/>
      </w:pPr>
      <w:r>
        <w:rPr>
          <w:rFonts w:ascii="IRNazanin" w:hAnsi="IRNazanin" w:eastAsia="IRNazanin"/>
          <w:color w:val="111111"/>
          <w:sz w:val="28"/>
          <w:sz w:val="28"/>
          <w:szCs w:val="28"/>
          <w:rtl w:val="true"/>
          <w:lang w:bidi="fa-IR"/>
        </w:rPr>
        <w:t>کلام مستأنف، أو یکون کلامه غیر مطابق للجدّ؛ لأجل التقیّة أو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أیضاً فی أنّ الأصل العقلائیّ، هو الحمل علی مطابقة الإرادة الاستعمالیّة للجدّیة، و هذه هی أصالة الجدّ، و هذان أصلان لدی العقلاء، بکلّ منهما تحرز حیثیّة من حیثیّات کلام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اختلفت کلماتهم فی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المحرز للمعنی الحقیقیّ، أو المحرز للإرادة الجدّیة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 بأوّلهما شیخنا العلّامة أعلی اللَّه مقامه فی باب حجّیة الظواهر</w:t>
      </w:r>
      <w:r>
        <w:rPr>
          <w:rStyle w:val="FootnoteAnchor"/>
          <w:rtl w:val="true"/>
        </w:rPr>
        <w:footnoteReference w:id="36"/>
      </w:r>
      <w:r>
        <w:rPr>
          <w:rFonts w:ascii="IRNazanin" w:hAnsi="IRNazanin" w:eastAsia="IRNazanin"/>
          <w:color w:val="111111"/>
          <w:sz w:val="28"/>
          <w:sz w:val="28"/>
          <w:szCs w:val="28"/>
          <w:rtl w:val="true"/>
          <w:lang w:bidi="fa-IR"/>
        </w:rPr>
        <w:t>و لعلّه ظاهر کلام الشیخ الأنصاریّ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بالثانی بعض أعاظم العصر</w:t>
      </w:r>
      <w:r>
        <w:rPr>
          <w:rStyle w:val="FootnoteAnchor"/>
          <w:rtl w:val="true"/>
        </w:rPr>
        <w:footnoteReference w:id="38"/>
      </w:r>
      <w:r>
        <w:rPr>
          <w:rFonts w:ascii="IRNazanin" w:hAnsi="IRNazanin" w:eastAsia="IRNazanin"/>
          <w:color w:val="111111"/>
          <w:sz w:val="28"/>
          <w:sz w:val="28"/>
          <w:szCs w:val="28"/>
          <w:rtl w:val="true"/>
          <w:lang w:bidi="fa-IR"/>
        </w:rPr>
        <w:t>، بل لعلّ ظاهره رجوع الأصلین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المقام أصلین عقلائیّین، کلّ منهما لرفع شکّ حاصل فی کلام المتکلّم، فإذا شکّ فی مجازیّته لا یعتنی به العقلاء، و هذا أصل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العلم بإرادة المعنی الحقیقیّ استعمالًا، إذا شکّ فی کون الکلام صدر جدّاً، أو لأجل تقیّة، أو إلقاءِ الکلّی القانونیّ لذکر المخصّصات بعده، یحمله العقلاء</w:t>
      </w:r>
    </w:p>
    <w:p>
      <w:pPr>
        <w:pStyle w:val="BookText"/>
        <w:rPr/>
      </w:pPr>
      <w:r>
        <w:rPr>
          <w:rFonts w:ascii="IRNazanin" w:hAnsi="IRNazanin" w:eastAsia="IRNazanin"/>
          <w:color w:val="111111"/>
          <w:sz w:val="28"/>
          <w:sz w:val="28"/>
          <w:szCs w:val="28"/>
          <w:rtl w:val="true"/>
          <w:lang w:bidi="fa-IR"/>
        </w:rPr>
        <w:t>علی الجدّ، و هذا أصل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فأصالة الحقیقة و أصالة الظهور و العموم، اصطلاحات مناسبة للأوّل، و أصالة الجدّ مناسبة للثانی، و أصالة عدم القرینة تناسبهما، و لا مشاحّة فی الاصطلاح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المعوّل علیه عند العقلاء، هو ظهور اللفظ، و أصالة الظهور أصل عقلائیّ جامع لأصالة الحقیقة و أصالةِ العموم، بل للظهور المنعقد فی الکلام بواسطة قرائن المجاز، فإذا شکّ فی أنّ المتکلّم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الرجل الشجاع الذی هو ظاهر کلامه أو غیره، یتّبع ظاهر کلامه المنعقد بواسطة القرینة، و یکون المعوّل علیه أصالة الظهور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أصالة عدم القرینة، لیست أصلًا معوّلًا علیه فی هذا الباب؛ لا لدی الشکّ فی القرینة، و لا لدی الشکّ فی المراد الجدّی، فما أفاد المحقّق الخراسانیّ فی المقام</w:t>
      </w:r>
      <w:r>
        <w:rPr>
          <w:rStyle w:val="FootnoteAnchor"/>
          <w:rtl w:val="true"/>
        </w:rPr>
        <w:footnoteReference w:id="40"/>
      </w:r>
      <w:r>
        <w:rPr>
          <w:rFonts w:ascii="IRNazanin" w:hAnsi="IRNazanin" w:eastAsia="IRNazanin"/>
          <w:color w:val="111111"/>
          <w:sz w:val="28"/>
          <w:sz w:val="28"/>
          <w:szCs w:val="28"/>
          <w:rtl w:val="true"/>
          <w:lang w:bidi="fa-IR"/>
        </w:rPr>
        <w:t>، مثل ما أفاد بعض أعاظم العصر من التفصیل</w:t>
      </w:r>
      <w:r>
        <w:rPr>
          <w:rStyle w:val="FootnoteAnchor"/>
          <w:rtl w:val="true"/>
        </w:rPr>
        <w:footnoteReference w:id="41"/>
      </w:r>
      <w:r>
        <w:rPr>
          <w:rFonts w:ascii="IRNazanin" w:hAnsi="IRNazanin" w:eastAsia="IRNazanin"/>
          <w:color w:val="111111"/>
          <w:sz w:val="28"/>
          <w:sz w:val="28"/>
          <w:szCs w:val="28"/>
          <w:rtl w:val="true"/>
          <w:lang w:bidi="fa-IR"/>
        </w:rPr>
        <w:t>لا یعتمد علیهما، فراجع کلامهما و تدبّر</w:t>
      </w:r>
      <w:r>
        <w:rPr>
          <w:rFonts w:eastAsia="IRNazanin" w:cs="IRNazanin"/>
          <w:color w:val="111111"/>
          <w:sz w:val="28"/>
          <w:szCs w:val="28"/>
          <w:rtl w:val="true"/>
          <w:lang w:bidi="fa-IR"/>
        </w:rPr>
        <w:t>.</w:t>
      </w:r>
      <w:bookmarkStart w:id="91" w:name="pg2353_14620"/>
    </w:p>
    <w:p>
      <w:pPr>
        <w:pStyle w:val="Heading3"/>
        <w:numPr>
          <w:ilvl w:val="2"/>
          <w:numId w:val="1"/>
        </w:numPr>
        <w:rPr/>
      </w:pPr>
      <w:bookmarkStart w:id="92" w:name="__RefHeading___Toc2705021_3804643083"/>
      <w:bookmarkStart w:id="93" w:name="_Toc35"/>
      <w:bookmarkEnd w:id="91"/>
      <w:bookmarkEnd w:id="92"/>
      <w:r>
        <w:rPr>
          <w:rtl w:val="true"/>
        </w:rPr>
        <w:t>الأمر الثانی فی عدم شمول أخبار العلاج للعامّ و الخاصّ</w:t>
      </w:r>
      <w:bookmarkEnd w:id="93"/>
    </w:p>
    <w:p>
      <w:pPr>
        <w:pStyle w:val="Heading4"/>
        <w:numPr>
          <w:ilvl w:val="3"/>
          <w:numId w:val="1"/>
        </w:numPr>
        <w:rPr/>
      </w:pPr>
      <w:bookmarkStart w:id="94" w:name="__RefHeading___Toc2705023_3804643083"/>
      <w:bookmarkStart w:id="95" w:name="_Toc36"/>
      <w:bookmarkEnd w:id="94"/>
      <w:r>
        <w:rPr>
          <w:rtl w:val="true"/>
        </w:rPr>
        <w:t>اشارة</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ممّا مرّ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تعارض فی نظر العرف بین الأدلّة فی موارد التوفیق العرفیّ بینها، فلا تعمّها أخبار العلاج؛ لأنّ المأخوذ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الخبران المتعارضان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المختلفان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هما لا یشملان ما لا تعارض بینهما عرفاً؛ ضرورة أنّ محطّ أخبار العلاج هو تعیین التکلیف فی مقام العمل، فإذا کان تکلیفه معلوماً فلا یشمله إطلاق الأدلّة، و التعارض البدویّ الزائل لا یوجب الشمول</w:t>
      </w:r>
      <w:r>
        <w:rPr>
          <w:rFonts w:eastAsia="IRNazanin" w:cs="IRNazanin"/>
          <w:color w:val="111111"/>
          <w:sz w:val="28"/>
          <w:szCs w:val="28"/>
          <w:rtl w:val="true"/>
          <w:lang w:bidi="fa-IR"/>
        </w:rPr>
        <w:t>.</w:t>
      </w:r>
      <w:bookmarkStart w:id="96" w:name="pg2353_14621"/>
    </w:p>
    <w:p>
      <w:pPr>
        <w:pStyle w:val="BookText"/>
        <w:rPr/>
      </w:pPr>
      <w:bookmarkEnd w:id="96"/>
      <w:r>
        <w:rPr>
          <w:rFonts w:ascii="IRNazanin" w:hAnsi="IRNazanin" w:eastAsia="IRNazanin"/>
          <w:color w:val="111111"/>
          <w:sz w:val="28"/>
          <w:sz w:val="28"/>
          <w:szCs w:val="28"/>
          <w:rtl w:val="true"/>
          <w:lang w:bidi="fa-IR"/>
        </w:rPr>
        <w:t xml:space="preserve">و هذا بوجه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الشکوک</w:t>
      </w:r>
      <w:r>
        <w:rPr>
          <w:rStyle w:val="FootnoteAnchor"/>
          <w:rtl w:val="true"/>
        </w:rPr>
        <w:footnoteReference w:id="45"/>
      </w:r>
      <w:r>
        <w:rPr>
          <w:rFonts w:ascii="IRNazanin" w:hAnsi="IRNazanin" w:eastAsia="IRNazanin"/>
          <w:color w:val="111111"/>
          <w:sz w:val="28"/>
          <w:sz w:val="28"/>
          <w:szCs w:val="28"/>
          <w:rtl w:val="true"/>
          <w:lang w:bidi="fa-IR"/>
        </w:rPr>
        <w:t>حیث حملوه علی الشکّ المستقرّ، لا الحادث</w:t>
      </w:r>
      <w:r>
        <w:rPr>
          <w:rStyle w:val="FootnoteAnchor"/>
          <w:rtl w:val="true"/>
        </w:rPr>
        <w:footnoteReference w:id="46"/>
      </w:r>
      <w:r>
        <w:rPr>
          <w:rFonts w:ascii="IRNazanin" w:hAnsi="IRNazanin" w:eastAsia="IRNazanin"/>
          <w:color w:val="111111"/>
          <w:sz w:val="28"/>
          <w:sz w:val="28"/>
          <w:szCs w:val="28"/>
          <w:rtl w:val="true"/>
          <w:lang w:bidi="fa-IR"/>
        </w:rPr>
        <w:t>بل المقام أولی منه؛ لأنّ الشکّ الحادث شکّ حقیقة لکنّه لم یستقرّ، و الخبران اللذان بینهما جمع عقلائیّ لیسا بمتعارضین عرفاً إلّا صورة، لا حقیقة</w:t>
      </w:r>
      <w:r>
        <w:rPr>
          <w:rFonts w:eastAsia="IRNazanin" w:cs="IRNazanin"/>
          <w:color w:val="111111"/>
          <w:sz w:val="28"/>
          <w:szCs w:val="28"/>
          <w:rtl w:val="true"/>
          <w:lang w:bidi="fa-IR"/>
        </w:rPr>
        <w:t>.</w:t>
      </w:r>
    </w:p>
    <w:p>
      <w:pPr>
        <w:pStyle w:val="Heading4"/>
        <w:numPr>
          <w:ilvl w:val="3"/>
          <w:numId w:val="1"/>
        </w:numPr>
        <w:rPr/>
      </w:pPr>
      <w:bookmarkStart w:id="97" w:name="__RefHeading___Toc2705025_3804643083"/>
      <w:bookmarkStart w:id="98" w:name="_Toc37"/>
      <w:bookmarkEnd w:id="97"/>
      <w:r>
        <w:rPr>
          <w:rtl w:val="true"/>
        </w:rPr>
        <w:t xml:space="preserve">نقل کلام العلمین المحقّق الخراسانیّ و شیخنا العلّامة </w:t>
      </w:r>
      <w:r>
        <w:rPr/>
        <w:t>0</w:t>
      </w:r>
      <w:bookmarkEnd w:id="98"/>
    </w:p>
    <w:p>
      <w:pPr>
        <w:pStyle w:val="BookText"/>
        <w:rPr/>
      </w:pPr>
      <w:r>
        <w:rPr>
          <w:rFonts w:ascii="IRNazanin" w:hAnsi="IRNazanin" w:eastAsia="IRNazanin"/>
          <w:color w:val="111111"/>
          <w:sz w:val="28"/>
          <w:sz w:val="28"/>
          <w:szCs w:val="28"/>
          <w:rtl w:val="true"/>
          <w:lang w:bidi="fa-IR"/>
        </w:rPr>
        <w:t>و العجب من العلمین؛ المحقّق الخراسانیّ، و شیخنا العلّامة، حیث ذهبا إلی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مساعدة العرف علی التوفیق، لا توجب اختصاص السؤالات بغیر موارد الجمع؛ لصحّة السؤال بملاحظة التعارض البدویّ و إن کان یزول عرفاً، أو للتحیّر فی الحکم الواقعیّ و إن لم یتحیّر فیه ظاهراً، أو لاحتمال الردع عن الطریقة العرفیّة، و جلّ العناوین المأخوذة فی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منها غیرها مجازفة، غایته کان کذلک خارجاً، لا</w:t>
      </w:r>
    </w:p>
    <w:p>
      <w:pPr>
        <w:pStyle w:val="BookText"/>
        <w:rPr/>
      </w:pPr>
      <w:r>
        <w:rPr>
          <w:rFonts w:ascii="IRNazanin" w:hAnsi="IRNazanin" w:eastAsia="IRNazanin"/>
          <w:color w:val="111111"/>
          <w:sz w:val="28"/>
          <w:sz w:val="28"/>
          <w:szCs w:val="28"/>
          <w:rtl w:val="true"/>
          <w:lang w:bidi="fa-IR"/>
        </w:rPr>
        <w:t>بحسب مقام التخاطب حتّی یضرّ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القطعیّة کاشفة عن دلیل مخصّص لأخبار العلاج،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العلاج مجملة لا تصلح لردع السیرة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المرتکزات العرفیّة، لا یلزم أن تکون مشروحة مفصّلة عند کلّ أحد، حتّی یری السائل عدم احتیاجه إلی السؤال عن حکم العامّ و الخاصّ المنفصل و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w:t>
      </w:r>
    </w:p>
    <w:p>
      <w:pPr>
        <w:pStyle w:val="BookText"/>
        <w:rPr/>
      </w:pPr>
      <w:r>
        <w:rPr>
          <w:rFonts w:ascii="IRNazanin" w:hAnsi="IRNazanin" w:eastAsia="IRNazanin"/>
          <w:color w:val="111111"/>
          <w:sz w:val="28"/>
          <w:sz w:val="28"/>
          <w:szCs w:val="28"/>
          <w:rtl w:val="true"/>
          <w:lang w:bidi="fa-IR"/>
        </w:rPr>
        <w:t>ما ادعی بروایة الحمیری</w:t>
      </w:r>
      <w:r>
        <w:rPr>
          <w:rStyle w:val="FootnoteAnchor"/>
          <w:rtl w:val="true"/>
        </w:rPr>
        <w:footnoteReference w:id="48"/>
      </w:r>
      <w:r>
        <w:rPr>
          <w:rFonts w:ascii="IRNazanin" w:hAnsi="IRNazanin" w:eastAsia="IRNazanin"/>
          <w:color w:val="111111"/>
          <w:sz w:val="28"/>
          <w:sz w:val="28"/>
          <w:szCs w:val="28"/>
          <w:rtl w:val="true"/>
          <w:lang w:bidi="fa-IR"/>
        </w:rPr>
        <w:t>عن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الجواب عن ذلک حدیثان، 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انتقل من حالة إلی حالة اخری فعلیه التکبیر، و أمّا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روی أنّه إذا رفع رأسه من السجدة الثانیة، و کبّر ثمّ جلس ثمّ قام، فلیس علیه فی القیام بعد القعود تکبیر، و کذلک التشهّد یجری هذا المجری، و بأیّهما أخذت من باب التسلیم کان صواباً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الثانی أخصّ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روایةِ علیّ بن مَهْزِیار</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 اللَّه بن محمد إلی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روایاتهم عن أبی عبد اللَّه علیه السلام فی رکعتی الفجر فی السفر، فروی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تصلّها إلّا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قبیل تعارض النصّ و الظاهر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السیرة القطعیّة علی التوفیق بین العامّ و الخاصّ و المطلق و المقیّد من لدن زمن الأئمّة</w:t>
      </w:r>
      <w:r>
        <w:rPr>
          <w:rStyle w:val="FootnoteAnchor"/>
          <w:rtl w:val="true"/>
        </w:rPr>
        <w:footnoteReference w:id="52"/>
      </w:r>
      <w:r>
        <w:rPr>
          <w:rFonts w:ascii="IRNazanin" w:hAnsi="IRNazanin" w:eastAsia="IRNazanin"/>
          <w:color w:val="111111"/>
          <w:sz w:val="28"/>
          <w:sz w:val="28"/>
          <w:szCs w:val="28"/>
          <w:rtl w:val="true"/>
          <w:lang w:bidi="fa-IR"/>
        </w:rPr>
        <w:t>یمکن منعها،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لما خفیت علی مثل شیخ الطائفة</w:t>
      </w:r>
      <w:r>
        <w:rPr>
          <w:rStyle w:val="FootnoteAnchor"/>
          <w:rtl w:val="true"/>
        </w:rPr>
        <w:footnoteReference w:id="53"/>
      </w:r>
      <w:r>
        <w:rPr>
          <w:rFonts w:ascii="IRNazanin" w:hAnsi="IRNazanin" w:eastAsia="IRNazanin"/>
          <w:color w:val="111111"/>
          <w:sz w:val="28"/>
          <w:sz w:val="28"/>
          <w:szCs w:val="28"/>
          <w:rtl w:val="true"/>
          <w:lang w:bidi="fa-IR"/>
        </w:rPr>
        <w:t>فلا یظنّ بالسیرة فضلًا عن القطع، بعد ذهاب مثله إلی العمل</w:t>
      </w:r>
      <w:bookmarkStart w:id="99" w:name="pg2353_14624"/>
    </w:p>
    <w:p>
      <w:pPr>
        <w:pStyle w:val="BookText"/>
        <w:rPr/>
      </w:pPr>
      <w:bookmarkEnd w:id="99"/>
      <w:r>
        <w:rPr>
          <w:rFonts w:ascii="IRNazanin" w:hAnsi="IRNazanin" w:eastAsia="IRNazanin"/>
          <w:color w:val="111111"/>
          <w:sz w:val="28"/>
          <w:sz w:val="28"/>
          <w:szCs w:val="28"/>
          <w:rtl w:val="true"/>
          <w:lang w:bidi="fa-IR"/>
        </w:rPr>
        <w:t>بالمرجّحات فی تعارض النّص و الظاهر، کما یظهر من عبارته المحکیة</w:t>
      </w:r>
      <w:r>
        <w:rPr>
          <w:rStyle w:val="FootnoteAnchor"/>
          <w:rtl w:val="true"/>
        </w:rPr>
        <w:footnoteReference w:id="5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56"/>
      </w:r>
      <w:r>
        <w:rPr>
          <w:rStyle w:val="FootnoteAnchor"/>
          <w:rtl w:val="true"/>
        </w:rPr>
        <w:footnoteReference w:id="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00" w:name="__RefHeading___Toc2705027_3804643083"/>
      <w:bookmarkStart w:id="101" w:name="_Toc38"/>
      <w:bookmarkEnd w:id="100"/>
      <w:r>
        <w:rPr>
          <w:rtl w:val="true"/>
        </w:rPr>
        <w:t>الإیراد علی المحقّق الخراسانیّ رحمه الله</w:t>
      </w:r>
      <w:bookmarkEnd w:id="101"/>
    </w:p>
    <w:p>
      <w:pPr>
        <w:pStyle w:val="BookText"/>
        <w:rPr/>
      </w:pPr>
      <w:r>
        <w:rPr>
          <w:rFonts w:ascii="IRNazanin" w:hAnsi="IRNazanin" w:eastAsia="IRNazanin"/>
          <w:color w:val="111111"/>
          <w:sz w:val="28"/>
          <w:sz w:val="28"/>
          <w:szCs w:val="28"/>
          <w:rtl w:val="true"/>
          <w:lang w:bidi="fa-IR"/>
        </w:rPr>
        <w:t>و أنت خبیر بما فی کلامهما؛ أمّا ما أفاد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السؤال بما ذکر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السؤال عن مورد التوفیق العرفیّ بالخصوص لکان ما ذکر</w:t>
      </w:r>
    </w:p>
    <w:p>
      <w:pPr>
        <w:pStyle w:val="BookText"/>
        <w:rPr/>
      </w:pPr>
      <w:r>
        <w:rPr>
          <w:rFonts w:ascii="IRNazanin" w:hAnsi="IRNazanin" w:eastAsia="IRNazanin"/>
          <w:color w:val="111111"/>
          <w:sz w:val="28"/>
          <w:sz w:val="28"/>
          <w:szCs w:val="28"/>
          <w:rtl w:val="true"/>
          <w:lang w:bidi="fa-IR"/>
        </w:rPr>
        <w:t xml:space="preserve">حقّاً؛ لصحّة السؤال و لو لاحتمال الردع، لکن لا یوجب مجرّد صحّة السؤال شمولَ إطلاق الأدلّة؛ ضرورة أنّ عدم التعارض بین الأدلّة بحسب نظر العرف، یوجب صرف السؤال عن مورد التوفیق لو سلّم شمول المفهوم له ابتداءً، و إلّا فلنا منع ذلک رأساً؛ لأنّ التعارض البدویّ لیس بتعارض حقیقة، و معه کیف یشمله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السؤال للتحیّر فی الحکم الواقعیّ، فهو إنّما یصحّ إذا کان فی واقعة خاصّة، لا فی مطلق باب التعارض؛ ضرورة أنّه لا میزان لبیان الحکم الواقعیّ فی تمام موارد التعارض، هذا إذا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الواقعة التی تعارض فیها الخبران، کما هو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واقع حکم التعارض فلا یدفع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السؤال عن عنوان المتعارضین أو المختلفین بنحو کلّی، و هو لا یحمل علی غیر عنوانه و متفاهمه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کون السائل سأل عن مورد لیس من العنوان خطأً، أو مسامحة فی إطلاق العنوان علیه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حمل کلامه علی ذلک، موجب لرجوعه إلی احتمال الردع، و هو جعَله مقابلًا 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الردع، فهو و إن کان موجباً لصحّة السؤال، لکنّه إذا سئل عن</w:t>
      </w:r>
      <w:bookmarkStart w:id="102" w:name="pg2353_14626"/>
    </w:p>
    <w:p>
      <w:pPr>
        <w:pStyle w:val="BookText"/>
        <w:rPr/>
      </w:pPr>
      <w:bookmarkEnd w:id="102"/>
      <w:r>
        <w:rPr>
          <w:rFonts w:ascii="IRNazanin" w:hAnsi="IRNazanin" w:eastAsia="IRNazanin"/>
          <w:color w:val="111111"/>
          <w:sz w:val="28"/>
          <w:sz w:val="28"/>
          <w:szCs w:val="28"/>
          <w:rtl w:val="true"/>
          <w:lang w:bidi="fa-IR"/>
        </w:rPr>
        <w:t>مورد خاصّ، و لا یوجب ذلک شمول إطلاق الأدلّة لمورد التوفیق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فساد دعوی شمول جلّ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بل لو فرض الشمول عنواناً فلا إشکال فی انصراف الإطلاق؛ بواسطة ذاک الارتکاز، فلو أضرّ القدر المتیقّن فی مقام التخاطب بالإطلاق، کان المورد منه بعد الارتکاز العرفیّ، فقوله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القدر المتیقّن لیس فی مقام التخاطب</w:t>
      </w:r>
      <w:r>
        <w:rPr>
          <w:rStyle w:val="FootnoteAnchor"/>
          <w:rtl w:val="true"/>
        </w:rPr>
        <w:footnoteReference w:id="59"/>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Heading4"/>
        <w:numPr>
          <w:ilvl w:val="3"/>
          <w:numId w:val="1"/>
        </w:numPr>
        <w:rPr/>
      </w:pPr>
      <w:bookmarkStart w:id="103" w:name="__RefHeading___Toc2705029_3804643083"/>
      <w:bookmarkStart w:id="104" w:name="_Toc39"/>
      <w:bookmarkEnd w:id="103"/>
      <w:r>
        <w:rPr>
          <w:rtl w:val="true"/>
        </w:rPr>
        <w:t>کلام مع شیخنا الاستاذ رحمه الله</w:t>
      </w:r>
      <w:bookmarkEnd w:id="104"/>
    </w:p>
    <w:p>
      <w:pPr>
        <w:pStyle w:val="BookText"/>
        <w:rPr/>
      </w:pPr>
      <w:r>
        <w:rPr>
          <w:rFonts w:ascii="IRNazanin" w:hAnsi="IRNazanin" w:eastAsia="IRNazanin"/>
          <w:color w:val="111111"/>
          <w:sz w:val="28"/>
          <w:sz w:val="28"/>
          <w:szCs w:val="28"/>
          <w:rtl w:val="true"/>
          <w:lang w:bidi="fa-IR"/>
        </w:rPr>
        <w:t>و ممّا ذکرنا یظهر النظر فی قول شیخنا العلّامة أعلی اللَّه مقامه؛ فإنّ احتمال عدم کون المرتکزات العرفیّة مشروحة لدی السائل، لا یوجب شمول العناوین لغیر مصادیقها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سئل عن مورد التوفیق العرفیّ کان لما ذکر وجه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الروایتان، فروایة ابن مَهْزِیار لا تدلّ علی مدّعاه؛ لأنّ الظاهر هو السؤال عن حکم الواقعة، لا عن علاج التعارض؛ إذ لا معنی لاستفسار علاج التعارض فی واقعة خاصّة من العالم بالواقع، و جوابه أیضاً یکون عن الواقع، کما هو مقتضی الجمع بین الروایتین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ضعفها، و شهادة متنها بأنّها لیست من الإمام العالم بحکم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عنها، مع احتمال ورود روایة ذکر فیها انتقال کلّ حال تفصیلًا، لا بهذا العنوان، فکان التعارض بینهما بالتباین، و سیأتی مزید توضیح لذلک فی بابه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إنکاره السیرة؛ بدلیل ذهاب شیخ الطائفة إلی العمل بالمرجّحات فی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تدلّان علی ذلک، خصوصاً بعد تصریحه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العامّ و الخاصّ المطلقین خارجان عن باب التعارض، فراجع ما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بناء شیخ الطائفة، لیس علی العمل بالمرجّحات فی العامّ و الخاصّ، و المطلق و المقیّد، و النصّ و الظاهر فی الفقه بالضرورة</w:t>
      </w:r>
      <w:r>
        <w:rPr>
          <w:rFonts w:eastAsia="IRNazanin" w:cs="IRNazanin"/>
          <w:color w:val="111111"/>
          <w:sz w:val="28"/>
          <w:szCs w:val="28"/>
          <w:rtl w:val="true"/>
          <w:lang w:bidi="fa-IR"/>
        </w:rPr>
        <w:t>.</w:t>
      </w:r>
      <w:bookmarkStart w:id="105" w:name="pg2353_14628"/>
    </w:p>
    <w:p>
      <w:pPr>
        <w:pStyle w:val="Heading3"/>
        <w:numPr>
          <w:ilvl w:val="2"/>
          <w:numId w:val="1"/>
        </w:numPr>
        <w:rPr/>
      </w:pPr>
      <w:bookmarkStart w:id="106" w:name="__RefHeading___Toc2705031_3804643083"/>
      <w:bookmarkStart w:id="107" w:name="_Toc40"/>
      <w:bookmarkEnd w:id="105"/>
      <w:bookmarkEnd w:id="106"/>
      <w:r>
        <w:rPr>
          <w:rtl w:val="true"/>
        </w:rPr>
        <w:t>الأمر الثالث فی إبطال قاعدة الجمع مهما أمکن، أولی</w:t>
      </w:r>
      <w:bookmarkEnd w:id="107"/>
    </w:p>
    <w:p>
      <w:pPr>
        <w:pStyle w:val="BookText"/>
        <w:rPr/>
      </w:pPr>
      <w:r>
        <w:rPr>
          <w:rFonts w:ascii="IRNazanin" w:hAnsi="IRNazanin" w:eastAsia="IRNazanin"/>
          <w:color w:val="111111"/>
          <w:sz w:val="28"/>
          <w:sz w:val="28"/>
          <w:szCs w:val="28"/>
          <w:rtl w:val="true"/>
          <w:lang w:bidi="fa-IR"/>
        </w:rPr>
        <w:t>قد ادّعی الشیخ ابن أبی جمهور</w:t>
      </w:r>
      <w:r>
        <w:rPr>
          <w:rStyle w:val="FootnoteAnchor"/>
          <w:rtl w:val="true"/>
        </w:rPr>
        <w:footnoteReference w:id="63"/>
      </w:r>
      <w:r>
        <w:rPr>
          <w:rFonts w:ascii="IRNazanin" w:hAnsi="IRNazanin" w:eastAsia="IRNazanin"/>
          <w:color w:val="111111"/>
          <w:sz w:val="28"/>
          <w:sz w:val="28"/>
          <w:szCs w:val="28"/>
          <w:rtl w:val="true"/>
          <w:lang w:bidi="fa-IR"/>
        </w:rPr>
        <w:t>الإجماع علی أنّ العمل بالدلیلین مهما أمکن، خیر من ترک أحدهما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بقرینة دعوی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التوفیق العرفیّ المقبول، و لو ادّعی غیر ذلک لردّه بناء العلماء علی العمل بالمرجّحات فیما لا یمکن التوفیق العرفیّ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الدلیلین الإعمال، فیجب الجمع بینهما مهما أمکن؛ لاستحالة الترجیح من غیر مرجّح</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بیانه علی النظم القیاسیّ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وجوب الجمع بینهما مهما أمکن، للزم إمّا طرحهما، أو طرح أحدهما، و هما باطلان، فنقیض التالی حقّ؛ و هو وجوب الجمع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 واضح، و بطلان التالی بکلا شقّیه مذکور فی دلیله؛ فإنّ طرحهما خلاف الأصل، و ترجیحَ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العقل، و بما قرّرنا فی بیانه یظهر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إمکاناً عقلیّاً فبطلان الشقّ الأوّل من التالی ممنوع؛ لأنّ الدلیلین حینئذٍ یصیران من المتعارضین المتساویین، و هما متساقطان عقلًا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الأصل فی الدلیلین الإعمالَ، مسلّم فی کلّ واحد منهما من حیث هو، دون مقام التعارض؛ فإنّه فیه غیر صحیح بنحو الإیجاب الکلّی، فلا ینتج القیاس</w:t>
      </w:r>
      <w:r>
        <w:rPr>
          <w:rFonts w:eastAsia="IRNazanin" w:cs="IRNazanin"/>
          <w:color w:val="111111"/>
          <w:sz w:val="28"/>
          <w:szCs w:val="28"/>
          <w:rtl w:val="true"/>
          <w:lang w:bidi="fa-IR"/>
        </w:rPr>
        <w:t>.</w:t>
      </w:r>
      <w:bookmarkStart w:id="108" w:name="pg2353_14630"/>
    </w:p>
    <w:p>
      <w:pPr>
        <w:pStyle w:val="Heading3"/>
        <w:numPr>
          <w:ilvl w:val="2"/>
          <w:numId w:val="1"/>
        </w:numPr>
        <w:rPr/>
      </w:pPr>
      <w:bookmarkStart w:id="109" w:name="__RefHeading___Toc2705033_3804643083"/>
      <w:bookmarkStart w:id="110" w:name="_Toc41"/>
      <w:bookmarkEnd w:id="108"/>
      <w:bookmarkEnd w:id="109"/>
      <w:r>
        <w:rPr>
          <w:rtl w:val="true"/>
        </w:rPr>
        <w:t>الأمر الرابع کلام الشیخ فی موضوع الترجیح بحسب الدلالة و ما فیه</w:t>
      </w:r>
      <w:bookmarkEnd w:id="110"/>
    </w:p>
    <w:p>
      <w:pPr>
        <w:pStyle w:val="BookText"/>
        <w:rPr/>
      </w:pPr>
      <w:r>
        <w:rPr>
          <w:rFonts w:ascii="IRNazanin" w:hAnsi="IRNazanin" w:eastAsia="IRNazanin"/>
          <w:color w:val="111111"/>
          <w:sz w:val="28"/>
          <w:sz w:val="28"/>
          <w:szCs w:val="28"/>
          <w:rtl w:val="true"/>
          <w:lang w:bidi="fa-IR"/>
        </w:rPr>
        <w:t>یظهر من العلّامة الأنصاریّ فی شتات کلماته فی المقام الرابع، أنّ تقدیم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الظنّی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الترجیح بحسب الدلالة، سواء کانا مثل العامّ و الخاصّ، أو مثل صیغة الوجوب مع ما یدلّ علی نفی البأس عن الترک، فینحصر الترجیح بحسب الدلالات فی تعارض الظاهر و الأظهر، و أنّ الترجیح بحسب الدلالات مقدّم علی سائر التراجیح</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مقتضاه أن یکون النصّ الظنّی السند، خارجاً عن أدلّة المرجّحات موضوعاً، و الظاهر و الأظهر داخلین فیها موضوعاً، خارجین حکماً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یخلو عن مناقشة؛ لأنّ المراد من التعارض فی الحدیثین</w:t>
      </w:r>
    </w:p>
    <w:p>
      <w:pPr>
        <w:pStyle w:val="BookText"/>
        <w:rPr/>
      </w:pPr>
      <w:r>
        <w:rPr>
          <w:rFonts w:ascii="IRNazanin" w:hAnsi="IRNazanin" w:eastAsia="IRNazanin"/>
          <w:color w:val="111111"/>
          <w:sz w:val="28"/>
          <w:sz w:val="28"/>
          <w:szCs w:val="28"/>
          <w:rtl w:val="true"/>
          <w:lang w:bidi="fa-IR"/>
        </w:rPr>
        <w:t>المتعارضین، إن کان الحقیقیّ المستقرّ، فالترجیحات الدلالیّة کلّها خارجة عنه؛ لأنّ المراد من الترجیح الدلالیّ، أن یکون العرف لا یری تعارضاً بین الکلامین بحسب المحاورات العرفیّة، و یکون أحد الدلیلین قرینة عرفیّة صارفة للآخر، و مثل ذلک لا یکون من المتعارضین فی شی‌ء، لأنّ المتکلّم بذلک لا یتناقض بالمقال، و لا یضادّ أحد کلامیه کلامَه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منه أعمّ من ذلک و من التعارض البدویّ، فلا إشکال فی تعارض النصّ و الظاهر؛ ضرورة تناقض الإیجاب الکلّی أو ما بحکمه مع السلب الجزئیّ أو ما بحکمه و بالعکس،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غیر متعارضین عرفاً؛ للجمع المقبول بینهما، و کذا الکلام فی ظاهرین یکون الجمع بینهما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الحدیثین إمّا أن یکون بینهما توفیق عرفیّ و جمع عقلائیّ بحسب قانون المحاورة، أو لا، فالأوّل خارج عن مصبّ أخبار العلاج موضوعاً أو انصرافاً، دون الثانی، فیجب العمل فیهما بها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من الشیخ و غیره، أنّ تعارض النصّ و الظاهر مطلقاً، خارج عن مصبّ أخبار العلاج، بخلاف الظاهرین؛ فإنّ خروجهما مشروط بأن یکون بینهما جمع مقبول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لا یخلو عن مسامحة و مناقشة؛ لأنّ تعارض النصّ و الظاهر أیضاً مشروط بذلک، و إلّا فلو کان التصرّف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قانون المحاورة، و لم یکن الجمع بینهما عرفیّاً مقبولًا، یکون من المتعارضین، فالمیزان الکلّی هو کون الجمع مقبولًا عرفاً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المتخالفین و المتعارضین، مع أنّ الأوّل نصّ فی الرخصة، و الثانی ظاهر فی الحرمة، لکنّ الجمع بینهما لیس بمقبول عقلائیّ، فاللازم علی الفقیه مراعاة مقبولیّة الجمع عرفاً، و کونه علی قانون المحاورات فی محیط التشریع و التقنین کما مرّ، لا الأخذ 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الظاهر علی النصّ</w:t>
      </w:r>
      <w:r>
        <w:rPr>
          <w:rStyle w:val="FootnoteAnchor"/>
          <w:rtl w:val="true"/>
        </w:rPr>
        <w:footnoteReference w:id="70"/>
      </w:r>
      <w:r>
        <w:rPr>
          <w:rFonts w:ascii="IRNazanin" w:hAnsi="IRNazanin" w:eastAsia="IRNazanin"/>
          <w:color w:val="111111"/>
          <w:sz w:val="28"/>
          <w:sz w:val="28"/>
          <w:szCs w:val="28"/>
          <w:rtl w:val="true"/>
          <w:lang w:bidi="fa-IR"/>
        </w:rPr>
        <w:t>فإنّه لم یرد فیه نصّ، و ما قام علیه إجماع، فالمتّبع هو ما ذکرناه</w:t>
      </w:r>
      <w:r>
        <w:rPr>
          <w:rFonts w:eastAsia="IRNazanin" w:cs="IRNazanin"/>
          <w:color w:val="111111"/>
          <w:sz w:val="28"/>
          <w:szCs w:val="28"/>
          <w:rtl w:val="true"/>
          <w:lang w:bidi="fa-IR"/>
        </w:rPr>
        <w:t>.</w:t>
      </w:r>
      <w:bookmarkStart w:id="111" w:name="pg2353_14634"/>
    </w:p>
    <w:p>
      <w:pPr>
        <w:pStyle w:val="Heading3"/>
        <w:numPr>
          <w:ilvl w:val="2"/>
          <w:numId w:val="1"/>
        </w:numPr>
        <w:rPr/>
      </w:pPr>
      <w:bookmarkStart w:id="112" w:name="__RefHeading___Toc2705035_3804643083"/>
      <w:bookmarkStart w:id="113" w:name="_Toc42"/>
      <w:bookmarkEnd w:id="111"/>
      <w:bookmarkEnd w:id="112"/>
      <w:r>
        <w:rPr>
          <w:rtl w:val="true"/>
        </w:rPr>
        <w:t>الأمر الخامس الموارد الخارجة عن أخبار العلاج</w:t>
      </w:r>
      <w:bookmarkEnd w:id="113"/>
    </w:p>
    <w:p>
      <w:pPr>
        <w:pStyle w:val="Heading4"/>
        <w:numPr>
          <w:ilvl w:val="3"/>
          <w:numId w:val="1"/>
        </w:numPr>
        <w:rPr/>
      </w:pPr>
      <w:bookmarkStart w:id="114" w:name="__RefHeading___Toc2705037_3804643083"/>
      <w:bookmarkStart w:id="115" w:name="_Toc43"/>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لمّا کان موضوع أخبار العلاج هو الخبران المختَلفان، و هما ما لا یکون بینهما جمع مقبول لدی العرف، فلا بدّ فی تنقیح موضوع البحث من ذکر الموارد التی ادّعی أو یمکن أن یدّعی أنّها من قبیل النصّ و الظاهر، أو الظاهر و الأظهر؛ أی یکون الجمع بینهما مقبولًا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تکون خارجة عن تحت أخبار العلاج موضوعاً أو انصرافاً، أو قیل بخروجها، و فیه مباحث</w:t>
      </w:r>
      <w:r>
        <w:rPr>
          <w:rFonts w:eastAsia="IRNazanin" w:cs="IRNazanin"/>
          <w:color w:val="111111"/>
          <w:sz w:val="28"/>
          <w:szCs w:val="28"/>
          <w:rtl w:val="true"/>
          <w:lang w:bidi="fa-IR"/>
        </w:rPr>
        <w:t>:</w:t>
      </w:r>
      <w:bookmarkStart w:id="116" w:name="pg2353_14636"/>
    </w:p>
    <w:p>
      <w:pPr>
        <w:pStyle w:val="Heading4"/>
        <w:numPr>
          <w:ilvl w:val="3"/>
          <w:numId w:val="1"/>
        </w:numPr>
        <w:rPr/>
      </w:pPr>
      <w:bookmarkStart w:id="117" w:name="__RefHeading___Toc2705039_3804643083"/>
      <w:bookmarkStart w:id="118" w:name="_Toc44"/>
      <w:bookmarkEnd w:id="116"/>
      <w:bookmarkEnd w:id="117"/>
      <w:r>
        <w:rPr>
          <w:rtl w:val="true"/>
        </w:rPr>
        <w:t>المبحث الأوّل فیما یمکن أن یقال أو قیل بأنّهما من قبیل النصّ و الظاهر</w:t>
      </w:r>
      <w:bookmarkEnd w:id="118"/>
    </w:p>
    <w:p>
      <w:pPr>
        <w:pStyle w:val="BookText"/>
        <w:rPr/>
      </w:pPr>
      <w:r>
        <w:rPr>
          <w:rFonts w:ascii="IRNazanin" w:hAnsi="IRNazanin" w:eastAsia="IRNazanin"/>
          <w:color w:val="111111"/>
          <w:sz w:val="28"/>
          <w:sz w:val="28"/>
          <w:szCs w:val="28"/>
          <w:rtl w:val="true"/>
          <w:lang w:bidi="fa-IR"/>
        </w:rPr>
        <w:t>و فیه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لأحد الدلیلین قدر متیقّن فی مقام التخاطب، فإنّه و إن لم ینفع فی تقیید الإطلاق ما لم یصل إلی حدّ الانصراف، إلّا أنّ وجوده یرفع التعارض؛ فإنّ الدلیل کالنصّ فی القدر المتیقّن، فیصلح أن یکون قرینة علی التصرّف فی الآخر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دلیل آخر علی حرمة إکرام الفسّاق، و علم من حال الآمر أنّه یبغض فسّاق العلماء و یکرههم کراهة أشدّ من فسّاق غیرهم، فیصیر فسّاق العلماء متیقّنی الاندراج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w:t>
      </w:r>
    </w:p>
    <w:p>
      <w:pPr>
        <w:pStyle w:val="BookText"/>
        <w:rPr/>
      </w:pPr>
      <w:r>
        <w:rPr>
          <w:rFonts w:ascii="IRNazanin" w:hAnsi="IRNazanin" w:eastAsia="IRNazanin"/>
          <w:color w:val="111111"/>
          <w:sz w:val="28"/>
          <w:sz w:val="28"/>
          <w:szCs w:val="28"/>
          <w:rtl w:val="true"/>
          <w:lang w:bidi="fa-IR"/>
        </w:rPr>
        <w:t>بمنزلة التصریح، فیخصّص إکرام العلماء بما عدا الفسّاق منهم کذا قیل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فی مقام التخاطب، إذا أوجب الاندراج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یصیر بمنزلة التصریح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ینفکّ عن الانصراف؛ أی انصراف الدلیل المقابل، فیخرج عن محطّ البحث، ففرض عدم الانصراف یناقض فرض تیقّن الاندراج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عدم الانصراف فلا یوجب ظهوراً فی الکلام، فحینئذٍ لا وجه للتقیید بمقام التخاطب؛ لعدم الفرق بینه و بین غیره فیما هو الملاک، بعد إنکار کون القدر المتیقّن مضرّاً بالإطلاق،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بمنزلة التصریح إذا کان فی مقام التخاطب لا غیره،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بتیقّن الاندراج، العلم الفعلیّ بإرادة المتکلّم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الفعلیّ ملازم للعلم الفعلیّ بعدم إرادة المتکلّم العلماءَ الفسّاق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یخرج المقام من باب التعارض جزماً، و لا یکون من قبیل تعارض النصّ و الظاهر؛ فإنّه بعد العلم الفعلیّ بمراد المولی من الدلیلین، یخرج المورد من الجمع بین مدلولی الدلیلین کما لا یخفی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به العلم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إن صدر من المتکلم هذا الکلام،</w:t>
      </w:r>
    </w:p>
    <w:p>
      <w:pPr>
        <w:pStyle w:val="BookText"/>
        <w:rPr/>
      </w:pPr>
      <w:r>
        <w:rPr>
          <w:rFonts w:ascii="IRNazanin" w:hAnsi="IRNazanin" w:eastAsia="IRNazanin"/>
          <w:color w:val="111111"/>
          <w:sz w:val="28"/>
          <w:sz w:val="28"/>
          <w:szCs w:val="28"/>
          <w:rtl w:val="true"/>
          <w:lang w:bidi="fa-IR"/>
        </w:rPr>
        <w:t>و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إکرامهم جدّاً، یکون فسّاق العلماء مرادین قطعاً، لکن یحتمل عدم الصدور، أو عدم تطابق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لتقدّم الدلیل المشتمل علی القدر المتیقّن علی غیره؛ لأنّ مجرد العلم بعدم انفکاک إرادة العلماء عن إرادة غیرهم، لا یوجب صیرورة الدلیل کالنصّ؛ لأنّ العلم بالملازمة مع الشکّ فی وجود الملزوم، لا یوجب العلم بوجود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یصیر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مدلوله، معارضاً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العلماء الفسّاق؛ لأجل التلازم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التخصیص فی أحد العامّین من وجه مستهجناً؛ و ذلک من جهة قلّة الباقی بعده، و ندرة وجوده؛ لأنّ العامّ یکون نصّاً فی المقدار الذی یلزم من خروجه تخصیصٌ مستهجن، فإذا دار الأمر بین تخصیصه و تخصیص ما لا یلزم منه ذلک، یقدّم الثانی</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لزوم استهجان التخصیص فی دلیل، لا یوجب تخصیص دلیل آخر به ما لم یکن الجمع عرفیّاً، و صیرورة العامّ نصّاً فی المقدار المذکور ممنوعة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العامّین من وجه خارجان عن موضوع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التعرّض له</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بینهما، و یتساقطان فی مورد التعارض، و قلّة</w:t>
      </w:r>
    </w:p>
    <w:p>
      <w:pPr>
        <w:pStyle w:val="BookText"/>
        <w:rPr/>
      </w:pPr>
      <w:r>
        <w:rPr>
          <w:rFonts w:ascii="IRNazanin" w:hAnsi="IRNazanin" w:eastAsia="IRNazanin"/>
          <w:color w:val="111111"/>
          <w:sz w:val="28"/>
          <w:sz w:val="28"/>
          <w:szCs w:val="28"/>
          <w:rtl w:val="true"/>
          <w:lang w:bidi="fa-IR"/>
        </w:rPr>
        <w:t>مورد الافتراق لا محذور فیه؛ لأنّه لیس من قبیل التخصیص حتّی یستهجن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الأخبار له، فیقدّم الراجح، و لیس أیضاً من قبیل التخصیص، حتّی یکون مستهجناً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العامّین من وجه وارداً فی مورد الاجتماع،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المسئول عنه أعمّ من وجه، من الدلیل الآخر، کما إذا 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سؤال حکم الخمر، و ورد ابتداءً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النسبة بین الخمر و الماء المتّخذ من التمر، أعمّ من وجه، بناءً علی أعمّیة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لا یوجب التقدّم؛ لأنّه لا یزید علی التنصیص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یتقدّم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النسبة بینهما عموم من وجه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أخصّ مطلقاً منه،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حکم الخمر التمریّ، فإنّ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للخمر قویّ جدّاً، کاد أن یلحقه بالنصّ، فیقدّم علی عدیله، لکن کون هذا من قبیل النصّ محلّ إشکال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عدّ ورود أحد الدلیلین فی مقام بیان التحدیدات و المقادیر و المسافات دون الآخر، من قبیل النصّ و الظاهر</w:t>
      </w:r>
      <w:r>
        <w:rPr>
          <w:rStyle w:val="FootnoteAnchor"/>
          <w:rtl w:val="true"/>
        </w:rPr>
        <w:footnoteReference w:id="75"/>
      </w:r>
      <w:r>
        <w:rPr>
          <w:rFonts w:ascii="IRNazanin" w:hAnsi="IRNazanin" w:eastAsia="IRNazanin"/>
          <w:color w:val="111111"/>
          <w:sz w:val="28"/>
          <w:sz w:val="28"/>
          <w:szCs w:val="28"/>
          <w:rtl w:val="true"/>
          <w:lang w:bidi="fa-IR"/>
        </w:rPr>
        <w:t>فهو کما تری؛ ضرورة أنّه بعد تسلیم تقدّم ما هو من قبیلها علی غیرها مطلقاً، لا تکون إلّا من قبیل الأظهر و الظاهر، مثل القضایا المعلّلة مع غیرها</w:t>
      </w:r>
      <w:r>
        <w:rPr>
          <w:rFonts w:eastAsia="IRNazanin" w:cs="IRNazanin"/>
          <w:color w:val="111111"/>
          <w:sz w:val="28"/>
          <w:szCs w:val="28"/>
          <w:rtl w:val="true"/>
          <w:lang w:bidi="fa-IR"/>
        </w:rPr>
        <w:t>.</w:t>
      </w:r>
      <w:bookmarkStart w:id="119" w:name="pg2353_14642"/>
    </w:p>
    <w:p>
      <w:pPr>
        <w:pStyle w:val="Heading4"/>
        <w:numPr>
          <w:ilvl w:val="3"/>
          <w:numId w:val="1"/>
        </w:numPr>
        <w:rPr/>
      </w:pPr>
      <w:bookmarkStart w:id="120" w:name="__RefHeading___Toc2705041_3804643083"/>
      <w:bookmarkStart w:id="121" w:name="_Toc45"/>
      <w:bookmarkEnd w:id="119"/>
      <w:bookmarkEnd w:id="120"/>
      <w:r>
        <w:rPr>
          <w:rtl w:val="true"/>
        </w:rPr>
        <w:t>المبحث الثانی فیما عدّ من المرجّحات النوعیّة الدلالیّة فی تعارض الدلیلین فقط</w:t>
      </w:r>
      <w:bookmarkEnd w:id="121"/>
    </w:p>
    <w:p>
      <w:pPr>
        <w:pStyle w:val="Heading5"/>
        <w:numPr>
          <w:ilvl w:val="4"/>
          <w:numId w:val="1"/>
        </w:numPr>
        <w:rPr/>
      </w:pPr>
      <w:bookmarkStart w:id="122" w:name="__RefHeading___Toc2705043_3804643083"/>
      <w:bookmarkStart w:id="123" w:name="_Toc46"/>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و هی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العموم و الإطلاق</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لا بدّ من فرض الکلام فی مورد یکون العامّ و المطلق، متساویین من الجهات الخارجیّة، کصدورهما من متکلّم لم یعهد منه بیان الخاصّ و المقیِّد منفصلًا عن العامّ و المطلق، أو صدورهما من متکلّم معهود منه 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یفرض بعد الفحص عن المقیِّد و المخصِّص مثلًا، و بعد فرض ورودهما قبل وقت الحاجة أو بعده، ثمّ الکلام فی التقدیم و وجهه حتّی لا یختلط الأمر، و لا بأس بالإشارة إلی کیفیّة تعارض المطلق و المقیّد، حتّی یتبیّن حال ما</w:t>
      </w:r>
    </w:p>
    <w:p>
      <w:pPr>
        <w:pStyle w:val="BookText"/>
        <w:rPr/>
      </w:pPr>
      <w:r>
        <w:rPr>
          <w:rFonts w:ascii="IRNazanin" w:hAnsi="IRNazanin" w:eastAsia="IRNazanin"/>
          <w:color w:val="111111"/>
          <w:sz w:val="28"/>
          <w:sz w:val="28"/>
          <w:szCs w:val="28"/>
          <w:rtl w:val="true"/>
          <w:lang w:bidi="fa-IR"/>
        </w:rPr>
        <w:t>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تعارض المطلق و المقیّد، لیس من سنخ تعارض العامّ و الخاصّ؛ لأنّ الخاصّ بمدلوله اللفظیّ یعارض العامّ، ضرورة أنّ الإیجاب الکلّی یناقض السلب الجزئیّ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بمفهومه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إکرام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التنافی بأحد الوجوه المتقدّمة، و أمّا المقیّد فلا یکون بمدلوله اللفظیّ منافیاً للمطلق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بالإطلاق لیس لأجل ظهور لفظ المطلق فیه؛ ضرورة أنّ اللفظ الموضوع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نفس الطبیعة، لا غیرها کالکثرات الفردیّة و غیرها، لکن جعل المتکلّم نفس الطبیعة موضوعةً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قید فی کلامه، بما أنّه فعل اختیاریّ للفاعل المختار الذی بصدد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لحکم العقلاء بأنّ موضوع حکمه نفس الطبیعة، من غیر دخالة شی‌ء آخر فیه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بالإطلاق و موضوع احتجاج العقلاء، لا یکون إلّا الفعل الاختیاریّ من الفاعل المختار،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شی‌ء آخر دخیلًا فی موضوع حکمه، لکان علیه جعل الطبیعة مع القید موضوعاً، لا نفسها، فالاحتجاج متقوّم بجعلها موضوعاً مع عدم بیان قید آخر معها، لا بدلالة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أو علی الأفراد، أو علی عدم دخالة شی‌ء فی مطلوبه؛ ضرورة خروجها کلّها عن مدلول اللفظ</w:t>
      </w:r>
      <w:r>
        <w:rPr>
          <w:rFonts w:eastAsia="IRNazanin" w:cs="IRNazanin"/>
          <w:color w:val="111111"/>
          <w:sz w:val="28"/>
          <w:szCs w:val="28"/>
          <w:rtl w:val="true"/>
          <w:lang w:bidi="fa-IR"/>
        </w:rPr>
        <w:t>.</w:t>
      </w:r>
      <w:bookmarkStart w:id="124" w:name="pg2353_14644"/>
    </w:p>
    <w:p>
      <w:pPr>
        <w:pStyle w:val="BookText"/>
        <w:rPr/>
      </w:pPr>
      <w:bookmarkEnd w:id="124"/>
      <w:r>
        <w:rPr>
          <w:rFonts w:ascii="IRNazanin" w:hAnsi="IRNazanin" w:eastAsia="IRNazanin"/>
          <w:color w:val="111111"/>
          <w:sz w:val="28"/>
          <w:sz w:val="28"/>
          <w:szCs w:val="28"/>
          <w:rtl w:val="true"/>
          <w:lang w:bidi="fa-IR"/>
        </w:rPr>
        <w:t xml:space="preserve">فإذا ورد دلیل 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الغرری باطل</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لا یکون التعارض بینه و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تناقضاً فی المقال؛ ضرورة أنّ حکم البیع الغرریّ غیر مقول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دلالته علی أفراد البیع و أصنافه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فی المقام بین القولین و التلفّظین، بما أنّهما فعلان اختیاریّان له، و فی العامّ و الخاصّ بین الکلامین، بما لهما من المدلول</w:t>
      </w:r>
      <w:r>
        <w:rPr>
          <w:rFonts w:eastAsia="IRNazanin" w:cs="IRNazanin"/>
          <w:color w:val="111111"/>
          <w:sz w:val="28"/>
          <w:szCs w:val="28"/>
          <w:rtl w:val="true"/>
          <w:lang w:bidi="fa-IR"/>
        </w:rPr>
        <w:t>.</w:t>
      </w:r>
    </w:p>
    <w:p>
      <w:pPr>
        <w:pStyle w:val="Heading5"/>
        <w:numPr>
          <w:ilvl w:val="4"/>
          <w:numId w:val="1"/>
        </w:numPr>
        <w:rPr/>
      </w:pPr>
      <w:bookmarkStart w:id="125" w:name="__RefHeading___Toc2705045_3804643083"/>
      <w:bookmarkStart w:id="126" w:name="_Toc47"/>
      <w:bookmarkEnd w:id="125"/>
      <w:r>
        <w:rPr>
          <w:rtl w:val="true"/>
        </w:rPr>
        <w:t>وجه تقدّم العامّ علی المطلق</w:t>
      </w:r>
      <w:bookmarkEnd w:id="126"/>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احتجاج العقلاء فی المطلق، لمّا کان متقوّماً بجعل الطبیعة بنفسها موضوعاً، و عدم ذکر قید لها، یکون أمد هذا الاحتجاج إلی زمان ورود القید، فإذا ورد ینتهی احتجاجهم، و یرتفع موضوعه، فتقدّم العامّ الاصولیّ علی المطلق، إنّما هو لکون العامّ غایة لاحتجاج العقلاء بالإطلاق؛ لکونه بیاناً للقید، فلا یمکن أن یکون الإطلاق مخصّصاً للعموم؛ لحصول غایته بوروده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أیضاً غایة لحجّیة العامّ، فهو غیر صحیح؛ لأنّ العامّ لمّا</w:t>
      </w:r>
    </w:p>
    <w:p>
      <w:pPr>
        <w:pStyle w:val="BookText"/>
        <w:rPr/>
      </w:pPr>
      <w:r>
        <w:rPr>
          <w:rFonts w:ascii="IRNazanin" w:hAnsi="IRNazanin" w:eastAsia="IRNazanin"/>
          <w:color w:val="111111"/>
          <w:sz w:val="28"/>
          <w:sz w:val="28"/>
          <w:szCs w:val="28"/>
          <w:rtl w:val="true"/>
          <w:lang w:bidi="fa-IR"/>
        </w:rPr>
        <w:t>کانت دلالته علی العموم دلالة لفظیّة، فلا یکون مغیّا بشی‌ء، بل نفس ظهوره الوضعیّ مع بعض الاصول العقلائیّة، موضوع الاحتجاج، و إنّما الخاصّ حجّة أقوی، فتقدیمه علیه من قبیل تقدیم أقوی الحجّتین، لکن بنحو ما ذکرنا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ذکرنا تتّضح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الحکم فی العامّ الاصولیّ کلّ فردٍ فردٍ، و فی المطلق نفس حیثیّة الطبیعة، من غیر دخالة شی‌ء آخر فیها، و إنّما تستفاد الأفراد من العامّ الاصولیّ بدلالة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الاستغراق و أمثالها، و لا یکون المطلق بعد تمامیّة مقدّمات الإطلاق، دالًّا علی الأفراد، بل یحکم العقل بعدها بأنّ تمام الموضوع نفس حیثیّة ما جعل موضوعاً، من غیر دخالة شی‌ء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یجری ذلک فی الأعلام الشخصیّة أیضاً، کما إذا أمر بإکرام زید، فإطلاقه یقتضی جواز إکرامه فی أیّ حال کان، لا من حیث أنّ مدلول کلامه ذلک، بل من حیث أنّ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بلا قید،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الاحتجاج فی العامّ، قول المتکلّم بما أنّه لفظ دالّ علی الأفراد، و فی المطلق جعل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اقترانها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و هو غیر مربوط بسنخ الدلالات، فالإطلاق الشمولیّ ممّا لا معنی له، إن ارید شموله للأفراد کالعامّ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جعل الماهیّة من غیر قید موضوعاً للحکم، هو موضوع حکم العقلاء فی الاحتجاج منجّزاً، من غیر تعلیق علی عدم البیان المتأخّر؛</w:t>
      </w:r>
    </w:p>
    <w:p>
      <w:pPr>
        <w:pStyle w:val="BookText"/>
        <w:rPr/>
      </w:pPr>
      <w:r>
        <w:rPr>
          <w:rFonts w:ascii="IRNazanin" w:hAnsi="IRNazanin" w:eastAsia="IRNazanin"/>
          <w:color w:val="111111"/>
          <w:sz w:val="28"/>
          <w:sz w:val="28"/>
          <w:szCs w:val="28"/>
          <w:rtl w:val="true"/>
          <w:lang w:bidi="fa-IR"/>
        </w:rPr>
        <w:t>ضرورة أنّ الآمر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یقیّدها، یکون حجّة علی العبد و المولی، فلیس للمولی أن یؤاخذ عبده إذا أعتق الکافرة بعد تمامیّة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المطلق معلّق علی عدم البیان</w:t>
      </w:r>
      <w:r>
        <w:rPr>
          <w:rStyle w:val="FootnoteAnchor"/>
          <w:rtl w:val="true"/>
        </w:rPr>
        <w:footnoteReference w:id="79"/>
      </w:r>
      <w:r>
        <w:rPr>
          <w:rFonts w:ascii="IRNazanin" w:hAnsi="IRNazanin" w:eastAsia="IRNazanin"/>
          <w:color w:val="111111"/>
          <w:sz w:val="28"/>
          <w:sz w:val="28"/>
          <w:szCs w:val="28"/>
          <w:rtl w:val="true"/>
          <w:lang w:bidi="fa-IR"/>
        </w:rPr>
        <w:t>و قرّره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البیان أعمّ من کونه حین التخاطب، أو متأخّراً عنه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لیس بحجّة فعلًا، و معلّقة حجّیته علی عدم ورود البیان متأخّراً کما هو ظاهر کلامهما، فهو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المطلق و إن کان حجّة فعلًا، لکن لمّا کان موضوع الحجّیة عدم بیان القید، یکون أمدها ورود البیان، فإذا ورد یرفع موضوعها، فالعامّ بدلالته اللفظیّة یرفع موضوع الاحتجاج، فیکون وارداً علی المطلق، فهو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 العامّ علی المطلق، لیس من باب تقدّم الأظهر علی الظاهر،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شمول العامّ الاصولیّ لمورد الاجتماع أظهر من شمول المطلق له</w:t>
      </w:r>
      <w:r>
        <w:rPr>
          <w:rStyle w:val="FootnoteAnchor"/>
          <w:rtl w:val="true"/>
        </w:rPr>
        <w:footnoteReference w:id="81"/>
      </w:r>
      <w:r>
        <w:rPr>
          <w:rFonts w:ascii="IRNazanin" w:hAnsi="IRNazanin" w:eastAsia="IRNazanin"/>
          <w:color w:val="111111"/>
          <w:sz w:val="28"/>
          <w:sz w:val="28"/>
          <w:szCs w:val="28"/>
          <w:rtl w:val="true"/>
          <w:lang w:bidi="fa-IR"/>
        </w:rPr>
        <w:t>لأنّ المطلق لم یکن له ظهور فی مورد الاجتماع کما عرفت، فتقدّم العامّ علیه لیس لأقوائیّة ظهوره، بل لرفع موضوع الحجیّة الذی له أمد، و لا یخلو کلام المحقّق المعاصر رحمه الله من تهافت، فراجع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حال دوران الأمر بین تخصیص العموم بمفهوم الشرط أو</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فیهما بواسطة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قرینیّة العامّ علی عدم المفهوم فیهما، فنأخذ بالعامّ، و نترک المفهومین؛ لأنّه یرفع موضوع المفهوم؛ أی إطلاق الاشتراط و التوصیف، أو الشرط و الوصف، و لا تصلح القضیّة الشرطیّة أو الوصفیّة لتخصیص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تعارض الإطلاق مع أحد المفهومین؛ لأنّ الکلّ بمقدّمات الإطلاق، کما أنّ الأمر کذلک فی تعارض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القضیّة الشرطیّة أظهر فی المفهوم من الوصفیّة</w:t>
      </w:r>
      <w:r>
        <w:rPr>
          <w:rStyle w:val="FootnoteAnchor"/>
          <w:rtl w:val="true"/>
        </w:rPr>
        <w:footnoteReference w:id="82"/>
      </w:r>
      <w:r>
        <w:rPr>
          <w:rFonts w:ascii="IRNazanin" w:hAnsi="IRNazanin" w:eastAsia="IRNazanin"/>
          <w:color w:val="111111"/>
          <w:sz w:val="28"/>
          <w:sz w:val="28"/>
          <w:szCs w:val="28"/>
          <w:rtl w:val="true"/>
          <w:lang w:bidi="fa-IR"/>
        </w:rPr>
        <w:t>مغالطة؛ لأنّها لو کانت أظهر فإنّما هو فی دخالة القید فی موضوع الحکم، لا فی انحصاره، و ما یستفاد منه المفهوم هو الثانی بمقدّمات الإطلاق علی القول به، لا الأوّل، و جریان المقدّمات فیهما سواء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الغایة و الاستثناء و الحصر، فلا یبعد أن تکون دلالتها بالوضع، و لا إشکال فی تقدّمها علی مفهوم الوصف و الشرط</w:t>
      </w:r>
      <w:r>
        <w:rPr>
          <w:rFonts w:eastAsia="IRNazanin" w:cs="IRNazanin"/>
          <w:color w:val="111111"/>
          <w:sz w:val="28"/>
          <w:szCs w:val="28"/>
          <w:rtl w:val="true"/>
          <w:lang w:bidi="fa-IR"/>
        </w:rPr>
        <w:t>.</w:t>
      </w:r>
      <w:bookmarkStart w:id="127" w:name="pg2353_14648"/>
    </w:p>
    <w:p>
      <w:pPr>
        <w:pStyle w:val="Heading5"/>
        <w:numPr>
          <w:ilvl w:val="4"/>
          <w:numId w:val="1"/>
        </w:numPr>
        <w:rPr/>
      </w:pPr>
      <w:bookmarkStart w:id="128" w:name="__RefHeading___Toc2705047_3804643083"/>
      <w:bookmarkStart w:id="129" w:name="_Toc48"/>
      <w:bookmarkEnd w:id="127"/>
      <w:bookmarkEnd w:id="128"/>
      <w:r>
        <w:rPr>
          <w:rtl w:val="true"/>
        </w:rPr>
        <w:t>و من الموارد دوران الأمر بین التخصیص و النسخ</w:t>
      </w:r>
      <w:bookmarkEnd w:id="129"/>
    </w:p>
    <w:p>
      <w:pPr>
        <w:pStyle w:val="BookText"/>
        <w:rPr/>
      </w:pPr>
      <w:r>
        <w:rPr>
          <w:rFonts w:ascii="IRNazanin" w:hAnsi="IRNazanin" w:eastAsia="IRNazanin"/>
          <w:color w:val="111111"/>
          <w:sz w:val="28"/>
          <w:sz w:val="28"/>
          <w:szCs w:val="28"/>
          <w:rtl w:val="true"/>
          <w:lang w:bidi="fa-IR"/>
        </w:rPr>
        <w:t>و من الموارد دوران الأمر بین التخصیص و النسخ</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قبل تحقیق المقام لا بأس بالإشارة إلی حال المخصّصات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الصوارف الواردة فی کلام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مضیّ زمان طویل علی وقت العمل بالعمومات و المطلقات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ناسخة لحکمها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کاشفة عن اتصالها بمخصّصاتها و مقیّداتها، و قد اختفت علینا المتّصلات، و وصلت إلینا بنحو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المخصّصات و سائر الصوارف مودعة لدی الأئمّة علیهم السلام و تأخّر بیانها عن وقت العمل غیر قبیح إذا اقتضت المصلحة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الشیخ الأنصاریّ الاحتمال الأخیر، و بعض أعاظم العصر الاحتمال الثانی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جمیعها بعیدة؛ أمّا احتمال النسخ فهو کالضروریّ البطلان؛</w:t>
      </w:r>
    </w:p>
    <w:p>
      <w:pPr>
        <w:pStyle w:val="BookText"/>
        <w:rPr/>
      </w:pPr>
      <w:r>
        <w:rPr>
          <w:rFonts w:ascii="IRNazanin" w:hAnsi="IRNazanin" w:eastAsia="IRNazanin"/>
          <w:color w:val="111111"/>
          <w:sz w:val="28"/>
          <w:sz w:val="28"/>
          <w:szCs w:val="28"/>
          <w:rtl w:val="true"/>
          <w:lang w:bidi="fa-IR"/>
        </w:rPr>
        <w:t>فإنّ احتمال کون أمد نوع أحکام اللَّه تعالی المجعولة فی صدر الإسلام إلی زمن الصادقین علیهما السلام، و حدوث مصالح فی زمانهما مقتضیة لتغییرها و نسخها، مقطوع البطلان، بل ضروریّ الفساد عند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احتمال کون المخصّصات و المقیّدات کلّها متّصلة فی کلام رسول اللَّه صلی الله علیه و آله و سلم و عرض الانفصال بعد ذلک أیضاً ضروریّ الفساد؛ ضرورة أنّ العامّة و الخاصّة حدّثوا بالکلّیات الکثیرة إلی ما شاء اللَّه عن رسول اللَّه صلی الله علیه و آله و سلم بنحو التشریع و التقنین من غیر ذکر المخصّصات و المقیّدات، 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المحدّثین من الفریقین ترکوا الصوارف عمداً، أو سهواً و خطأً، و مجرّد ورود کثیر من المخصّصات التی فی لسان الأئمّة علیهم السلام من طرق العامّة أیضاً،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احتمال إیداع نوع الأحکام الواقعیّة لدی الأئمّة علیهم السلام و إخفائها عن سائر الناس، بعید غایته، بل یمکن دعوی وضوح بطلانه؛ لأنّ ذلک مخالف لتبلیغ الأحکام، و دعوی اقتضاء المصلحة ذلک مجازفة، فأیّة مصلحة تقتضی کون نوع الأحکام معطّلة غیر 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مخالفة ذلک لقوله صلی الله علیه و آله و سلم فی حجّة الوداع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ما من شی‌ء یقرّبکم من الجنّة و یباعدکم من النار إلّا و قد أمرتکم به، و ما من</w:t>
      </w:r>
      <w:bookmarkStart w:id="130" w:name="pg2353_14650"/>
    </w:p>
    <w:p>
      <w:pPr>
        <w:pStyle w:val="BookText"/>
        <w:rPr/>
      </w:pPr>
      <w:bookmarkEnd w:id="130"/>
      <w:r>
        <w:rPr>
          <w:rFonts w:ascii="IRNazanin" w:hAnsi="IRNazanin" w:eastAsia="IRNazanin"/>
          <w:color w:val="111111"/>
          <w:sz w:val="28"/>
          <w:sz w:val="28"/>
          <w:szCs w:val="28"/>
          <w:rtl w:val="true"/>
          <w:lang w:bidi="fa-IR"/>
        </w:rPr>
        <w:t>شی‌ء یقرّبکم من النار و یباعدکم من الجنّة، إلّا و قد نهیتکم عنه</w:t>
      </w:r>
      <w:r>
        <w:rPr>
          <w:rFonts w:eastAsia="IRNazanin" w:cs="IRNazanin"/>
          <w:color w:val="111111"/>
          <w:sz w:val="28"/>
          <w:szCs w:val="28"/>
          <w:rtl w:val="true"/>
          <w:lang w:bidi="fa-IR"/>
        </w:rPr>
        <w:t>»</w:t>
      </w:r>
    </w:p>
    <w:p>
      <w:pPr>
        <w:pStyle w:val="BookText"/>
        <w:rPr/>
      </w:pP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إیداعها لدی أمیر المؤمنین علیه السلام یکفی فی رفع المنافاة، کما تری</w:t>
      </w:r>
      <w:r>
        <w:rPr>
          <w:rFonts w:eastAsia="IRNazanin" w:cs="IRNazanin"/>
          <w:color w:val="111111"/>
          <w:sz w:val="28"/>
          <w:szCs w:val="28"/>
          <w:rtl w:val="true"/>
          <w:lang w:bidi="fa-IR"/>
        </w:rPr>
        <w:t>.</w:t>
      </w:r>
    </w:p>
    <w:p>
      <w:pPr>
        <w:pStyle w:val="Heading5"/>
        <w:numPr>
          <w:ilvl w:val="4"/>
          <w:numId w:val="1"/>
        </w:numPr>
        <w:rPr/>
      </w:pPr>
      <w:bookmarkStart w:id="131" w:name="__RefHeading___Toc2705049_3804643083"/>
      <w:bookmarkStart w:id="132" w:name="_Toc49"/>
      <w:bookmarkEnd w:id="131"/>
      <w:r>
        <w:rPr>
          <w:rtl w:val="true"/>
        </w:rPr>
        <w:t>علل الاختلاف بین العامّة و الخاصّة و تأخیر بیان المخصّصات</w:t>
      </w:r>
      <w:bookmarkEnd w:id="132"/>
    </w:p>
    <w:p>
      <w:pPr>
        <w:pStyle w:val="BookText"/>
        <w:rPr/>
      </w:pP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علل اختلاف الأحکام بین العامّة و الخاصّة، و اختفائها عن العامّة، و تأخیرِ المخصّصات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و إن بلّغ جمیع الأحکام الکلّیة للُامّة، لکن لمّا لم تکن دواعی الحفظ فی صدر الشریعة و أوّل بدء الإسلام قویّة، لم یضبط جمیعَها بخصوصیّاتها إلّا من هو بطانته و أهل بیته، و لم یکن فی الامّة من هو أشدّ اهتماماً و أقوی ضبطاً من أمیر المؤمنین علیه السلام فهو لشدّة اهتمامه ضبط جمیع الأحکام، و تمامَ خصوصیّات الکتاب الإلهیّ؛ تفسیرِها، و تأولیها، و ما کانت دخیلة فی فهم آیات الکتاب، و ضوابط السنن النبویّة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القرآن الذی جمعه و أراد تبلیغه للناس بعد رسول اللَّه</w:t>
      </w:r>
      <w:r>
        <w:rPr>
          <w:rStyle w:val="FootnoteAnchor"/>
          <w:rtl w:val="true"/>
        </w:rPr>
        <w:footnoteReference w:id="86"/>
      </w:r>
      <w:r>
        <w:rPr>
          <w:rFonts w:ascii="IRNazanin" w:hAnsi="IRNazanin" w:eastAsia="IRNazanin"/>
          <w:color w:val="111111"/>
          <w:sz w:val="28"/>
          <w:sz w:val="28"/>
          <w:szCs w:val="28"/>
          <w:rtl w:val="true"/>
          <w:lang w:bidi="fa-IR"/>
        </w:rPr>
        <w:t>هو القرآن الکریم مع جمیع الخصوصیّات الدخیلة فی فهمه المضبوطة عنده بتعلیم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و إن بلّغ الأحکام حتّی أرش الخدش للُامّة، لکن من لم یفت منه شی‌ء من الأحکام، و ضبط جمیعها کتاباً و سنّة؛ هو أمیر المؤمنین علیه السلام، فی حین فات القومَ کثیر منها؛ لقلّة اهتمامهم بذلک، و یدلّ علی ما ذکر بعض الروایات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لأئمة،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لامتیازهم الذاتیّ عن سائر الناس فی فهم الکتاب و السنّة، بعد امتیازهم عنهم فی سائر الکمالات، فهموا جمیع التفریعات المتفرّعة علی الاصول الکلّیة التی شرعها رسول اللَّه صلی الله علیه و آله و سلم و نزل بها الکتاب الإلهیّ، ففتح لهم من کلّ باب فتحه رسول اللَّه صلی الله علیه و آله و سلم للُامّة ألف باب، حین کون غیرهم قاصرین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الکتاب و السنّة و ما یتفرّع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 العلم، و نکت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 لهم خلفاً عن سلف، و غیرهم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نقصانهم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العلم الکثیر النافع، فیعوّلون علی اجتهادهم الناقص، من غیر ضبط الکتاب و السنّة تأویلًا و تنزیلًا، و من غیر رجوع إلی من رزقه اللَّه تعالی علمهما و خصّه به، فتری فی آیة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کآیة الوضوء</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اختلافهم مع غیرهم</w:t>
      </w:r>
      <w:r>
        <w:rPr>
          <w:rStyle w:val="FootnoteAnchor"/>
          <w:rtl w:val="true"/>
        </w:rPr>
        <w:footnoteReference w:id="89"/>
      </w:r>
      <w:r>
        <w:rPr>
          <w:rFonts w:ascii="IRNazanin" w:hAnsi="IRNazanin" w:eastAsia="IRNazanin"/>
          <w:color w:val="111111"/>
          <w:sz w:val="28"/>
          <w:sz w:val="28"/>
          <w:szCs w:val="28"/>
          <w:rtl w:val="true"/>
          <w:lang w:bidi="fa-IR"/>
        </w:rPr>
        <w:t>و قس علی ذلک غیره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باب واسع یردّ إلیه نوع الاختلافات الواقعة فی الامّة، و لقد أشار إلی</w:t>
      </w:r>
    </w:p>
    <w:p>
      <w:pPr>
        <w:pStyle w:val="BookText"/>
        <w:rPr/>
      </w:pPr>
      <w:r>
        <w:rPr>
          <w:rFonts w:ascii="IRNazanin" w:hAnsi="IRNazanin" w:eastAsia="IRNazanin"/>
          <w:color w:val="111111"/>
          <w:sz w:val="28"/>
          <w:sz w:val="28"/>
          <w:szCs w:val="28"/>
          <w:rtl w:val="true"/>
          <w:lang w:bidi="fa-IR"/>
        </w:rPr>
        <w:t>ما ذکرنا کثیر من الروایات فی الأبواب المختلفة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فالصوارف التی فی لسانهم علیهم السلام یمکن صدور کثیر منها من رسول اللَّه منفصلة عن العمومات و المطلقات، و لم یضبطها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خازن علمه؛ أمیر المؤمنین، و أودعها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اخّر البیان إلی زمن الصادقین علیهما السلام لابتلاء سائر الأئمّة المتقدّمین علیهما ببلیّات کثیرة، سُدّ علیهم لأجلها بیان الأحکام، کما یشهد به التأریخ، فلمّا بلغ زمانهما اتّسع لهما المجال فی برهة من الزمان، فاجتمع العلماء و المحدّثون حولهما، و انتشرت الأحکام و انبثّت البرکات، و لو اتّسع المجال 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اتّسع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لصارت الأحکام منتشرة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تأمّلت فیما ذکرنا، و تتبّعت الأخبار، لوجدت ما ذکرنا احتمالًا قریباً قابلًا للتصدیق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ورد عامّ و خاصّ، و دار الأمر بین النسخ و التخصیص،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تقدّم صدور العامّ علی الخاصّ، و حضور وقت العمل به، ثمّ ورد الخاصّ، و شکّ فی کونه نسخاً أو تخصیصاً،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حضور وقت العمل به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کونه ناسخاً من حین وروده، أو مخصّصاً له من الأوّل، و کان حکم العامّ بالنسبة إلی الفسّاق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تقدّم الخاصّ علی العامّ مع حضور وقت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التقدّم و التأخّر، بل کانا مجهولین من جهات اخری أیضاً، فاحتمل ورود الخاصّ قبل حضور العمل بالعامّ و بعده، و کذا فی العامّ علی فرض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نقول بأنّ دلیل استمرار حکم العامّ، هو الإطلاق المقامیّ؛ أی کونُ المقام مقام التشریع مع عدم ذکر الغایة للحکم، هو موضوعُ حکم العقلاء باستمرار الحکم، أو موضوع حجیّة العامّ لدی العقلاء علی جمیع الرعیّة الموجودین فی عمود الزمان فی جمیع الأعصار، أو إطلاق الحکم أو متعلّقه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دلیله هو الأدلّة الخارجیّة،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w:t>
      </w:r>
      <w:r>
        <w:rPr>
          <w:rFonts w:eastAsia="IRNazanin" w:cs="IRNazanin"/>
          <w:color w:val="111111"/>
          <w:sz w:val="28"/>
          <w:szCs w:val="28"/>
          <w:rtl w:val="true"/>
          <w:lang w:bidi="fa-IR"/>
        </w:rPr>
        <w:t>»</w:t>
      </w:r>
    </w:p>
    <w:p>
      <w:pPr>
        <w:pStyle w:val="BookText"/>
        <w:rPr/>
      </w:pPr>
      <w:r>
        <w:rPr>
          <w:rStyle w:val="FootnoteAnchor"/>
          <w:rtl w:val="true"/>
        </w:rPr>
        <w:footnoteReference w:id="9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علی الأوّلین حکمی علی الآخرین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دلیله نفس القضایا الملقاة من الشارع بنحو القضیّة الحقیقیّة؛ فیما کانت کذلک،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یدلّ بنفسه علی أنّ کلّ من وجد فی الخارج و کان مؤمناً، یجب علیه الوفاء بکلّ عقد</w:t>
      </w:r>
    </w:p>
    <w:p>
      <w:pPr>
        <w:pStyle w:val="BookText"/>
        <w:rPr/>
      </w:pPr>
      <w:r>
        <w:rPr>
          <w:rFonts w:ascii="IRNazanin" w:hAnsi="IRNazanin" w:eastAsia="IRNazanin"/>
          <w:color w:val="111111"/>
          <w:sz w:val="28"/>
          <w:sz w:val="28"/>
          <w:szCs w:val="28"/>
          <w:rtl w:val="true"/>
          <w:lang w:bidi="fa-IR"/>
        </w:rPr>
        <w:t>صدر منه فی ظرف تحقّقه، و هو حجّة علی کلّ من اطلع علیه و مخاطب به فی ظرف وجوده فی عمود الزمان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علی الاستمرار هو السکوت فی مقام البیان</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تقدّم النسخ علی التخصیص، بالبیان الذی ذکرناه فی دوران الأمر بین التخصیص و التقیید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ادّعی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النسخ یتوقّف علی ثبوت حکم العامّ، و أصالة الظهور فی الخاصّ الحاکمة علی العامّ، ترفع موضوع النسخ</w:t>
      </w:r>
      <w:r>
        <w:rPr>
          <w:rStyle w:val="FootnoteAnchor"/>
          <w:rtl w:val="true"/>
        </w:rPr>
        <w:footnoteReference w:id="96"/>
      </w:r>
      <w:r>
        <w:rPr>
          <w:rFonts w:ascii="IRNazanin" w:hAnsi="IRNazanin" w:eastAsia="IRNazanin"/>
          <w:color w:val="111111"/>
          <w:sz w:val="28"/>
          <w:sz w:val="28"/>
          <w:szCs w:val="28"/>
          <w:rtl w:val="true"/>
          <w:lang w:bidi="fa-IR"/>
        </w:rPr>
        <w:t>منظور فیه؛ لأنّ ذلک علی فرض تسلیمه، إنّما هو فیما محّض الدلیل فی التخصیص؛ أی لم یکن احتمال النسخ فی البین، و دار الأمر بین تقدیم العامّ أو الخاصّ، لا فیما دار الأمر بین النسخ و التخصیص</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فحکومة أصالة الظهور فی الخاصّ علی أصالة الظهور فی العامّ، لا توجب</w:t>
      </w:r>
    </w:p>
    <w:p>
      <w:pPr>
        <w:pStyle w:val="BookText"/>
        <w:rPr/>
      </w:pPr>
      <w:r>
        <w:rPr>
          <w:rFonts w:ascii="IRNazanin" w:hAnsi="IRNazanin" w:eastAsia="IRNazanin"/>
          <w:color w:val="111111"/>
          <w:sz w:val="28"/>
          <w:sz w:val="28"/>
          <w:szCs w:val="28"/>
          <w:rtl w:val="true"/>
          <w:lang w:bidi="fa-IR"/>
        </w:rPr>
        <w:t>تقدّم التخصیص علی النسخ، بل لمّا کانت الحجّة علی الاستمرار منتزعة من السکوت فی مقام البیان، یکون الدلیل الدالّ علی قطع الحکم، بیاناً و قاطعاً للسکوت، فیرتفع موضوع الحجیّة به، کما تقدّم بیانه، و ممّا ذکرنا ظهر الحال فی إطلاق الحکم أو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علیه هو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و إن کان ضعیفاً غایته، لکن علی فرضه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أیضاً یقدّم، إن قلنا إنّ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قبیل الإطلاق؛ لدوران الأمر بین تخصیص العامّ و تقیید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قبیل العموم، و إنّ المصدر المضاف یفید العموم وضعاً، فیدور الأمر بین تخصیص أحد الدلیلین، و لا مرجّح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الاستمرار هو ظهور القضایا الحقیقیّة فیه، یکون النسخ أیضاً مقدّماً؛ لدوران الأمر بین تخصیص العامّ من الأوّل، أو تخصیصه من زمن ورود الخاصّ، فدار الأمر بین الأقلّ و الأکثر فی التخصیص، و علی النسخ یکون التخصیص أقلّ؛ لأنّ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للعامّ فی الأفراد المتأخّرة عن ورود الخاصّ، هذا کلّه فی العامّ المتقدّم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متأخراً، و دار الأمر بین کون الخاصّ مخصّصاً له، أو العامّ ناسخاً للخاصّ، فحاله کسابقه إلّا فی قضیّة دوران الأمر بین الأقلّ و الأکثر فی التخصیص؛ لأنّ المورد یکون من دوران الأمر بین کون العامّ ناسخاً للخاصّ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مخصّصاً له فی الأفراد التی تتحقّق فی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الخاصّ المقدّم مخصّصاً للعامّ، و تقدیم أحدهما علی الآخر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أکثریّة التخصیص من النسخ فی مثل هذین الموردین ممنوعة؛ لأنّ التخصیص بعد حضور وقت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جدّاً، بل وقوعه مشکوک فیه و إن کان جائزاً بالاحتمال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العلم بوقوعه یکون الاحتمال الذی أبداه الشیخ</w:t>
      </w:r>
      <w:r>
        <w:rPr>
          <w:rStyle w:val="FootnoteAnchor"/>
          <w:rtl w:val="true"/>
        </w:rPr>
        <w:footnoteReference w:id="97"/>
      </w:r>
      <w:r>
        <w:rPr>
          <w:rFonts w:ascii="Amiri" w:hAnsi="Amiri" w:eastAsia="Amiri" w:cs="Amiri"/>
          <w:color w:val="111111"/>
          <w:sz w:val="28"/>
          <w:sz w:val="28"/>
          <w:szCs w:val="28"/>
          <w:rtl w:val="true"/>
          <w:lang w:bidi="ar-SA"/>
        </w:rPr>
        <w:t>دافعاً للامتناع، و کذا تأخّر العامّ عن الخاصّ أیضاً لم یکن شائعاً متعارفاً، حتّی یتقدّم لأجله علی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مع الجهل بتأریخهما، و الشکّ فی النسخ و التخصیص، الناشئ من أنّ الخاصّ ورد قبل حضور العمل بالعامّ، حتّی یتمحّض فی التخصیص، أو بعد حضوره حتّی یتمحّض فی النسخ علی ما عرفت، أو العامّ ورد بعد حضور وقت العمل بالخاصّ أو قبله، فیدور الأمر بین کون المورد من الموارد التی تتمحّض فی التخصیص، أو الموارد التی یقدّم النسخ، ففی مثله لا یأتی ما ذکرنا من تقدیم النسخ بالوجوه المتقدّمة کما هو واضح، فلا یبعد أن یکون التخصیص مقدّماً؛ لکثرته و تعارفه، بحیث لا یعتنی العقلاء بالاحتمال المقابل له مع ندرته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العقلاء لا یعتنون بالاحتمال النادر فی مقابل</w:t>
      </w:r>
    </w:p>
    <w:p>
      <w:pPr>
        <w:pStyle w:val="BookText"/>
        <w:rPr/>
      </w:pPr>
      <w:r>
        <w:rPr>
          <w:rFonts w:ascii="IRNazanin" w:hAnsi="IRNazanin" w:eastAsia="IRNazanin"/>
          <w:color w:val="111111"/>
          <w:sz w:val="28"/>
          <w:sz w:val="28"/>
          <w:szCs w:val="28"/>
          <w:rtl w:val="true"/>
          <w:lang w:bidi="fa-IR"/>
        </w:rPr>
        <w:t>الکثرة، کما فی الشبهة غیر المحصورة، بل و فی باب أصالة الصحّة فی العقود، و فی باب العیوب، کذلک لا یعتنون باحتمال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یعلم وقوعه فی الشریعة إلّا فی موارد قلیلة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التخصیص و التقیید الرائجین الشائعین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فقه الإسلام علی التخصیص و التقیید، و قلّما یتّفق أن یتفوّه فقیه بالنسخ، مع أنّ فی جلّ الموارد یتردّد الأمر بینهما؛ للجهل بتأریخ صدورهما، و عروض الاحتمالات المتقدّمة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مقدّم علی التخصیص فی بعض الصور، و بالعکس فی بعضها، و لا یتقدّم أحدهما علی الآخر فی بعضها، علی بعض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ممّا ذکروا فی وجه تقدیم التخصیص علی النسخ؛ من کثرته</w:t>
      </w:r>
      <w:r>
        <w:rPr>
          <w:rStyle w:val="FootnoteAnchor"/>
          <w:rtl w:val="true"/>
        </w:rPr>
        <w:footnoteReference w:id="98"/>
      </w:r>
      <w:r>
        <w:rPr>
          <w:rFonts w:ascii="IRNazanin" w:hAnsi="IRNazanin" w:eastAsia="IRNazanin"/>
          <w:color w:val="111111"/>
          <w:sz w:val="28"/>
          <w:sz w:val="28"/>
          <w:szCs w:val="28"/>
          <w:rtl w:val="true"/>
          <w:lang w:bidi="fa-IR"/>
        </w:rPr>
        <w:t>و وجهِ تقدیم النسخ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تقیید الإطلاق أهون من التخصیص</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الدلیلین واردان علی موضوع واحد، ففی مورد واحد یتشبّث کلّ بما ذکر من وجه التقدیم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اتّضح بما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التمسّک بأهونیّة التقیید، إنّما هو فیما علم التأریخ، و لا یجری فی المجهول، و مورد التشبّث بالکثرة إنّما هو فی مجهولی التأریخ دون غیرهما، فلا یخلو استدلالهم من الخلط</w:t>
      </w:r>
      <w:r>
        <w:rPr>
          <w:rFonts w:eastAsia="IRNazanin" w:cs="IRNazanin"/>
          <w:color w:val="111111"/>
          <w:sz w:val="28"/>
          <w:szCs w:val="28"/>
          <w:rtl w:val="true"/>
          <w:lang w:bidi="fa-IR"/>
        </w:rPr>
        <w:t>.</w:t>
      </w:r>
      <w:bookmarkStart w:id="133" w:name="pg2353_14659"/>
    </w:p>
    <w:p>
      <w:pPr>
        <w:pStyle w:val="Heading5"/>
        <w:numPr>
          <w:ilvl w:val="4"/>
          <w:numId w:val="1"/>
        </w:numPr>
        <w:rPr/>
      </w:pPr>
      <w:bookmarkStart w:id="134" w:name="__RefHeading___Toc2705051_3804643083"/>
      <w:bookmarkStart w:id="135" w:name="_Toc50"/>
      <w:bookmarkEnd w:id="133"/>
      <w:bookmarkEnd w:id="134"/>
      <w:r>
        <w:rPr>
          <w:rtl w:val="true"/>
        </w:rPr>
        <w:t>و من الموارد المتقدّمة دوران الأمر بین تقیید الإطلاق و حمل الأمر علی الاستحباب، أو النهی علی الکراهة</w:t>
      </w:r>
      <w:bookmarkEnd w:id="135"/>
    </w:p>
    <w:p>
      <w:pPr>
        <w:pStyle w:val="BookText"/>
        <w:rPr/>
      </w:pPr>
      <w:r>
        <w:rPr>
          <w:rFonts w:ascii="IRNazanin" w:hAnsi="IRNazanin" w:eastAsia="IRNazanin"/>
          <w:color w:val="111111"/>
          <w:sz w:val="28"/>
          <w:sz w:val="28"/>
          <w:szCs w:val="28"/>
          <w:rtl w:val="true"/>
          <w:lang w:bidi="fa-IR"/>
        </w:rPr>
        <w:t>و مجمل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فی مقام البیان، قد یقع فی جواب سؤال من یرید العمل به، کما لو سأل رجل عن تکلیفه الفعلیّ فیما إذا أفطر یوماً من شهر رمضان متعمّداً، فقال الإمام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لیعمل به، ثمّ بعده ورد دلیل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یکون حمل النهی علی الکراهة و الأمرِ علی الاستحباب، أهونَ بل متعیّناً؛ لأنّ فی تقیید الإطلاق محذورَ الإغراء بالجهل الممتنع، أو النسخ المستبعد جدّاً، أو کون حکم المطلق بإطلاقه صوریّاً لمصالح، و هو أیضاً بعید جدّاً، و أمّا حمل النهی علی الکراهة، أو الأمر علی الاستحباب، فلا محذور فیه إلّا مخالفة ظاهرهما، أو إطلاقهما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یقع الإطلاق فی مقام البیان فی جواب مثل زرارة</w:t>
      </w:r>
      <w:r>
        <w:rPr>
          <w:rStyle w:val="FootnoteAnchor"/>
          <w:rtl w:val="true"/>
        </w:rPr>
        <w:footnoteReference w:id="100"/>
      </w:r>
      <w:r>
        <w:rPr>
          <w:rFonts w:ascii="Amiri" w:hAnsi="Amiri" w:eastAsia="Amiri" w:cs="Amiri"/>
          <w:color w:val="111111"/>
          <w:sz w:val="28"/>
          <w:sz w:val="28"/>
          <w:szCs w:val="28"/>
          <w:rtl w:val="true"/>
          <w:lang w:bidi="ar-SA"/>
        </w:rPr>
        <w:t>و محمّد بن</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101"/>
      </w:r>
      <w:r>
        <w:rPr>
          <w:rFonts w:ascii="IRNazanin" w:hAnsi="IRNazanin" w:eastAsia="IRNazanin"/>
          <w:color w:val="111111"/>
          <w:sz w:val="28"/>
          <w:sz w:val="28"/>
          <w:szCs w:val="28"/>
          <w:rtl w:val="true"/>
          <w:lang w:bidi="fa-IR"/>
        </w:rPr>
        <w:t>و أمثالهما من الفقهاء و أصحاب الجوامع و الاصول؛ ممّن یکون مقصدهم جمع المسائل و تدوینَ الکتب، فحینئذٍ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للأمر و النهی ظهوراً وضعیّاً أو انصرافیّاً فی الوجوب و الحرمة، فالحمل علیهما و تقیید الإطلاق أولی؛ لما ذکرنا سابقاً من أنّ الإطلاق لا یکون من قبیل ظهور اللفظ، بل إنّما یحکم به من السکوت فی مقام البیان</w:t>
      </w:r>
      <w:r>
        <w:rPr>
          <w:rStyle w:val="FootnoteAnchor"/>
          <w:rtl w:val="true"/>
        </w:rPr>
        <w:footnoteReference w:id="102"/>
      </w:r>
      <w:r>
        <w:rPr>
          <w:rFonts w:ascii="IRNazanin" w:hAnsi="IRNazanin" w:eastAsia="IRNazanin"/>
          <w:color w:val="111111"/>
          <w:sz w:val="28"/>
          <w:sz w:val="28"/>
          <w:szCs w:val="28"/>
          <w:rtl w:val="true"/>
          <w:lang w:bidi="fa-IR"/>
        </w:rPr>
        <w:t>و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لهما من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یصیران بیاناً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محمولان علیهما؛ قضاء للإطلاق، و إنّما هما موضوعان لمطلق البعث و الزجر، لکنّ البعث المطلق من غیر الإذن فی الترک، و الزجرَ من دون الإذن فی الفعل، یکونان حجّتین علی العبد، فترجیح أحد الحملین علی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مشکل و إن کان التقیید 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العرف، و أمّا تحقیق حال الأمر و النهی فموکول إلی محلّه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36" w:name="pg2353_14662"/>
    </w:p>
    <w:p>
      <w:pPr>
        <w:pStyle w:val="Heading4"/>
        <w:numPr>
          <w:ilvl w:val="3"/>
          <w:numId w:val="1"/>
        </w:numPr>
        <w:rPr/>
      </w:pPr>
      <w:bookmarkStart w:id="137" w:name="__RefHeading___Toc2705053_3804643083"/>
      <w:bookmarkStart w:id="138" w:name="_Toc51"/>
      <w:bookmarkEnd w:id="136"/>
      <w:bookmarkEnd w:id="137"/>
      <w:r>
        <w:rPr>
          <w:rtl w:val="true"/>
        </w:rPr>
        <w:t>المبحث الثالث ما إذا کان التعارض بین أکثر من دلیلَین</w:t>
      </w:r>
      <w:bookmarkEnd w:id="138"/>
    </w:p>
    <w:p>
      <w:pPr>
        <w:pStyle w:val="Heading5"/>
        <w:numPr>
          <w:ilvl w:val="4"/>
          <w:numId w:val="1"/>
        </w:numPr>
        <w:rPr/>
      </w:pPr>
      <w:bookmarkStart w:id="139" w:name="__RefHeading___Toc2705055_3804643083"/>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 هی کثیرة نذکر مهمّاتها</w:t>
      </w:r>
      <w:r>
        <w:rPr>
          <w:rFonts w:eastAsia="IRNazanin" w:cs="IRNazanin"/>
          <w:color w:val="111111"/>
          <w:sz w:val="28"/>
          <w:szCs w:val="28"/>
          <w:rtl w:val="true"/>
          <w:lang w:bidi="fa-IR"/>
        </w:rPr>
        <w:t>:</w:t>
      </w:r>
    </w:p>
    <w:p>
      <w:pPr>
        <w:pStyle w:val="Heading5"/>
        <w:numPr>
          <w:ilvl w:val="4"/>
          <w:numId w:val="1"/>
        </w:numPr>
        <w:rPr/>
      </w:pPr>
      <w:bookmarkStart w:id="141" w:name="__RefHeading___Toc2705057_3804643083"/>
      <w:bookmarkStart w:id="142" w:name="_Toc53"/>
      <w:bookmarkEnd w:id="141"/>
      <w:r>
        <w:rPr>
          <w:rtl w:val="true"/>
        </w:rPr>
        <w:t>منها</w:t>
      </w:r>
      <w:r>
        <w:rPr>
          <w:rtl w:val="true"/>
        </w:rPr>
        <w:t xml:space="preserve">: </w:t>
      </w:r>
      <w:r>
        <w:rPr>
          <w:rtl w:val="true"/>
        </w:rPr>
        <w:t>ما إذا ورد عامّ و خاصّان مختلفان موضوعاً</w:t>
      </w:r>
      <w:bookmarkEnd w:id="142"/>
    </w:p>
    <w:p>
      <w:pPr>
        <w:pStyle w:val="BookText"/>
        <w:rPr/>
      </w:pPr>
      <w:r>
        <w:rPr>
          <w:rFonts w:ascii="IRNazanin" w:hAnsi="IRNazanin" w:eastAsia="IRNazanin"/>
          <w:color w:val="111111"/>
          <w:sz w:val="28"/>
          <w:sz w:val="28"/>
          <w:szCs w:val="28"/>
          <w:rtl w:val="true"/>
          <w:lang w:bidi="fa-IR"/>
        </w:rPr>
        <w:t xml:space="preserve">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منفصلًا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البصریّین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تخصیص العامّ بهما من غیر لحاظ تقدّم أحدهما حتّی تنقلب النسبة لو فرض فی مورد، إلّا إذا لزم منه محذور التخصیص المستهجن، فحینئذٍ یقع التعارض بالعرض بین الخاصّین، فمع ترجیح أحدهما یؤخذ به و یخصّص به العامّ، و مع التساوی یؤخذ بأحدهما تخییراً أو یخصّص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أخبار العلاج لمثل هذا التعارض و لو بإلغاء الخصوصیّة، أو فهم المناط القطعیّ، و إلّا فالقاعدة تقتضی تساقطهما لو لا الإجماع علی عدم</w:t>
      </w:r>
    </w:p>
    <w:p>
      <w:pPr>
        <w:pStyle w:val="BookText"/>
        <w:rPr/>
      </w:pPr>
      <w:r>
        <w:rPr>
          <w:rFonts w:ascii="IRNazanin" w:hAnsi="IRNazanin" w:eastAsia="IRNazanin"/>
          <w:color w:val="111111"/>
          <w:sz w:val="28"/>
          <w:sz w:val="28"/>
          <w:szCs w:val="28"/>
          <w:rtl w:val="true"/>
          <w:lang w:bidi="fa-IR"/>
        </w:rPr>
        <w:t>التساقط</w:t>
      </w:r>
      <w:r>
        <w:rPr>
          <w:rStyle w:val="FootnoteAnchor"/>
          <w:rtl w:val="true"/>
        </w:rPr>
        <w:footnoteReference w:id="104"/>
      </w:r>
      <w:r>
        <w:rPr>
          <w:rFonts w:ascii="IRNazanin" w:hAnsi="IRNazanin" w:eastAsia="IRNazanin"/>
          <w:color w:val="111111"/>
          <w:sz w:val="28"/>
          <w:sz w:val="28"/>
          <w:szCs w:val="28"/>
          <w:rtl w:val="true"/>
          <w:lang w:bidi="fa-IR"/>
        </w:rPr>
        <w:t>و لعلّه یأتی لبیان ذلک و تحقیقه کلامٌ فی مستأنف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اختاره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التعارض بین مجموع الخاصّین و العامّ؛ لأنّ مجموعهما مباین 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 الدلیلین لیس من الأدلّة، بل لا وجود له فی الخارج، و إنّما هو اعتبار عقلیّ، فالموجود فی الخارج و الصادر من الأئمّة علیهم السلام هو کلّ واحد من الخاصّین بخصوصه، و العامّ لا یباین و لا یعارض کلًّا منهما، و لا یعارض المجموع الذی لا وجود له و هو أمر اعتباریّ، فالتعارض إنّما هو بین الخاصّین، لکن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تلازم حکم الخاصّین، فقد یقع التعارض بین العامّ و کلّ واحد من الخاصّین،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العدول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العلم بتلازم الخاصّین، یقع التعارض بین کلّ خاصّ مع العامّ، و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یقع التعارض بین الجمیع،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عدولهم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تلازم حکم الخاصّین؛ بمعنی أنّه إذا حرم إکرام فسّاقهم حرم إکرام الجمیع، و إن استحبّ استحبّ، فهو فی حکم 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کلّه إذا</w:t>
      </w:r>
    </w:p>
    <w:p>
      <w:pPr>
        <w:pStyle w:val="BookText"/>
        <w:rPr/>
      </w:pPr>
      <w:r>
        <w:rPr>
          <w:rFonts w:ascii="Amiri" w:hAnsi="Amiri" w:eastAsia="Amiri" w:cs="Amiri"/>
          <w:color w:val="111111"/>
          <w:sz w:val="28"/>
          <w:sz w:val="28"/>
          <w:szCs w:val="28"/>
          <w:rtl w:val="true"/>
          <w:lang w:bidi="ar-SA"/>
        </w:rPr>
        <w:t>کان الخاصّان لفظیّین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کان أحدهما لبّیاً کإجماع أو عقل، فإن احتفّ العامّ به؛ بحیث یکون قرینة علی صرفه، و ینعقد ظهوره فیما عدا المخصّص، فلا إشکال فی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لو کان أحد اللفظیّین کذلک، بل لیس هذا من انقلابها؛ لعدم ظهور العامّ أوّلًا فی غیر مورد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إذا لم یحتفّ العامّ بالدلیل اللبّی، و انعقد ظهور العامّ فی العموم، فقد یقال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بانقلاب النسبة؛ لأنّ اعتبار الاصول اللّفظیة معلّق علی عدم القطع بخلافها، فیکون العامّ قاصراً من أوّل الأمر بالنسبة إلی مورد الخاصّ، و أمّا اللفظیّ فیکون من قبیل المانع و الرافع للحجّیة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الحاصل بعد انعقاد ظهور العامّ، أیضاً قاطع للحجّیة کالدلیل اللفظیّ، فإن ارید بتعلیقیّة الاصول اللفظیة، هی عدم حجّیتها قبل القطع بالخلاف، فهو ممنوع بالضرورة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بالخلاف، یکشف عن کون المراد الجدّی ما عدا مورد الخاصّ من أوّل الأمر، فهو کذلک، لکنّ المخصّص اللفظیّ أیضاً کذلک</w:t>
      </w:r>
      <w:r>
        <w:rPr>
          <w:rFonts w:eastAsia="IRNazanin" w:cs="IRNazanin"/>
          <w:color w:val="111111"/>
          <w:sz w:val="28"/>
          <w:szCs w:val="28"/>
          <w:rtl w:val="true"/>
          <w:lang w:bidi="fa-IR"/>
        </w:rPr>
        <w:t>.</w:t>
      </w:r>
      <w:bookmarkStart w:id="143" w:name="pg2353_14665"/>
    </w:p>
    <w:p>
      <w:pPr>
        <w:pStyle w:val="BookText"/>
        <w:rPr/>
      </w:pPr>
      <w:bookmarkEnd w:id="14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معتدّ به لانقلاب النسبة فی اللبّی أیضاً</w:t>
      </w:r>
      <w:r>
        <w:rPr>
          <w:rFonts w:eastAsia="IRNazanin" w:cs="IRNazanin"/>
          <w:color w:val="111111"/>
          <w:sz w:val="28"/>
          <w:szCs w:val="28"/>
          <w:rtl w:val="true"/>
          <w:lang w:bidi="fa-IR"/>
        </w:rPr>
        <w:t>.</w:t>
      </w:r>
    </w:p>
    <w:p>
      <w:pPr>
        <w:pStyle w:val="Heading5"/>
        <w:numPr>
          <w:ilvl w:val="4"/>
          <w:numId w:val="1"/>
        </w:numPr>
        <w:rPr/>
      </w:pPr>
      <w:bookmarkStart w:id="144" w:name="__RefHeading___Toc2705059_3804643083"/>
      <w:bookmarkStart w:id="145" w:name="_Toc54"/>
      <w:bookmarkEnd w:id="144"/>
      <w:r>
        <w:rPr>
          <w:rtl w:val="true"/>
        </w:rPr>
        <w:t>و منها</w:t>
      </w:r>
      <w:r>
        <w:rPr>
          <w:rtl w:val="true"/>
        </w:rPr>
        <w:t xml:space="preserve">: </w:t>
      </w:r>
      <w:r>
        <w:rPr>
          <w:rtl w:val="true"/>
        </w:rPr>
        <w:t>ما إذا ورد عامّ و خاصّان، مع کون النسبة بین الخاصّین العموم المطلق</w:t>
      </w:r>
      <w:bookmarkEnd w:id="145"/>
    </w:p>
    <w:p>
      <w:pPr>
        <w:pStyle w:val="BookText"/>
        <w:rPr/>
      </w:pPr>
      <w:r>
        <w:rPr>
          <w:rFonts w:ascii="IRNazanin" w:hAnsi="IRNazanin" w:eastAsia="IRNazanin"/>
          <w:color w:val="111111"/>
          <w:sz w:val="28"/>
          <w:sz w:val="28"/>
          <w:szCs w:val="28"/>
          <w:rtl w:val="true"/>
          <w:lang w:bidi="fa-IR"/>
        </w:rPr>
        <w:t>و 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کانا متوافقی الحکم،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قد لا یلزم من التخصیص الاستهجان، فیخصّص العامّ بهما إذا لم تحرز وحدة الحکم فیهما، فیکون فی مورد الأخصّ الخاصّ و الأخصّ دلیلًا علی التخصیص، و فی غیر مورده الخاصّ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احرزت وحدته یحمل الخاصّ علی الأخصّ، فیخصّص العامّ به، فیخرج النحویّون من الکوفیّین من العامّ، و 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لزم الاستهجان، فإمّا أن یلزم من الخاصّ فقط، أو من کلّ منهما مستقلًّا، و لا یعقل لزومه من مجموعهما؛ للتداخل بینهما، فما ظنّه بعض أعاظم العصر؛ من قیاس هذه الصورة بالصورة السابقة</w:t>
      </w:r>
      <w:r>
        <w:rPr>
          <w:rStyle w:val="FootnoteAnchor"/>
          <w:rtl w:val="true"/>
        </w:rPr>
        <w:footnoteReference w:id="107"/>
      </w:r>
      <w:r>
        <w:rPr>
          <w:rFonts w:ascii="IRNazanin" w:hAnsi="IRNazanin" w:eastAsia="IRNazanin"/>
          <w:color w:val="111111"/>
          <w:sz w:val="28"/>
          <w:sz w:val="28"/>
          <w:szCs w:val="28"/>
          <w:rtl w:val="true"/>
          <w:lang w:bidi="fa-IR"/>
        </w:rPr>
        <w:t>واضح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لزم من الخاصّ فقط یحمل الخاصّ علی الأخصّ، و یخصّص العامّ به؛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کونه جمعاً عرفیّاً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للاستهجان أیضاً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لزم منهما مستقلًّا، فلا محالة یکون تخصیص الخاصّ بالأخصّ</w:t>
      </w:r>
      <w:bookmarkStart w:id="146" w:name="pg2353_14666"/>
    </w:p>
    <w:p>
      <w:pPr>
        <w:pStyle w:val="BookText"/>
        <w:rPr/>
      </w:pPr>
      <w:bookmarkEnd w:id="146"/>
      <w:r>
        <w:rPr>
          <w:rFonts w:ascii="IRNazanin" w:hAnsi="IRNazanin" w:eastAsia="IRNazanin"/>
          <w:color w:val="111111"/>
          <w:sz w:val="28"/>
          <w:sz w:val="28"/>
          <w:szCs w:val="28"/>
          <w:rtl w:val="true"/>
          <w:lang w:bidi="fa-IR"/>
        </w:rPr>
        <w:t>مستهجناً، فیقع التعارض بین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الخاصّان مختلفی الحکم، و کان الأخصّ موافقاً للعامّ،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فسّاق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یلزم استهجان یجب تخصیص الخاصّ بالأخصّ، و العامّ بالخاصّ المخصّص، فیجب إکرام العلماء إلّا فسّاقهم ما عدا فسّاق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لزم من تخصیص العامّ بالخاصّ استهجان، فحینئذٍ قد یرفع استهجانه بتخصیصه بالأخصّ، فحکمه کذلک، و قد لا یرفع فیقع التعارض بین الخاصّ و العامّ، و یخصّص الخاصّ بالأخصّ إن لم یلزم استهجان منه، و إلّا فیقع التعارض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کلّ من العامّ و الخاصّین مختلفی الحکم،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فسّاق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ظهر حالها أیضاً، و اتّضح ما فی کلام بعض أعاظم العصر؛ من قیاس الصورة الثانیة بالأُولی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2705061_3804643083"/>
      <w:bookmarkStart w:id="148" w:name="_Toc55"/>
      <w:bookmarkEnd w:id="147"/>
      <w:r>
        <w:rPr>
          <w:rtl w:val="true"/>
        </w:rPr>
        <w:t>و منها</w:t>
      </w:r>
      <w:r>
        <w:rPr>
          <w:rtl w:val="true"/>
        </w:rPr>
        <w:t xml:space="preserve">: </w:t>
      </w:r>
      <w:r>
        <w:rPr>
          <w:rtl w:val="true"/>
        </w:rPr>
        <w:t>ما إذا ورد عامّ و خاصّان، و کانت النسبة بین الخاصّین عموماً من وجه</w:t>
      </w:r>
      <w:bookmarkEnd w:id="1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أیضاً الصور المتقدّمة، فإن کان الخاصّان متّفقی الحکم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تخصیص</w:t>
      </w:r>
    </w:p>
    <w:p>
      <w:pPr>
        <w:pStyle w:val="BookText"/>
        <w:rPr/>
      </w:pPr>
      <w:r>
        <w:rPr>
          <w:rFonts w:ascii="IRNazanin" w:hAnsi="IRNazanin" w:eastAsia="IRNazanin"/>
          <w:color w:val="111111"/>
          <w:sz w:val="28"/>
          <w:sz w:val="28"/>
          <w:szCs w:val="28"/>
          <w:rtl w:val="true"/>
          <w:lang w:bidi="fa-IR"/>
        </w:rPr>
        <w:t>العامّ بهما مع عدم المحذور المتقدّم، و إلّا فیعمل علی حکمه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مختلفی الحکم مع اتفاق حکم أحدهما مع العامّ،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 الخاصّان فی النحویّ الصرفیّ، و یخصّص العامّ بالخاصّ المخالف له فی غیر مورد التعارض، فتنقلب النسبة بین العامّ و الخاصّ المخالف له، من العموم المطلق إلی من وجه، لا لما ادّعی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العامّ المخصّص بالمتّصل أو المنفصل، یصیر معنوناً بعنوان الخاصّ</w:t>
      </w:r>
      <w:r>
        <w:rPr>
          <w:rStyle w:val="FootnoteAnchor"/>
          <w:rtl w:val="true"/>
        </w:rPr>
        <w:footnoteReference w:id="109"/>
      </w:r>
      <w:r>
        <w:rPr>
          <w:rFonts w:ascii="IRNazanin" w:hAnsi="IRNazanin" w:eastAsia="IRNazanin"/>
          <w:color w:val="111111"/>
          <w:sz w:val="28"/>
          <w:sz w:val="28"/>
          <w:szCs w:val="28"/>
          <w:rtl w:val="true"/>
          <w:lang w:bidi="fa-IR"/>
        </w:rPr>
        <w:t>و ذلک لکونه خلاف التحقیق، و لهذا لا یسری إجمال الخاصّ المنفصل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لقطع حجّیة العامّ بالنسبة إلی مورد التخصیص، و التعارض بین الأدلّة إنّما هو بعد الفراغ عن حجّیتها، فالعامّ المخصّص إنّما هو حجّة فیما عدا مورد التخصیص، و نسبته مع الخاصّ عموم من وجه، و لعلّ ذلک مراده أیضاً؛ لما صرّح به بعد ذلک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عدم اتفاق حکمه مع العامّ،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فیخصّص العامّ بکلّ من الخاصّین، فتنقلب نسبته مع کلّ واحد من الخاصّین؛ من العموم المطلق إلی العموم من وجه؛ فإنّ العالم غیر النحویّ الصرفیّ، یفترق عن کلّ من النحویّ و الصرفیّ فی الفقهاء،</w:t>
      </w:r>
      <w:bookmarkStart w:id="149" w:name="pg2353_14668"/>
    </w:p>
    <w:p>
      <w:pPr>
        <w:pStyle w:val="BookText"/>
        <w:rPr/>
      </w:pPr>
      <w:bookmarkEnd w:id="149"/>
      <w:r>
        <w:rPr>
          <w:rFonts w:ascii="Amiri" w:hAnsi="Amiri" w:eastAsia="Amiri" w:cs="Amiri"/>
          <w:color w:val="111111"/>
          <w:sz w:val="28"/>
          <w:sz w:val="28"/>
          <w:szCs w:val="28"/>
          <w:rtl w:val="true"/>
          <w:lang w:bidi="ar-SA"/>
        </w:rPr>
        <w:t>و النحویَّ یفترق عنه فی النحویّ غیر الصرفیّ، و الصرفیَّ فی الصرفیّ غیر النحویّ</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705063_3804643083"/>
      <w:bookmarkStart w:id="151" w:name="_Toc56"/>
      <w:bookmarkEnd w:id="150"/>
      <w:r>
        <w:rPr>
          <w:rtl w:val="true"/>
        </w:rPr>
        <w:t>و منها</w:t>
      </w:r>
      <w:r>
        <w:rPr>
          <w:rtl w:val="true"/>
        </w:rPr>
        <w:t xml:space="preserve">: </w:t>
      </w:r>
      <w:r>
        <w:rPr>
          <w:rtl w:val="true"/>
        </w:rPr>
        <w:t>ما إذا ورد عامّان من وجه و خاصّ</w:t>
      </w:r>
      <w:bookmarkEnd w:id="151"/>
    </w:p>
    <w:p>
      <w:pPr>
        <w:pStyle w:val="BookText"/>
        <w:rPr/>
      </w:pPr>
      <w:r>
        <w:rPr>
          <w:rFonts w:ascii="IRNazanin" w:hAnsi="IRNazanin" w:eastAsia="IRNazanin"/>
          <w:color w:val="111111"/>
          <w:sz w:val="28"/>
          <w:sz w:val="28"/>
          <w:szCs w:val="28"/>
          <w:rtl w:val="true"/>
          <w:lang w:bidi="fa-IR"/>
        </w:rPr>
        <w:t>فإن أخرج موردَ افتراق أحد العامّین، تنقلب النسبة بین العامّین إلی الأخصّ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أخرج خاصّ آخر موردَ افتراق العامّ الآخر، تنقلب إلی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أخرج الخاصّ موردَ اجتماعهما یرتفع الاختلاف بینهما، فیختصّ کلّ منهما بموضوع غیر الآخر</w:t>
      </w:r>
      <w:r>
        <w:rPr>
          <w:rFonts w:eastAsia="IRNazanin" w:cs="IRNazanin"/>
          <w:color w:val="111111"/>
          <w:sz w:val="28"/>
          <w:szCs w:val="28"/>
          <w:rtl w:val="true"/>
          <w:lang w:bidi="fa-IR"/>
        </w:rPr>
        <w:t>.</w:t>
      </w:r>
    </w:p>
    <w:p>
      <w:pPr>
        <w:pStyle w:val="Heading5"/>
        <w:numPr>
          <w:ilvl w:val="4"/>
          <w:numId w:val="1"/>
        </w:numPr>
        <w:rPr/>
      </w:pPr>
      <w:bookmarkStart w:id="152" w:name="__RefHeading___Toc2705065_3804643083"/>
      <w:bookmarkStart w:id="153" w:name="_Toc57"/>
      <w:bookmarkEnd w:id="152"/>
      <w:r>
        <w:rPr>
          <w:rtl w:val="true"/>
        </w:rPr>
        <w:t>و منها</w:t>
      </w:r>
      <w:r>
        <w:rPr>
          <w:rtl w:val="true"/>
        </w:rPr>
        <w:t xml:space="preserve">: </w:t>
      </w:r>
      <w:r>
        <w:rPr>
          <w:rtl w:val="true"/>
        </w:rPr>
        <w:t>ما إذا ورد دلیلان متباینان</w:t>
      </w:r>
      <w:bookmarkEnd w:id="153"/>
    </w:p>
    <w:p>
      <w:pPr>
        <w:pStyle w:val="BookText"/>
        <w:rPr/>
      </w:pPr>
      <w:r>
        <w:rPr>
          <w:rFonts w:ascii="IRNazanin" w:hAnsi="IRNazanin" w:eastAsia="IRNazanin"/>
          <w:color w:val="111111"/>
          <w:sz w:val="28"/>
          <w:sz w:val="28"/>
          <w:szCs w:val="28"/>
          <w:rtl w:val="true"/>
          <w:lang w:bidi="fa-IR"/>
        </w:rPr>
        <w:t>فقد یرد المخصّص لأحدهما، فتنقلب نسبتهما إلی الأخصّ المطلق،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أکرم عدولهم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أخصّ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یرد مخصّص آخر، و یرتفع الاختلاف بینهما، فیختصّ کلٌّ بموضوعٍ، کما إذا ورد فی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عدول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منافٍ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عدول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یرد مخصّص، و تنقلب نسبتهما إلی العموم من وجه، کما لو ورد فی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نحویّی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النسبة بین قوله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غیر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غیر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موارد انقلاب النسبة</w:t>
      </w:r>
      <w:r>
        <w:rPr>
          <w:rFonts w:eastAsia="IRNazanin" w:cs="IRNazanin"/>
          <w:color w:val="111111"/>
          <w:sz w:val="28"/>
          <w:szCs w:val="28"/>
          <w:rtl w:val="true"/>
          <w:lang w:bidi="fa-IR"/>
        </w:rPr>
        <w:t>.</w:t>
      </w:r>
      <w:bookmarkStart w:id="154" w:name="pg2353_14669"/>
    </w:p>
    <w:p>
      <w:pPr>
        <w:pStyle w:val="Heading5"/>
        <w:numPr>
          <w:ilvl w:val="4"/>
          <w:numId w:val="1"/>
        </w:numPr>
        <w:rPr/>
      </w:pPr>
      <w:bookmarkStart w:id="155" w:name="__RefHeading___Toc2705067_3804643083"/>
      <w:bookmarkStart w:id="156" w:name="_Toc58"/>
      <w:bookmarkEnd w:id="154"/>
      <w:bookmarkEnd w:id="155"/>
      <w:r>
        <w:rPr>
          <w:rtl w:val="true"/>
        </w:rPr>
        <w:t>فصل فی أنّ العامّین من وجه هل یندرجان فی أخبار العلاج؟</w:t>
      </w:r>
      <w:bookmarkEnd w:id="156"/>
    </w:p>
    <w:p>
      <w:pPr>
        <w:pStyle w:val="BookText"/>
        <w:rPr/>
      </w:pPr>
      <w:r>
        <w:rPr>
          <w:rFonts w:ascii="IRNazanin" w:hAnsi="IRNazanin" w:eastAsia="IRNazanin"/>
          <w:color w:val="111111"/>
          <w:sz w:val="28"/>
          <w:sz w:val="28"/>
          <w:szCs w:val="28"/>
          <w:rtl w:val="true"/>
          <w:lang w:bidi="fa-IR"/>
        </w:rPr>
        <w:t>قد اتّضحت ممّا قدّمنا، الموارد التی تکون غیر داخلة فی الحدیثین المختلفین، و خارجة عن موضوع البحث فی باب التعادل و الترجیح؛ لأجل الجمع المقبول بینهما، و لا بدّ لتنقیح البحث من ذکر بعض الموارد، التی تکون مورد البحث فی اندراجها فی موضوع أدلّة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بین الدلیلین عموم من وجه، فهل یندرجان فیها أم لا؟</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تجری فیهما جمیع المرجّحات صدوریّة کانت أو غیرها أم لا تجری فیهما المرجّحات الصدوریّة؟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الکلام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أدلّة العلاج تدور مدار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الحدیثین المتعارضین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الخبرین المختلفین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فلأحد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منهما هو التخالف بقول مطلق، و هو یختصّ بالمتباینین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العامّان من وجه فتنصرف الأدلّة عنهما؛ فإنّ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عنکم الخبران و الحدیثان المتعارضان، فبأیّهما آخذ</w:t>
      </w:r>
      <w:r>
        <w:rPr>
          <w:rStyle w:val="FootnoteAnchor"/>
          <w:rtl w:val="true"/>
        </w:rPr>
        <w:footnoteReference w:id="1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أخذ أحدهما و ترک الآخر، و بالعکس رأساً، لا أخذ بعض مفاد أحدهما؛ و ترک بعض مفاد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الأجوبة الواردة فیها،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 و دع الشاذّ النادر</w:t>
      </w:r>
      <w:r>
        <w:rPr>
          <w:rFonts w:eastAsia="IRNazanin" w:cs="IRNazanin"/>
          <w:color w:val="111111"/>
          <w:sz w:val="28"/>
          <w:szCs w:val="28"/>
          <w:rtl w:val="true"/>
          <w:lang w:bidi="fa-IR"/>
        </w:rPr>
        <w:t>»</w:t>
      </w:r>
    </w:p>
    <w:p>
      <w:pPr>
        <w:pStyle w:val="BookText"/>
        <w:rPr/>
      </w:pPr>
      <w:r>
        <w:rPr>
          <w:rStyle w:val="FootnoteAnchor"/>
          <w:rtl w:val="true"/>
        </w:rPr>
        <w:footnoteReference w:id="11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اعرضوهما علی کتاب اللَّه، فما وافق کتاب اللَّه فخذوه</w:t>
      </w:r>
      <w:r>
        <w:rPr>
          <w:rFonts w:eastAsia="IRNazanin" w:cs="IRNazanin"/>
          <w:color w:val="111111"/>
          <w:sz w:val="28"/>
          <w:szCs w:val="28"/>
          <w:rtl w:val="true"/>
          <w:lang w:bidi="fa-IR"/>
        </w:rPr>
        <w:t>»</w:t>
      </w:r>
    </w:p>
    <w:p>
      <w:pPr>
        <w:pStyle w:val="BookText"/>
        <w:rPr/>
      </w:pPr>
      <w:r>
        <w:rPr>
          <w:rStyle w:val="FootnoteAnchor"/>
          <w:rtl w:val="true"/>
        </w:rPr>
        <w:footnoteReference w:id="115"/>
      </w:r>
      <w:r>
        <w:rPr>
          <w:rFonts w:ascii="IRNazanin" w:hAnsi="IRNazanin" w:eastAsia="IRNazanin"/>
          <w:color w:val="111111"/>
          <w:sz w:val="28"/>
          <w:sz w:val="28"/>
          <w:szCs w:val="28"/>
          <w:rtl w:val="true"/>
          <w:lang w:bidi="fa-IR"/>
        </w:rPr>
        <w:t>إلی غیر ذلک</w:t>
      </w:r>
      <w:r>
        <w:rPr>
          <w:rStyle w:val="FootnoteAnchor"/>
          <w:rtl w:val="true"/>
        </w:rPr>
        <w:footnoteReference w:id="116"/>
      </w:r>
      <w:r>
        <w:rPr>
          <w:rFonts w:ascii="IRNazanin" w:hAnsi="IRNazanin" w:eastAsia="IRNazanin"/>
          <w:color w:val="111111"/>
          <w:sz w:val="28"/>
          <w:sz w:val="28"/>
          <w:szCs w:val="28"/>
          <w:rtl w:val="true"/>
          <w:lang w:bidi="fa-IR"/>
        </w:rPr>
        <w:t>ظاهرة فی الحدیثین المختلفین فی جمیع مفادهما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 فی روایات الباب، یری أنّ محطّ السؤال و الجواب فیها؛ هو الخبران المختلفان بجمیع المضمون، فالعامّان من وجه خارجان عنها، فلا بدّ فی مورد تعارضهما من الرجوع إلی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بعض أعاظم العصر، حیث ادّعی أنّ قول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زخرف</w:t>
      </w:r>
      <w:r>
        <w:rPr>
          <w:rFonts w:eastAsia="IRNazanin" w:cs="IRNazanin"/>
          <w:color w:val="111111"/>
          <w:sz w:val="28"/>
          <w:szCs w:val="28"/>
          <w:rtl w:val="true"/>
          <w:lang w:bidi="fa-IR"/>
        </w:rPr>
        <w:t>»</w:t>
      </w:r>
    </w:p>
    <w:p>
      <w:pPr>
        <w:pStyle w:val="BookText"/>
        <w:rPr/>
      </w:pPr>
      <w:r>
        <w:rPr>
          <w:rStyle w:val="FootnoteAnchor"/>
          <w:rtl w:val="true"/>
        </w:rPr>
        <w:footnoteReference w:id="11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ascii="IRNazanin" w:hAnsi="IRNazanin" w:eastAsia="IRNazanin"/>
          <w:color w:val="111111"/>
          <w:sz w:val="28"/>
          <w:sz w:val="28"/>
          <w:szCs w:val="28"/>
          <w:rtl w:val="true"/>
          <w:lang w:bidi="fa-IR"/>
        </w:rPr>
        <w:t>ظاهر فی المخالفة بالتباین الکلّی،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بقول مطلق هی المخالفة بالتباین، و أخرج العامّین من وجه عن</w:t>
      </w:r>
    </w:p>
    <w:p>
      <w:pPr>
        <w:pStyle w:val="BookText"/>
        <w:rPr/>
      </w:pPr>
      <w:r>
        <w:rPr>
          <w:rFonts w:ascii="IRNazanin" w:hAnsi="IRNazanin" w:eastAsia="IRNazanin"/>
          <w:color w:val="111111"/>
          <w:sz w:val="28"/>
          <w:sz w:val="28"/>
          <w:szCs w:val="28"/>
          <w:rtl w:val="true"/>
          <w:lang w:bidi="fa-IR"/>
        </w:rPr>
        <w:t>موضوع المخالفة للکتاب، و مع ذلک أدرجهما فی موضوع أخبار العلاج</w:t>
      </w:r>
      <w:r>
        <w:rPr>
          <w:rStyle w:val="FootnoteAnchor"/>
          <w:rtl w:val="true"/>
        </w:rPr>
        <w:footnoteReference w:id="119"/>
      </w:r>
      <w:r>
        <w:rPr>
          <w:rFonts w:ascii="IRNazanin" w:hAnsi="IRNazanin" w:eastAsia="IRNazanin"/>
          <w:color w:val="111111"/>
          <w:sz w:val="28"/>
          <w:sz w:val="28"/>
          <w:szCs w:val="28"/>
          <w:rtl w:val="true"/>
          <w:lang w:bidi="fa-IR"/>
        </w:rPr>
        <w:t xml:space="preserve">مع أنّ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المختلفان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أولی بعدم الاندراج فی موضوعها التعارض بالعَرَض، کما إذا ورد دلیل بوجوب صلاة الجمعة، و آخر بوجوب صلاة الظهر، و علم عدم وجوب إحداهما، و وجوب الاخری فإنّ هذا العلم یوجب التعارض بینهما بالعرض، لکن لا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الخاصّین إذا کان ورودهما علی العامّ موجباً للاستهجان، فإنّه یوجب التعارض بینهما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إدراج العامّین من وجه فی أدلّة التعارض مشکل، و إدراج المتعارضین بالعرض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ذکرنا وجه ما نسب إلی المشهور؛ من الحکم بالتساقط فی المتکافئین إذا کان بینهما عموم من وجه</w:t>
      </w:r>
      <w:r>
        <w:rPr>
          <w:rStyle w:val="FootnoteAnchor"/>
          <w:rtl w:val="true"/>
        </w:rPr>
        <w:footnoteReference w:id="120"/>
      </w:r>
      <w:r>
        <w:rPr>
          <w:rFonts w:ascii="IRNazanin" w:hAnsi="IRNazanin" w:eastAsia="IRNazanin"/>
          <w:color w:val="111111"/>
          <w:sz w:val="28"/>
          <w:sz w:val="28"/>
          <w:szCs w:val="28"/>
          <w:rtl w:val="true"/>
          <w:lang w:bidi="fa-IR"/>
        </w:rPr>
        <w:t>لکن لازمه عدم العمل بالمرجّحات فیهما أیضاً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العامّین من وجه و کذا المتعارضین بالعرض، و إن لم یندرجا فیهما، لکنّ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 الموضوع و إلغاء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أنّ الخبرین الواردین عن الأئمّة علیهم السلام إذا تصادما و تعارضا بأیّ وجه کان،</w:t>
      </w:r>
      <w:bookmarkStart w:id="157" w:name="pg2353_14672"/>
    </w:p>
    <w:p>
      <w:pPr>
        <w:pStyle w:val="BookText"/>
        <w:rPr/>
      </w:pPr>
      <w:bookmarkEnd w:id="157"/>
      <w:r>
        <w:rPr>
          <w:rFonts w:ascii="IRNazanin" w:hAnsi="IRNazanin" w:eastAsia="IRNazanin"/>
          <w:color w:val="111111"/>
          <w:sz w:val="28"/>
          <w:sz w:val="28"/>
          <w:szCs w:val="28"/>
          <w:rtl w:val="true"/>
          <w:lang w:bidi="fa-IR"/>
        </w:rPr>
        <w:t>لا یجوز طرحهما، بل لا بدّ من الترجیح و الأخذ بالراجح، و مع فقدانه التخییر، فلا یرضی الشارع فیهما بالعمل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بذلک ما إذا اختلف الخبران فی مدلولهما الالتزامیّ،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الأخصّ المطلق إذا کان تخصیص العامّ به مستهجناً، فیتعامل معه و العامّ معاملة الخبرین المختلفین؛ لاندراجهما فیهما حقیقة، لکن خروجهما عن أدلّة العلاج لأجل الجمع العرفیّ، و مع عدم الجمع بینهما یعمل معهما عمل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قلنا فی الخاصّین اللّذین یکون التخصیص بمجموعهما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مجموعهما یعارض العامّ کما قالوا</w:t>
      </w:r>
      <w:r>
        <w:rPr>
          <w:rStyle w:val="FootnoteAnchor"/>
          <w:rtl w:val="true"/>
        </w:rPr>
        <w:footnoteReference w:id="121"/>
      </w:r>
      <w:r>
        <w:rPr>
          <w:rFonts w:ascii="IRNazanin" w:hAnsi="IRNazanin" w:eastAsia="IRNazanin"/>
          <w:color w:val="111111"/>
          <w:sz w:val="28"/>
          <w:sz w:val="28"/>
          <w:szCs w:val="28"/>
          <w:rtl w:val="true"/>
          <w:lang w:bidi="fa-IR"/>
        </w:rPr>
        <w:t>یکون مجموعهما مع العامّ مندرجین فی أدلّة العلاج</w:t>
      </w:r>
      <w:r>
        <w:rPr>
          <w:rFonts w:eastAsia="IRNazanin" w:cs="IRNazanin"/>
          <w:color w:val="111111"/>
          <w:sz w:val="28"/>
          <w:szCs w:val="28"/>
          <w:rtl w:val="true"/>
          <w:lang w:bidi="fa-IR"/>
        </w:rPr>
        <w:t>.</w:t>
      </w:r>
    </w:p>
    <w:p>
      <w:pPr>
        <w:pStyle w:val="Heading5"/>
        <w:numPr>
          <w:ilvl w:val="4"/>
          <w:numId w:val="1"/>
        </w:numPr>
        <w:rPr/>
      </w:pPr>
      <w:bookmarkStart w:id="158" w:name="__RefHeading___Toc2705069_3804643083"/>
      <w:bookmarkStart w:id="159" w:name="_Toc59"/>
      <w:bookmarkEnd w:id="158"/>
      <w:r>
        <w:rPr>
          <w:rtl w:val="true"/>
        </w:rPr>
        <w:t>هل المرجّحات الصدوریّة جاریة فی العامّین من وجه أم لا؟</w:t>
      </w:r>
      <w:bookmarkEnd w:id="159"/>
    </w:p>
    <w:p>
      <w:pPr>
        <w:pStyle w:val="BookText"/>
        <w:rPr/>
      </w:pPr>
      <w:r>
        <w:rPr>
          <w:rFonts w:ascii="IRNazanin" w:hAnsi="IRNazanin" w:eastAsia="IRNazanin"/>
          <w:color w:val="111111"/>
          <w:sz w:val="28"/>
          <w:sz w:val="28"/>
          <w:szCs w:val="28"/>
          <w:rtl w:val="true"/>
          <w:lang w:bidi="fa-IR"/>
        </w:rPr>
        <w:t>ثمّ إنّه بناءً علی شمول أخبار العلاج للعامّین من وجه، فهل المرجّحات مطلقاً جاریة فیهما کما فی غیرهما؟</w:t>
      </w:r>
    </w:p>
    <w:p>
      <w:pPr>
        <w:pStyle w:val="BookText"/>
        <w:rPr/>
      </w:pPr>
      <w:r>
        <w:rPr>
          <w:rFonts w:ascii="IRNazanin" w:hAnsi="IRNazanin" w:eastAsia="IRNazanin"/>
          <w:color w:val="111111"/>
          <w:sz w:val="28"/>
          <w:sz w:val="28"/>
          <w:szCs w:val="28"/>
          <w:rtl w:val="true"/>
          <w:lang w:bidi="fa-IR"/>
        </w:rPr>
        <w:t>اختار الشیخ الأعظم ذلک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أنکر بعض أعاظم العصر جریان المرجّحات الصدوریّة فیهما،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التعارض فیهما فی بعض المدلول، فمعاملة عدم صدور أحدهما فی جمیع المدلول، ممّا لا وجه له، و التبعیض فیه من حیث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الخبر صادراً فی بعض المدلول، و غیر صادر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المقبولة</w:t>
      </w:r>
      <w:r>
        <w:rPr>
          <w:rStyle w:val="FootnoteAnchor"/>
          <w:rtl w:val="true"/>
        </w:rPr>
        <w:footnoteReference w:id="124"/>
      </w:r>
      <w:r>
        <w:rPr>
          <w:rFonts w:ascii="Amiri" w:hAnsi="Amiri" w:eastAsia="Amiri" w:cs="Amiri"/>
          <w:color w:val="111111"/>
          <w:sz w:val="28"/>
          <w:sz w:val="28"/>
          <w:szCs w:val="28"/>
          <w:rtl w:val="true"/>
          <w:lang w:bidi="ar-SA"/>
        </w:rPr>
        <w:t>و المرفوعة</w:t>
      </w:r>
      <w:r>
        <w:rPr>
          <w:rStyle w:val="FootnoteAnchor"/>
          <w:rtl w:val="true"/>
        </w:rPr>
        <w:footnoteReference w:id="125"/>
      </w:r>
      <w:r>
        <w:rPr>
          <w:rFonts w:ascii="IRNazanin" w:hAnsi="IRNazanin" w:eastAsia="IRNazanin"/>
          <w:color w:val="111111"/>
          <w:sz w:val="28"/>
          <w:sz w:val="28"/>
          <w:szCs w:val="28"/>
          <w:rtl w:val="true"/>
          <w:lang w:bidi="fa-IR"/>
        </w:rPr>
        <w:t>أنّ ما جرت فیه المرجّحات الصدوریّة، هو ما جرت فیه سائرها؛ لأنّ ما فرض فیه الترجیح بالأعدلیة و الأصدقیة فی الحدیث و الأوثقیّة، عین ما فرض فیه الترجیح بموافقة الکتاب و مخالفة العامّة، و رفع الید عن هذا الظاهر لا یجوز إلّا بدعوی عدم الإمکان،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شاهدة إمّا علی عدم شمولهما للعامّین من وجه رأساً؛ حفظاً لأدلّة العلاج، و حرصاً علی عدم التفکیک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علی عدم الأخذ بالمرجّح الصدوریّ فی خصوص العامّین من وجه؛ لامتناع التفکیک، و لا ترجیح ظاهر فیهما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یجری فی سائر الأدلّة فی باب الترجیح، فنلتزم بعدم شمولهما للعامّین من وجه بما ذکر، و نأخذ بإطلاق سائر أدلّة الترجیح المقصورة علی الترجیح الغیر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فالدعوی المذکورة ممنوعة جدّاً؛ فإنّ عدم الإمکان لا یجوز أن یکون عقلیّاً؛ ضرورة أنّ التعبّد بذلک بمکان من الإمکان، بل لا بدّ و أن یکون عرفیّاً؛ أی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استبعاد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یفهم من أخبار العلاج التعبّد بصدور خبر من جهة دون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یستبعده العرف، إنّما هو التعبّد بصدور روایة و عدم صدورها، و أمّا التعبّد بأنّ الروایة صدرت بهذا المضمون لا بذاک، فلا یستبعده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فتعارضا فی العالم الفاسق، 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یقوله أصدقهما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العرف أنّ الأصدق فی الحدیث، کما أنّه أبعد من الکذب فی أصل الحدیث، کذلک فهو أبعد من التصرّف فیه بما یتغیّر به المعنی؛ بإلغاء قید أو زیادته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المتقدّم، یحتمل أن یکون أحد الخبرین، صادراً مع قید لم ینقله بعض المحدّثین و الوسائط عمداً أو سهواً، و هذا الاحتمال ممّا لا یعتنی به العقلاء فی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ورد التعبّد بالأخذ بما روی أصدقهما حدیثاً، لا یأبون عن الأخذ بقوله فی مورد الاجتماع، و ترک قول غیره فیه، و التفکیک بهذا المعنی غیر مستبعد، بل هذا لیس تفکیکاً، بل تعبّد بصدور حدیث الأوثق بجمیع مضمونه و قیوده دون غیره، و هذا أمر ممکن عقلًا و عرفاً، فدعوی عدم الإمکان ممنوعة، فرفع الید عن ظاهر أدلّة العلاج غیر جائز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تمحّض البحث فی المتعارضین، و اتّضح حدود الموضوع، یقع الکلام فی مقصدین</w:t>
      </w:r>
      <w:r>
        <w:rPr>
          <w:rFonts w:eastAsia="IRNazanin" w:cs="IRNazanin"/>
          <w:color w:val="111111"/>
          <w:sz w:val="28"/>
          <w:szCs w:val="28"/>
          <w:rtl w:val="true"/>
          <w:lang w:bidi="fa-IR"/>
        </w:rPr>
        <w:t>:</w:t>
      </w:r>
      <w:bookmarkStart w:id="160" w:name="pg2353_14676"/>
    </w:p>
    <w:p>
      <w:pPr>
        <w:pStyle w:val="Heading2"/>
        <w:numPr>
          <w:ilvl w:val="1"/>
          <w:numId w:val="1"/>
        </w:numPr>
        <w:rPr/>
      </w:pPr>
      <w:bookmarkStart w:id="161" w:name="__RefHeading___Toc2705071_3804643083"/>
      <w:bookmarkStart w:id="162" w:name="_Toc60"/>
      <w:bookmarkEnd w:id="160"/>
      <w:bookmarkEnd w:id="161"/>
      <w:r>
        <w:rPr>
          <w:rtl w:val="true"/>
        </w:rPr>
        <w:t>المقصد الأوّل فی المتکافئین</w:t>
      </w:r>
      <w:bookmarkEnd w:id="162"/>
    </w:p>
    <w:p>
      <w:pPr>
        <w:pStyle w:val="Heading3"/>
        <w:numPr>
          <w:ilvl w:val="2"/>
          <w:numId w:val="1"/>
        </w:numPr>
        <w:rPr/>
      </w:pPr>
      <w:bookmarkStart w:id="163" w:name="__RefHeading___Toc2705073_3804643083"/>
      <w:bookmarkStart w:id="164" w:name="_Toc61"/>
      <w:bookmarkEnd w:id="163"/>
      <w:r>
        <w:rPr>
          <w:rtl w:val="true"/>
        </w:rPr>
        <w:t>اشارة</w:t>
      </w:r>
      <w:bookmarkEnd w:id="1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bookmarkStart w:id="165" w:name="pg2353_14678"/>
    </w:p>
    <w:p>
      <w:pPr>
        <w:pStyle w:val="Heading3"/>
        <w:numPr>
          <w:ilvl w:val="2"/>
          <w:numId w:val="1"/>
        </w:numPr>
        <w:rPr/>
      </w:pPr>
      <w:bookmarkStart w:id="166" w:name="__RefHeading___Toc2705075_3804643083"/>
      <w:bookmarkStart w:id="167" w:name="_Toc62"/>
      <w:bookmarkEnd w:id="165"/>
      <w:bookmarkEnd w:id="166"/>
      <w:r>
        <w:rPr>
          <w:rtl w:val="true"/>
        </w:rPr>
        <w:t>البحث الأوّل فی مقتضی الأصل فیهما مع قطع النظر عن الأخبار</w:t>
      </w:r>
      <w:bookmarkEnd w:id="167"/>
    </w:p>
    <w:p>
      <w:pPr>
        <w:pStyle w:val="Heading4"/>
        <w:numPr>
          <w:ilvl w:val="3"/>
          <w:numId w:val="1"/>
        </w:numPr>
        <w:rPr/>
      </w:pPr>
      <w:bookmarkStart w:id="168" w:name="__RefHeading___Toc2705077_3804643083"/>
      <w:bookmarkStart w:id="169" w:name="_Toc63"/>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و الکلام فیه یقع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بالطریقیّة،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بالسببیّة</w:t>
      </w:r>
      <w:r>
        <w:rPr>
          <w:rFonts w:eastAsia="IRNazanin" w:cs="IRNazanin"/>
          <w:color w:val="111111"/>
          <w:sz w:val="28"/>
          <w:szCs w:val="28"/>
          <w:rtl w:val="true"/>
          <w:lang w:bidi="fa-IR"/>
        </w:rPr>
        <w:t>.</w:t>
      </w:r>
    </w:p>
    <w:p>
      <w:pPr>
        <w:pStyle w:val="Heading4"/>
        <w:numPr>
          <w:ilvl w:val="3"/>
          <w:numId w:val="1"/>
        </w:numPr>
        <w:rPr/>
      </w:pPr>
      <w:bookmarkStart w:id="170" w:name="__RefHeading___Toc2705079_3804643083"/>
      <w:bookmarkStart w:id="171" w:name="_Toc64"/>
      <w:bookmarkEnd w:id="170"/>
      <w:r>
        <w:rPr>
          <w:rtl w:val="true"/>
        </w:rPr>
        <w:t>مقتضی الأصل علی الطریقیّة</w:t>
      </w:r>
      <w:bookmarkEnd w:id="1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الدلیل علی حجّیة الأخبار هو بناء العقلاء، و الأدلّة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إمضائیّة لا تأسیسیّة، و إنّما اتّکل الشارع فی مقاصده علی ما هو عند العقلاء؛ من العمل بخبر الثقة کما هو الحقّ، فمقتضی القاعدة هو التوقّف و سقوطهما عن الحجّیة؛ فإنّ الحجّة علی الواقع عبارة عن تنجّز الواقع بها، بحیث تصحّ للمولی مؤاخذة العبد لدی المخالفة فی صورة المصادفة، فإذا قامت الأمارة علی وجوب صلاة الجمعة، و ترکها المکلّف و کانت واجبة،</w:t>
      </w:r>
    </w:p>
    <w:p>
      <w:pPr>
        <w:pStyle w:val="BookText"/>
        <w:rPr/>
      </w:pPr>
      <w:r>
        <w:rPr>
          <w:rFonts w:ascii="IRNazanin" w:hAnsi="IRNazanin" w:eastAsia="IRNazanin"/>
          <w:color w:val="111111"/>
          <w:sz w:val="28"/>
          <w:sz w:val="28"/>
          <w:szCs w:val="28"/>
          <w:rtl w:val="true"/>
          <w:lang w:bidi="fa-IR"/>
        </w:rPr>
        <w:t>تصحّ للمولی عقوبته علی ترکها، و لو أتی بها و کانت محرّمة یصحّ اعتذار العبد بقیام الأمارة المعتبرة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متقوّم بالوصول، فلو قامت الأمارة واقعاً علی حرمة شی‌ء، و ارتکبه العبد بعد فحصه و اجتهاده و عدم العثور علیها، یکون معذوراً لا تصحّ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قامت أمارة علی حرمته لدی المکلّف، و قامت أمارة واقعاً علی عدم الحرمة أقوی من الواصلة، و ارتکبه العبد و کان محرّماً واقعاً، تصحّ عقوبته، و لا عذر له بأنّ الأمارة الراجحة قامت واقعاً علی عدم الحرمة؛ لأنّ الأمارة الواصلة حجّة علیه ما لم تصل حجّة أقوی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ذلک فی عدم الحجّیة، ما إذا وصلت الأمارتان و تکاذبتا فی المضمون، فإنّ کلّ واحدة منهما إذا کانت مبتلاة بمعارض ینفی ما تثبته، لا تکون عند العقلاء حجّة علی مضمونها، فلو کانت صلاة الجمعة واجبة واقعاً، لا تکون الأمارة القائمة علی وجوبها حجّة علیه، إذا قامت أمارة اخری مثلها علی عدم وجوبها، فکلّ واحدة منهما ساقطة عن الحجّیة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معنی لحجّیة إحداهما لا بعینها؛ لعدم تعقّل ذلک بعد سقوط کلّ واحدة منهما عنها، لأنّ الواحد لا بعینه و بلا عنوان لا وجود له، و الموجود کلّ واحد مشخّصاً بشخصیّة، و هی ساقطة عن الحجّیة، فلا یعقل أن یکون الواحد لا بعینه حجّة، هذا حال مضمونهما المبتلی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لکلّ واحدة منهما مضمون التزامیّ موافق للآخر،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الاحتجاج بکلّ منهما علی الواقع إذا طابقته؛ لعدم الابتلاء بالمعارض، و العلم بالکذب فی المدلول المطابقیّ، لا یوجب السقوط عن الحجّیة فی الالتزامیّ الذی لا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قامت الأمارة علی وجوب إکرام زید و کان ملازماً لوجوب إکرام عمرو، فترک العبد کلیهما، فصادف عدم وجوب إکرام زید، و وجوبَ إکرام عمرو بدلیل آخر لم یصل إلی العبد، تصحّ عقوبته علی ترک إکرام عمرو؛ لأنّه فی ترکه مع قیام الأمارة علیه، لیس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الوجوب مؤدّی أمارة غیر واصلة لا هذه، لیس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ما ذهب إلیه المحقّق الخراسانیّ</w:t>
      </w:r>
      <w:r>
        <w:rPr>
          <w:rStyle w:val="FootnoteAnchor"/>
          <w:rtl w:val="true"/>
        </w:rPr>
        <w:footnoteReference w:id="126"/>
      </w:r>
      <w:r>
        <w:rPr>
          <w:rFonts w:ascii="IRNazanin" w:hAnsi="IRNazanin" w:eastAsia="IRNazanin"/>
          <w:color w:val="111111"/>
          <w:sz w:val="28"/>
          <w:sz w:val="28"/>
          <w:szCs w:val="28"/>
          <w:rtl w:val="true"/>
          <w:lang w:bidi="fa-IR"/>
        </w:rPr>
        <w:t>و یظهر من شیخنا العلّامة أیضاً</w:t>
      </w:r>
      <w:r>
        <w:rPr>
          <w:rStyle w:val="FootnoteAnchor"/>
          <w:rtl w:val="true"/>
        </w:rPr>
        <w:footnoteReference w:id="127"/>
      </w:r>
      <w:r>
        <w:rPr>
          <w:rFonts w:ascii="IRNazanin" w:hAnsi="IRNazanin" w:eastAsia="IRNazanin"/>
          <w:color w:val="111111"/>
          <w:sz w:val="28"/>
          <w:sz w:val="28"/>
          <w:szCs w:val="28"/>
          <w:rtl w:val="true"/>
          <w:lang w:bidi="fa-IR"/>
        </w:rPr>
        <w:t>و هو کون الحجّة علی نفی الثالث إحداهما؛ لأنّه مع العلم بکذب أمارة فی مدلولها المطابقیّ، لا یعقل بقاء الحجّیة فی مدلولها الالتزامیّ، و المقام من قبیله، و النقض المتقدّم قیاس مع الفارق؛ لعدم العلم بالکذب فی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إحداهما هی إحداهما المشخّصة واقعاً و إن جهل المکلف بها، هذا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حجّیة خیر الثقة هو بناء العقلاء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الأدلّة اللفظیّة، فلا تخلو إمّا أن تکون مهملة بالنسبة إلی حال</w:t>
      </w:r>
    </w:p>
    <w:p>
      <w:pPr>
        <w:pStyle w:val="BookText"/>
        <w:rPr/>
      </w:pPr>
      <w:r>
        <w:rPr>
          <w:rFonts w:ascii="IRNazanin" w:hAnsi="IRNazanin" w:eastAsia="IRNazanin"/>
          <w:color w:val="111111"/>
          <w:sz w:val="28"/>
          <w:sz w:val="28"/>
          <w:szCs w:val="28"/>
          <w:rtl w:val="true"/>
          <w:lang w:bidi="fa-IR"/>
        </w:rPr>
        <w:t>التعارض، أو مطلقة بالإطلاق الذاتیّ، أو بالإطلاق اللّحاظیّ علی فرض صحّته، أو مقیّدة بعدم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الحجّیة بناءً علی الاحتمال الأوّل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الثالث، فالقاعدة تقتضی التخییر؛ لأنّ الإطلاق اللّحاظیّ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کالتصریح بالاعتبار حال التعارض، و معه لا بدّ من القول بالتخییر، و إلّا فإمّا أن یکون أمراً بالمحال و هو باطل، أو لغایة حصول التوقّف و هو لغو، فلا بدّ من صون کلام الحکیم عنهما؛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بالعمل حتّی فی مقام التعارض؛ لحفظ الواقع حتّی الإمکان، و 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فکأنّه صرّح بالتخییر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لحال التعارض محال؛ لأنّه لا یترتّب علی التعبّد بصدور المتعارضین أثر سوی البناء علی إجمالهما، و عدم إرادة الظاهر فی کلّ منهما، و لا معنی للتعبّد بصدور کلام تکون نتیجته إجماله</w:t>
      </w:r>
      <w:r>
        <w:rPr>
          <w:rStyle w:val="FootnoteAnchor"/>
          <w:rtl w:val="true"/>
        </w:rPr>
        <w:footnoteReference w:id="128"/>
      </w:r>
      <w:r>
        <w:rPr>
          <w:rFonts w:ascii="IRNazanin" w:hAnsi="IRNazanin" w:eastAsia="IRNazanin"/>
          <w:color w:val="111111"/>
          <w:sz w:val="28"/>
          <w:sz w:val="28"/>
          <w:szCs w:val="28"/>
          <w:rtl w:val="true"/>
          <w:lang w:bidi="fa-IR"/>
        </w:rPr>
        <w:t>فهو کما تری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لدلیل الاعتبار إطلاق ذاتیّ کما هو أقوی الاحتمالات، فهل نتیجته التخییر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 دلیل الاعتبار یتقدّر بقدره، فإذا دار الأمر بین رفع الید عن دلیل الاعتبار بالنسبة إلی حال التعارض مطلقاً، حتّی تصیر النتیجة عدم حجّیة کلا المتعارضین، أو رفعِ الید عن کلّ منهما حال الإتیان</w:t>
      </w:r>
    </w:p>
    <w:p>
      <w:pPr>
        <w:pStyle w:val="BookText"/>
        <w:rPr/>
      </w:pPr>
      <w:r>
        <w:rPr>
          <w:rFonts w:ascii="IRNazanin" w:hAnsi="IRNazanin" w:eastAsia="IRNazanin"/>
          <w:color w:val="111111"/>
          <w:sz w:val="28"/>
          <w:sz w:val="28"/>
          <w:szCs w:val="28"/>
          <w:rtl w:val="true"/>
          <w:lang w:bidi="fa-IR"/>
        </w:rPr>
        <w:t>بالآخر، کان الثانی أولی، و نتیجته التخییر؟</w:t>
      </w:r>
    </w:p>
    <w:p>
      <w:pPr>
        <w:pStyle w:val="BookText"/>
        <w:rPr/>
      </w:pPr>
      <w:r>
        <w:rPr>
          <w:rFonts w:ascii="IRNazanin" w:hAnsi="IRNazanin" w:eastAsia="IRNazanin"/>
          <w:color w:val="111111"/>
          <w:sz w:val="28"/>
          <w:sz w:val="28"/>
          <w:szCs w:val="28"/>
          <w:rtl w:val="true"/>
          <w:lang w:bidi="fa-IR"/>
        </w:rPr>
        <w:t>أو النتیجة هی التوقّف؟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تقیید الإطلاق حال الإتیان بالآخر، إنّما هو فی التکالیف النفسیّة،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کأدلّة الاصول فی أطراف العلم الإجمالیّ، حیث إنّ کلّ طرف مرخّص فیه بما أنّه عنوان المشکوک فیه، و فی أطراف العلم دار الأمر بین رفع الید عن کلا الترخیصین، أو ترخیص کلّ فی حال الإتیان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التکلیف متوجّه بإنقاذ کلّ منهما، و دار الأمر بین رفع الید عنه فی کلیهما، و عن کلّ فی حال الإتیان بالآخر، و الثانی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التکلیف طریقیّاً، جعل لأجل کشف کلّ أمارة عن الواقع، و کانت کلّ أمارة مکذّبة للُاخری، فلا معنی لذلک؛ فإنّ البناء علی طریقیّة کلّ أمارة، و العملَ بها علی أنّها هی الکاشفة عن الواقع فی حال ترک الاخری، ممّا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إیجاب العمل بالخبر لمحض التعبّد، و کان التکلیف نفسیّاً مثل سائر النفسیّات، کان لذلک الکلام وجه، لکنّه کما تری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ما ذکر یرجع إلی أنّ الأمر إذا دار بین التخصیص و التقیید، کان الثانی أولی، و هو ممنوع فی مثل ما نحن فیه، و سیأتی التعرّض له عن قریب</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بناءً علی الطریقیّة کما هو الحقّ</w:t>
      </w:r>
      <w:r>
        <w:rPr>
          <w:rFonts w:eastAsia="Amiri" w:cs="Amiri" w:ascii="Amiri" w:hAnsi="Amiri"/>
          <w:color w:val="111111"/>
          <w:sz w:val="28"/>
          <w:szCs w:val="28"/>
          <w:rtl w:val="true"/>
          <w:lang w:bidi="ar-SA"/>
        </w:rPr>
        <w:t>.</w:t>
      </w:r>
      <w:bookmarkStart w:id="172" w:name="pg2353_14683"/>
    </w:p>
    <w:p>
      <w:pPr>
        <w:pStyle w:val="Heading4"/>
        <w:numPr>
          <w:ilvl w:val="3"/>
          <w:numId w:val="1"/>
        </w:numPr>
        <w:rPr/>
      </w:pPr>
      <w:bookmarkStart w:id="173" w:name="__RefHeading___Toc2705081_3804643083"/>
      <w:bookmarkStart w:id="174" w:name="_Toc65"/>
      <w:bookmarkEnd w:id="172"/>
      <w:bookmarkEnd w:id="173"/>
      <w:r>
        <w:rPr>
          <w:rtl w:val="true"/>
        </w:rPr>
        <w:t>مقتضی الأصل علی السببیّة</w:t>
      </w:r>
      <w:bookmarkEnd w:id="174"/>
    </w:p>
    <w:p>
      <w:pPr>
        <w:pStyle w:val="BookText"/>
        <w:rPr/>
      </w:pPr>
      <w:r>
        <w:rPr>
          <w:rFonts w:ascii="IRNazanin" w:hAnsi="IRNazanin" w:eastAsia="IRNazanin"/>
          <w:color w:val="111111"/>
          <w:sz w:val="28"/>
          <w:sz w:val="28"/>
          <w:szCs w:val="28"/>
          <w:rtl w:val="true"/>
          <w:lang w:bidi="fa-IR"/>
        </w:rPr>
        <w:t>و أمّا بناءً علی السببیّة، فمقتضی الأصل مختلف حسب اختلاف الاحتمالات فی السببیّة،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للَّه تعالی فی کلّ واقعة حکم مشترک بین العالم و الجاهل، و أنکرنا المصالح و المفاسد،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بالإرادة الجزافیّة، و أنّ الحکم تابع لقیام الأمارة، فحینئذٍ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الأمارة إذا قامت علی شی‌ء یصیر بعنوانه متعلّق التکلیف، فلا محیص من التساقط إذا قامت الأمارتان علی الوجوب و الحرمة؛ لامتناع جعل حکمین علی موضوع واحد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یتعلّق بمؤدّی الأمارة بما أنّه کذلک،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تکثّر العنوانین یرفع التضادّ، فالأصل یقتضی التخییر؛ لثبوت الوجوب و الحرمة علی عنوانین غیر قابلین للجمع فی مقام الامتثال،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رفعه التضادّ یکون حاله کالأوّل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بالمصالح و المفاسد، و أنّ الأحکام مشترکة بین العالم و الجاهل، فحینئذٍ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قیام الأمارة یوجب مصلحة أو مفسدة فی ذات العناوین، إذا کانت الأمارة مخالفة للواقع، و تکون المصلحة الآتیة من قبل الأمارة أقوی مناطاً من المصلحة الواقعیّة، فلا بدّ من القول بالتساقط أیضاً؛ لأنّ الحکم الفعلیّ یکون تابعاً للأمارة المخالفة، فإن کانت الأمارة مخالفة للواقع، یکون الحکم الفعلیّ تابعاً</w:t>
      </w:r>
    </w:p>
    <w:p>
      <w:pPr>
        <w:pStyle w:val="BookText"/>
        <w:rPr/>
      </w:pPr>
      <w:r>
        <w:rPr>
          <w:rFonts w:ascii="IRNazanin" w:hAnsi="IRNazanin" w:eastAsia="IRNazanin"/>
          <w:color w:val="111111"/>
          <w:sz w:val="28"/>
          <w:sz w:val="28"/>
          <w:szCs w:val="28"/>
          <w:rtl w:val="true"/>
          <w:lang w:bidi="fa-IR"/>
        </w:rPr>
        <w:t>لها، و مع الجهل بها تتساقطان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کلتاهما مخالفة له تتساقطان أیضاً؛ لامتناع جعل حکمین فعلیّین علی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و المفسدة تقومان علی عنوان المؤدّی بما أنّه کذلک، و تکثّر الموضوع کذلک یرفع التضادّ، فمقتضی الأصل التخییر، کباب التزاحم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بحدوث المصلحة حتّی فی الأمارة الموافقة، و إلّا فالتساقط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رفع التضادّ به فالأصل هو التساقط؛ للکسر و الانکسار الواقعین بین المصلحة و المفسدة، فالحکم تابع لأقوی المناطین، و مع الجهل به تتساقطان، کما أنّه مع تساویهما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المصلحة إنّما تکون فی متابعة قول الثقة و العمل علی طبقه، من غیر أن یکون للواقع دخالة فی ذلک، و لا فی طریقیّة الطریق أثر، فالأصل یقتضی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الطریق بما أنّه طریق قامت به المصلحة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الطریق الفعلیّ قامت به المصلحة، فالأصل هو التساقط، هذا کلّه بناءً علی اعتبار الأخبار من بناء العقلاء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الأدلّة اللفظیّة،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أدلّة الاعتبار یشمل حال التعارض بینهما، فیتردّد الأمر بین رفع الید عن الخبر المبتلی بالمعارض، فیکون تخصیصاً فی أدلّة الاعتبار، أو رفع الید عن کلّ منهما حال</w:t>
      </w:r>
    </w:p>
    <w:p>
      <w:pPr>
        <w:pStyle w:val="BookText"/>
        <w:rPr/>
      </w:pPr>
      <w:r>
        <w:rPr>
          <w:rFonts w:ascii="IRNazanin" w:hAnsi="IRNazanin" w:eastAsia="IRNazanin"/>
          <w:color w:val="111111"/>
          <w:sz w:val="28"/>
          <w:sz w:val="28"/>
          <w:szCs w:val="28"/>
          <w:rtl w:val="true"/>
          <w:lang w:bidi="fa-IR"/>
        </w:rPr>
        <w:t>الإتیان بالآخر، فیکون تقییداً فیها، و الثانی أولی، فالنتیجة هی التخییر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 من تقدّم التقیید علی التخصیص فی الدوران بینهما، إنّما هو فیما إذا تعارض عموم عامّ مع إطلاق دلیل،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لمّا کانت حجّیته لدی العقلاء من جعل الماهیّة موضوعاً للحکم بلا قید، فهذا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السکوت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الحجّیة، فهو یرفع مع ورود دلیل من قبل المولی، و العامّ بظهوره الوضعیّ دلیل، و لا یمکن أن یکون المطلق الکذائیّ مخصّصاً للعامّ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نحن فیه، فلا یکون من هذا القبیل؛ لأنّ أدلّة اعتبار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عموم أفرادیّ و إطلاق حالیّ، و معلوم أنّ الأوّل موضوع الثانی، فدار الأمر بین تخصیص العموم بحکم العقل، و تقیید الإطلاق، و کلاهما خلاف الأصل، و لا ترجیح لأحدهما، و لا یکون العامّ بیاناً للمطلق کالفرض السابق، و لیس التقیید أقلّ محذوراً من التخصیص؛ لأنّ رفع موضوع الإطلاق لیس ارتکاب خلاف الأصل فی الإطلاق، بل خلاف ظاهر فقط فی العامّ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العامّ یرتکب خلاف ظاهر فقط، و به یرفع موضوع الإطلاق، و رفع موضوعه لا یکون تقییداً، و لا خلاف أصل؛ لأنّ الإطلاق فرع شمول العامّ للأفراد، و مع بقاء العامّ علی عمومه یرتکب خلاف أصل آخر؛ هو تقیید الإطلاق، و لا ترجیح لأحدهما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العموم فی الرتبة المتقدّمة علی أصالة الإطلاق، فهی فی تلک الرتبة لا معارض لها، فالقاعدة تقتضی حفظ العموم؛ لعدم المعارض، و ارتکابِ خلاف الأصل فی الإطلاق، کلام شعریّ؛ لأنّ التقدّم الرتبیّ لیس موضوعاً لحکم العقلاء فی باب الظواهر و المباحث العرفیّة، و لا ینبغی الخلط بین العقلیّات و العرفیّات</w:t>
      </w:r>
      <w:r>
        <w:rPr>
          <w:rFonts w:eastAsia="IRNazanin" w:cs="IRNazanin"/>
          <w:color w:val="111111"/>
          <w:sz w:val="28"/>
          <w:szCs w:val="28"/>
          <w:rtl w:val="true"/>
          <w:lang w:bidi="fa-IR"/>
        </w:rPr>
        <w:t>.</w:t>
      </w:r>
      <w:bookmarkStart w:id="175" w:name="pg2353_14688"/>
    </w:p>
    <w:p>
      <w:pPr>
        <w:pStyle w:val="Heading3"/>
        <w:numPr>
          <w:ilvl w:val="2"/>
          <w:numId w:val="1"/>
        </w:numPr>
        <w:rPr/>
      </w:pPr>
      <w:bookmarkStart w:id="176" w:name="__RefHeading___Toc2705083_3804643083"/>
      <w:bookmarkStart w:id="177" w:name="_Toc66"/>
      <w:bookmarkEnd w:id="175"/>
      <w:bookmarkEnd w:id="176"/>
      <w:r>
        <w:rPr>
          <w:rtl w:val="true"/>
        </w:rPr>
        <w:t>البحث الثانی فی حال المتکافئین بمقتضی الأخبار الواردة فی المقام</w:t>
      </w:r>
      <w:bookmarkEnd w:id="177"/>
    </w:p>
    <w:p>
      <w:pPr>
        <w:pStyle w:val="Heading4"/>
        <w:numPr>
          <w:ilvl w:val="3"/>
          <w:numId w:val="1"/>
        </w:numPr>
        <w:rPr/>
      </w:pPr>
      <w:bookmarkStart w:id="178" w:name="__RefHeading___Toc2705085_3804643083"/>
      <w:bookmarkStart w:id="179" w:name="_Toc67"/>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الأولی نقل ما ارتبط به و تذییله بما یرتبط بفقه الحدیث، ثمّ بیان ما یساعد علیه العرف فی الجمع بینها، فنقول و علی اللَّه التکلان</w:t>
      </w:r>
      <w:r>
        <w:rPr>
          <w:rFonts w:eastAsia="IRNazanin" w:cs="IRNazanin"/>
          <w:color w:val="111111"/>
          <w:sz w:val="28"/>
          <w:szCs w:val="28"/>
          <w:rtl w:val="true"/>
          <w:lang w:bidi="fa-IR"/>
        </w:rPr>
        <w:t>:</w:t>
      </w:r>
    </w:p>
    <w:p>
      <w:pPr>
        <w:pStyle w:val="Heading4"/>
        <w:numPr>
          <w:ilvl w:val="3"/>
          <w:numId w:val="1"/>
        </w:numPr>
        <w:rPr/>
      </w:pPr>
      <w:bookmarkStart w:id="180" w:name="__RefHeading___Toc2705087_3804643083"/>
      <w:bookmarkStart w:id="181" w:name="_Toc68"/>
      <w:bookmarkEnd w:id="180"/>
      <w:r>
        <w:rPr>
          <w:rtl w:val="true"/>
        </w:rPr>
        <w:t>نقل أخبار التخییر</w:t>
      </w:r>
      <w:bookmarkEnd w:id="18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الطبرسیّ</w:t>
      </w:r>
      <w:r>
        <w:rPr>
          <w:rStyle w:val="FootnoteAnchor"/>
          <w:rtl w:val="true"/>
        </w:rPr>
        <w:footnoteReference w:id="132"/>
      </w:r>
      <w:r>
        <w:rPr>
          <w:rFonts w:ascii="IRNazanin" w:hAnsi="IRNazanin" w:eastAsia="IRNazanin"/>
          <w:color w:val="111111"/>
          <w:sz w:val="28"/>
          <w:sz w:val="28"/>
          <w:szCs w:val="28"/>
          <w:rtl w:val="true"/>
          <w:lang w:bidi="fa-IR"/>
        </w:rPr>
        <w:t>فی جواب مکاتبة محمّد</w:t>
      </w:r>
    </w:p>
    <w:p>
      <w:pPr>
        <w:pStyle w:val="BookText"/>
        <w:rPr/>
      </w:pPr>
      <w:r>
        <w:rPr>
          <w:rFonts w:ascii="IRNazanin" w:hAnsi="IRNazanin" w:eastAsia="IRNazanin"/>
          <w:color w:val="111111"/>
          <w:sz w:val="28"/>
          <w:sz w:val="28"/>
          <w:szCs w:val="28"/>
          <w:rtl w:val="true"/>
          <w:lang w:bidi="fa-IR"/>
        </w:rPr>
        <w:t>ابن عبد اللَّه الحمیریّ إلی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بعض الفقهاء عن المصلّی إذا قام من التشهّد الأوّل إلی الرکعة الثالثة، هل یجب علیه أن یکبّر؟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تکبیر، فیجزیه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حدیثان، 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انتقل من حالة إلی اخری فعلیه التکبیر، و 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أنّه إذا رفع رأسه من السجدة الثانیة، و کبّر ثمّ جلس ثمّ قام، فلیس علیه فی القیام بعد القعود تکبیر، و کذا التشهّد الأوّل یجری هذا المجری، فبأیّهما أخذت من باب التسلیم کان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 هذا الحدیث من بابنا هذا إشکال؛ فإنّ السائل سأل عن حکم الواقعة، لا عن تعارض الأدلّة، فیناسب الجواب عن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أنّ التکبیر لمّا کان مستحبّاً، و ورد فیه حدیثان؛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بإتیانه،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یرخّصه فی ترکه، فالإتیان به صواب؛ لأنّه مستحبّ، و کذا ترکه؛ لأنّ الأخذ بالدلیل المرخّص فی المستحبّ صواب، فالأخذ بکلّ واحد منهما صواب، لا من حیث التخییر فی المتعارضین، بل من حیث کون الواقع کذلک، فعلیه یکون أجنبیّاً عن 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من کون کلیهما صواباً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التکبیر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ظاهراً فی الوجوب، لکن ترفع الید</w:t>
      </w:r>
    </w:p>
    <w:p>
      <w:pPr>
        <w:pStyle w:val="BookText"/>
        <w:rPr/>
      </w:pPr>
      <w:r>
        <w:rPr>
          <w:rFonts w:ascii="IRNazanin" w:hAnsi="IRNazanin" w:eastAsia="IRNazanin"/>
          <w:color w:val="111111"/>
          <w:sz w:val="28"/>
          <w:sz w:val="28"/>
          <w:szCs w:val="28"/>
          <w:rtl w:val="true"/>
          <w:lang w:bidi="fa-IR"/>
        </w:rPr>
        <w:t>عنه بنصّ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عدم کونه علیه أنّه لا یجب علیه، فالحدیث المثبت یثبت الاستحباب، و الآخر یرفع الوجوب، و کلاهما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بأیّهما من باب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أتیت بالتکبیر من باب التسلیم فقد أتیت بالمأمور به، و إن ترکته من باب التسلیم ترکته من باب الترخیص الوارد فی الحدیث، و کلاهما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الحدیث من باب تعارض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کون الأخذ بکلّ منهما صواباً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یعقل؛ فإنّه مع فرض التعارض و التکاذب یکون من الجمع بین النقیضین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تکن الروایة معرضاً عنها، و إلّا فهی ساقطة رأساً، مع أنّها ضعیفة السند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بإسناده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روایتهم عن أبی عبد اللَّه علیه السلام فی رکعتی الفجر فی السفر، فروی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تصلّها إلّا علی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p>
    <w:p>
      <w:pPr>
        <w:pStyle w:val="BookText"/>
        <w:rPr/>
      </w:pP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فأعلمنی کیف تصنع أنت؛</w:t>
      </w:r>
    </w:p>
    <w:p>
      <w:pPr>
        <w:pStyle w:val="BookText"/>
        <w:rPr/>
      </w:pPr>
      <w:r>
        <w:rPr>
          <w:rFonts w:ascii="IRNazanin" w:hAnsi="IRNazanin" w:eastAsia="IRNazanin"/>
          <w:color w:val="111111"/>
          <w:sz w:val="28"/>
          <w:sz w:val="28"/>
          <w:szCs w:val="28"/>
          <w:rtl w:val="true"/>
          <w:lang w:bidi="fa-IR"/>
        </w:rPr>
        <w:t>لأقتدی بک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سؤاله عن حکم الواقعة، خصوصاً بملاحظة الزیادة 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جوابه أیضاً یکون عن الحکم الواقعیّ، کما هو کذلک؛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نافلته، و یجوز إتیانها فی المحمل و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أنّک مخیّر واقعاً فی إتیانها فی المحمل و علی الأرض، و حملها علی الأخذ فی المسألة الاصولیّة لدی تعارض الأحوال</w:t>
      </w:r>
      <w:r>
        <w:rPr>
          <w:rStyle w:val="FootnoteAnchor"/>
          <w:rtl w:val="true"/>
        </w:rPr>
        <w:footnoteReference w:id="135"/>
      </w:r>
      <w:r>
        <w:rPr>
          <w:rFonts w:ascii="IRNazanin" w:hAnsi="IRNazanin" w:eastAsia="IRNazanin"/>
          <w:color w:val="111111"/>
          <w:sz w:val="28"/>
          <w:sz w:val="28"/>
          <w:szCs w:val="28"/>
          <w:rtl w:val="true"/>
          <w:lang w:bidi="fa-IR"/>
        </w:rPr>
        <w:t>فی غایة البعد، فهی أیضاً أجنبیّة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زرارة المنقولة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ذیلها بعد الأمر بالأخذ بما یوافق الاحتیاط، و فرضه موافقتهما أو مخالفتهما 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فأرجه حتّی تلقی إمامک فتسأله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مرسلة فی غایة الضعف من غیر جابر لها، فلا یجوز إثبات حکم بها، و لهذا أخرجناها عن أدلّة العلاج، و تمسّکُ من تأخّر عن ابن أبی جمهور بها بل إجماعهم علی العمل بها، لا یفید جبرها، و لیس کتمسّک القدماء و اعتمادهم</w:t>
      </w:r>
    </w:p>
    <w:p>
      <w:pPr>
        <w:pStyle w:val="BookText"/>
        <w:rPr/>
      </w:pPr>
      <w:r>
        <w:rPr>
          <w:rFonts w:ascii="IRNazanin" w:hAnsi="IRNazanin" w:eastAsia="IRNazanin"/>
          <w:color w:val="111111"/>
          <w:sz w:val="28"/>
          <w:sz w:val="28"/>
          <w:szCs w:val="28"/>
          <w:rtl w:val="true"/>
          <w:lang w:bidi="fa-IR"/>
        </w:rPr>
        <w:t>علی الحدیث؛ لکونهم قریبی العهد بأصحاب الاصول و الجوامع، و عندهم اصول لم تکن عند المتأخّرین، فما أفاده شیخنا العلّامة؛ من جبرها بالعمل</w:t>
      </w:r>
      <w:r>
        <w:rPr>
          <w:rStyle w:val="FootnoteAnchor"/>
          <w:rtl w:val="true"/>
        </w:rPr>
        <w:footnoteReference w:id="137"/>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احتمال أن یکون قوله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 هذه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عن الطبرسیّ، عن الحارث بن المغیرة</w:t>
      </w:r>
      <w:r>
        <w:rPr>
          <w:rStyle w:val="FootnoteAnchor"/>
          <w:rtl w:val="true"/>
        </w:rPr>
        <w:footnoteReference w:id="138"/>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 إلیه</w:t>
      </w:r>
      <w:r>
        <w:rPr>
          <w:rFonts w:eastAsia="IRNazanin" w:cs="IRNazanin"/>
          <w:color w:val="111111"/>
          <w:sz w:val="28"/>
          <w:szCs w:val="28"/>
          <w:rtl w:val="true"/>
          <w:lang w:bidi="fa-IR"/>
        </w:rPr>
        <w:t>»</w:t>
      </w:r>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کونها من أخبار الباب أیضاً إشکال؛ لاحتمال أن یکون المراد جواز العمل بخبر الثقة، و لیس فیها دلالة علی التوسعة و التخییر فی الروایتین المتعارضتین، و لا یدلّ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تعدّد الروایة، فضلًا عن تعارضها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الاستدلال بهذه الروایة لما نحن فیه فتأمّل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عن الحسن بن الجهم</w:t>
      </w:r>
      <w:r>
        <w:rPr>
          <w:rStyle w:val="FootnoteAnchor"/>
          <w:rtl w:val="true"/>
        </w:rPr>
        <w:footnoteReference w:id="141"/>
      </w:r>
      <w:r>
        <w:rPr>
          <w:rFonts w:ascii="IRNazanin" w:hAnsi="IRNazanin" w:eastAsia="IRNazanin"/>
          <w:color w:val="111111"/>
          <w:sz w:val="28"/>
          <w:sz w:val="28"/>
          <w:szCs w:val="28"/>
          <w:rtl w:val="true"/>
          <w:lang w:bidi="fa-IR"/>
        </w:rPr>
        <w:t>عن الرضا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و لا نعلم أیّهما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p>
    <w:p>
      <w:p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دلالتها علی التخییر فی الحدیثین المختلفین مطلقاً، کما لا یبعد جبر سندها بعمل الأصحاب، علی تأمّل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الکلینیّ</w:t>
      </w:r>
      <w:r>
        <w:rPr>
          <w:rStyle w:val="FootnoteAnchor"/>
          <w:rtl w:val="true"/>
        </w:rPr>
        <w:footnoteReference w:id="143"/>
      </w:r>
      <w:r>
        <w:rPr>
          <w:rFonts w:ascii="IRNazanin" w:hAnsi="IRNazanin" w:eastAsia="IRNazanin"/>
          <w:color w:val="111111"/>
          <w:sz w:val="28"/>
          <w:sz w:val="28"/>
          <w:szCs w:val="28"/>
          <w:rtl w:val="true"/>
          <w:lang w:bidi="fa-IR"/>
        </w:rPr>
        <w:t>، حیث قال فی ذیل موثّقة</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144"/>
      </w:r>
      <w:r>
        <w:rPr>
          <w:rFonts w:ascii="IRNazanin" w:hAnsi="IRNazanin" w:eastAsia="IRNazanin"/>
          <w:color w:val="111111"/>
          <w:sz w:val="28"/>
          <w:sz w:val="28"/>
          <w:szCs w:val="28"/>
          <w:rtl w:val="true"/>
          <w:lang w:bidi="fa-IR"/>
        </w:rPr>
        <w:t>الآتیة فی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لا تکون روایة مستقلّة، بل إشارة إلی مضمون بعض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النفساء تدع الصلاة أکثره مثل أیّام حیضها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ثمانیة عشر یوماً، و روی ثلاثة و عشرین یوماً، و بأیّ هذه الأحادیث اخذ من جهة التسلیم جاز</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المظنون کون هذا الکتاب من تصنیف بعض العلماء المطّلع علی الأحادیث، و قد جمع بین شتات الأخبار باجتهاده و روی مضمونها، کما یظهر للمتدبّر فیه، و لا یبعد أن یکون قوله هذا مأخوذاً من الروایات، لا روایة مستقلّة</w:t>
      </w:r>
      <w:r>
        <w:rPr>
          <w:rFonts w:eastAsia="IRNazanin" w:cs="IRNazanin"/>
          <w:color w:val="111111"/>
          <w:sz w:val="28"/>
          <w:szCs w:val="28"/>
          <w:rtl w:val="true"/>
          <w:lang w:bidi="fa-IR"/>
        </w:rPr>
        <w:t>.</w:t>
      </w:r>
      <w:bookmarkStart w:id="182" w:name="pg2353_14695"/>
    </w:p>
    <w:p>
      <w:pPr>
        <w:pStyle w:val="BookText"/>
        <w:rPr/>
      </w:pPr>
      <w:bookmarkEnd w:id="18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المیثمیّ</w:t>
      </w:r>
      <w:r>
        <w:rPr>
          <w:rStyle w:val="FootnoteAnchor"/>
          <w:rtl w:val="true"/>
        </w:rPr>
        <w:footnoteReference w:id="147"/>
      </w:r>
      <w:r>
        <w:rPr>
          <w:rFonts w:ascii="IRNazanin" w:hAnsi="IRNazanin" w:eastAsia="IRNazanin"/>
          <w:color w:val="111111"/>
          <w:sz w:val="28"/>
          <w:sz w:val="28"/>
          <w:szCs w:val="28"/>
          <w:rtl w:val="true"/>
          <w:lang w:bidi="fa-IR"/>
        </w:rPr>
        <w:t xml:space="preserve">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سنذکرها فی ذیل أخبار الإرجاء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تحصّل ممّا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دلّت علی التخییر و سلمت عن الإشکال دلالة، و یمکن دعوی جبرها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واحدة؛ هی روایة الحسن بن الجهم، و لا أدری کیف ادّعی الشیخ الأنصاریّ دلالةَ الأخبار المستفیضة بل المتواترة علیه</w:t>
      </w:r>
      <w:r>
        <w:rPr>
          <w:rStyle w:val="FootnoteAnchor"/>
          <w:rtl w:val="true"/>
        </w:rPr>
        <w:footnoteReference w:id="1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83" w:name="__RefHeading___Toc2705089_3804643083"/>
      <w:bookmarkStart w:id="184" w:name="_Toc69"/>
      <w:bookmarkEnd w:id="183"/>
      <w:r>
        <w:rPr>
          <w:rtl w:val="true"/>
        </w:rPr>
        <w:t>مفاد أخبار التخییر</w:t>
      </w:r>
      <w:bookmarkEnd w:id="184"/>
    </w:p>
    <w:p>
      <w:pPr>
        <w:pStyle w:val="BookText"/>
        <w:rPr/>
      </w:pPr>
      <w:r>
        <w:rPr>
          <w:rFonts w:ascii="IRNazanin" w:hAnsi="IRNazanin" w:eastAsia="IRNazanin"/>
          <w:color w:val="111111"/>
          <w:sz w:val="28"/>
          <w:sz w:val="28"/>
          <w:szCs w:val="28"/>
          <w:rtl w:val="true"/>
          <w:lang w:bidi="fa-IR"/>
        </w:rPr>
        <w:t>ثمّ إنّ أخبار التخییر مع قطع النظر عن معارضاتها، لا تدلّ إلّا علی جواز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بأیّهما أخذت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فواضح؛ لأنّه یدلّ علی التوسعة فی الأخذ، مقابل التضییق الذی یحکم به العقل و العقلاء بمقتضی الأصل،</w:t>
      </w:r>
    </w:p>
    <w:p>
      <w:pPr>
        <w:pStyle w:val="BookText"/>
        <w:rPr/>
      </w:pPr>
      <w:r>
        <w:rPr>
          <w:rFonts w:ascii="IRNazanin" w:hAnsi="IRNazanin" w:eastAsia="IRNazanin"/>
          <w:color w:val="111111"/>
          <w:sz w:val="28"/>
          <w:sz w:val="28"/>
          <w:szCs w:val="28"/>
          <w:rtl w:val="true"/>
          <w:lang w:bidi="fa-IR"/>
        </w:rPr>
        <w:t>الذی عرفت أنّه سقوطهما عن الحجّیة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الأخذ مساوق لوجوبه؛ لأنّ أحدهما إن لم یکن حجّة فلا یجوز الأخذ به، و إن کان حجّة فیجب</w:t>
      </w:r>
      <w:r>
        <w:rPr>
          <w:rStyle w:val="FootnoteAnchor"/>
          <w:rtl w:val="true"/>
        </w:rPr>
        <w:footnoteReference w:id="151"/>
      </w:r>
      <w:r>
        <w:rPr>
          <w:rFonts w:ascii="IRNazanin" w:hAnsi="IRNazanin" w:eastAsia="IRNazanin"/>
          <w:color w:val="111111"/>
          <w:sz w:val="28"/>
          <w:sz w:val="28"/>
          <w:szCs w:val="28"/>
          <w:rtl w:val="true"/>
          <w:lang w:bidi="fa-IR"/>
        </w:rPr>
        <w:t>ممنوعة؛ لأنّهما و إن کانا غیر حجّتین بحسب حکم العقل، لکن یجوز الأخذ بأحدهما بدلیل و حجّة؛ و هو أخبار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الأخذ بأحدهما لیس من حیث حجّیته فی حال التعارض، بل بعد سقوطهما معاً بحکم العقل، تدلّ أخبار العلاج علی التوسعة فی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ورد دلیل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فرض اعتبار المرفوعة المعبّرة بالجملة الإنشائیة أو الإخباریّة فی مقام الإنشاء</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 أحدهما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الوجوب؛ لوروده فی مقام حکم العقل بالحظر، فلا یستفاد منه إلّا رفعه،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الأخذ بأحدهما علی سبیل التخییر؛ تمسّکاً بالروایات المتقدّمة</w:t>
      </w:r>
      <w:r>
        <w:rPr>
          <w:rStyle w:val="FootnoteAnchor"/>
          <w:rtl w:val="true"/>
        </w:rPr>
        <w:footnoteReference w:id="154"/>
      </w:r>
      <w:r>
        <w:rPr>
          <w:rFonts w:ascii="IRNazanin" w:hAnsi="IRNazanin" w:eastAsia="IRNazanin"/>
          <w:color w:val="111111"/>
          <w:sz w:val="28"/>
          <w:sz w:val="28"/>
          <w:szCs w:val="28"/>
          <w:rtl w:val="true"/>
          <w:lang w:bidi="fa-IR"/>
        </w:rPr>
        <w:t>کأنّه فی غیر محلّه، هذا حال أخبار التخییر</w:t>
      </w:r>
      <w:r>
        <w:rPr>
          <w:rFonts w:eastAsia="IRNazanin" w:cs="IRNazanin"/>
          <w:color w:val="111111"/>
          <w:sz w:val="28"/>
          <w:szCs w:val="28"/>
          <w:rtl w:val="true"/>
          <w:lang w:bidi="fa-IR"/>
        </w:rPr>
        <w:t>.</w:t>
      </w:r>
      <w:bookmarkStart w:id="185" w:name="pg2353_14697"/>
    </w:p>
    <w:p>
      <w:pPr>
        <w:pStyle w:val="Heading4"/>
        <w:numPr>
          <w:ilvl w:val="3"/>
          <w:numId w:val="1"/>
        </w:numPr>
        <w:rPr/>
      </w:pPr>
      <w:bookmarkStart w:id="186" w:name="__RefHeading___Toc2705091_3804643083"/>
      <w:bookmarkStart w:id="187" w:name="_Toc70"/>
      <w:bookmarkEnd w:id="185"/>
      <w:bookmarkEnd w:id="186"/>
      <w:r>
        <w:rPr>
          <w:rtl w:val="true"/>
        </w:rPr>
        <w:t>نقل أخبار التوقّف</w:t>
      </w:r>
      <w:bookmarkEnd w:id="187"/>
    </w:p>
    <w:p>
      <w:pPr>
        <w:pStyle w:val="BookText"/>
        <w:rPr/>
      </w:pPr>
      <w:r>
        <w:rPr>
          <w:rFonts w:ascii="Amiri" w:hAnsi="Amiri" w:eastAsia="Amiri" w:cs="Amiri"/>
          <w:color w:val="111111"/>
          <w:sz w:val="28"/>
          <w:sz w:val="28"/>
          <w:szCs w:val="28"/>
          <w:rtl w:val="true"/>
          <w:lang w:bidi="ar-SA"/>
        </w:rPr>
        <w:t>و أمّا أخبار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أرجأت الأمرَ إذا أخّرته</w:t>
      </w:r>
      <w:r>
        <w:rPr>
          <w:rStyle w:val="FootnoteAnchor"/>
          <w:rtl w:val="true"/>
        </w:rPr>
        <w:footnoteReference w:id="156"/>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 أَخاهُ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لو لا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لکان الظاهر رجوع 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یرجئه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الأمر، لکن معه یرجع إلی الأخذ،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الأخذ بواحدٍ منهما حتّی یلقی من یخبره، فهو فی الواقعة فی سعة حتّی یلقاه، و لا یوجب ورود مثل الخبرین المتعارضین الضیقَ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اتحاد هذه الموثّقة مع</w:t>
      </w:r>
    </w:p>
    <w:p>
      <w:pPr>
        <w:pStyle w:val="BookText"/>
        <w:rPr/>
      </w:pPr>
      <w:r>
        <w:rPr>
          <w:rFonts w:ascii="IRNazanin" w:hAnsi="IRNazanin" w:eastAsia="IRNazanin"/>
          <w:color w:val="111111"/>
          <w:sz w:val="28"/>
          <w:sz w:val="28"/>
          <w:szCs w:val="28"/>
          <w:rtl w:val="true"/>
          <w:lang w:bidi="fa-IR"/>
        </w:rPr>
        <w:t>ما روی الطبرسیّ، عن سَماعة، عن أبی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 واحد یأمرنا بالأخذ به، و الآخر ینهانا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نقل سَماعة أو أحد الرواة بالمعنی؛ لاتحاد الراوی و المرویّ عنه، و تشابه ألفاظهما، نعم یختلف ذیلهما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 و لا یعمل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مقبولة عمر بن حنظلة</w:t>
      </w:r>
      <w:r>
        <w:rPr>
          <w:rStyle w:val="FootnoteAnchor"/>
          <w:rtl w:val="true"/>
        </w:rPr>
        <w:footnoteReference w:id="159"/>
      </w:r>
      <w:r>
        <w:rPr>
          <w:rFonts w:ascii="IRNazanin" w:hAnsi="IRNazanin" w:eastAsia="IRNazanin"/>
          <w:color w:val="111111"/>
          <w:sz w:val="28"/>
          <w:sz w:val="28"/>
          <w:szCs w:val="28"/>
          <w:rtl w:val="true"/>
          <w:lang w:bidi="fa-IR"/>
        </w:rPr>
        <w:t>الآتیة</w:t>
      </w:r>
      <w:r>
        <w:rPr>
          <w:rStyle w:val="FootnoteAnchor"/>
          <w:rtl w:val="true"/>
        </w:rPr>
        <w:footnoteReference w:id="160"/>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فأرجئه حتّی تلقی إمامک؛ فإنَّ الوقوف عند الشبهات خیر من الاقتحام فی الهلکات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الأخذ المستفاد من الکلام السابق؛ أی لا تعمل بواحد منهما؛ فإنّ مضمون کلّ منهما مشتبه، و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الأخذ بالخبر و الاستناد إلیه، أی لا تعمل بواحد منهما حتّی تلقی إمامک؛ فإنّ الأخذ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الاستناد و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و الوقوف عندها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محمّد بن إدریس</w:t>
      </w:r>
      <w:r>
        <w:rPr>
          <w:rStyle w:val="FootnoteAnchor"/>
          <w:rtl w:val="true"/>
        </w:rPr>
        <w:footnoteReference w:id="162"/>
      </w:r>
      <w:r>
        <w:rPr>
          <w:rFonts w:ascii="IRNazanin" w:hAnsi="IRNazanin" w:eastAsia="IRNazanin"/>
          <w:color w:val="111111"/>
          <w:sz w:val="28"/>
          <w:sz w:val="28"/>
          <w:szCs w:val="28"/>
          <w:rtl w:val="true"/>
          <w:lang w:bidi="fa-IR"/>
        </w:rPr>
        <w:t xml:space="preserve">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 لعلیّ بن محمّد</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علی بن عیسی</w:t>
      </w:r>
      <w:r>
        <w:rPr>
          <w:rStyle w:val="FootnoteAnchor"/>
          <w:rtl w:val="true"/>
        </w:rPr>
        <w:footnoteReference w:id="164"/>
      </w:r>
      <w:r>
        <w:rPr>
          <w:rFonts w:ascii="IRNazanin" w:hAnsi="IRNazanin" w:eastAsia="IRNazanin"/>
          <w:color w:val="111111"/>
          <w:sz w:val="28"/>
          <w:sz w:val="28"/>
          <w:szCs w:val="28"/>
          <w:rtl w:val="true"/>
          <w:lang w:bidi="fa-IR"/>
        </w:rPr>
        <w:t>کتب إلیه یسأله عن العلم المنقول إلینا عن آبائک و أجدادِک، قد اختلف علینا فیه، فکیف العمل به</w:t>
      </w:r>
    </w:p>
    <w:p>
      <w:pPr>
        <w:pStyle w:val="BookText"/>
        <w:rPr/>
      </w:pPr>
      <w:r>
        <w:rPr>
          <w:rFonts w:ascii="IRNazanin" w:hAnsi="IRNazanin" w:eastAsia="IRNazanin"/>
          <w:color w:val="111111"/>
          <w:sz w:val="28"/>
          <w:sz w:val="28"/>
          <w:szCs w:val="28"/>
          <w:rtl w:val="true"/>
          <w:lang w:bidi="fa-IR"/>
        </w:rPr>
        <w:t>علی اختلافه و الردّ إلیک فیما اختلف فیه؟</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 ما لم تعلموا فردّوه إلینا</w:t>
      </w:r>
      <w:r>
        <w:rPr>
          <w:rFonts w:eastAsia="IRNazanin" w:cs="IRNazanin"/>
          <w:color w:val="111111"/>
          <w:sz w:val="28"/>
          <w:szCs w:val="28"/>
          <w:rtl w:val="true"/>
          <w:lang w:bidi="fa-IR"/>
        </w:rPr>
        <w:t>»</w:t>
      </w:r>
    </w:p>
    <w:p>
      <w:p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w:t>
      </w:r>
      <w:r>
        <w:rPr>
          <w:rStyle w:val="FootnoteAnchor"/>
          <w:rtl w:val="true"/>
        </w:rPr>
        <w:footnoteReference w:id="16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کأنّهما روایة واحدة؛ لتقارب ألفاظهما، و کأنّه وقع اشتباه فی بعض ألفاظ روایة الصفّار،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العمل بهما، فلا یختصّ بزمان التمکّن من اللّقاء، أو إرجاع الروایة إلیهم فیختصُّ به، و الأوّل أقرب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المیثمیّ المشار إلیها فی أخبار التخییر</w:t>
      </w:r>
      <w:r>
        <w:rPr>
          <w:rStyle w:val="FootnoteAnchor"/>
          <w:rtl w:val="true"/>
        </w:rPr>
        <w:footnoteReference w:id="168"/>
      </w:r>
      <w:r>
        <w:rPr>
          <w:rFonts w:ascii="Amiri" w:hAnsi="Amiri" w:eastAsia="Amiri" w:cs="Amiri"/>
          <w:color w:val="111111"/>
          <w:sz w:val="28"/>
          <w:sz w:val="28"/>
          <w:szCs w:val="28"/>
          <w:rtl w:val="true"/>
          <w:lang w:bidi="ar-SA"/>
        </w:rPr>
        <w:t>فإنّه استدلّ بها</w:t>
      </w:r>
      <w:bookmarkStart w:id="188" w:name="pg2353_14701"/>
    </w:p>
    <w:p>
      <w:pPr>
        <w:pStyle w:val="BookText"/>
        <w:rPr/>
      </w:pPr>
      <w:bookmarkEnd w:id="188"/>
      <w:r>
        <w:rPr>
          <w:rFonts w:ascii="Amiri" w:hAnsi="Amiri" w:eastAsia="Amiri" w:cs="Amiri"/>
          <w:color w:val="111111"/>
          <w:sz w:val="28"/>
          <w:sz w:val="28"/>
          <w:szCs w:val="28"/>
          <w:rtl w:val="true"/>
          <w:lang w:bidi="ar-SA"/>
        </w:rPr>
        <w:t>للتوقّف أیضاً</w:t>
      </w:r>
      <w:r>
        <w:rPr>
          <w:rStyle w:val="FootnoteAnchor"/>
          <w:rtl w:val="true"/>
        </w:rPr>
        <w:footnoteReference w:id="169"/>
      </w:r>
      <w:r>
        <w:rPr>
          <w:rFonts w:ascii="IRNazanin" w:hAnsi="IRNazanin" w:eastAsia="IRNazanin"/>
          <w:color w:val="111111"/>
          <w:sz w:val="28"/>
          <w:sz w:val="28"/>
          <w:szCs w:val="28"/>
          <w:rtl w:val="true"/>
          <w:lang w:bidi="fa-IR"/>
        </w:rPr>
        <w:t>و سیأتی الکلام فیها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2705093_3804643083"/>
      <w:bookmarkStart w:id="190" w:name="_Toc71"/>
      <w:bookmarkEnd w:id="189"/>
      <w:r>
        <w:rPr>
          <w:rtl w:val="true"/>
        </w:rPr>
        <w:t>جمع الشیخ الأعظم و العلّامة الحائری و ما فیهما</w:t>
      </w:r>
      <w:bookmarkEnd w:id="190"/>
    </w:p>
    <w:p>
      <w:pPr>
        <w:pStyle w:val="BookText"/>
        <w:rPr/>
      </w:pPr>
      <w:r>
        <w:rPr>
          <w:rFonts w:ascii="IRNazanin" w:hAnsi="IRNazanin" w:eastAsia="IRNazanin"/>
          <w:color w:val="111111"/>
          <w:sz w:val="28"/>
          <w:sz w:val="28"/>
          <w:szCs w:val="28"/>
          <w:rtl w:val="true"/>
          <w:lang w:bidi="fa-IR"/>
        </w:rPr>
        <w:t>فهذه جملة من الروایات المستدلّ بها للتخییر و التوقّف، و قد اختلفت أنظار المحقّقین فی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شیخنا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لبعض</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بینها؛ بحمل أخبار الإرجاء و التوقّف علی صورة التمکّن من الوصول إلی الإمام، کما یظهر من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منها أنّ المراد ترک العمل و إرجاء الواقعة إلی لقاء الإمام، لا العمل فیها بالاحتیاط</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یخلو من بعد و إشکال؛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التمکّن الفعلیّ فی حال حضور الواقعة و وقت العمل؛ بأن یکون الإمام حاضراً فی البلد مثلًا، فهو مخالف لسوق الأخبار؛ لأنّ الظاهر منها السؤال عن الواقعة</w:t>
      </w:r>
    </w:p>
    <w:p>
      <w:pPr>
        <w:pStyle w:val="BookText"/>
        <w:rPr/>
      </w:pPr>
      <w:r>
        <w:rPr>
          <w:rFonts w:ascii="IRNazanin" w:hAnsi="IRNazanin" w:eastAsia="IRNazanin"/>
          <w:color w:val="111111"/>
          <w:sz w:val="28"/>
          <w:sz w:val="28"/>
          <w:szCs w:val="28"/>
          <w:rtl w:val="true"/>
          <w:lang w:bidi="fa-IR"/>
        </w:rPr>
        <w:t>المختلفة فیها الأخبار منهم، و کان السائل متحیّراً فی حکمها لأجله، و لیس له طریق إلی حکمها یحسم مادّة الخلاف و الإشکال، و لهذا تری أنّ سَماعة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لنا من العمل بأحدهما، فأجاب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المراد التمکّن و لو فی المستقبل، فی مقابل عدم التمکّن مطلقاً، فحمل أخبار التخییر علیه بعید؛ فإنّ حمل مثل روایة ابن الجهم</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العمدة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التمکّن مطلقاً، حمل علی الفرد النادر، بل من قبیل خروج المورد، خصوصاً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قوله فی موثّقة سَماعة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 من لقاء الإمام، أو مَن هو مِن بطانته و فقهاء أصحابه؛ ممّن یعرف فتاواه الصادرة لأجل بیان الحکم الواقعیّ أو لغیره، کما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أخبار التخییر علی زمان الغیبة أبعد، مع أنّه ورد فی خبر الحارث بن المغیرة نظیر ما فی أخبار التوقّف، لو کان من أخبار التخییر کما عدّوه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هذا الجمع عرفیّاً مقبولًا إشکال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منه ما اختاره شیخنا العلّامة أعلی اللَّه مقامه؛ و هو حمل أخبار التوقّف علی النهی عن تعیین مدلول الخبرین بالمناسبات الظنّیة، و هذا لا ینافی</w:t>
      </w:r>
      <w:bookmarkStart w:id="191" w:name="pg2353_14703"/>
    </w:p>
    <w:p>
      <w:pPr>
        <w:pStyle w:val="BookText"/>
        <w:rPr/>
      </w:pPr>
      <w:bookmarkEnd w:id="191"/>
      <w:r>
        <w:rPr>
          <w:rFonts w:ascii="IRNazanin" w:hAnsi="IRNazanin" w:eastAsia="IRNazanin"/>
          <w:color w:val="111111"/>
          <w:sz w:val="28"/>
          <w:sz w:val="28"/>
          <w:szCs w:val="28"/>
          <w:rtl w:val="true"/>
          <w:lang w:bidi="fa-IR"/>
        </w:rPr>
        <w:t>التخییر عملًا، فقد تصدّی لتشیید ما أفاده فراجع</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الحمل لو تمشّی فی بعض أخبار التوقّف، فلا یتمشّی فی بعض آخر، فکیف یمکن حمل قوله فی خبر سَماعة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 حتّی تلقی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النهی عن کشف مدلولهما؟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یتمشّی ذلک فی المقبولة و موثّقة سَماعة؛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عرفاً هو تأخیر الأخذ بالخبرین، و ترک العمل بهما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حمل روایة المیثمیّ علی ذلک غیر بعید، و سیأتی التعرّض لها</w:t>
      </w:r>
      <w:r>
        <w:rPr>
          <w:rStyle w:val="FootnoteAnchor"/>
          <w:rtl w:val="true"/>
        </w:rPr>
        <w:footnoteReference w:id="177"/>
      </w:r>
      <w:r>
        <w:rPr>
          <w:rFonts w:ascii="IRNazanin" w:hAnsi="IRNazanin" w:eastAsia="IRNazanin"/>
          <w:color w:val="111111"/>
          <w:sz w:val="28"/>
          <w:sz w:val="28"/>
          <w:szCs w:val="28"/>
          <w:rtl w:val="true"/>
          <w:lang w:bidi="fa-IR"/>
        </w:rPr>
        <w:t>لکن لا تکون شاهدة علی حمل البقیّة علی ذلک؛ لعدم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منافاة بین وجوب ردّ علم الحدیثین إلیهم، و عدم جواز العمل بهما</w:t>
      </w:r>
      <w:r>
        <w:rPr>
          <w:rFonts w:eastAsia="IRNazanin" w:cs="IRNazanin"/>
          <w:color w:val="111111"/>
          <w:sz w:val="28"/>
          <w:szCs w:val="28"/>
          <w:rtl w:val="true"/>
          <w:lang w:bidi="fa-IR"/>
        </w:rPr>
        <w:t>.</w:t>
      </w:r>
    </w:p>
    <w:p>
      <w:pPr>
        <w:pStyle w:val="Heading4"/>
        <w:numPr>
          <w:ilvl w:val="3"/>
          <w:numId w:val="1"/>
        </w:numPr>
        <w:rPr/>
      </w:pPr>
      <w:bookmarkStart w:id="192" w:name="__RefHeading___Toc2705095_3804643083"/>
      <w:bookmarkStart w:id="193" w:name="_Toc72"/>
      <w:bookmarkEnd w:id="192"/>
      <w:r>
        <w:rPr>
          <w:rtl w:val="true"/>
        </w:rPr>
        <w:t>وجه الجمع بین الأخبار</w:t>
      </w:r>
      <w:bookmarkEnd w:id="1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التخییر نصّ فی جواز الأخذ بأحدهما، و أخبارَ التوقّف ظاهرة فی وجوب الإرجاء، و حرمةِ العمل بهما، و مقتضی القاعدة حمل روایات التوقّف علی رجحانه و مرجوحیّة العمل، و حمل أخبار</w:t>
      </w:r>
    </w:p>
    <w:p>
      <w:pPr>
        <w:pStyle w:val="BookText"/>
        <w:rPr/>
      </w:pPr>
      <w:r>
        <w:rPr>
          <w:rFonts w:ascii="IRNazanin" w:hAnsi="IRNazanin" w:eastAsia="IRNazanin"/>
          <w:color w:val="111111"/>
          <w:sz w:val="28"/>
          <w:sz w:val="28"/>
          <w:szCs w:val="28"/>
          <w:rtl w:val="true"/>
          <w:lang w:bidi="fa-IR"/>
        </w:rPr>
        <w:t>التخییر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فی ذیل المقبولة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أرجئه حتّی تلقی إمامک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معلّلًا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مسبوقاً بتثلیث الامور،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 نجا من المحرّمات، و من أخذ بالشبهات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إرشادیّ إلی ما هو أصلح بحال المکلّف؛ فإنّ الأقرب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إلی أنّ کفّ النفس عند الشبهات، و ردعَها عن ارتکابها، موجب لتنزّهها عن الوقوع فی المحرّمات، و نجاتِها من الهلکة، و إرخاءَ عنانها فی الشبهات، و اعتیادَها علی الأخذ بها و ارتکابها، موجب قهراً لاجترائها علی المولی، فتهون المحرّمات عندها، و هو موجب للوقوع فیها و الهلاک من حیث لا یعلم؛ أی من جهة و سبب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یصیر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أرجئه حتّی تلقی إمامک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فی الإرشاد إلی ما یتخلّص به من الاقتحام فی الهلکة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الجمع بین الإرجاء و التوسعة فی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موردها الدوران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الإرجاء لیس فی العمل، بل فی الفتوی، و أنّ التوسعة فی العمل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المظنون أنّ الموثّقة عین ما عن الطبرسیّ کما أشرنا إلیه</w:t>
      </w:r>
      <w:r>
        <w:rPr>
          <w:rStyle w:val="FootnoteAnchor"/>
          <w:rtl w:val="true"/>
        </w:rPr>
        <w:footnoteReference w:id="179"/>
      </w:r>
      <w:r>
        <w:rPr>
          <w:rFonts w:ascii="Amiri" w:hAnsi="Amiri" w:eastAsia="Amiri" w:cs="Amiri"/>
          <w:color w:val="111111"/>
          <w:sz w:val="28"/>
          <w:sz w:val="28"/>
          <w:szCs w:val="28"/>
          <w:rtl w:val="true"/>
          <w:lang w:bidi="ar-SA"/>
        </w:rPr>
        <w:t>مع أنّ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علینا حدیثان؛ واحد یأمرنا بالأخذ به، و الآخر ینهانا عنه، فیعلم من ذلک أنّ المورد لا یلزم أن یکون من الدوران بین المحذورین، کما لو ورد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الحبوة للولد الأکبر، فأعطوها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لیست له، فلا تعطوها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تلک الواقعة یمکن تأخیرها و الاحتیاط فی العمل بالصلح، أو تأخیرها إلی لقاء الإمام، و التخییر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الموثّقة شاهدة لهذا الجمع، مع إباء روایة الطبرسیّ عن ذلک، بل إباء الموثّقة عنه أیضاً؛ لما عرفت من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التأخیر و ترک العمل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یستشهد بروایة المیثمیّ علی الجمع بین الروایات؛ بحمل أخبار التخییر علی التخییر فی المستحبّات و المکروهات، و حمل أخبار الإرجاء علی غیرهما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المناسب نقل هذه الروایة الشریفة بطولها؛ حتّی یتّضح بطلان هذه الدعوی،</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الحسن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الرضا علیه السلام یوماً و قد اجتمع عنده قوم من أصحابه، و قد کانوا یتنازعون فی الحدیثین المختلفین عن رسول اللَّه فی الشی‌ء الواحد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حراماً، و أحلّ حلالًا، و فرض فرائض، فما جاء فی تحلیل</w:t>
      </w:r>
    </w:p>
    <w:p>
      <w:pPr>
        <w:pStyle w:val="BookText"/>
        <w:rPr/>
      </w:pPr>
      <w:r>
        <w:rPr>
          <w:rFonts w:ascii="Amiri" w:hAnsi="Amiri" w:eastAsia="Amiri" w:cs="Amiri"/>
          <w:color w:val="111111"/>
          <w:sz w:val="28"/>
          <w:sz w:val="28"/>
          <w:szCs w:val="28"/>
          <w:rtl w:val="true"/>
          <w:lang w:bidi="ar-SA"/>
        </w:rPr>
        <w:t>ما حرّم اللَّه، و فی تحریم ما أحلّ اللَّه، أو دفع فریضة فی کتاب اللَّه، رسمُها بیّنٌ قائم بلا ناسخ نسخ ذلک، فذلک ما لا یسع الأخذ به؛ لأنّ رسول اللّه لم یکن لیحرّم ما أحلّ اللَّه، و لا لیحلّل ما حرّم اللَّه، و لا لیغیّر فرائض اللَّه و أحکامه، کان فی ذلک کلّه متّبعاً مسلّماً مؤدّیاً عن اللَّه، و 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فکان متّبعاً للَّه، مؤدّیاً عن اللَّه ما أمره به من تبلیغ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یرد عنکم الحدیث فی الشی‌ء عن رسول اللَّه ممّا لیس فی الکتاب، و هو فی السنّة، ثمّ یرد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قد نهی رسول اللَّه عن أشیاء نهی حرام، فوافق فی ذلک نهیه نهیَ اللَّه، و أمر بأشیاءَ فصار ذلک الأمر واجباً لازماً، کعدل فرائض اللَّه، فوافق فی ذلک أمره أمرَ اللَّه، فما جاء فی النهی عن رسول اللَّه نهی حرام، ثمّ جاء خلافه، لم یسع استعمال ذلک، و کذلک فیما أمر به؛ لأنّا لا نرخّص فیما لم یرخّص فیه رسول اللَّه، و لا نأمر بخلاف ما أمر به رسول اللَّه إلّا لعلّة خوف ضرورة، فأمّا أن نستحلّ ما حرّم رسول اللَّه، أو نحرّم ما استحلّ رسول اللَّه، فلا یکون ذلک أبداً؛ لأنّا تابعون لرسول اللَّه، مسلّمون له، کما کان رسول اللَّه تابعاً لأمر ربّه مسلّماً له،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اللَّه نهی عن أشیاءَ لیس نهی حرام، بل إعافة و کراهة، و أمر بأشیاء لیس</w:t>
      </w:r>
    </w:p>
    <w:p>
      <w:pPr>
        <w:pStyle w:val="BookText"/>
        <w:rPr/>
      </w:pPr>
      <w:r>
        <w:rPr>
          <w:rFonts w:ascii="IRNazanin" w:hAnsi="IRNazanin" w:eastAsia="IRNazanin"/>
          <w:color w:val="111111"/>
          <w:sz w:val="28"/>
          <w:sz w:val="28"/>
          <w:szCs w:val="28"/>
          <w:rtl w:val="true"/>
          <w:lang w:bidi="fa-IR"/>
        </w:rPr>
        <w:t>بأمر فرض و لا واجب، بل أمر فضل و رجحان فی الدین، ثمّ رخّص فی ذلک للمعلول و غیر المعلول، فما کان عن رسول اللَّه نهی إعافة أو أمر فضل فذلک الذی یسع استعمال الرخصة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علیکم عنّا الخبر فیه باتفاق، یرویه من یرویه فی النهی و لا ینکره، و کان الخبران صحیحین معروفین باتفاق النقلة فیهما، یجب الأخذ بأحدهما أو بهما جمیعاً، أو بأیّهما شئت و أحببت، موسّع ذلک لک من باب التسلیم لرسول اللَّه، و الردّ إلیه و إلینا، و کان تارک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العناد و الإنکار و ترک التسلیم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علیکم من خبرین مختلفین فاعرضوهما علی کتاب اللَّه، فما کان فی کتاب اللَّه موجوداً حلالًا أو حراماً فاتّبعوا ما وافق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یکن فی الکتاب فاعرضوه علی سنن رسول اللَّه، فما کان موجوداً منهیّاً عنه نهی حرام، و مأموراً به عن رسول اللَّه أمر إلزام، فاتّبعوا ما وافق نهی رسول اللَّه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 السنّة نهی إعافة أو کراهة، ثمّ کان الخبر الأخیر خلافه، فذلک رخصة فیما عافه رسول اللَّه و کرهه و لم یحرّمه، فذلک الذی یسع الأخذ بهما جمیعاً، و بأیّهما شئت وسعک الاختیار من باب التسلیم و الاتّباع و الردّ إلی رسول 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لم تجدوه فی شی‌ء من هذه الوجوه فردّوا إلینا علمه، فنحن أولی بذلک، و لا تقولوا فیه بآرائکم، و علیکم بالکفّ و التثبّت و الوقوف و أنتم طالبون باحثون</w:t>
      </w:r>
    </w:p>
    <w:p>
      <w:pPr>
        <w:pStyle w:val="BookText"/>
        <w:rPr/>
      </w:pPr>
      <w:r>
        <w:rPr>
          <w:rFonts w:ascii="IRNazanin" w:hAnsi="IRNazanin" w:eastAsia="IRNazanin"/>
          <w:color w:val="111111"/>
          <w:sz w:val="28"/>
          <w:sz w:val="28"/>
          <w:szCs w:val="28"/>
          <w:rtl w:val="true"/>
          <w:lang w:bidi="fa-IR"/>
        </w:rPr>
        <w:t>حتّی یأتیکم البیان من عندنا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الحرّ</w:t>
      </w:r>
      <w:r>
        <w:rPr>
          <w:rStyle w:val="FootnoteAnchor"/>
          <w:rtl w:val="true"/>
        </w:rPr>
        <w:footnoteReference w:id="18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ذکر الصدوق</w:t>
      </w:r>
      <w:r>
        <w:rPr>
          <w:rStyle w:val="FootnoteAnchor"/>
          <w:rtl w:val="true"/>
        </w:rPr>
        <w:footnoteReference w:id="187"/>
      </w:r>
      <w:r>
        <w:rPr>
          <w:rFonts w:ascii="IRNazanin" w:hAnsi="IRNazanin" w:eastAsia="IRNazanin"/>
          <w:color w:val="111111"/>
          <w:sz w:val="28"/>
          <w:sz w:val="28"/>
          <w:szCs w:val="28"/>
          <w:rtl w:val="true"/>
          <w:lang w:bidi="fa-IR"/>
        </w:rPr>
        <w:t xml:space="preserve">أنّه نقل هذا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لسعد بن عبد اللَّه</w:t>
      </w:r>
      <w:r>
        <w:rPr>
          <w:rStyle w:val="FootnoteAnchor"/>
          <w:rtl w:val="true"/>
        </w:rPr>
        <w:footnoteReference w:id="188"/>
      </w: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الاصول و الکتب</w:t>
      </w:r>
    </w:p>
    <w:p>
      <w:pPr>
        <w:pStyle w:val="BookText"/>
        <w:rPr/>
      </w:pPr>
      <w:r>
        <w:rPr>
          <w:rFonts w:ascii="IRNazanin" w:hAnsi="IRNazanin" w:eastAsia="IRNazanin"/>
          <w:color w:val="111111"/>
          <w:sz w:val="28"/>
          <w:sz w:val="28"/>
          <w:szCs w:val="28"/>
          <w:rtl w:val="true"/>
          <w:lang w:bidi="fa-IR"/>
        </w:rPr>
        <w:t>التی علیها المعوّل، و إلیها المرجع</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الحدیث یدلّ علی أنّ الأحادیث الواردة عن رسول اللَّه، إذا کانت مخالفة لتحلیل اللَّه و تحریمه و فرائضه و محرّماته، یجب طرحها، و ما ورد عن الأئمّة إذا کان کذلک، أو مخالفاً للأمر و النهی الإلزامیّین الواردین عن رسول اللَّه، لا یجوز استعماله و یجب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الکتاب و السنّة من الأوامر غیر الإلزامیّة و النواهی کذلک، و وردت الرخصة من رسول اللَّه صلی الله علیه و آله و سلم أو الأئمّة علیهم السلام، فذلک الذی یجوز استعماله و الأخذ به، ثمّ ذکر الحدیثین المختلفین، و بیّن الأمر فیهما علی هذا المنوال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الرخصة و التخییر فیه، غیر التخییر فی الأخذ بإحدی الروایتین المتعارضتین؛ لأنّ الرخصة و التخییر فی أمر الفضل و نهی الإعافة الذی یسع استعمال الرخصة فیه، و یکون المکلّف مخیّراً فی الأخذ بأحدهما أو جمیعهما، لیسا إلّا لأجل عدم المنافاة بین أمر الفضل و الرخصة فی الترک، و نهی الإعافة و الرخصة فی الفعل، فجعل هذه الروایة شاهدة للجمع المتقدّم ضعیف، کما</w:t>
      </w:r>
    </w:p>
    <w:p>
      <w:pPr>
        <w:pStyle w:val="BookText"/>
        <w:rPr/>
      </w:pPr>
      <w:r>
        <w:rPr>
          <w:rFonts w:ascii="IRNazanin" w:hAnsi="IRNazanin" w:eastAsia="IRNazanin"/>
          <w:color w:val="111111"/>
          <w:sz w:val="28"/>
          <w:sz w:val="28"/>
          <w:szCs w:val="28"/>
          <w:rtl w:val="true"/>
          <w:lang w:bidi="fa-IR"/>
        </w:rPr>
        <w:t>أنّ عدّها من أخبار التخییر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ذیلها ظاهر فی وجوب ردّ الخبرین إلیهم، و عدم جواز القول فیهما بالآراء و الأهواء و الاجتهادات الظنّیة، إذا لم نجدهما علی أحد الوجوه المتقدّمة، و ذلک لا ینافی التخییر و التوسعة فی العمل، کما لا ینافی رجحان التوقّف و ترک العمل بواحد منهما و الاحتیاط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مجموع الروایات بعد ردّ بعضها إلی بعض، أنّ المکلّف مرخّص فی العمل بواحد من المتعارضین، مخیّر فیهما علی سبیل التوسعة، و الأرجح له الوقوف و الاحتیاط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الشبهات خیر من الاقتحام فی الهلکات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الاستبداد بالرأی فی تخریج الحکم الواقعیّ بالاجتهادات و الظنون غیر المعتبرة عند العقلاء، المنهیّ عنها فی الشرع، و هذا لا ینافی جواز الأخذ بأحد الخبرین و الفتوی علی طبقه، کما هو مفاد أخبار التخییر؛ لأنّه بمقتضی الحجّة و هی تلک الأخبار، و سیأتی مزید توضیح لذلک إن شاء اللَّه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94" w:name="pg2353_14712"/>
    </w:p>
    <w:p>
      <w:pPr>
        <w:pStyle w:val="Heading4"/>
        <w:numPr>
          <w:ilvl w:val="3"/>
          <w:numId w:val="1"/>
        </w:numPr>
        <w:rPr/>
      </w:pPr>
      <w:bookmarkStart w:id="195" w:name="__RefHeading___Toc2705097_3804643083"/>
      <w:bookmarkStart w:id="196" w:name="_Toc73"/>
      <w:bookmarkEnd w:id="194"/>
      <w:bookmarkEnd w:id="195"/>
      <w:r>
        <w:rPr>
          <w:rtl w:val="true"/>
        </w:rPr>
        <w:t>تنبیهات</w:t>
      </w:r>
      <w:bookmarkEnd w:id="196"/>
    </w:p>
    <w:p>
      <w:pPr>
        <w:pStyle w:val="Heading5"/>
        <w:numPr>
          <w:ilvl w:val="4"/>
          <w:numId w:val="1"/>
        </w:numPr>
        <w:rPr/>
      </w:pPr>
      <w:bookmarkStart w:id="197" w:name="__RefHeading___Toc2705099_3804643083"/>
      <w:bookmarkStart w:id="198" w:name="_Toc74"/>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بقی التنبیه علی امور</w:t>
      </w:r>
      <w:r>
        <w:rPr>
          <w:rFonts w:eastAsia="IRNazanin" w:cs="IRNazanin"/>
          <w:color w:val="111111"/>
          <w:sz w:val="28"/>
          <w:szCs w:val="28"/>
          <w:rtl w:val="true"/>
          <w:lang w:bidi="fa-IR"/>
        </w:rPr>
        <w:t>:</w:t>
      </w:r>
    </w:p>
    <w:p>
      <w:pPr>
        <w:pStyle w:val="Heading5"/>
        <w:numPr>
          <w:ilvl w:val="4"/>
          <w:numId w:val="1"/>
        </w:numPr>
        <w:rPr/>
      </w:pPr>
      <w:bookmarkStart w:id="199" w:name="__RefHeading___Toc2705101_3804643083"/>
      <w:bookmarkStart w:id="200" w:name="_Toc75"/>
      <w:bookmarkEnd w:id="199"/>
      <w:r>
        <w:rPr>
          <w:rtl w:val="true"/>
        </w:rPr>
        <w:t>الأوّل فی معنی التخییر فی المسألة الاصولیّة</w:t>
      </w:r>
      <w:bookmarkEnd w:id="200"/>
    </w:p>
    <w:p>
      <w:pPr>
        <w:pStyle w:val="BookText"/>
        <w:rPr/>
      </w:pPr>
      <w:r>
        <w:rPr>
          <w:rFonts w:ascii="IRNazanin" w:hAnsi="IRNazanin" w:eastAsia="IRNazanin"/>
          <w:color w:val="111111"/>
          <w:sz w:val="28"/>
          <w:sz w:val="28"/>
          <w:szCs w:val="28"/>
          <w:rtl w:val="true"/>
          <w:lang w:bidi="fa-IR"/>
        </w:rPr>
        <w:t>لا إشکال فی أنّ التخییر فی الأخذ بأحد الخبرین، لیس من قبیل التخییر فی المسألة الفرعیّة، بل فی المسألة الاصولیّة؛ ضرورة أنّ الأخذ بخبر الثقة أخذ بما هو حجّة فی الفقه، و وجوب الأخذ بأحد الخبرین یجعله حجّة علی الواقع، فیکون تخییراً فی المسألة الاصولیّة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أنّ معنی التخییر فی المسألة الاصولیّة، هل هو جعل أحد</w:t>
      </w:r>
    </w:p>
    <w:p>
      <w:pPr>
        <w:pStyle w:val="BookText"/>
        <w:rPr/>
      </w:pPr>
      <w:r>
        <w:rPr>
          <w:rFonts w:ascii="IRNazanin" w:hAnsi="IRNazanin" w:eastAsia="IRNazanin"/>
          <w:color w:val="111111"/>
          <w:sz w:val="28"/>
          <w:sz w:val="28"/>
          <w:szCs w:val="28"/>
          <w:rtl w:val="true"/>
          <w:lang w:bidi="fa-IR"/>
        </w:rPr>
        <w:t>الخبرین طریقاً و أمارة إلی الواقع</w:t>
      </w:r>
      <w:r>
        <w:rPr>
          <w:rStyle w:val="FootnoteAnchor"/>
          <w:rtl w:val="true"/>
        </w:rPr>
        <w:footnoteReference w:id="192"/>
      </w:r>
      <w:r>
        <w:rPr>
          <w:rFonts w:ascii="IRNazanin" w:hAnsi="IRNazanin" w:eastAsia="IRNazanin"/>
          <w:color w:val="111111"/>
          <w:sz w:val="28"/>
          <w:sz w:val="28"/>
          <w:szCs w:val="28"/>
          <w:rtl w:val="true"/>
          <w:lang w:bidi="fa-IR"/>
        </w:rPr>
        <w:t>أو یکون من قبیل الأصل المعوّل علیه لدی الشکّ فی الوظیفة</w:t>
      </w:r>
      <w:r>
        <w:rPr>
          <w:rStyle w:val="FootnoteAnchor"/>
          <w:rtl w:val="true"/>
        </w:rPr>
        <w:footnoteReference w:id="193"/>
      </w:r>
      <w:r>
        <w:rPr>
          <w:rFonts w:ascii="IRNazanin" w:hAnsi="IRNazanin" w:eastAsia="IRNazanin"/>
          <w:color w:val="111111"/>
          <w:sz w:val="28"/>
          <w:sz w:val="28"/>
          <w:szCs w:val="28"/>
          <w:rtl w:val="true"/>
          <w:lang w:bidi="fa-IR"/>
        </w:rPr>
        <w:t>أو لا ذاک و لا ذلک کما سنشیر إلیه؟</w:t>
      </w:r>
    </w:p>
    <w:p>
      <w:pPr>
        <w:pStyle w:val="BookText"/>
        <w:rPr/>
      </w:pPr>
      <w:r>
        <w:rPr>
          <w:rFonts w:ascii="Amiri" w:hAnsi="Amiri" w:eastAsia="Amiri" w:cs="Amiri"/>
          <w:color w:val="111111"/>
          <w:sz w:val="28"/>
          <w:sz w:val="28"/>
          <w:szCs w:val="28"/>
          <w:rtl w:val="true"/>
          <w:lang w:bidi="ar-SA"/>
        </w:rPr>
        <w:t>و یرد علی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الطریقیّة و الکاشفیّة ممّا لا یمکن، کما مرّ الکلام فیه فی مباحث الظنّ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إمکانه، فلا یمکن فیما نحن فیه؛ لأدائه إلی جعل الطریق إلی المتناقضین، فإنّ أحد الخبرین المتعارضین إذا دلّ علی وجوب شی‌ء، و الآخر علی حرمته، فجعل الشارع أحدهما طریقاً، و اختار أحد المجتهدین أحدهما، و الآخر الآخر، فلازمه أن یکون کلّ منهما طریقاً إلی الواقع، فینجرّ إلی جعل الطریق الفعلیّ إلی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جعل الطریقیّة لأحدهما علی سبیل الإبهام، و جعل المکلّف مخیّراً؛ بحیث تکون الطریقیّة منوطة بأخذ المکلّف،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أدلّة التخییر یقتضی ذلک؛ لأنّ مفادها التوسعة علی الجاهل بالواقع، فهل مفاد قوله فی روایة ابن الجهم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ascii="IRNazanin" w:hAnsi="IRNazanin" w:eastAsia="IRNazanin"/>
          <w:color w:val="111111"/>
          <w:sz w:val="28"/>
          <w:sz w:val="28"/>
          <w:szCs w:val="28"/>
          <w:rtl w:val="true"/>
          <w:lang w:bidi="fa-IR"/>
        </w:rPr>
        <w:t>إلّا کمفاد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w:t>
      </w:r>
    </w:p>
    <w:p>
      <w:pPr>
        <w:pStyle w:val="BookText"/>
        <w:rPr/>
      </w:pP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BookText"/>
        <w:rPr/>
      </w:pPr>
      <w:r>
        <w:rPr>
          <w:rStyle w:val="FootnoteAnchor"/>
          <w:rtl w:val="true"/>
        </w:rPr>
        <w:footnoteReference w:id="196"/>
      </w:r>
      <w:r>
        <w:rPr>
          <w:rFonts w:ascii="IRNazanin" w:hAnsi="IRNazanin" w:eastAsia="IRNazanin"/>
          <w:color w:val="111111"/>
          <w:sz w:val="28"/>
          <w:sz w:val="28"/>
          <w:szCs w:val="28"/>
          <w:rtl w:val="true"/>
          <w:lang w:bidi="fa-IR"/>
        </w:rPr>
        <w:t>فمفادها لیس إلّا تعیین الوظیفة لدی الشکّ فی الواقع، فیکون من قبیل الأصل المعوّل علیه لدی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کون أحد الخبرین حجّة علی الواقع بعد إیجاب العمل علی طبقه، أو حجّة للعبد إذا کان مفاد الأدلّة التوسعة فی الأخذ؛ لأنّ الحجّة علی الواقع غیر الأمارة علیه، کما أنّه لو أوجب المولی الاحتیاط فی الشبهة البدویّة، یصیر حجّة علی الواقع بعد إیجابه، و لا یمکن أن یکون طریقاً إلیه؛ لأنّ نسبته إلی الواقع و مقابله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إن أوجب الشارع الأخذ بأحدهما فلا یجوز للعبد ترکهما، فإن ترک و صادف مخالفة الواقع یصحّ عقابه، و لیس له الاعتذار، کما أنّه لو عمل علی طبق أحدهما و تخلّف عن الواقع، فلیس للمولی عقوبته، فیکون أحدهما حجّة، لا بجعل الحجّیة کما توهّم</w:t>
      </w:r>
      <w:r>
        <w:rPr>
          <w:rStyle w:val="FootnoteAnchor"/>
          <w:rtl w:val="true"/>
        </w:rPr>
        <w:footnoteReference w:id="197"/>
      </w:r>
      <w:r>
        <w:rPr>
          <w:rFonts w:ascii="IRNazanin" w:hAnsi="IRNazanin" w:eastAsia="IRNazanin"/>
          <w:color w:val="111111"/>
          <w:sz w:val="28"/>
          <w:sz w:val="28"/>
          <w:szCs w:val="28"/>
          <w:rtl w:val="true"/>
          <w:lang w:bidi="fa-IR"/>
        </w:rPr>
        <w:t>بل بنفس إیجاب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الأدلّة هو کون التخییر من قبیل الأصل المعوّل علیه لدی الشکّ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لکن لازم ذلک عدم جواز الأخذ باللّوازم العادیّة و العقلیّة لأحد</w:t>
      </w:r>
    </w:p>
    <w:p>
      <w:pPr>
        <w:pStyle w:val="BookText"/>
        <w:rPr/>
      </w:pPr>
      <w:r>
        <w:rPr>
          <w:rFonts w:ascii="IRNazanin" w:hAnsi="IRNazanin" w:eastAsia="IRNazanin"/>
          <w:color w:val="111111"/>
          <w:sz w:val="28"/>
          <w:sz w:val="28"/>
          <w:szCs w:val="28"/>
          <w:rtl w:val="true"/>
          <w:lang w:bidi="fa-IR"/>
        </w:rPr>
        <w:t>المتعارضین،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به، و لا یلتزمون به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من أدلّة الترجیح و التخییر لدی التعارض، أنّ إیجاب العمل علی طبق الخبر ذی المزیّة، أو أحدِهما إذا تکافئا، أو التوسعة فی الأخذ بأحدهما، لیس إلّا من حیث کونه خبراً کاشفاً عن الواقع، و أنّهما و إن تساقطا بنظر العرف، لکن لم یتساقطا بنظر الشارع، بل وجوب الأخذ بأحدهما معیّناً أو مخیّراً فی حال التعارض، کوجوبه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الشارع العمل به لکونه ذاتاً طریقاً إلی الواقع، و إیجاب العمل بهذا اللّحاظ لا محذور فیه، و لیس کجعل الطریقیّة الفعلیّة إلی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یفهم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له الأخذ بأحدهما فی حال التعارض کأخذه به قبله، فکما کان یأخذ به و بلوازمه قبله، فکذا الحال، و هذا لا ینافی جعل الوظیفة فی حال الشکّ؛ لأنّ حاصله أنّ الوظیفة فی حال الشکّ فی صدق أحد الخبرین، هی الأخذ بأحدهما بما لهما من المفاد مطابقة و التزاماً، فالوظیفة هی الأخذ بأحد الطریقین بما هو طریق عقلائیّ، فتدبّر جیّداً</w:t>
      </w:r>
      <w:r>
        <w:rPr>
          <w:rFonts w:eastAsia="IRNazanin" w:cs="IRNazanin"/>
          <w:color w:val="111111"/>
          <w:sz w:val="28"/>
          <w:szCs w:val="28"/>
          <w:rtl w:val="true"/>
          <w:lang w:bidi="fa-IR"/>
        </w:rPr>
        <w:t>.</w:t>
      </w:r>
      <w:bookmarkStart w:id="201" w:name="pg2353_14716"/>
    </w:p>
    <w:p>
      <w:pPr>
        <w:pStyle w:val="Heading5"/>
        <w:numPr>
          <w:ilvl w:val="4"/>
          <w:numId w:val="1"/>
        </w:numPr>
        <w:rPr/>
      </w:pPr>
      <w:bookmarkStart w:id="202" w:name="__RefHeading___Toc2705103_3804643083"/>
      <w:bookmarkStart w:id="203" w:name="_Toc76"/>
      <w:bookmarkEnd w:id="201"/>
      <w:bookmarkEnd w:id="202"/>
      <w:r>
        <w:rPr>
          <w:rtl w:val="true"/>
        </w:rPr>
        <w:t>الثانی فی حکم تخییر القاضی و المفتی فی عمله و عمل مقلّدیه</w:t>
      </w:r>
      <w:bookmarkEnd w:id="203"/>
    </w:p>
    <w:p>
      <w:pPr>
        <w:pStyle w:val="BookText"/>
        <w:rPr/>
      </w:pP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إنّما هو فی المسألة الاصولیّة، و لیس من قبیل التخییر فی الأماکن الأربعة بین القصر و الإتمام، فاعلم أنّه لا إشکال فی تخییر المجتهد فی عمل نفسه، کما لا إشکال فی أنّ القاضی فی مقام فصل الخصومة لیس له تخییر المتحاکمین؛ لأنّ فصل الخصومة إنّما هو بحکمه، لا بفتواه، فلا بدّ له من الأخذ بأحدهما و الحکم علی طبقه؛ لتفصل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المفتی بالنسبة إلی مقلّدیه، فهل التخییر مختصّ به لکونه فی المسألة الاصولیّة</w:t>
      </w:r>
      <w:r>
        <w:rPr>
          <w:rStyle w:val="FootnoteAnchor"/>
          <w:rtl w:val="true"/>
        </w:rPr>
        <w:footnoteReference w:id="199"/>
      </w:r>
      <w:r>
        <w:rPr>
          <w:rFonts w:ascii="IRNazanin" w:hAnsi="IRNazanin" w:eastAsia="IRNazanin"/>
          <w:color w:val="111111"/>
          <w:sz w:val="28"/>
          <w:sz w:val="28"/>
          <w:szCs w:val="28"/>
          <w:rtl w:val="true"/>
          <w:lang w:bidi="fa-IR"/>
        </w:rPr>
        <w:t>و لکون الخطاب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متوجّهاً إلیه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یأتیه الخبران و یجیئه الحدیثان المختلفان، هو المجتهد لا العامّی</w:t>
      </w:r>
      <w:r>
        <w:rPr>
          <w:rStyle w:val="FootnoteAnchor"/>
          <w:rtl w:val="true"/>
        </w:rPr>
        <w:footnoteReference w:id="200"/>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الترجیحات إنّما هی للمجتهدین، و یکون نظر المجتهد فیها معتبراً، لا العامّی، فلا بدّ للمجتهد من اختیار أحدهما و الإفتاء به،</w:t>
      </w:r>
    </w:p>
    <w:p>
      <w:pPr>
        <w:pStyle w:val="BookText"/>
        <w:rPr/>
      </w:pPr>
      <w:r>
        <w:rPr>
          <w:rFonts w:ascii="IRNazanin" w:hAnsi="IRNazanin" w:eastAsia="IRNazanin"/>
          <w:color w:val="111111"/>
          <w:sz w:val="28"/>
          <w:sz w:val="28"/>
          <w:szCs w:val="28"/>
          <w:rtl w:val="true"/>
          <w:lang w:bidi="fa-IR"/>
        </w:rPr>
        <w:t>و رجوعِ العامّی إلیه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یشترک العامّی مع المجتهد فی جمیع المسائل الاصولیّة و الفرعیّة؛ لعدم الدلیل علی الاختصاص به، بل الأدلّة ظاهرة فی خلافه</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مجی‌ء الخبر لدی المجتهد لا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اختصاصه بالحکم، کما أنّ جمیع الأدلّة فی الفروع و الاصول تقوم لدی المجتهد، و لم تکن 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قوله فی روایة ابن الجهم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الحکم الکلّی لکلّ مکلّف، هو جواز العمل علی طبق أحدهما، و أنّ هذه التوسعة حکم لجمیع المکلّفین، کما أنّ الحال کذلک فی جمیع 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نظر المجتهد متّبعاً فی تشخیص موارد الترجیح و التکافؤ؛ لقصور نظر العامّی عنه، و أمّا حکم المتعادلین أو ذی المزیّة فلم یکن مختصّاً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بالمجتهد هو الاجتهاد و بذل الجهد فی تشخیص الترجیح و التعادل، لا الحکم الکلیّ؛ فإنّه مشترک بین العباد، 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عدم اختصاص التخییر بالمجتهد، فهل تجب علیه الفتوی بالتخییر، أو یتخیّر بین ذلک و بین الأخذ بأحدهما و الفتوی علی طبقه؟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الثانی؛ أمّا جواز الأخذ بأحدهما و الفتوی علی طبقه فلأنّه من</w:t>
      </w:r>
    </w:p>
    <w:p>
      <w:pPr>
        <w:pStyle w:val="BookText"/>
        <w:rPr/>
      </w:pPr>
      <w:r>
        <w:rPr>
          <w:rFonts w:ascii="IRNazanin" w:hAnsi="IRNazanin" w:eastAsia="IRNazanin"/>
          <w:color w:val="111111"/>
          <w:sz w:val="28"/>
          <w:sz w:val="28"/>
          <w:szCs w:val="28"/>
          <w:rtl w:val="true"/>
          <w:lang w:bidi="fa-IR"/>
        </w:rPr>
        <w:t>شئون التوسعة فی الأخذ بأحدهما، فکما أنّ له الأخذ بأحدهما للعمل، له الأخذ به للفتوی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أحد الخبرین حجّة علی المجتهد فی عمل نفسه؛ بناءً علی وجوب الأخذ، و حجّة له بناءً علی جوازه، یکون حجّة له فی جواز الإفتاء به، فتکون فتواه علی طبق أحدهما فتوی بالحجّة و عن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المسألة کالمسائل الفرعیّة، حیث تجب علیه الفتوی بالتخییر لا التعیین، لأنَّه فی هذه المسألة یکون مأموراً بالأخذ بأحدهما، أو یکون الأخذ موسّعاً علیه، و الأخذ بأحدهما حکمه جواز الإفتاء، کجواز العمل، و فی الحکم الفرعیّ یکون التخییر الواقعیّ مشترکاً بین العباد؛ أی أنّ المکلّفین مشترکون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التفرقة، جاءت من التفرقة بین المسألة الاصولیّة و الفرعیّة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الإفتاء بالتخییر؛ فلأنّ المجتهد لمّا رأی أنّ الحکم المشترک بین العباد، وجوب العمل علی طبق أحد الخبرین، أو التوسعة لهم فی الأخذ بأحدهما، یفتی بهذا الأمر؛ أی التخییر بین الإتیان بصلاة الظهر أو الجمعة؛ لأنّ التخییر فی الأخذ بأحد الخبرین، لیس إلّا التخییر فی إتیان مضمونهما، و لا فرق من هذه الجهة بین المسألة الاصولیّة و الفرعیّة، و لا یجب علیه إعلام المقلّدین بأنّهم مخیّرون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له الإفتاء بالمسألة الاصولیّة أیضاً؛ بأن یفتی بجواز العمل علی طبق أحد الخبرین بعد إحراز التعادل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العمل لا بدّ و أن یکون بعنوان الأخذ بأحد الخبرین، فلا بدّ للمجتهد إمّا أن یأخذ بأحدهما و یفتی علی مضمونه، و یکون المعوّل علیه للمقلّد هو فتوی المجتهد، و له أدلّة التخییر، أو یفتی بالمسألة الاصولیّة، حتّی یکون المعوّل علیه للمقلّد فی وجوب الأخذ بأحدهما فتوی المجتهد، و فی العمل هو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الفتوی بالتخییر، فلا تجوز إلّا فی التخییر فی المسألة الفرعیّة التی یکون المأمور به فیها هو نفس الواقع، لا الأخذ بأحد الخبرین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بأحد الخبرین لیس إلّا العمل علی مضمونه، فیرجع إلی جواز إتیان صلاة الظهر أو صلاة الجمعة مثلًا، و للمفتی أن یفتی بذلک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الأخذ بالخبر طریقیّ لا نفسیّ، و الفتوی بالواقع لوجوبه الطریقیّ</w:t>
      </w:r>
      <w:r>
        <w:rPr>
          <w:rFonts w:eastAsia="IRNazanin" w:cs="IRNazanin"/>
          <w:color w:val="111111"/>
          <w:sz w:val="28"/>
          <w:szCs w:val="28"/>
          <w:rtl w:val="true"/>
          <w:lang w:bidi="fa-IR"/>
        </w:rPr>
        <w:t>.</w:t>
      </w:r>
      <w:bookmarkStart w:id="204" w:name="pg2353_14720"/>
    </w:p>
    <w:p>
      <w:pPr>
        <w:pStyle w:val="Heading5"/>
        <w:numPr>
          <w:ilvl w:val="4"/>
          <w:numId w:val="1"/>
        </w:numPr>
        <w:rPr/>
      </w:pPr>
      <w:bookmarkStart w:id="205" w:name="__RefHeading___Toc2705105_3804643083"/>
      <w:bookmarkStart w:id="206" w:name="_Toc77"/>
      <w:bookmarkEnd w:id="204"/>
      <w:bookmarkEnd w:id="205"/>
      <w:r>
        <w:rPr>
          <w:rtl w:val="true"/>
        </w:rPr>
        <w:t>الثالث فی أنّ التخییر بدویّ أو استمراریّ</w:t>
      </w:r>
      <w:bookmarkEnd w:id="206"/>
    </w:p>
    <w:p>
      <w:pPr>
        <w:pStyle w:val="BookText"/>
        <w:rPr/>
      </w:pPr>
      <w:r>
        <w:rPr>
          <w:rFonts w:ascii="IRNazanin" w:hAnsi="IRNazanin" w:eastAsia="IRNazanin"/>
          <w:color w:val="111111"/>
          <w:sz w:val="28"/>
          <w:sz w:val="28"/>
          <w:szCs w:val="28"/>
          <w:rtl w:val="true"/>
          <w:lang w:bidi="fa-IR"/>
        </w:rPr>
        <w:t>هل التخییر استمراریّ، أو بدویّ؟ اختار الشیخ الأعظم ثانیهما، و استشکل فی إطلاق أدلّة التخییر و استصحابه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الأوّل؛ لإطلاق الدلیل و جریان الاستصحاب، لأنّ غایة ما یمکن أن یقال فی بیان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للمکلّف شکّین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وظیفته عند مجی‌ء الخبرین المتعادلین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خصوصیّاتها بعد تعیین أصل الوظیفة؛ من کون الأخذ بدویّاً، أو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أنّ السائل فی أدلّة التخییر کان شاکّاً فی أصل الوظیفة، و أنّه لدی تعادل الخبرین ما یصنع؟ فإذا اجیب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مخیّر فی الأخذ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عنده شکّ آخر فی کیفیّة التخییر؛ و أنّه دائمیّ أو لا، و هذا موضوع آخر و شکّ آخر، مسکوت عنه فی أدلّة التخییر سؤالًا و جواباً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روایات التخییر فی مقام بیان أصل الوظیفة، لا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ابن الجهم التی هی المعوّل علیها فی الباب</w:t>
      </w:r>
      <w:r>
        <w:rPr>
          <w:rStyle w:val="FootnoteAnchor"/>
          <w:rtl w:val="true"/>
        </w:rPr>
        <w:footnoteReference w:id="204"/>
      </w:r>
      <w:r>
        <w:rPr>
          <w:rFonts w:ascii="IRNazanin" w:hAnsi="IRNazanin" w:eastAsia="IRNazanin"/>
          <w:color w:val="111111"/>
          <w:sz w:val="28"/>
          <w:sz w:val="28"/>
          <w:szCs w:val="28"/>
          <w:rtl w:val="true"/>
          <w:lang w:bidi="fa-IR"/>
        </w:rPr>
        <w:t>تدلّ علی أنّ المکلّف ما لم یعلم فموسّع علیه بأیّهما أخذ، فعَلّق فیها التوسعةَ علی عدم العلم بحقّیة أحدهما، و الظاهر منها أنّ غایة التوسعة و التخییر هو حصول العلم بحقّیة أحدهما، لا الأخذ بأحدهما مع بقاء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الجهم و إن کان شاکّاً فی أصل الوظیفة، لکن الإمام علیه السلام أجاب بما تفهم منه الوظیفة و کیفیّتها جمیعاً؛ لتعلیقه التوسعة علی عدم العلم بالواقع و حقّیة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لفرض السائل عدم العلم بالحقّ، فجری کلامه علی طبق السؤال من غیر نظر إلی بیان الغایة، فکلام شعریّ و احتمال لا یصادم ظهور الشرطیّة، و لا یجوز رفع الید عن ظاهر الکلام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أو أظهر منها فی ذلک روایة الحارث بن المغیرة، حیث قال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 إلیه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
      </w:r>
      <w:r>
        <w:rPr>
          <w:rFonts w:ascii="IRNazanin" w:hAnsi="IRNazanin" w:eastAsia="IRNazanin"/>
          <w:color w:val="111111"/>
          <w:sz w:val="28"/>
          <w:sz w:val="28"/>
          <w:szCs w:val="28"/>
          <w:rtl w:val="true"/>
          <w:lang w:bidi="fa-IR"/>
        </w:rPr>
        <w:t>بناءً علی کونها من روایات الباب، حیث جعل غایة التوسعة لقاء الإمام و الردّ إلیه، و احتمال کون التوسعة إلی لقائه فیها، أو التوسعة ما لم یعلم فی</w:t>
      </w:r>
    </w:p>
    <w:p>
      <w:pPr>
        <w:pStyle w:val="BookText"/>
        <w:rPr/>
      </w:pPr>
      <w:r>
        <w:rPr>
          <w:rFonts w:ascii="IRNazanin" w:hAnsi="IRNazanin" w:eastAsia="IRNazanin"/>
          <w:color w:val="111111"/>
          <w:sz w:val="28"/>
          <w:sz w:val="28"/>
          <w:szCs w:val="28"/>
          <w:rtl w:val="true"/>
          <w:lang w:bidi="fa-IR"/>
        </w:rPr>
        <w:t>روایة ابن الجهم، إنّما هی التوسعة فی الأخذ ابتداءً، لا بعد الأخذ، کما تری مخالف لظاهرهما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التخییر تقتضی کونه استمراریّاً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فرض عدم إطلاقها، فهل یجوز التمسّک بالاستصحاب أم لا؟</w:t>
      </w:r>
    </w:p>
    <w:p>
      <w:pPr>
        <w:pStyle w:val="BookText"/>
        <w:rPr/>
      </w:pPr>
      <w:r>
        <w:rPr>
          <w:rFonts w:ascii="IRNazanin" w:hAnsi="IRNazanin" w:eastAsia="IRNazanin"/>
          <w:color w:val="111111"/>
          <w:sz w:val="28"/>
          <w:sz w:val="28"/>
          <w:szCs w:val="28"/>
          <w:rtl w:val="true"/>
          <w:lang w:bidi="fa-IR"/>
        </w:rPr>
        <w:t>استشکل شیخنا المرتضی فیه بدعوی تغیّر الموضوع؛ لأنّ الثابت سابقاً ثبوت الاختیار لمن لم یختر، فإثباته لمن اختار و التزم إثبات للحکم فی غیر موضعه الأوّل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الحاصل للمکلّف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جهة الشکّ فی کون التخییر استمراریّاً أو لا، بعد البناء علی أنّ المسألة اصولیّة، و أنّ فی المسألة الاصولیّة یجوز أن یکون التخییر بدویّاً و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الشکّ فی کون المسألة اصولیّة أو فقهیّة، بعد البناء علی أنّها إن کانت اصولیّة یکون التخییر بدویّاً، و إن کانت فقهیّة یکون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الشکّ فی کون الخطاب فی المسألة الاصولیّة عامّاً، أو خاصّاً بالمجتهد، بعد البناء علی أنّه لو کان عامّاً یکون التخییر استمراریّاً، بخلاف ما لو کان خاصّاً 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کون الموضوع فی أدلّة التخییر هو ذات المکلّف</w:t>
      </w:r>
    </w:p>
    <w:p>
      <w:pPr>
        <w:pStyle w:val="BookText"/>
        <w:rPr/>
      </w:pPr>
      <w:r>
        <w:rPr>
          <w:rFonts w:ascii="IRNazanin" w:hAnsi="IRNazanin" w:eastAsia="IRNazanin"/>
          <w:color w:val="111111"/>
          <w:sz w:val="28"/>
          <w:sz w:val="28"/>
          <w:szCs w:val="28"/>
          <w:rtl w:val="true"/>
          <w:lang w:bidi="fa-IR"/>
        </w:rPr>
        <w:t>إذا لم یعلم الحقّ، کما هو مفاد روایة ابن الجهم؛ فإنّ ظاهرها أنّ الحکم بالتوسعة لذات المکلّف، و عدم العلم بالحقّ واسطة لثبوت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العالم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العنوانیّ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 فی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جمیع الصور؛ أمّا فی الصورتین الاولیین فواضح و لو فرض أخذ موضوع الاستصحاب من الدلیل؛ لبقائه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ذات المکلّف کما هو الحقّ فمعلوم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العالم بأنّ أیّهما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الأخذ بأحدهما لا یجعله عالماً بحقّیة أحدهما؛ ضرورة أنّ حکمه بأخذ أحدهما، لیس من باب حقّیته أو التعبّد بذلک، بل إنّما هو من باب بیان الوظیفة فی صورة الشکّ، علی ما ذکرنا فی بعض الامور المتقدّمة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الصورتین الأخیرتین، فلأنّ الموضوع فیهما عرفیّ،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بحسب المفهوم الکلّیّ مخالفاً لعنوان مقابله، لکن مصداقه إذا وجد فی الخارج و صدق علیه العنوان، یثبت له الحکم، فإذا زال العنوان بقی الموضوع قطعاً؛ لأنّ المکلّف الموجود فی الخارج، إذا زال</w:t>
      </w:r>
    </w:p>
    <w:p>
      <w:pPr>
        <w:pStyle w:val="BookText"/>
        <w:rPr/>
      </w:pPr>
      <w:r>
        <w:rPr>
          <w:rFonts w:ascii="IRNazanin" w:hAnsi="IRNazanin" w:eastAsia="IRNazanin"/>
          <w:color w:val="111111"/>
          <w:sz w:val="28"/>
          <w:sz w:val="28"/>
          <w:szCs w:val="28"/>
          <w:rtl w:val="true"/>
          <w:lang w:bidi="fa-IR"/>
        </w:rPr>
        <w:t xml:space="preserve">عنه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ینقلب عمّا هو علیه عرفاً، فیکون إثبات حکم التخییر له بالاستصحاب؛ إبقاءً للحکم السابق، لا إسراءً من موضوع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ارید إثبات الحکم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 یکون من إسرائه إلی موضوع آخر، لکن لا نرید إلّا إثبات التخییر لزید و عمرو بعد کونه ثابتاً لهما؛ لأجل تطبیق العنوان علیهما، نظیر کافّة الأحکام الثابتة للعناوین الکلّیّة الساریة منها إلی المعنونات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الأخیرتین؛ أی فیما إذا کان منشأ الشکّ دوران الأمر بین مقطوع الزوال و مقطوع البقاء، فجریانه أیضاً بلا مانع؛ لأنّه إمّا من جهة بقاء الموضوع، فقد تقدّم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دوران المستصحب بین مقطوعین، فقد تقدّم الجواب عنه فی استصحاب القسم الثانی من الکلّیّ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جهة الشکّ فی المقتضی، فقد مرّ الجواب عنه فی محلّه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207" w:name="pg2353_14725"/>
    </w:p>
    <w:p>
      <w:pPr>
        <w:pStyle w:val="Heading5"/>
        <w:numPr>
          <w:ilvl w:val="4"/>
          <w:numId w:val="1"/>
        </w:numPr>
        <w:rPr/>
      </w:pPr>
      <w:bookmarkStart w:id="208" w:name="__RefHeading___Toc2705107_3804643083"/>
      <w:bookmarkStart w:id="209" w:name="_Toc78"/>
      <w:bookmarkEnd w:id="207"/>
      <w:bookmarkEnd w:id="208"/>
      <w:r>
        <w:rPr>
          <w:rtl w:val="true"/>
        </w:rPr>
        <w:t>الرابع فی صور مجی‌ء الخبرین المختلفین فی الإخبار مع الواسطة</w:t>
      </w:r>
      <w:bookmarkEnd w:id="2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أدلّة التخییر و الترجیح مختصّة بالخبرین المختلفین، و صور مجی‌ء الخبرین و وصولهما إلینا کثیرة، حاصلة من الإخبار مع الواسطة، فربّما یرد علینا خبران ممتازان فی جمیع سلسلة السند، کما لو کان لنا طریق إلی الکلینیّ، و هو إلی الإمام، عن علیّ بن إبراهیم</w:t>
      </w:r>
      <w:r>
        <w:rPr>
          <w:rStyle w:val="FootnoteAnchor"/>
          <w:rtl w:val="true"/>
        </w:rPr>
        <w:footnoteReference w:id="210"/>
      </w:r>
      <w:r>
        <w:rPr>
          <w:rFonts w:ascii="IRNazanin" w:hAnsi="IRNazanin" w:eastAsia="IRNazanin"/>
          <w:color w:val="111111"/>
          <w:sz w:val="28"/>
          <w:sz w:val="28"/>
          <w:szCs w:val="28"/>
          <w:rtl w:val="true"/>
          <w:lang w:bidi="fa-IR"/>
        </w:rPr>
        <w:t>، عن أبیه</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حمّاد</w:t>
      </w:r>
      <w:r>
        <w:rPr>
          <w:rStyle w:val="FootnoteAnchor"/>
          <w:rtl w:val="true"/>
        </w:rPr>
        <w:footnoteReference w:id="212"/>
      </w:r>
      <w:r>
        <w:rPr>
          <w:rFonts w:ascii="Amiri" w:hAnsi="Amiri" w:eastAsia="Amiri" w:cs="Amiri"/>
          <w:color w:val="111111"/>
          <w:sz w:val="28"/>
          <w:sz w:val="28"/>
          <w:szCs w:val="28"/>
          <w:rtl w:val="true"/>
          <w:lang w:bidi="ar-SA"/>
        </w:rPr>
        <w:t>، عن حَریز</w:t>
      </w:r>
      <w:r>
        <w:rPr>
          <w:rStyle w:val="FootnoteAnchor"/>
          <w:rtl w:val="true"/>
        </w:rPr>
        <w:footnoteReference w:id="213"/>
      </w:r>
      <w:r>
        <w:rPr>
          <w:rFonts w:ascii="IRNazanin" w:hAnsi="IRNazanin" w:eastAsia="IRNazanin"/>
          <w:color w:val="111111"/>
          <w:sz w:val="28"/>
          <w:sz w:val="28"/>
          <w:szCs w:val="28"/>
          <w:rtl w:val="true"/>
          <w:lang w:bidi="fa-IR"/>
        </w:rPr>
        <w:t>عن زرارة، عن أبی عبد اللَّه، و طریق آخر إلی الشیخ، و هو إلی أبی عبد اللَّه بطریق آخر غیر طریق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یرد علینا خبران مشترکان فی جمیع السلسلة، فحدّثنا الکلینیّ بطریقه المتقدّم بحدیث و بما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یشترکان فی بعض، و یمتازان فی بعض، و له صور کثیرة، کالاشتراک فی أوّل السلسلة، أو وسطها، أو آخرها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یحرز بالقرائن أنّ ما صدر من الإمام هو أحدهما، و إنّما وقع الاختلاف من بعض النقلة، و قد لا یحرز ذلک، و یحتمل صدورهما، و قد یحرز صدورهما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الاختلاف من جهة اختلاف نسخ الکتب؛ لأجل اشتباه الناسخین، لا النقلة، و هذا قد یکون فی الجوامع المتأخّرة، کالکتب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 الجوامع و الاصول الأوّلیة، کما لو حدّثنا الشیخ بإسناده عن کتاب الحسین بن سعید</w:t>
      </w:r>
      <w:r>
        <w:rPr>
          <w:rStyle w:val="FootnoteAnchor"/>
          <w:rtl w:val="true"/>
        </w:rPr>
        <w:footnoteReference w:id="214"/>
      </w:r>
      <w:r>
        <w:rPr>
          <w:rFonts w:ascii="IRNazanin" w:hAnsi="IRNazanin" w:eastAsia="IRNazanin"/>
          <w:color w:val="111111"/>
          <w:sz w:val="28"/>
          <w:sz w:val="28"/>
          <w:szCs w:val="28"/>
          <w:rtl w:val="true"/>
          <w:lang w:bidi="fa-IR"/>
        </w:rPr>
        <w:t>حدیثاً، و روی الصدوق هذا الحدیث عنه بزیادة أو نقیصة، و احرز کونهما من اختلاف النسخ، و قد لا یحرز ذلک، و یحتمل کونهما مختلفین؛ لأجل السماع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شمول أخبار العلاج للإخبار مع الواسطة، کما أنّه لا إشکال فی 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بإلغاء الخصوصیّة و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للخبرین مع اشتراکهما فی جمیع السلسلة، أو بعضها؛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یجیئنا الرجلان و کلاهما ثقة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مورده مجی‌ء الرجلین، لکنّ المتفاهم منه عرفاً أنّ الحدیثین المختلفین بما هما مختلفان، موضوع الحکم و إن أتی بهما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إطلاقات أدلّة التراجیح تقتضی ذلک،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فی صحیحة عبد الرحمن بن أبی عبد اللَّه</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w:t>
      </w:r>
    </w:p>
    <w:p>
      <w:pPr>
        <w:pStyle w:val="BookText"/>
        <w:rPr/>
      </w:pP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روایة محمّد بن عبد اللَّه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خبران مختلفان فانظروا إلی ما یخالف منهما العامّة</w:t>
      </w:r>
      <w:r>
        <w:rPr>
          <w:rFonts w:eastAsia="IRNazanin" w:cs="IRNazanin"/>
          <w:color w:val="111111"/>
          <w:sz w:val="28"/>
          <w:szCs w:val="28"/>
          <w:rtl w:val="true"/>
          <w:lang w:bidi="fa-IR"/>
        </w:rPr>
        <w:t>»</w:t>
      </w:r>
    </w:p>
    <w:p>
      <w:pPr>
        <w:pStyle w:val="BookText"/>
        <w:rPr/>
      </w:pPr>
      <w:r>
        <w:rPr>
          <w:rStyle w:val="FootnoteAnchor"/>
          <w:rtl w:val="true"/>
        </w:rPr>
        <w:footnoteReference w:id="218"/>
      </w:r>
      <w:r>
        <w:rPr>
          <w:rFonts w:ascii="IRNazanin" w:hAnsi="IRNazanin" w:eastAsia="IRNazanin"/>
          <w:color w:val="111111"/>
          <w:sz w:val="28"/>
          <w:sz w:val="28"/>
          <w:szCs w:val="28"/>
          <w:rtl w:val="true"/>
          <w:lang w:bidi="fa-IR"/>
        </w:rPr>
        <w:t>إلی غیر ذلک</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أخبار الترجیح و التخییر واحد، فإذا حدّثنا الکلینیّ، عن علیّ بن إبراهیم، عن أبیه، عن حمّاد، عن حَریز، عن زرارة بحدیثین مختلفین، یصدق علیهما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 نقل الشیخ و الصدوق مثلًا عن الجوامع الأوّلیة، فالظاهر أنّه أیضاً من اختلاف الحدیثین؛ لأنّ بناء السلف کان علی قراءة الحدیث و السماع من المشایخ، لا الأخذ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اختلاف نسخ الجوامع المتأخّرة إنّما هو من اشتباه النسّاخ، و لا یندرج فی أخبار العلاج</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احرز کون الصادر من الإمام علیه السلام حدیثاً واحداً، و کان الاشتباه من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النقلة، یشکل الاندراج، و إن لم یبعد ببعض المناسبات المرتکزة فی ذهن العرف، بل إطلاق بعض أدلّة الترجیح مع وحدة الموضوع یقتضی الشمول، فتدبّر جیّداً، هذا تمام الکلام فی أحکام المتکافئین</w:t>
      </w:r>
      <w:r>
        <w:rPr>
          <w:rFonts w:eastAsia="IRNazanin" w:cs="IRNazanin"/>
          <w:color w:val="111111"/>
          <w:sz w:val="28"/>
          <w:szCs w:val="28"/>
          <w:rtl w:val="true"/>
          <w:lang w:bidi="fa-IR"/>
        </w:rPr>
        <w:t>.</w:t>
      </w:r>
      <w:bookmarkStart w:id="210" w:name="pg2353_14730"/>
    </w:p>
    <w:p>
      <w:pPr>
        <w:pStyle w:val="Heading2"/>
        <w:numPr>
          <w:ilvl w:val="1"/>
          <w:numId w:val="1"/>
        </w:numPr>
        <w:rPr/>
      </w:pPr>
      <w:bookmarkStart w:id="211" w:name="__RefHeading___Toc2705109_3804643083"/>
      <w:bookmarkStart w:id="212" w:name="_Toc79"/>
      <w:bookmarkEnd w:id="210"/>
      <w:bookmarkEnd w:id="211"/>
      <w:r>
        <w:rPr>
          <w:rtl w:val="true"/>
        </w:rPr>
        <w:t>المقصد الثانی فیما إذا کانت لأحد الخبرین مزیّة</w:t>
      </w:r>
      <w:bookmarkEnd w:id="212"/>
    </w:p>
    <w:p>
      <w:pPr>
        <w:pStyle w:val="Heading3"/>
        <w:numPr>
          <w:ilvl w:val="2"/>
          <w:numId w:val="1"/>
        </w:numPr>
        <w:rPr/>
      </w:pPr>
      <w:bookmarkStart w:id="213" w:name="__RefHeading___Toc2705111_3804643083"/>
      <w:bookmarkStart w:id="214" w:name="_Toc80"/>
      <w:bookmarkEnd w:id="213"/>
      <w:r>
        <w:rPr>
          <w:rtl w:val="true"/>
        </w:rPr>
        <w:t>اشارة</w:t>
      </w:r>
      <w:bookmarkEnd w:id="21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یتمّ البحث فیه فی ضمن امور</w:t>
      </w:r>
      <w:r>
        <w:rPr>
          <w:rFonts w:eastAsia="IRNazanin" w:cs="IRNazanin"/>
          <w:color w:val="111111"/>
          <w:sz w:val="28"/>
          <w:szCs w:val="28"/>
          <w:rtl w:val="true"/>
          <w:lang w:bidi="fa-IR"/>
        </w:rPr>
        <w:t>:</w:t>
      </w:r>
      <w:bookmarkStart w:id="215" w:name="pg2353_14732"/>
    </w:p>
    <w:p>
      <w:pPr>
        <w:pStyle w:val="Heading3"/>
        <w:numPr>
          <w:ilvl w:val="2"/>
          <w:numId w:val="1"/>
        </w:numPr>
        <w:rPr/>
      </w:pPr>
      <w:bookmarkStart w:id="216" w:name="__RefHeading___Toc2705113_3804643083"/>
      <w:bookmarkStart w:id="217" w:name="_Toc81"/>
      <w:bookmarkEnd w:id="215"/>
      <w:bookmarkEnd w:id="216"/>
      <w:r>
        <w:rPr>
          <w:rtl w:val="true"/>
        </w:rPr>
        <w:t>[</w:t>
      </w:r>
      <w:r>
        <w:rPr>
          <w:rtl w:val="true"/>
        </w:rPr>
        <w:t>الأمر</w:t>
      </w:r>
      <w:r>
        <w:rPr>
          <w:rtl w:val="true"/>
        </w:rPr>
        <w:t xml:space="preserve">] </w:t>
      </w:r>
      <w:r>
        <w:rPr>
          <w:rtl w:val="true"/>
        </w:rPr>
        <w:t>الأوّل فی اقتضاء الأصل للتعیین</w:t>
      </w:r>
      <w:bookmarkEnd w:id="217"/>
    </w:p>
    <w:p>
      <w:pPr>
        <w:pStyle w:val="BookText"/>
        <w:rPr/>
      </w:pPr>
      <w:r>
        <w:rPr>
          <w:rFonts w:ascii="IRNazanin" w:hAnsi="IRNazanin" w:eastAsia="IRNazanin"/>
          <w:color w:val="111111"/>
          <w:sz w:val="28"/>
          <w:sz w:val="28"/>
          <w:szCs w:val="28"/>
          <w:rtl w:val="true"/>
          <w:lang w:bidi="fa-IR"/>
        </w:rPr>
        <w:t>قد عرفت مقتضی الأصل الأوّلی علی الطریقیّة و السببیّة فی المتعادلین</w:t>
      </w:r>
      <w:r>
        <w:rPr>
          <w:rStyle w:val="FootnoteAnchor"/>
          <w:rtl w:val="true"/>
        </w:rPr>
        <w:footnoteReference w:id="220"/>
      </w:r>
      <w:r>
        <w:rPr>
          <w:rFonts w:ascii="IRNazanin" w:hAnsi="IRNazanin" w:eastAsia="IRNazanin"/>
          <w:color w:val="111111"/>
          <w:sz w:val="28"/>
          <w:sz w:val="28"/>
          <w:szCs w:val="28"/>
          <w:rtl w:val="true"/>
          <w:lang w:bidi="fa-IR"/>
        </w:rPr>
        <w:t>و أمّا مع المزیّة إن لم تکن مرجّحة عقلائیّة، فالأصل فیهما علی الطریقیّة هو سقوطهما؛ لأنّ المزیّة غیر العقلائیّة لا توجب الخروج عن الأصل الأوّلی، لکنّ الکلام فی المقام بعد الفراغ عن لزوم الخروج عن الأصل الأوّلی بواسطة الإجماع أو الأخبار؛ و أنّ الأصل مع قطع النظر عن أخبار العلاج ما هو؟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الدلیل علی لزوم الخروج عن الأصل الأوّلی، و دوران الأمر بین وجوب الأخذ بأحد المتعارضین علی سبیل التخییر، أو الأخذ بذی المزیّة علی سبیل التعیین، هل الأصل یقتضی التخییر أو التعیین؟</w:t>
      </w:r>
    </w:p>
    <w:p>
      <w:pPr>
        <w:pStyle w:val="BookText"/>
        <w:rPr/>
      </w:pPr>
      <w:r>
        <w:rPr>
          <w:rFonts w:ascii="IRNazanin" w:hAnsi="IRNazanin" w:eastAsia="IRNazanin"/>
          <w:color w:val="111111"/>
          <w:sz w:val="28"/>
          <w:sz w:val="28"/>
          <w:szCs w:val="28"/>
          <w:rtl w:val="true"/>
          <w:lang w:bidi="fa-IR"/>
        </w:rPr>
        <w:t>و الکلام یقع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السببیّة،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الطریقیّة، و قد استقصینا الکلام فی أقسام الدوران بینهما فی مباحث البراءة</w:t>
      </w:r>
      <w:r>
        <w:rPr>
          <w:rStyle w:val="FootnoteAnchor"/>
          <w:rtl w:val="true"/>
        </w:rPr>
        <w:footnoteReference w:id="221"/>
      </w:r>
      <w:r>
        <w:rPr>
          <w:rFonts w:ascii="IRNazanin" w:hAnsi="IRNazanin" w:eastAsia="IRNazanin"/>
          <w:color w:val="111111"/>
          <w:sz w:val="28"/>
          <w:sz w:val="28"/>
          <w:szCs w:val="28"/>
          <w:rtl w:val="true"/>
          <w:lang w:bidi="fa-IR"/>
        </w:rPr>
        <w:t>و لهذا نطوی الکلام هاهنا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مقتضی الأصل علی الطریقیّة، هو التعیین و 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بالتخییر فی الدوران فی غیر ذلک؛ لأنّ مقتضی الأصل الأوّلی فی المقام کما عرفت، هو عدم الحجّیة و سقوط المتعارضین، و لا بدّ من قیام دلیل قطعیّ الاعتبار علی جواز العمل أو وجوبه، علی طبق أحدهما معیّناً أو مخیّراً، حتّی نخرج عن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الشکّ فی قیام دلیل علی اعتبار أمارة، مساوق للقطع بعدم حجّیتها؛ لأنّ الحجّیة لا تکون إلّا مع قیام دلیل، و لا یمکن أن یدخلها الشکّ، فإذا شکّ فی قیام دلیل علی وجوب العمل أو جوازه بأحد الخبرین تخییراً أو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الدلیل علی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اعتبار ذی المزیّة متیقّناً، و غیره مشکوکاً فیه، و هو مساوق للقطع بعدم حجّیته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السببیّة، فلعلّه یختلف حسب اختلاف معانی السببیّة، فقد یکونان من قبیل المتزاحمین، و قد لا یکونان کذلک، و الأمر سهل بعد بطلان المبنی</w:t>
      </w:r>
      <w:r>
        <w:rPr>
          <w:rFonts w:eastAsia="IRNazanin" w:cs="IRNazanin"/>
          <w:color w:val="111111"/>
          <w:sz w:val="28"/>
          <w:szCs w:val="28"/>
          <w:rtl w:val="true"/>
          <w:lang w:bidi="fa-IR"/>
        </w:rPr>
        <w:t>.</w:t>
      </w:r>
      <w:bookmarkStart w:id="218" w:name="pg2353_14734"/>
    </w:p>
    <w:p>
      <w:pPr>
        <w:pStyle w:val="Heading3"/>
        <w:numPr>
          <w:ilvl w:val="2"/>
          <w:numId w:val="1"/>
        </w:numPr>
        <w:rPr/>
      </w:pPr>
      <w:bookmarkStart w:id="219" w:name="__RefHeading___Toc2705115_3804643083"/>
      <w:bookmarkStart w:id="220" w:name="_Toc82"/>
      <w:bookmarkEnd w:id="218"/>
      <w:bookmarkEnd w:id="219"/>
      <w:r>
        <w:rPr>
          <w:rtl w:val="true"/>
        </w:rPr>
        <w:t>[</w:t>
      </w:r>
      <w:r>
        <w:rPr>
          <w:rtl w:val="true"/>
        </w:rPr>
        <w:t>الأمر</w:t>
      </w:r>
      <w:r>
        <w:rPr>
          <w:rtl w:val="true"/>
        </w:rPr>
        <w:t xml:space="preserve">] </w:t>
      </w:r>
      <w:r>
        <w:rPr>
          <w:rtl w:val="true"/>
        </w:rPr>
        <w:t>الثانی فی حال أخبار العلاج</w:t>
      </w:r>
      <w:bookmarkEnd w:id="220"/>
    </w:p>
    <w:p>
      <w:pPr>
        <w:pStyle w:val="Heading4"/>
        <w:numPr>
          <w:ilvl w:val="3"/>
          <w:numId w:val="1"/>
        </w:numPr>
        <w:rPr/>
      </w:pPr>
      <w:bookmarkStart w:id="221" w:name="__RefHeading___Toc2705117_3804643083"/>
      <w:bookmarkStart w:id="222" w:name="_Toc83"/>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بعد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مع احتمال المزیّة هو التعیین، قد استدلّ علی وجوب الأخذ بذی المزیّة بوجوه، عمدتها الأخبار الواردة فی العلاج</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استشکل علی تمامیّة دلالتها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الاختلافات الکثیرة فی نفس تلک الأخبار، شاهدة علی عدم وجوب الترجیح، فإنّ فی بعضها یکون الترجیح بالأعدلیّة و الأفقهیّة أوّلَ المرجّحات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بعضها الاشتهار بین الأصحاب أوّلَها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کثیر منها جعل الترجیح بمخالفة العامّة بنحو الإطلاق</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بموافقة الکتاب کذلک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امر بالإرجاء بعد عدم المرجّح</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امر بالاحتیاط ثمّ التخییر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فنفس هذه الاختلافات الکثیرة تمنع عن حمل الأوامر فیها علی الوجوب، فلا بدّ من حملها علی الاستحباب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دائر بین تقیید إطلاقات کثیرة فی مقام البیان فی أخبار التخییر، و حملِ الأوامر علی الوجوب، و لا یمکن تقییدها؛ لأنّه قلّما یتّفق أن یخلو أحد الخبرین عن إحدی المرجّحات علی کثرتها؛ لأنّ کون الخبرین فی جمیع سلسلة سندهما، متساویین فی العدالة و الفقاهة و الورع و الأوثقیّة فی النفس، و مضمونِهما موافقاً للکتاب و السنّة أو مخالفاً لهما، و مشهوراً بین</w:t>
      </w:r>
    </w:p>
    <w:p>
      <w:pPr>
        <w:pStyle w:val="BookText"/>
        <w:rPr/>
      </w:pPr>
      <w:r>
        <w:rPr>
          <w:rFonts w:ascii="IRNazanin" w:hAnsi="IRNazanin" w:eastAsia="IRNazanin"/>
          <w:color w:val="111111"/>
          <w:sz w:val="28"/>
          <w:sz w:val="28"/>
          <w:szCs w:val="28"/>
          <w:rtl w:val="true"/>
          <w:lang w:bidi="fa-IR"/>
        </w:rPr>
        <w:t>الأصحاب أو غیر مشهور، نادر جدّاً، خصوصاً إذا تعدّینا إلی المرجّحات الغیر المنصوصة، فلا بدّ من حمل الأوامر الواردة فی الترجیحات علی الاستحباب؛ حفظاً لإطلاق أخبار التخییر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الإشکالین، و منشأ توهّم ورودهما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اعتبار المرفوعة</w:t>
      </w:r>
      <w:r>
        <w:rPr>
          <w:rStyle w:val="FootnoteAnchor"/>
          <w:rtl w:val="true"/>
        </w:rPr>
        <w:footnoteReference w:id="231"/>
      </w:r>
      <w:r>
        <w:rPr>
          <w:rFonts w:ascii="IRNazanin" w:hAnsi="IRNazanin" w:eastAsia="IRNazanin"/>
          <w:color w:val="111111"/>
          <w:sz w:val="28"/>
          <w:sz w:val="28"/>
          <w:szCs w:val="28"/>
          <w:rtl w:val="true"/>
          <w:lang w:bidi="fa-IR"/>
        </w:rPr>
        <w:t>و لو لأجل اشتهارها بین الأصحاب، و عدّها من أخبار العلاج</w:t>
      </w:r>
      <w:r>
        <w:rPr>
          <w:rStyle w:val="FootnoteAnchor"/>
          <w:rtl w:val="true"/>
        </w:rPr>
        <w:footnoteReference w:id="232"/>
      </w:r>
      <w:r>
        <w:rPr>
          <w:rFonts w:ascii="Amiri" w:hAnsi="Amiri" w:eastAsia="Amiri" w:cs="Amiri"/>
          <w:color w:val="111111"/>
          <w:sz w:val="28"/>
          <w:sz w:val="28"/>
          <w:szCs w:val="28"/>
          <w:rtl w:val="true"/>
          <w:lang w:bidi="ar-SA"/>
        </w:rPr>
        <w:t>، و قد تقدّم</w:t>
      </w:r>
      <w:r>
        <w:rPr>
          <w:rStyle w:val="FootnoteAnchor"/>
          <w:rtl w:val="true"/>
        </w:rPr>
        <w:footnoteReference w:id="233"/>
      </w:r>
      <w:r>
        <w:rPr>
          <w:rFonts w:ascii="IRNazanin" w:hAnsi="IRNazanin" w:eastAsia="IRNazanin"/>
          <w:color w:val="111111"/>
          <w:sz w:val="28"/>
          <w:sz w:val="28"/>
          <w:szCs w:val="28"/>
          <w:rtl w:val="true"/>
          <w:lang w:bidi="fa-IR"/>
        </w:rPr>
        <w:t>أنّها غیر صالحة للتمسّک، و لا یمکن إثبات حکم بها، و الاشتهار من زمن ابن أبی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جابراً، فهی مرسلة فی غایة الضعف و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الأعدلیّة و الأفقهیّة و الأصدقیّة فی الحدیث و الأورعیّة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وقعت فی المقبولة</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المرجّحات للحدیثین المتعارضین</w:t>
      </w:r>
      <w:r>
        <w:rPr>
          <w:rStyle w:val="FootnoteAnchor"/>
          <w:rtl w:val="true"/>
        </w:rPr>
        <w:footnoteReference w:id="235"/>
      </w:r>
      <w:r>
        <w:rPr>
          <w:rFonts w:ascii="IRNazanin" w:hAnsi="IRNazanin" w:eastAsia="IRNazanin"/>
          <w:color w:val="111111"/>
          <w:sz w:val="28"/>
          <w:sz w:val="28"/>
          <w:szCs w:val="28"/>
          <w:rtl w:val="true"/>
          <w:lang w:bidi="fa-IR"/>
        </w:rPr>
        <w:t>مع أنّ المقبولة آبیة عنه، 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ندّع أنّه صریح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مرجّحات حکم الحَکَمین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ورود الإشکال أو الإشکالات علیها علی هذا الفرض لو سلّم، لا یوجب</w:t>
      </w:r>
    </w:p>
    <w:p>
      <w:pPr>
        <w:pStyle w:val="BookText"/>
        <w:rPr/>
      </w:pPr>
      <w:r>
        <w:rPr>
          <w:rFonts w:ascii="IRNazanin" w:hAnsi="IRNazanin" w:eastAsia="IRNazanin"/>
          <w:color w:val="111111"/>
          <w:sz w:val="28"/>
          <w:sz w:val="28"/>
          <w:szCs w:val="28"/>
          <w:rtl w:val="true"/>
          <w:lang w:bidi="fa-IR"/>
        </w:rPr>
        <w:t>صحّة التمسّک بها لترجیح الخبرین، و سیأتی مزید توضیح لذلک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کون الاشتهار بین الأصحاب ممّا ذکر فی المقبولة، من مرجّحات الخبرین کسائر المرجّحات و فی عرضها</w:t>
      </w:r>
      <w:r>
        <w:rPr>
          <w:rStyle w:val="FootnoteAnchor"/>
          <w:rtl w:val="true"/>
        </w:rPr>
        <w:footnoteReference w:id="237"/>
      </w:r>
      <w:r>
        <w:rPr>
          <w:rFonts w:ascii="IRNazanin" w:hAnsi="IRNazanin" w:eastAsia="IRNazanin"/>
          <w:color w:val="111111"/>
          <w:sz w:val="28"/>
          <w:sz w:val="28"/>
          <w:szCs w:val="28"/>
          <w:rtl w:val="true"/>
          <w:lang w:bidi="fa-IR"/>
        </w:rPr>
        <w:t>مع أنّ الاشتهار فیها هو الاشتهار فی الفتوی کما سیأتی بیانه</w:t>
      </w:r>
      <w:r>
        <w:rPr>
          <w:rStyle w:val="FootnoteAnchor"/>
          <w:rtl w:val="true"/>
        </w:rPr>
        <w:footnoteReference w:id="238"/>
      </w:r>
      <w:r>
        <w:rPr>
          <w:rFonts w:ascii="IRNazanin" w:hAnsi="IRNazanin" w:eastAsia="IRNazanin"/>
          <w:color w:val="111111"/>
          <w:sz w:val="28"/>
          <w:sz w:val="28"/>
          <w:szCs w:val="28"/>
          <w:rtl w:val="true"/>
          <w:lang w:bidi="fa-IR"/>
        </w:rPr>
        <w:t>و فی مقابله النادر الشاذّ، و هو یجعل الخبر بیّن الرشد، و مقابله بیّن الغیّ، بل نفس کون الخبر مجمعاً علیه بین الأصحاب بهذا المعنی یجعله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نفس هذا الإجماع و الاشتهار حجّة، و مقابله الشاذّ النادر الذی أعرض عنه الأصحاب، و هو یسقطه عن الحجّیة، و یجعله بیّن الغیّ، مع أنّ ظاهر المقبولة کون الاشتهار بین الأصحاب فی مدرک حکم أحد الحکمین، من مرجّحات حکمه، لا من مرجّحات الخبرین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ظاهر ذیله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السائل إلی السؤال عن الخبرین، و أجاب عن مرجّحاتهما، و إن کان الأقرب کونه من مدرک الحکمین أیضاً؛ لوحدة السیاق، و کون السؤال قبل هذه الفقرة و بعدها عن حکم الحکمین</w:t>
      </w:r>
      <w:r>
        <w:rPr>
          <w:rFonts w:eastAsia="IRNazanin" w:cs="IRNazanin"/>
          <w:color w:val="111111"/>
          <w:sz w:val="28"/>
          <w:szCs w:val="28"/>
          <w:rtl w:val="true"/>
          <w:lang w:bidi="fa-IR"/>
        </w:rPr>
        <w:t>.</w:t>
      </w:r>
      <w:bookmarkStart w:id="223" w:name="pg2353_14738"/>
    </w:p>
    <w:p>
      <w:pPr>
        <w:pStyle w:val="BookText"/>
        <w:rPr/>
      </w:pPr>
      <w:bookmarkEnd w:id="223"/>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المقبولة غیر مربوطة بما نحن فیه، فالواجب بسط الکلام فی فقه الحدیث بعد نقله بتمامه؛ لأنّه من المهمّات،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المسائل من أهمّ المسائل الاصولیّة</w:t>
      </w:r>
      <w:r>
        <w:rPr>
          <w:rFonts w:eastAsia="IRNazanin" w:cs="IRNazanin"/>
          <w:color w:val="111111"/>
          <w:sz w:val="28"/>
          <w:szCs w:val="28"/>
          <w:rtl w:val="true"/>
          <w:lang w:bidi="fa-IR"/>
        </w:rPr>
        <w:t>.</w:t>
      </w:r>
    </w:p>
    <w:p>
      <w:pPr>
        <w:pStyle w:val="Heading4"/>
        <w:numPr>
          <w:ilvl w:val="3"/>
          <w:numId w:val="1"/>
        </w:numPr>
        <w:rPr/>
      </w:pPr>
      <w:bookmarkStart w:id="224" w:name="__RefHeading___Toc2705119_3804643083"/>
      <w:bookmarkStart w:id="225" w:name="_Toc84"/>
      <w:bookmarkEnd w:id="224"/>
      <w:r>
        <w:rPr>
          <w:rtl w:val="true"/>
        </w:rPr>
        <w:t>الکلام حول المقبولة</w:t>
      </w:r>
      <w:bookmarkEnd w:id="225"/>
    </w:p>
    <w:p>
      <w:pPr>
        <w:pStyle w:val="BookText"/>
        <w:rPr/>
      </w:pPr>
      <w:r>
        <w:rPr>
          <w:rFonts w:ascii="IRNazanin" w:hAnsi="IRNazanin" w:eastAsia="IRNazanin"/>
          <w:color w:val="111111"/>
          <w:sz w:val="28"/>
          <w:sz w:val="28"/>
          <w:szCs w:val="28"/>
          <w:rtl w:val="true"/>
          <w:lang w:bidi="fa-IR"/>
        </w:rPr>
        <w:t>فنقول و علی اللَّه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المشایخ الثلاثة بإسنادهم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 فتحاکما إلی السلطان أو إلی القضاة، أ یحلّ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تحاکم إلیهم فی حقّ أو باطل فإنّما تحاکم إلی الطاغوت، و ما یحکم له فإنّما یأخذه سحتاً و إن کان حقّه ثابتاً؛ لأنّه أخذه بحکم الطاغوت، و إنّما أمر اللَّه أن یکفر 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فإنّی قد جعلته علیکم حاکماً، فإذا</w:t>
      </w:r>
    </w:p>
    <w:p>
      <w:pPr>
        <w:pStyle w:val="BookText"/>
        <w:rPr/>
      </w:pPr>
      <w:r>
        <w:rPr>
          <w:rFonts w:ascii="Amiri" w:hAnsi="Amiri" w:eastAsia="Amiri" w:cs="Amiri"/>
          <w:color w:val="111111"/>
          <w:sz w:val="28"/>
          <w:sz w:val="28"/>
          <w:szCs w:val="28"/>
          <w:rtl w:val="true"/>
          <w:lang w:bidi="ar-SA"/>
        </w:rPr>
        <w:t>حکم بحکمنا فلم یقبل منه فإنّما استخفّ بحکم اللَّه، و علینا ردّ، و الرادّ علینا الرادّ علی اللَّه، و هو علی حدّ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اختار رجلًا من أصحابنا، فرضیا أن یکونا ناظرین فی حقّهما، فاختلفا فیما حکما فیه،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w:t>
      </w:r>
      <w:r>
        <w:rPr>
          <w:rStyle w:val="FootnoteAnchor"/>
          <w:rtl w:val="true"/>
        </w:rPr>
        <w:footnoteReference w:id="240"/>
      </w:r>
      <w:r>
        <w:rPr>
          <w:rFonts w:ascii="IRNazanin" w:hAnsi="IRNazanin" w:eastAsia="IRNazanin"/>
          <w:color w:val="111111"/>
          <w:sz w:val="28"/>
          <w:sz w:val="28"/>
          <w:szCs w:val="28"/>
          <w:rtl w:val="true"/>
          <w:lang w:bidi="fa-IR"/>
        </w:rPr>
        <w:t>عنّا فی ذلک الذی حکما به المجمع علیه بین أصحابک، فیؤخذ به من حکمنا</w:t>
      </w:r>
      <w:r>
        <w:rPr>
          <w:rStyle w:val="FootnoteAnchor"/>
          <w:rtl w:val="true"/>
        </w:rPr>
        <w:footnoteReference w:id="241"/>
      </w:r>
      <w:r>
        <w:rPr>
          <w:rFonts w:ascii="IRNazanin" w:hAnsi="IRNazanin" w:eastAsia="IRNazanin"/>
          <w:color w:val="111111"/>
          <w:sz w:val="28"/>
          <w:sz w:val="28"/>
          <w:szCs w:val="28"/>
          <w:rtl w:val="true"/>
          <w:lang w:bidi="fa-IR"/>
        </w:rPr>
        <w:t>و یترک الشاذّ الذی لیس بمشهور عند أصحابک؛ فإنّ المجمع علیه لا ریب فیه، 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 و إلی رسول اللَّه،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عنکما</w:t>
      </w:r>
      <w:r>
        <w:rPr>
          <w:rStyle w:val="FootnoteAnchor"/>
          <w:rtl w:val="true"/>
        </w:rPr>
        <w:footnoteReference w:id="242"/>
      </w:r>
      <w:r>
        <w:rPr>
          <w:rFonts w:ascii="IRNazanin" w:hAnsi="IRNazanin" w:eastAsia="IRNazanin"/>
          <w:color w:val="111111"/>
          <w:sz w:val="28"/>
          <w:sz w:val="28"/>
          <w:szCs w:val="28"/>
          <w:rtl w:val="true"/>
          <w:lang w:bidi="fa-IR"/>
        </w:rPr>
        <w:t>مشهورین، قد رواهما الثقات عنکم؟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ما وافق حکمه حکم الکتاب و السنّة و خالف العامّة فیؤخذ به، و یترک ما خالف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إن کان الفقیهان عرفا حکمه من الکتاب و السنّة، فوجدنا أحد الخبرین موافقاً للعامّة، و الآخر مخالفاً لهم، 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وافقها</w:t>
      </w:r>
      <w:r>
        <w:rPr>
          <w:rStyle w:val="FootnoteAnchor"/>
          <w:rtl w:val="true"/>
        </w:rPr>
        <w:footnoteReference w:id="243"/>
      </w:r>
      <w:r>
        <w:rPr>
          <w:rFonts w:ascii="IRNazanin" w:hAnsi="IRNazanin" w:eastAsia="IRNazanin"/>
          <w:color w:val="111111"/>
          <w:sz w:val="28"/>
          <w:sz w:val="28"/>
          <w:szCs w:val="28"/>
          <w:rtl w:val="true"/>
          <w:lang w:bidi="fa-IR"/>
        </w:rPr>
        <w:t>الخبران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هم أمیل إلیه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فأرجه حتّی تلقی إمامک؛ 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منازعة بینهما فی دَین أو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ناظراً إلی خصوصیّتهما، بل ذَکَرهما من باب المثال، و إنّما نظره إلی جواز الرجوع إلی السلطان و القضاة فی المحاکمات، فأجاب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التحاکم عندهم تحاکم إلی الطاغوت، و ما یأخذه بحکمهم سحت و إن کان حقّه ثابتاً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بیان حکم المسألة سأل عن الوظیفة فی المنازعات، فأجاب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ینظران إلی من کان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قوّة ظهور هذه الجمل کلّ واحدة عقیب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منکم ممّن روی حدیثنا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الرادّ 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الفاصل للخصومة کما هو واضح، و جعله علیه السلام من کان بهذه الأوصاف حاکماً؛ إنّما هو لأجل منصبه المجعول من قبل اللَّه، أی من حیث کونه إماماً منصوباً من قبل اللَّه، و حاکماً و سلطاناً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ردّ الحاکم المنصوب من قبلهم فی حکمه، ردّاً علیهم و علی اللَّه تعالی حقیقة؛ لأنّ لازم نصب الحاکم هو الأمر بلزوم طاعته، فاللَّه تعالی نصب رسول اللَّه و الأئمّة علیهم السلام سلاطین علی العباد، و أوجب طاعتهم، و أبو عبد اللَّه علیه السلام نصب الفقهاء حکّاماً علیهم من حیث کونه سلطاناً، فحینئذٍ یکون ردّ الحاکم المنصوب من قبله ردّاً علیهم، و ردّهم ردّاً علی اللَّه تعالی، و لا إشکال فی الروایة إلی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 عن اختیار کلّ منهما رجلًا من أصحابنا لیکونا ناظرین فی حقّهما، و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الحکمین، کما هو المتعارف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فاختلفا فیما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منهما حکم فی القضیّة بما یخالف الآخر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منشأ اختلافهما، اختلافَ رأیهما فی حدیثکم، و یمکن أن یکون الاختلاف فی حدیثهم لأجل اختلافهما فی معنی حدیث واحد أو فی حدیثین؛ بأن استند کلّ منهما إلی حدیث و أنکره الآخر،</w:t>
      </w:r>
    </w:p>
    <w:p>
      <w:pPr>
        <w:pStyle w:val="BookText"/>
        <w:rPr/>
      </w:pPr>
      <w:r>
        <w:rPr>
          <w:rFonts w:ascii="IRNazanin" w:hAnsi="IRNazanin" w:eastAsia="IRNazanin"/>
          <w:color w:val="111111"/>
          <w:sz w:val="28"/>
          <w:sz w:val="28"/>
          <w:szCs w:val="28"/>
          <w:rtl w:val="true"/>
          <w:lang w:bidi="fa-IR"/>
        </w:rPr>
        <w:t>أو رجّحه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ما حکم به أعدلهما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أی النافذ من الحکمین هو حکم الأعدل، و لا یلتفت إلی 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لهذین الجملتین أیضاً ظهور قویّ، فی أنّ الترجیح مربوط بحکم الحاکمین، لا بالفتوی و الرأی، و لا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w:t>
      </w:r>
    </w:p>
    <w:p>
      <w:pPr>
        <w:pStyle w:val="BookText"/>
        <w:rPr/>
      </w:pPr>
      <w:r>
        <w:rPr>
          <w:rFonts w:ascii="IRNazanin" w:hAnsi="IRNazanin" w:eastAsia="IRNazanin"/>
          <w:color w:val="111111"/>
          <w:sz w:val="28"/>
          <w:sz w:val="28"/>
          <w:szCs w:val="28"/>
          <w:rtl w:val="true"/>
          <w:lang w:bidi="fa-IR"/>
        </w:rPr>
        <w:t>ما رواه الصدوق، بإسناده عن داود بن الحصین</w:t>
      </w:r>
      <w:r>
        <w:rPr>
          <w:rStyle w:val="FootnoteAnchor"/>
          <w:rtl w:val="true"/>
        </w:rPr>
        <w:footnoteReference w:id="245"/>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اتفقا علی عدلین جعلاهما بینهما فی حکمٍ وقع بینهما فیه خلاف، فرضیا بالعدلین، فاختلف العدلان بینهما، عن قول أیّهما یمضی الحکم؟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أفقههما و أعلمهما بأحادیثنا و أورعهما فینفذ حکمه، و لا یلتفت إلی الآخر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ascii="IRNazanin" w:hAnsi="IRNazanin" w:eastAsia="IRNazanin"/>
          <w:color w:val="111111"/>
          <w:sz w:val="28"/>
          <w:sz w:val="28"/>
          <w:szCs w:val="28"/>
          <w:rtl w:val="true"/>
          <w:lang w:bidi="fa-IR"/>
        </w:rPr>
        <w:t>بناءً علی کونها روایة مستقلّة، لا قطعة من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الشیخ بإسناده عن موسی بن أکیل</w:t>
      </w:r>
      <w:r>
        <w:rPr>
          <w:rStyle w:val="FootnoteAnchor"/>
          <w:rtl w:val="true"/>
        </w:rPr>
        <w:footnoteReference w:id="24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رجل یکون بینه و بین أخ له منازعة فی حقّ، فیتّفقان علی رجلین یکونان بینهما، فحکما فاختلفا فیما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 واحد منهما للذی اختاره الخصمان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أعدلهما و أفقههما فی دین اللَّه فیمضی حکمه</w:t>
      </w:r>
      <w:r>
        <w:rPr>
          <w:rFonts w:eastAsia="IRNazanin" w:cs="IRNazanin"/>
          <w:color w:val="111111"/>
          <w:sz w:val="28"/>
          <w:szCs w:val="28"/>
          <w:rtl w:val="true"/>
          <w:lang w:bidi="fa-IR"/>
        </w:rPr>
        <w:t>»</w:t>
      </w:r>
    </w:p>
    <w:p>
      <w:pPr>
        <w:pStyle w:val="BookText"/>
        <w:rPr/>
      </w:pP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تدلّ علی نفوذ حکم الأعدل الأفقه، و مضمونهما عین مضمون المقبولة، و مع ذلک لم یستدلّوا بهما علی الترجیح فی باب تعارض الروایتین، و لیس ذلک إلّا لعدم ربطهما بما نحن فیه، و کذا الحال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علیه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فرض تساوی الحَکَمین فی الفقه و العدالة، أرجعه إلی النظر لمدرک حکمهما؛ أی الروایتین اللّتین کان حکمهما مستنداً إلیهما، فما کان منهما مجمعاً علیه بین الأصحاب یؤخذ به من الحکمین، و یترک الشاذّ</w:t>
      </w:r>
      <w:r>
        <w:rPr>
          <w:rFonts w:eastAsia="IRNazanin" w:cs="IRNazanin"/>
          <w:color w:val="111111"/>
          <w:sz w:val="28"/>
          <w:szCs w:val="28"/>
          <w:rtl w:val="true"/>
          <w:lang w:bidi="fa-IR"/>
        </w:rPr>
        <w:t>.</w:t>
      </w:r>
      <w:bookmarkStart w:id="226" w:name="pg2353_14744"/>
    </w:p>
    <w:p>
      <w:pPr>
        <w:pStyle w:val="Heading4"/>
        <w:numPr>
          <w:ilvl w:val="3"/>
          <w:numId w:val="1"/>
        </w:numPr>
        <w:rPr/>
      </w:pPr>
      <w:bookmarkStart w:id="227" w:name="__RefHeading___Toc2705121_3804643083"/>
      <w:bookmarkStart w:id="228" w:name="_Toc85"/>
      <w:bookmarkEnd w:id="226"/>
      <w:bookmarkEnd w:id="227"/>
      <w:r>
        <w:rPr>
          <w:rtl w:val="true"/>
        </w:rPr>
        <w:t xml:space="preserve">معنی </w:t>
      </w:r>
      <w:r>
        <w:rPr>
          <w:rtl w:val="true"/>
        </w:rPr>
        <w:t>«</w:t>
      </w:r>
      <w:r>
        <w:rPr>
          <w:rtl w:val="true"/>
        </w:rPr>
        <w:t>المجمع علیه بین الأصحاب</w:t>
      </w:r>
      <w:r>
        <w:rPr>
          <w:rtl w:val="true"/>
        </w:rPr>
        <w:t>»</w:t>
      </w:r>
      <w:bookmarkEnd w:id="228"/>
    </w:p>
    <w:p>
      <w:pPr>
        <w:pStyle w:val="BookText"/>
        <w:rPr/>
      </w:pPr>
      <w:r>
        <w:rPr>
          <w:rFonts w:ascii="IRNazanin" w:hAnsi="IRNazanin" w:eastAsia="IRNazanin"/>
          <w:color w:val="111111"/>
          <w:sz w:val="28"/>
          <w:sz w:val="28"/>
          <w:szCs w:val="28"/>
          <w:rtl w:val="true"/>
          <w:lang w:bidi="fa-IR"/>
        </w:rPr>
        <w:t>و الظاهر أنّ 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الواضح بینهم، هو الشهرة الفتوائیّة، لا الروائیّة؛ فإنّ معنی المجمع علیه بینهم و المشهور لدیهم لیس إلّا هی، کما أنّ الموصوف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علیه الشهرة الفتوائیّة؛ بحیث کان مقابله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شهرة الروایة مجرّدة عن الفتوی، فهی مورثة للریب بل للاطمئنان أو الیقین بخلل فیها، بخلاف ما إذا اشتهرت روایة بین الأصحاب بحسب الفتوی؛ بحیث صار مقابلها من الشاذّ النادر، فإنّها تصیر لأجله ممّا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جعل التعبّد بذلک، بل تنبیه بأمر عقلائیّ ارتکازیّ بین العقلاء؛ فإنّ الإجماع و الاشتهار بین بِطانة کلّ رئیس، یکشف عن رضاه به، فإحدی الروایتین إذا کانت بهذه الصفة، یؤخذ بها و بالحکم المستند إلیها، و یترک الشاذّ المقابل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کالتعلیل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بالمجمع علیه، و یترک الشاذّ</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الامور مطلقاً لا تخلو من بیّن الرشد فیتّبع، و المجمع علیه کذلک، و بیّنِ الغیّ فیجتنب، و الشاذّ النادر کذلک، و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بقوله هذا إلی ترتیب قیاس؛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المجمع علیه لا ریب فیه، و کلّ ما کان کذلک بیّن رشده، فهو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تجعل النتیجة صغری لکبری اخری،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المجمع علیه بیّن رشده، و کلّ ما کان کذلک یجب اتّباعه، فالمجمع علیه یجب اتّباعه، و علیک بترتیب قیاسین آخرین؛ لاستنتاج وجوب الاجتناب عمّا هو بیّن 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إدراج مقابل المجمع علیه فی الأمر المشکل؛ ضرورة أنّ شیئاً إذا کان لا ریب فیه و بیّنَ الرشد، یکون مقابله و معارضه ممّا لا ریب فی بطلانه، و بیّناً غیّه، و لا یمکن أن یکون أحد طرفی النقیضین واضح الصحّة و بیّنَ الرشد، و طرفه الآخر مشکوکاً فیه و مریباً، فلا یمکن أن تکون إحدی الروایتین المتعارضتین، لا ریب فیها و معلومةَ الصحة، و الاخری ممّا فیها ریب، بل لا بدّ و أن تندرج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غیّه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واضح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ورود الإشکالات علی الأخذ بظاهر هاتین الفقرتین من المقبولة، لا یوجب ذلک صرفَهما عن هذا الظهور القویّ المعتضد بالتکرار مرّة بعد اخری، و المعتضد بالروایتین المتقدّمتین، و إدراجَهما فی أخبار العلاج، حتّی تکون أعدلیّة الراوی و أفقهیّته و قرینیهما، من المرجّحات، مع أنّ روایات العلاج علی کثرتها و تظافرها، خالیة من التعرّض لها مع شیوعها و کثرتها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المذکورات لیست من مرجّحات الخبرین المتعارضین رأساً؛ لعدم الدلیل علیه إلّا المرفوعة التی عرفت حالها، و المقبولة التی</w:t>
      </w:r>
    </w:p>
    <w:p>
      <w:pPr>
        <w:pStyle w:val="BookText"/>
        <w:rPr/>
      </w:pPr>
      <w:r>
        <w:rPr>
          <w:rFonts w:ascii="IRNazanin" w:hAnsi="IRNazanin" w:eastAsia="IRNazanin"/>
          <w:color w:val="111111"/>
          <w:sz w:val="28"/>
          <w:sz w:val="28"/>
          <w:szCs w:val="28"/>
          <w:rtl w:val="true"/>
          <w:lang w:bidi="fa-IR"/>
        </w:rPr>
        <w:t>عرفت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الاشتهار بین الأصحاب بما صرّحت به المقبولة، فهو لیس من المرجّحات لإحدی الحجّتین؛ لما عرفت من أنّ المراد به الاشتهار بحسب الفتوی، و کون الطرف المقابل شاذّاً معرضاً عنه، و ما کان حاله کذلک یسقط عن الحجّیة، سواء کان فی مقابله معارض أو 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کثرة الروایة و اشتهار النقل مجرّداً عن الفتوی، فلا دلیل علی کونها مرجّحة، بل لو دلّ دلیل علی وجوب الأخذ بالروایة التی اشتهرت روایتها، و ترک الشاذّة روایةً، لا یدلّ علی الاشتهار بحسب الروایة دون الفتوی؛ لأنّ المتعارف لدی قدماء أصحابنا، هو نقل الروایة فی مقام الفتوی، و کانت متون الروایات فتاویهم، فنقل الروایة و شهرتها کانت مساوقة للشهرة الفتوائیّة، کما یتّضح ذلک بالرجوع إلی الروایات، خصوصاً باب وجوب الرجوع فی القضاء و الفتوی إلی رواة الحدیث من کتاب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کتب قدماء أصحابنا کالصدوقین</w:t>
      </w:r>
      <w:r>
        <w:rPr>
          <w:rStyle w:val="FootnoteAnchor"/>
          <w:rtl w:val="true"/>
        </w:rPr>
        <w:footnoteReference w:id="249"/>
      </w:r>
      <w:r>
        <w:rPr>
          <w:rFonts w:ascii="IRNazanin" w:hAnsi="IRNazanin" w:eastAsia="IRNazanin"/>
          <w:color w:val="111111"/>
          <w:sz w:val="28"/>
          <w:sz w:val="28"/>
          <w:szCs w:val="28"/>
          <w:rtl w:val="true"/>
          <w:lang w:bidi="fa-IR"/>
        </w:rPr>
        <w:t>، و من فی طبقتهما، أو یقرب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أصحاب الاصول المتقدّمة و المتأخّرة، کانوا یضبطون مطلق الروایات الواصلة إلیهم، لکن کانت فتاویهم أیضاً بصورة نقل الروایة، بل الفقهاء إلی زمان شیخ الطائفة، لم یکونوا یتعدّون فی فتاویهم عن متون الروایات، علی ما صرّح به الشیخ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الخبران عنکم مشهورین، قد رواهما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ذکرناه؛ من أنّ المراد بالاشتهار هو الشهرة الفتوائیّة، لا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الأعدلیّة و ما یتلوها لیست من المرجّحات، و کذا الاشتهار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یمکن أن یعدّ منها فی فقرات المقبولة، هو موافقة الکتاب و 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الفقرات الاولی منها ممحّضة فی حکم الحَکَمین، حتّی انتهی الأمر إلی السؤال عن الخبرین،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کان من تتمّة السؤال عن حکم الحَکَمین، و السیاق یقتضی أن یکون راجعاً إلیه، لکن لا تبعد استفادة حکم ما نحن فیه منه؛ فإنّ السائل کأنّه</w:t>
      </w:r>
      <w:bookmarkStart w:id="229" w:name="pg2353_14748"/>
    </w:p>
    <w:p>
      <w:pPr>
        <w:pStyle w:val="BookText"/>
        <w:rPr/>
      </w:pPr>
      <w:bookmarkEnd w:id="229"/>
      <w:r>
        <w:rPr>
          <w:rFonts w:ascii="IRNazanin" w:hAnsi="IRNazanin" w:eastAsia="IRNazanin"/>
          <w:color w:val="111111"/>
          <w:sz w:val="28"/>
          <w:sz w:val="28"/>
          <w:szCs w:val="28"/>
          <w:rtl w:val="true"/>
          <w:lang w:bidi="fa-IR"/>
        </w:rPr>
        <w:t>انتقل من حکم الحاکم إلی مستنده، و نظر إلی تعارض نفس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الجواب ذلک أیضاً،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ما وافق حکمه حکم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 بالموصول الخبر، لا حکم الحاکم، و لکن مع ذلک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التمسّک بالمقبولة لجعل الأعدلیّة و ما یتلوها و کذا الشهرة، من المرجّحات، و لا نحتاج فی جعل موافقة الکتاب و مخالفة العامّة منها إلیها؛ لورود الأخبار الکثیرة فیهما، و سیأتی التعرّض لها</w:t>
      </w:r>
      <w:r>
        <w:rPr>
          <w:rFonts w:eastAsia="IRNazanin" w:cs="IRNazanin"/>
          <w:color w:val="111111"/>
          <w:sz w:val="28"/>
          <w:szCs w:val="28"/>
          <w:rtl w:val="true"/>
          <w:lang w:bidi="fa-IR"/>
        </w:rPr>
        <w:t>.</w:t>
      </w:r>
    </w:p>
    <w:p>
      <w:pPr>
        <w:pStyle w:val="Heading4"/>
        <w:numPr>
          <w:ilvl w:val="3"/>
          <w:numId w:val="1"/>
        </w:numPr>
        <w:rPr/>
      </w:pPr>
      <w:bookmarkStart w:id="230" w:name="__RefHeading___Toc2705123_3804643083"/>
      <w:bookmarkStart w:id="231" w:name="_Toc86"/>
      <w:bookmarkEnd w:id="230"/>
      <w:r>
        <w:rPr>
          <w:rtl w:val="true"/>
        </w:rPr>
        <w:t>رَجْعٌ إلی إشکالَی العلّامة الحائریّ و جوابهما</w:t>
      </w:r>
      <w:bookmarkEnd w:id="2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 من أوّل البحث إلی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الإشکالین المتقدّمین؛ أمّا قضیّة شهادة اختلاف نفس الأخبار علی الحمل علی الاستحباب؛ فلأنّه بعد عدم اعتبار المرفوعة، و عدمِ کون المقبولة من أخبار العلاج، و انحصارِ المرجّح بموافقة الکتاب و مخالفة العامّة، تنحلّ هذه الشبهة؛ فإنّ تقیید إطلاق أخبار العلاج بعد ذلک، بصحیحة عبد الرحمن بن أبی عبد اللَّه من أهون التصرّفات، و سنرجع إلیه إن شاء اللَّه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قضیّة تقدّم حمل الأوامر علی الاستحباب علی تقیید إطلاق الأخبار الکثیرة الواردة فی التخییر؛ لکونه تقییداً بالفرد النادر، فلما ظهر سابقاً؛ من أنّ ما دلّ علی التخییر منحصر بروایة ابن الجهم</w:t>
      </w:r>
      <w:r>
        <w:rPr>
          <w:rStyle w:val="FootnoteAnchor"/>
          <w:rtl w:val="true"/>
        </w:rPr>
        <w:footnoteReference w:id="252"/>
      </w:r>
      <w:r>
        <w:rPr>
          <w:rFonts w:ascii="IRNazanin" w:hAnsi="IRNazanin" w:eastAsia="IRNazanin"/>
          <w:color w:val="111111"/>
          <w:sz w:val="28"/>
          <w:sz w:val="28"/>
          <w:szCs w:val="28"/>
          <w:rtl w:val="true"/>
          <w:lang w:bidi="fa-IR"/>
        </w:rPr>
        <w:t>و إن ادّعی الشیخ تواترها بملاحظة عدّه ما لم یکن من هذا الباب منه</w:t>
      </w:r>
      <w:r>
        <w:rPr>
          <w:rStyle w:val="FootnoteAnchor"/>
          <w:rtl w:val="true"/>
        </w:rPr>
        <w:footnoteReference w:id="253"/>
      </w:r>
      <w:r>
        <w:rPr>
          <w:rFonts w:ascii="IRNazanin" w:hAnsi="IRNazanin" w:eastAsia="IRNazanin"/>
          <w:color w:val="111111"/>
          <w:sz w:val="28"/>
          <w:sz w:val="28"/>
          <w:szCs w:val="28"/>
          <w:rtl w:val="true"/>
          <w:lang w:bidi="fa-IR"/>
        </w:rPr>
        <w:t>و هی بملاحظة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جاءک عنّا فقس علی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ذیلها علی ما إذا لم تکن الروایتان مخالفتین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عرفت و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المرجّح فی باب التعارض منحصر بموافقة الکتاب و مخالفة العامّة، یکون تقیید إطلاق روایة ابن الجهم من أسهل التصرّفات، و لا یکون تقییداً بالفرد النادر؛ فإنّه لم یرد علیها إلّا تقیید واحد، هو کون التخییر فیما إذا لم یکن أحدهما موافقاً للعامّة و الآخر مخالفاً لهم،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واحد کسائر التقییدات الشائعة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مع حکومة بعض الأخبار الآمرة بالأخذ بخلاف العامّة، علی روایة ابن الجهم،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ذیل المقبولة من أخبار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مرسلة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4"/>
      </w:r>
      <w:bookmarkStart w:id="232" w:name="pg2353_14750"/>
    </w:p>
    <w:p>
      <w:pPr>
        <w:pStyle w:val="BookText"/>
        <w:rPr/>
      </w:pPr>
      <w:bookmarkEnd w:id="232"/>
      <w:r>
        <w:rPr>
          <w:rFonts w:ascii="IRNazanin" w:hAnsi="IRNazanin" w:eastAsia="IRNazanin"/>
          <w:color w:val="111111"/>
          <w:sz w:val="28"/>
          <w:sz w:val="28"/>
          <w:szCs w:val="28"/>
          <w:rtl w:val="true"/>
          <w:lang w:bidi="fa-IR"/>
        </w:rPr>
        <w:t>بل و غیرهما</w:t>
      </w:r>
      <w:r>
        <w:rPr>
          <w:rStyle w:val="FootnoteAnchor"/>
          <w:rtl w:val="true"/>
        </w:rPr>
        <w:footnoteReference w:id="255"/>
      </w:r>
      <w:r>
        <w:rPr>
          <w:rFonts w:ascii="IRNazanin" w:hAnsi="IRNazanin" w:eastAsia="IRNazanin"/>
          <w:color w:val="111111"/>
          <w:sz w:val="28"/>
          <w:sz w:val="28"/>
          <w:szCs w:val="28"/>
          <w:rtl w:val="true"/>
          <w:lang w:bidi="fa-IR"/>
        </w:rPr>
        <w:t>فإنّ الناظر فی أخبار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موافقة الکتاب و 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الترجیح بهما لیس بمحض التعبّد، بل لکون الموافقة له و المخالفة لهم طریقاً إلی الواقع، و أنّ الحقّ و الرشد فی موافقته و مخالفتهم، فتکون أدلّة الترجیح حاکمة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تعلم أیّهما الحق فموسّع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خالیة من الإشکال من هذه الجهة، فلا محیص من الأخذ بظاهر الأوامر الواردة فی الترجیح، و لا بدّ لاستقصاء البحث فیها من عقد بحثین</w:t>
      </w:r>
      <w:r>
        <w:rPr>
          <w:rFonts w:eastAsia="IRNazanin" w:cs="IRNazanin"/>
          <w:color w:val="111111"/>
          <w:sz w:val="28"/>
          <w:szCs w:val="28"/>
          <w:rtl w:val="true"/>
          <w:lang w:bidi="fa-IR"/>
        </w:rPr>
        <w:t>:</w:t>
      </w:r>
    </w:p>
    <w:p>
      <w:pPr>
        <w:pStyle w:val="Heading4"/>
        <w:numPr>
          <w:ilvl w:val="3"/>
          <w:numId w:val="1"/>
        </w:numPr>
        <w:rPr/>
      </w:pPr>
      <w:bookmarkStart w:id="233" w:name="__RefHeading___Toc2705125_3804643083"/>
      <w:bookmarkStart w:id="234" w:name="_Toc87"/>
      <w:bookmarkEnd w:id="233"/>
      <w:r>
        <w:rPr>
          <w:rtl w:val="true"/>
        </w:rPr>
        <w:t>البحث الأوّل فی حال الأخبار الواردة فی موافقة الکتاب و مخالفته</w:t>
      </w:r>
      <w:bookmarkEnd w:id="234"/>
    </w:p>
    <w:p>
      <w:pPr>
        <w:pStyle w:val="Heading5"/>
        <w:numPr>
          <w:ilvl w:val="4"/>
          <w:numId w:val="1"/>
        </w:numPr>
        <w:rPr/>
      </w:pPr>
      <w:bookmarkStart w:id="235" w:name="__RefHeading___Toc2705127_3804643083"/>
      <w:bookmarkStart w:id="236" w:name="_Toc88"/>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مطلق ما وافق الکتاب و خالفه، من غیر تعرّض لتعارض الحدیثین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الحدیثین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الکلینیّ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روایة جمیل</w:t>
      </w:r>
      <w:r>
        <w:rPr>
          <w:rStyle w:val="FootnoteAnchor"/>
          <w:rtl w:val="true"/>
        </w:rPr>
        <w:footnoteReference w:id="257"/>
      </w:r>
      <w:r>
        <w:rPr>
          <w:rFonts w:ascii="IRNazanin" w:hAnsi="IRNazanin" w:eastAsia="IRNazanin"/>
          <w:color w:val="111111"/>
          <w:sz w:val="28"/>
          <w:sz w:val="28"/>
          <w:szCs w:val="28"/>
          <w:rtl w:val="true"/>
          <w:lang w:bidi="fa-IR"/>
        </w:rPr>
        <w:t>، عن أبی عبد اللَّه علیه السلام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w:t>
      </w:r>
      <w:r>
        <w:rPr>
          <w:rStyle w:val="FootnoteAnchor"/>
          <w:rtl w:val="true"/>
        </w:rPr>
        <w:footnoteReference w:id="260"/>
      </w:r>
      <w:r>
        <w:rPr>
          <w:rFonts w:ascii="Amiri" w:hAnsi="Amiri" w:eastAsia="Amiri" w:cs="Amiri"/>
          <w:color w:val="111111"/>
          <w:sz w:val="28"/>
          <w:sz w:val="28"/>
          <w:szCs w:val="28"/>
          <w:rtl w:val="true"/>
          <w:lang w:bidi="ar-SA"/>
        </w:rPr>
        <w:t>عن أیّوب بن الحرّ</w:t>
      </w:r>
      <w:r>
        <w:rPr>
          <w:rStyle w:val="FootnoteAnchor"/>
          <w:rtl w:val="true"/>
        </w:rPr>
        <w:footnoteReference w:id="2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شی‌ء مردود إلی الکتاب و السنّة، و کلّ حدیث لا یوافق کتاب اللَّه فهو زخرف</w:t>
      </w:r>
      <w:r>
        <w:rPr>
          <w:rFonts w:eastAsia="IRNazanin" w:cs="IRNazanin"/>
          <w:color w:val="111111"/>
          <w:sz w:val="28"/>
          <w:szCs w:val="28"/>
          <w:rtl w:val="true"/>
          <w:lang w:bidi="fa-IR"/>
        </w:rPr>
        <w:t>»</w:t>
      </w:r>
    </w:p>
    <w:p>
      <w:p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النبیّ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 کم عنّی یوافق کتاب اللَّه فأنا قلته، و ما جاء کم یخالف کتاب اللَّه فلم أقله</w:t>
      </w:r>
      <w:r>
        <w:rPr>
          <w:rFonts w:eastAsia="IRNazanin" w:cs="IRNazanin"/>
          <w:color w:val="111111"/>
          <w:sz w:val="28"/>
          <w:szCs w:val="28"/>
          <w:rtl w:val="true"/>
          <w:lang w:bidi="fa-IR"/>
        </w:rPr>
        <w:t>»</w:t>
      </w:r>
    </w:p>
    <w:p>
      <w:p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جعفر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کم عنّا حدیث، فوجدتم علیه شاهداً أو شاهدین من کتاب اللَّه فخذوا به، و إلّا فقفوا عنده، ثمّ ردّوه إلینا حتّی یستبین لکم</w:t>
      </w:r>
      <w:r>
        <w:rPr>
          <w:rFonts w:eastAsia="IRNazanin" w:cs="IRNazanin"/>
          <w:color w:val="111111"/>
          <w:sz w:val="28"/>
          <w:szCs w:val="28"/>
          <w:rtl w:val="true"/>
          <w:lang w:bidi="fa-IR"/>
        </w:rPr>
        <w:t>»</w:t>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المیثمیّ المتقدّمة</w:t>
      </w:r>
      <w:r>
        <w:rPr>
          <w:rStyle w:val="FootnoteAnchor"/>
          <w:rtl w:val="true"/>
        </w:rPr>
        <w:footnoteReference w:id="266"/>
      </w:r>
      <w:r>
        <w:rPr>
          <w:rFonts w:ascii="IRNazanin" w:hAnsi="IRNazanin" w:eastAsia="IRNazanin"/>
          <w:color w:val="111111"/>
          <w:sz w:val="28"/>
          <w:sz w:val="28"/>
          <w:szCs w:val="28"/>
          <w:rtl w:val="true"/>
          <w:lang w:bidi="fa-IR"/>
        </w:rPr>
        <w:t>و مصحّحة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علیکم حدیثان مختلفان فاعرضوهما علی کتاب اللَّه، فما وافق کتاب اللَّه فخذوه، و ما خالف کتاب اللَّه فردّوه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أبی یعفور</w:t>
      </w:r>
      <w:r>
        <w:rPr>
          <w:rStyle w:val="FootnoteAnchor"/>
          <w:rtl w:val="true"/>
        </w:rPr>
        <w:footnoteReference w:id="2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 نثق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و إلّا فالذی جاءکم به أولی به</w:t>
      </w:r>
      <w:r>
        <w:rPr>
          <w:rFonts w:eastAsia="IRNazanin" w:cs="IRNazanin"/>
          <w:color w:val="111111"/>
          <w:sz w:val="28"/>
          <w:szCs w:val="28"/>
          <w:rtl w:val="true"/>
          <w:lang w:bidi="fa-IR"/>
        </w:rPr>
        <w:t>»</w:t>
      </w:r>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و لعلّها من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الطبرسیّ، 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جاءک عنّا فقس علی کتاب اللَّه عزّ و جلّ و أحادیثنا، فإن کان یشبههما فهو منّا، و إن لم یکن یشبههما فلیس منّا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العیّاشی</w:t>
      </w:r>
      <w:r>
        <w:rPr>
          <w:rStyle w:val="FootnoteAnchor"/>
          <w:rtl w:val="true"/>
        </w:rPr>
        <w:footnoteReference w:id="271"/>
      </w:r>
      <w:r>
        <w:rPr>
          <w:rFonts w:ascii="IRNazanin" w:hAnsi="IRNazanin" w:eastAsia="IRNazanin"/>
          <w:color w:val="111111"/>
          <w:sz w:val="28"/>
          <w:sz w:val="28"/>
          <w:szCs w:val="28"/>
          <w:rtl w:val="true"/>
          <w:lang w:bidi="fa-IR"/>
        </w:rPr>
        <w:t>عنه، عن العبد الصالح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الحدیثان</w:t>
      </w:r>
      <w:bookmarkStart w:id="237" w:name="pg2353_14754"/>
    </w:p>
    <w:p>
      <w:pPr>
        <w:pStyle w:val="BookText"/>
        <w:rPr/>
      </w:pPr>
      <w:bookmarkEnd w:id="237"/>
      <w:r>
        <w:rPr>
          <w:rFonts w:ascii="IRNazanin" w:hAnsi="IRNazanin" w:eastAsia="IRNazanin"/>
          <w:color w:val="111111"/>
          <w:sz w:val="28"/>
          <w:sz w:val="28"/>
          <w:szCs w:val="28"/>
          <w:rtl w:val="true"/>
          <w:lang w:bidi="fa-IR"/>
        </w:rPr>
        <w:t>المختلفان فقسهما علی کتاب اللَّه و أحادیثنا، فإن أشبههما فهو حقّ، و إن لم یشبههما فهو باطل</w:t>
      </w:r>
      <w:r>
        <w:rPr>
          <w:rFonts w:eastAsia="IRNazanin" w:cs="IRNazanin"/>
          <w:color w:val="111111"/>
          <w:sz w:val="28"/>
          <w:szCs w:val="28"/>
          <w:rtl w:val="true"/>
          <w:lang w:bidi="fa-IR"/>
        </w:rPr>
        <w:t>»</w:t>
      </w:r>
    </w:p>
    <w:p>
      <w:pPr>
        <w:pStyle w:val="BookText"/>
        <w:rPr/>
      </w:pP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2705129_3804643083"/>
      <w:bookmarkStart w:id="239" w:name="_Toc89"/>
      <w:bookmarkEnd w:id="238"/>
      <w:r>
        <w:rPr>
          <w:rtl w:val="true"/>
        </w:rPr>
        <w:t>التوفیق بین الأخبار</w:t>
      </w:r>
      <w:bookmarkEnd w:id="239"/>
    </w:p>
    <w:p>
      <w:pPr>
        <w:pStyle w:val="BookText"/>
        <w:rPr/>
      </w:pPr>
      <w:r>
        <w:rPr>
          <w:rFonts w:ascii="IRNazanin" w:hAnsi="IRNazanin" w:eastAsia="IRNazanin"/>
          <w:color w:val="111111"/>
          <w:sz w:val="28"/>
          <w:sz w:val="28"/>
          <w:szCs w:val="28"/>
          <w:rtl w:val="true"/>
          <w:lang w:bidi="fa-IR"/>
        </w:rPr>
        <w:t>و قد استشکل فی التوفیق بین الطائفتین؛ لأجل أنّ الترجیح بموافقة الکتاب فرع حجّیة الخبرین، لأنّ الترجیحات إنّما وردت لترجیح إحدی الحجّتین علی الاخری، و عدم المخالفة للکتاب من شرائط حجّیة الخبر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فی التوفیق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الطائفة الاولی محمولة علی مخالفة الخبر للکتاب بالتباین الکلّیّ، فما کان کذلک زخرف و باطل، و الثانیة محمولة علی المخالفة بالعموم من وجه، أو هو مع العموم المطلق، فالذی یکون مرجّحاً هو</w:t>
      </w:r>
    </w:p>
    <w:p>
      <w:pPr>
        <w:pStyle w:val="BookText"/>
        <w:rPr/>
      </w:pPr>
      <w:r>
        <w:rPr>
          <w:rFonts w:ascii="IRNazanin" w:hAnsi="IRNazanin" w:eastAsia="IRNazanin"/>
          <w:color w:val="111111"/>
          <w:sz w:val="28"/>
          <w:sz w:val="28"/>
          <w:szCs w:val="28"/>
          <w:rtl w:val="true"/>
          <w:lang w:bidi="fa-IR"/>
        </w:rPr>
        <w:t>المخالفة بأحد النحوین، و الذی یکون من شرائط الحجّیة هو عدم المخالفة بالتباین، و بهذا یجمع بین الطائفتین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 الناظر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شاهد لهذا الجمع، بل الأخبار آبیة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خبر المیثمیّ الوارد فی المتعارضین، فلأنّ المتأمّل فی صدره و ما فرّع علیه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ورد علیکم من خبرین مختلفین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یری أنّ لسانه عین لسان الأخبار الواردة فی الطائفة الاولی، و أنّ المفروض فیه هو ما ورد من الأخبار فی تحلیل ما حرّم اللَّه و رسوله، أو تحریم ما أحلّ اللَّه و رسوله، و أنّ الخبرین المختلفین إذا کان أحدهما کذلک ترفع الید عنه، و یؤخذ بالآخر، فلا یمکن الجمع بینه و بین الطائفة الاولی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ابن الجهم عن الرضا علیه السلام فالظاهر منه أنّه أجاب عن مطلق الخبر سواء کان له معارض أو لا؛ فإنّ السؤال مع کونه عن الأحادیث المختلفة، إلّا أنّه غیّر علیه السلام اسلوب الجواب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جاءک عنّا فقس علی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ظاهره أنّه بصدد بیان میزان کلّی لکلّ ما جاء منهم، فلا یمکن التفرقة فی مضمونه بین حال التعارض و غیر حاله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کذا فهو منّا، و إلّا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لسان الطائفة</w:t>
      </w:r>
      <w:bookmarkStart w:id="240" w:name="pg2353_14756"/>
    </w:p>
    <w:p>
      <w:pPr>
        <w:pStyle w:val="BookText"/>
        <w:rPr/>
      </w:pPr>
      <w:bookmarkEnd w:id="240"/>
      <w:r>
        <w:rPr>
          <w:rFonts w:ascii="IRNazanin" w:hAnsi="IRNazanin" w:eastAsia="IRNazanin"/>
          <w:color w:val="111111"/>
          <w:sz w:val="28"/>
          <w:sz w:val="28"/>
          <w:szCs w:val="28"/>
          <w:rtl w:val="true"/>
          <w:lang w:bidi="fa-IR"/>
        </w:rPr>
        <w:t>الاولی، و کذا روایة ابن الجهم عن العبد الصالح علیه السلام و روایة ابن أبی یعفور، فإنّه مع سؤاله عن اختلاف الحدیثین، أجاب کلیّاً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علیکم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مضمونها عین مضمون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التأمّل فی الأخبار حقّه، یقطع بأنّ الجمع المتقدّم غیر صحیح، و الأخبار آبیة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الطائفتین واحد، و إنّهما بصدد تمییز الحجّة عن غیرها، و لیست موافقة الکتاب أیضاً من مرجّحات إحدی الحجّتین، و تحمل جمیع روایات الباب علی المخالفة بالتباین؛ بقرینة صدور ما یخالف الکتاب بالعموم و الخصوص و الإطلاق و التقیید منهم بضرورة الفقه، و إباء هذه الأخبار عن التخصیص و التقیید، فالترجیح بعموم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النسبة بینهما و الکتاب و السنّة العمومَ من وجه أو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فسقط هذا المرجّح عن المرجّحیة</w:t>
      </w:r>
      <w:r>
        <w:rPr>
          <w:rFonts w:eastAsia="IRNazanin" w:cs="IRNazanin"/>
          <w:color w:val="111111"/>
          <w:sz w:val="28"/>
          <w:szCs w:val="28"/>
          <w:rtl w:val="true"/>
          <w:lang w:bidi="fa-IR"/>
        </w:rPr>
        <w:t>.</w:t>
      </w:r>
    </w:p>
    <w:p>
      <w:pPr>
        <w:pStyle w:val="Heading5"/>
        <w:numPr>
          <w:ilvl w:val="4"/>
          <w:numId w:val="1"/>
        </w:numPr>
        <w:rPr/>
      </w:pPr>
      <w:bookmarkStart w:id="241" w:name="__RefHeading___Toc2705131_3804643083"/>
      <w:bookmarkStart w:id="242" w:name="_Toc90"/>
      <w:bookmarkEnd w:id="241"/>
      <w:r>
        <w:rPr>
          <w:rtl w:val="true"/>
        </w:rPr>
        <w:t>تحقیق المقام</w:t>
      </w:r>
      <w:bookmarkEnd w:id="2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بین الخبرین بحسب مفهومها، أعمّ من التباین و الأعمّ من وجه و المطلق، فهی بمفهومها شاملة لجمیع أنواع التخالف،</w:t>
      </w:r>
    </w:p>
    <w:p>
      <w:pPr>
        <w:pStyle w:val="BookText"/>
        <w:rPr/>
      </w:pPr>
      <w:r>
        <w:rPr>
          <w:rFonts w:ascii="IRNazanin" w:hAnsi="IRNazanin" w:eastAsia="IRNazanin"/>
          <w:color w:val="111111"/>
          <w:sz w:val="28"/>
          <w:sz w:val="28"/>
          <w:szCs w:val="28"/>
          <w:rtl w:val="true"/>
          <w:lang w:bidi="fa-IR"/>
        </w:rPr>
        <w:t>لکن قد ذکرنا فی أوّل مبحث التعارض</w:t>
      </w:r>
      <w:r>
        <w:rPr>
          <w:rStyle w:val="FootnoteAnchor"/>
          <w:rtl w:val="true"/>
        </w:rPr>
        <w:footnoteReference w:id="275"/>
      </w:r>
      <w:r>
        <w:rPr>
          <w:rFonts w:ascii="IRNazanin" w:hAnsi="IRNazanin" w:eastAsia="IRNazanin"/>
          <w:color w:val="111111"/>
          <w:sz w:val="28"/>
          <w:sz w:val="28"/>
          <w:szCs w:val="28"/>
          <w:rtl w:val="true"/>
          <w:lang w:bidi="fa-IR"/>
        </w:rPr>
        <w:t>أنّ المتخالفین اللّذین بینهما جمع عقلائیّ، خارجان عن محطّ السؤال و الجواب، و أنّهما منزّلان علی مورد تحیّر العرف فی العمل و عدم طریق عقلائیّ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تجیئنا الأحادیث عنکم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الحدیثان المختلفان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أمثالهما، محمولة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القرائن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لا یکون بینهما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الأحادیث الواردة فی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القرآن زخرف</w:t>
      </w:r>
      <w:r>
        <w:rPr>
          <w:rFonts w:eastAsia="IRNazanin" w:cs="IRNazanin"/>
          <w:color w:val="111111"/>
          <w:sz w:val="28"/>
          <w:szCs w:val="28"/>
          <w:rtl w:val="true"/>
          <w:lang w:bidi="fa-IR"/>
        </w:rPr>
        <w:t>»</w:t>
      </w:r>
    </w:p>
    <w:p>
      <w:pPr>
        <w:pStyle w:val="BookText"/>
        <w:rPr/>
      </w:pPr>
      <w:r>
        <w:rPr>
          <w:rStyle w:val="FootnoteAnchor"/>
          <w:rtl w:val="true"/>
        </w:rPr>
        <w:footnoteReference w:id="27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Style w:val="FootnoteAnchor"/>
          <w:rtl w:val="true"/>
        </w:rPr>
        <w:footnoteReference w:id="277"/>
      </w:r>
      <w:r>
        <w:rPr>
          <w:rFonts w:ascii="IRNazanin" w:hAnsi="IRNazanin" w:eastAsia="IRNazanin"/>
          <w:color w:val="111111"/>
          <w:sz w:val="28"/>
          <w:sz w:val="28"/>
          <w:szCs w:val="28"/>
          <w:rtl w:val="true"/>
          <w:lang w:bidi="fa-IR"/>
        </w:rPr>
        <w:t>و أمثالهما، محمولة علی المخالفة بغیر ما له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بالعموم و الخصوص، و الإطلاق و التقیید، خارج عن محطّها؛ بقرینة ورود أمثالها عنهم بضرورة الفقه، و لا یمکن ارتکاب التخصیص فی هذه الروایات؛ لإبائها عنه، فبمقتضی القرینة الخارجیّة القطعیّة تحمل تلک الأخبار علی المخالفة بالتباین، أو الأعمّ منه و من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تکن قرینة داخلیّة أو خارجیّة صارفة، فلا یجوز رفع الید عن ظهور المخالفة فی المعنی الأعمّ و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قوله فی مصحّحة 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w:t>
      </w:r>
    </w:p>
    <w:p>
      <w:pPr>
        <w:pStyle w:val="BookText"/>
        <w:rPr/>
      </w:pPr>
      <w:r>
        <w:rPr>
          <w:rFonts w:ascii="Amiri" w:hAnsi="Amiri" w:eastAsia="Amiri" w:cs="Amiri"/>
          <w:color w:val="111111"/>
          <w:sz w:val="28"/>
          <w:sz w:val="28"/>
          <w:szCs w:val="28"/>
          <w:rtl w:val="true"/>
          <w:lang w:bidi="ar-SA"/>
        </w:rPr>
        <w:t>کتاب اللَّه فخذوه، و ما خالف کتاب اللَّه فردّوه</w:t>
      </w:r>
      <w:r>
        <w:rPr>
          <w:rFonts w:eastAsia="Amiri" w:cs="Amiri" w:ascii="Amiri" w:hAnsi="Amiri"/>
          <w:color w:val="111111"/>
          <w:sz w:val="28"/>
          <w:szCs w:val="28"/>
          <w:rtl w:val="true"/>
          <w:lang w:bidi="ar-SA"/>
        </w:rPr>
        <w:t>»</w:t>
      </w:r>
    </w:p>
    <w:p>
      <w:pPr>
        <w:pStyle w:val="BookText"/>
        <w:rPr/>
      </w:pPr>
      <w:r>
        <w:rPr>
          <w:rStyle w:val="FootnoteAnchor"/>
          <w:rtl w:val="true"/>
        </w:rPr>
        <w:footnoteReference w:id="278"/>
      </w:r>
      <w:r>
        <w:rPr>
          <w:rFonts w:ascii="IRNazanin" w:hAnsi="IRNazanin" w:eastAsia="IRNazanin"/>
          <w:color w:val="111111"/>
          <w:sz w:val="28"/>
          <w:sz w:val="28"/>
          <w:szCs w:val="28"/>
          <w:rtl w:val="true"/>
          <w:lang w:bidi="fa-IR"/>
        </w:rPr>
        <w:t>مطلق فی مقام البیان، فیجب أن یؤخذ به، فالخبران المختلفان إذا لم یکن بینهما جمع عرفیّ، إذا وافق أحدهما کتاب اللَّه، و خالفه الآخر، یجب أخذ الموافق و ترک المخالف، سواء کانت المخالفة بالتباین، أو الأعمّ من وجه، أو الأعمّ مطلقاً، و لا وجه لرفع الید عن هذا الإطلاق بلا قرینة صارفة و دلیل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القرینة صدر الروایة؛ فإنّه ورد فی الحدیثین المختلفین، و المفروض أنّ المخالفة بین الحدیثین محمولة علی المخالفة بغیر ما یکون بینهما جمع عرفیّ، فوحدة السیاق تقتضی أن تکون المخالفة فی الذیل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التفکیک بین الصدر و الذیل فی روایة واحدة؛ بحمل الصدر علی نوع منها، و الذیل علی مطلقها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التفکیک بینهما إنّما هو إذا تعرّضا لموضوع واحد، کما لو تعرّضا لاختلاف الخبرین، و أمّا إذا کان الاختلاف فی الصدر هو اختلاف الخبرین، و فی الذیل هو اختلاف الخبر و الکتاب، فلا وجه لرفع الید عن إطلاق الثانی لقرینة قائمة فی الأوّل، و هذا لیس من التفکیک الممنوع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الاخری غیر هذه المصحّحة، مفادها مطابق للطائفة الاولی، فتحمل هذه أیضاً علی غیرها؛ لیتحد مفاد جمیعها، و تحمل المخالفة علی غیر مورد الجمع العرفیّ، للقرینة القائمة فی الطائفة الاولی</w:t>
      </w:r>
      <w:r>
        <w:rPr>
          <w:rFonts w:eastAsia="IRNazanin" w:cs="IRNazanin"/>
          <w:color w:val="111111"/>
          <w:sz w:val="28"/>
          <w:szCs w:val="28"/>
          <w:rtl w:val="true"/>
          <w:lang w:bidi="fa-IR"/>
        </w:rPr>
        <w:t>.</w:t>
      </w:r>
      <w:bookmarkStart w:id="243" w:name="pg2353_14759"/>
    </w:p>
    <w:p>
      <w:pPr>
        <w:pStyle w:val="BookText"/>
        <w:rPr/>
      </w:pPr>
      <w:bookmarkEnd w:id="243"/>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الأخبار؛ فإنّها مثبتات، فلا وجه لرفع الید عن إطلاق المصحّحة، و لا سیّما مع کون غیر واحدة من تلک الروایات، واردةً فی أصل الخبر المخالف، بخلاف المصحّحة</w:t>
      </w:r>
      <w:r>
        <w:rPr>
          <w:rFonts w:eastAsia="IRNazanin" w:cs="IRNazanin"/>
          <w:color w:val="111111"/>
          <w:sz w:val="28"/>
          <w:szCs w:val="28"/>
          <w:rtl w:val="true"/>
          <w:lang w:bidi="fa-IR"/>
        </w:rPr>
        <w:t>.</w:t>
      </w:r>
    </w:p>
    <w:p>
      <w:pPr>
        <w:pStyle w:val="Heading5"/>
        <w:numPr>
          <w:ilvl w:val="4"/>
          <w:numId w:val="1"/>
        </w:numPr>
        <w:rPr/>
      </w:pPr>
      <w:bookmarkStart w:id="244" w:name="__RefHeading___Toc2705133_3804643083"/>
      <w:bookmarkStart w:id="245" w:name="_Toc91"/>
      <w:bookmarkEnd w:id="244"/>
      <w:r>
        <w:rPr>
          <w:rtl w:val="true"/>
        </w:rPr>
        <w:t>مرجّحیّة موافقة الکتاب و الثمرة بین المرجعیّة و المرجّحیة</w:t>
      </w:r>
      <w:bookmarkEnd w:id="245"/>
    </w:p>
    <w:p>
      <w:pPr>
        <w:pStyle w:val="BookText"/>
        <w:rPr/>
      </w:pPr>
      <w:r>
        <w:rPr>
          <w:rFonts w:ascii="IRNazanin" w:hAnsi="IRNazanin" w:eastAsia="IRNazanin"/>
          <w:color w:val="111111"/>
          <w:sz w:val="28"/>
          <w:sz w:val="28"/>
          <w:szCs w:val="28"/>
          <w:rtl w:val="true"/>
          <w:lang w:bidi="fa-IR"/>
        </w:rPr>
        <w:t>ثمّ إنّه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بموافق الکتاب و السنّة القطعیّة، لیس من باب الترجیح، بل من باب الرجوع إلی الدلیل القطعیّ الصدور، فیکون الکتاب و السنّة مرجعین، لا مرجّحین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فاسد؛ لکونه مخالفاً لظواهر الأخبار،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منه هو وجوب الأخذ بالخبر، لا العمل بالکتاب و السنّة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الثمرة بین المرجّحیة و المرجعیّة فیما إذا کانت النسبة بین الکتاب و السنّة و أحد الخبرین أعمّ مطلقاً، و علمت وحدة الحکم، فیصیر الخبر مقیّداً أو مخصّصاً لهما بعد ترجیحه بموافقتهما،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یحرم علیک 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الکتاب أو</w:t>
      </w:r>
      <w:bookmarkStart w:id="246" w:name="pg2353_14760"/>
    </w:p>
    <w:p>
      <w:pPr>
        <w:pStyle w:val="BookText"/>
        <w:rPr/>
      </w:pPr>
      <w:bookmarkEnd w:id="246"/>
      <w:r>
        <w:rPr>
          <w:rFonts w:ascii="IRNazanin" w:hAnsi="IRNazanin" w:eastAsia="IRNazanin"/>
          <w:color w:val="111111"/>
          <w:sz w:val="28"/>
          <w:sz w:val="28"/>
          <w:szCs w:val="28"/>
          <w:rtl w:val="true"/>
          <w:lang w:bidi="fa-IR"/>
        </w:rPr>
        <w:t xml:space="preserve">السنّة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تعارض الخاصّین و ترجیح الموافق لهما، یصیر حجّة، و مع العلم بوحدة الحکم یحمل مطلق الکتاب أو السنّة علی المقیّد، و یحکم بوجوب 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یکون کلا الخاصّین مخالفین لهما؛ ضرورة مخالفة المقیّد للمطلق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الکتاب و السنّة موافقان للمقیّد فی محلّ تعارضه للخبر المخالف له، و هو المناط فی ترجیح أحد الخبرین، و فی مورد مخالفته لهما لم یکن مخالفاً للخبر الآخر المخالف له، فتدبّر</w:t>
      </w:r>
      <w:r>
        <w:rPr>
          <w:rFonts w:eastAsia="IRNazanin" w:cs="IRNazanin"/>
          <w:color w:val="111111"/>
          <w:sz w:val="28"/>
          <w:szCs w:val="28"/>
          <w:rtl w:val="true"/>
          <w:lang w:bidi="fa-IR"/>
        </w:rPr>
        <w:t>.</w:t>
      </w:r>
    </w:p>
    <w:p>
      <w:pPr>
        <w:pStyle w:val="Heading4"/>
        <w:numPr>
          <w:ilvl w:val="3"/>
          <w:numId w:val="1"/>
        </w:numPr>
        <w:rPr/>
      </w:pPr>
      <w:bookmarkStart w:id="247" w:name="__RefHeading___Toc2705135_3804643083"/>
      <w:bookmarkStart w:id="248" w:name="_Toc92"/>
      <w:bookmarkEnd w:id="247"/>
      <w:r>
        <w:rPr>
          <w:rtl w:val="true"/>
        </w:rPr>
        <w:t>البحث الثانی فی حال الأخبار الواردة فی مخالفة العامّة</w:t>
      </w:r>
      <w:bookmarkEnd w:id="248"/>
    </w:p>
    <w:p>
      <w:pPr>
        <w:pStyle w:val="Heading5"/>
        <w:numPr>
          <w:ilvl w:val="4"/>
          <w:numId w:val="1"/>
        </w:numPr>
        <w:rPr/>
      </w:pPr>
      <w:bookmarkStart w:id="249" w:name="__RefHeading___Toc2705137_3804643083"/>
      <w:bookmarkStart w:id="250" w:name="_Toc93"/>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و هی أیضاً 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خصوص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منها لزوم مخالفتهم، و ترک الخبر الموافق لهم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الاولی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مصحّحة عبد الرحمن بن أبی عبد اللَّه،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تجدوهما فی کتاب اللَّه فاعرضوهما علی أخبار العامّة، فما وافق أخبارهم فذروه،</w:t>
      </w:r>
    </w:p>
    <w:p>
      <w:pPr>
        <w:pStyle w:val="BookText"/>
        <w:rPr/>
      </w:pPr>
      <w:r>
        <w:rPr>
          <w:rFonts w:ascii="IRNazanin" w:hAnsi="IRNazanin" w:eastAsia="IRNazanin"/>
          <w:color w:val="111111"/>
          <w:sz w:val="28"/>
          <w:sz w:val="28"/>
          <w:szCs w:val="28"/>
          <w:rtl w:val="true"/>
          <w:lang w:bidi="fa-IR"/>
        </w:rPr>
        <w:t>و ما خالف أخبارهم فخذوه</w:t>
      </w:r>
      <w:r>
        <w:rPr>
          <w:rFonts w:eastAsia="IRNazanin" w:cs="IRNazanin"/>
          <w:color w:val="111111"/>
          <w:sz w:val="28"/>
          <w:szCs w:val="28"/>
          <w:rtl w:val="true"/>
          <w:lang w:bidi="fa-IR"/>
        </w:rPr>
        <w:t>»</w:t>
      </w:r>
    </w:p>
    <w:p>
      <w:pPr>
        <w:pStyle w:val="BookText"/>
        <w:rPr/>
      </w:pP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القطب</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أیضاً بسند فیه إرسال، عن الحسن بن السَّری</w:t>
      </w:r>
      <w:r>
        <w:rPr>
          <w:rStyle w:val="FootnoteAnchor"/>
          <w:rtl w:val="true"/>
        </w:rPr>
        <w:footnoteReference w:id="282"/>
      </w:r>
      <w:r>
        <w:rPr>
          <w:rFonts w:ascii="IRNazanin" w:hAnsi="IRNazanin" w:eastAsia="IRNazanin"/>
          <w:color w:val="111111"/>
          <w:sz w:val="28"/>
          <w:sz w:val="28"/>
          <w:szCs w:val="28"/>
          <w:rtl w:val="true"/>
          <w:lang w:bidi="fa-IR"/>
        </w:rPr>
        <w:t>قال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فخذوا بما خالف القوم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عنها بإسناده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فیما ورد علینا منکم إلّا التسلیم لکم؟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یسعکم إلّا التسلیم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عن أبی عبد اللَّه علیه السلام شی‌ء، و یروی عنه خلافه، فبأیّهما نأخذ؟</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خالف القوم، و ما وافق القوم فاجتنبه</w:t>
      </w:r>
      <w:r>
        <w:rPr>
          <w:rFonts w:eastAsia="IRNazanin" w:cs="IRNazanin"/>
          <w:color w:val="111111"/>
          <w:sz w:val="28"/>
          <w:szCs w:val="28"/>
          <w:rtl w:val="true"/>
          <w:lang w:bidi="fa-IR"/>
        </w:rPr>
        <w:t>»</w:t>
      </w:r>
    </w:p>
    <w:p>
      <w:pPr>
        <w:pStyle w:val="BookText"/>
        <w:rPr/>
      </w:pP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بسنده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بالخبرین المختلفین؟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خبران مختلفان فانظروا إلی ما یخالف منهما العامّة فخذوه، و انظروا إلی ما یوافق أخبارهم فدعوه</w:t>
      </w:r>
      <w:r>
        <w:rPr>
          <w:rFonts w:eastAsia="IRNazanin" w:cs="IRNazanin"/>
          <w:color w:val="111111"/>
          <w:sz w:val="28"/>
          <w:szCs w:val="28"/>
          <w:rtl w:val="true"/>
          <w:lang w:bidi="fa-IR"/>
        </w:rPr>
        <w:t>»</w:t>
      </w:r>
    </w:p>
    <w:p>
      <w:pPr>
        <w:pStyle w:val="BookText"/>
        <w:rPr/>
      </w:pP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الطبرسیّ، عن سَماعة بن مِهْران، عن أبی عبد اللَّه علیه السلام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علینا حدیثان، واحد یأمرنا بالأخذ به، و الآخر ینهانا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المقبولة المتقدّمة</w:t>
      </w:r>
      <w:r>
        <w:rPr>
          <w:rStyle w:val="FootnoteAnchor"/>
          <w:rtl w:val="true"/>
        </w:rPr>
        <w:footnoteReference w:id="287"/>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الفقیهان عرفا حکمه من الکتاب و السنّة، فوجدنا أحد الخبرین موافقاً للعامّة، و الآخر مخالفاً، بأیّ</w:t>
      </w:r>
    </w:p>
    <w:p>
      <w:pPr>
        <w:pStyle w:val="BookText"/>
        <w:rPr/>
      </w:pPr>
      <w:r>
        <w:rPr>
          <w:rFonts w:ascii="IRNazanin" w:hAnsi="IRNazanin" w:eastAsia="IRNazanin"/>
          <w:color w:val="111111"/>
          <w:sz w:val="28"/>
          <w:sz w:val="28"/>
          <w:szCs w:val="28"/>
          <w:rtl w:val="true"/>
          <w:lang w:bidi="fa-IR"/>
        </w:rPr>
        <w:t>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دلالة هذه الأخبار علی أنّ مخالفة العامّة مرجّحة فی الخبرین المتعارضین مع اعتبار سند بعضها، بل صحّة بعضها علی الظاهر، و اشتهار مضمونها بین الأصحاب، بل هذا المرجّح هو المتداول العامّ الشائع فی جمیع أبواب الفقه و ألسنة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أسباط</w:t>
      </w:r>
      <w:r>
        <w:rPr>
          <w:rStyle w:val="FootnoteAnchor"/>
          <w:rtl w:val="true"/>
        </w:rPr>
        <w:footnoteReference w:id="2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فقیه البلد فاستفته من أمرک، فإذا أفتاک بشی‌ء فخذ بخلافه؛ فإنّ الحقّ فیه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موردها صورة الاضطرار و عدم طریق إلی الواقع، فأرشده إلی طریق یرجع إلیه لدی سدّ الطرق، و لا یستفاد منها جواز ردّ الخبر من طریقنا إذا کان موافقاً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بإسناده عن أبی إسحاق الأرجانیّ</w:t>
      </w:r>
      <w:r>
        <w:rPr>
          <w:rStyle w:val="FootnoteAnchor"/>
          <w:rtl w:val="true"/>
        </w:rPr>
        <w:footnoteReference w:id="290"/>
      </w:r>
      <w:r>
        <w:rPr>
          <w:rFonts w:ascii="IRNazanin" w:hAnsi="IRNazanin" w:eastAsia="IRNazanin"/>
          <w:color w:val="111111"/>
          <w:sz w:val="28"/>
          <w:sz w:val="28"/>
          <w:szCs w:val="28"/>
          <w:rtl w:val="true"/>
          <w:lang w:bidi="fa-IR"/>
        </w:rPr>
        <w:t>رفعه، قال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لِمَ امرتم بالأخذ بخلاف ما تقول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لم یکن یدین اللَّه بدین إلّا خالف علیه الامّة إلی غیره؛ إرادة لإبطال أمره، و کانوا یسألون أمیر المؤمنین عن الشی‌ء لا یعلمونه، فإذا أفتاهم جعلوا له ضدّاً من عندهم، لیلبسوا علی الناس</w:t>
      </w:r>
      <w:r>
        <w:rPr>
          <w:rFonts w:eastAsia="IRNazanin" w:cs="IRNazanin"/>
          <w:color w:val="111111"/>
          <w:sz w:val="28"/>
          <w:szCs w:val="28"/>
          <w:rtl w:val="true"/>
          <w:lang w:bidi="fa-IR"/>
        </w:rPr>
        <w:t>»</w:t>
      </w:r>
    </w:p>
    <w:p>
      <w:pPr>
        <w:pStyle w:val="BookText"/>
        <w:rPr/>
      </w:pP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واردة فی مقام بیان علّة الأمر بالأخذ بخلافهم، و لا تدلّ علی وجوبه مطلقاً، فیمکن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الأوامر الواردة فی الخبرین المتعارضین، و لا تدلّ علی ورود أمر بالأخذ بخلافهم ابتداءً و فی غیر صورة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الشیخ بإسناده عن عبید بن زرارة</w:t>
      </w:r>
      <w:r>
        <w:rPr>
          <w:rStyle w:val="FootnoteAnchor"/>
          <w:rtl w:val="true"/>
        </w:rPr>
        <w:footnoteReference w:id="292"/>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منّی یشبه قول الناس فیه التقیّة، و ما سمعت منّی لا یشبه قول الناس فلا تقیّة فیه</w:t>
      </w:r>
      <w:r>
        <w:rPr>
          <w:rFonts w:eastAsia="IRNazanin" w:cs="IRNazanin"/>
          <w:color w:val="111111"/>
          <w:sz w:val="28"/>
          <w:szCs w:val="28"/>
          <w:rtl w:val="true"/>
          <w:lang w:bidi="fa-IR"/>
        </w:rPr>
        <w:t>»</w:t>
      </w:r>
    </w:p>
    <w:p>
      <w:p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مراده من شباهة قول الناس، هی الشباهة فی آرائهم و أهوائهم؛ کالقول بالجبر، و القیاس، و الفتاوی الباطلة المعروفة منهم، کالقول بالعول، و التعصیب، فلا تدلّ علی ترک ما خالف العامّة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المسلّمون لأمرنا، الآخذون بقولنا، المخالفون لأعدائنا، فمن لم یکن کذلک فلیس منّا</w:t>
      </w:r>
      <w:r>
        <w:rPr>
          <w:rFonts w:eastAsia="IRNazanin" w:cs="IRNazanin"/>
          <w:color w:val="111111"/>
          <w:sz w:val="28"/>
          <w:szCs w:val="28"/>
          <w:rtl w:val="true"/>
          <w:lang w:bidi="fa-IR"/>
        </w:rPr>
        <w:t>»</w:t>
      </w:r>
    </w:p>
    <w:p>
      <w:pPr>
        <w:pStyle w:val="BookText"/>
        <w:rPr/>
      </w:pP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و اللَّه علی شی‌ء ممّا هم فیه، و لا هم علی شی‌ء ممّا أنتم فیه، فخالفوهم، فما هم من الحنفیّة علی شی‌ء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منهما المخالفة فی عقائدهم و فی أمر الإمامة و ما یرتبط بها،</w:t>
      </w:r>
    </w:p>
    <w:p>
      <w:pPr>
        <w:pStyle w:val="BookText"/>
        <w:rPr/>
      </w:pPr>
      <w:r>
        <w:rPr>
          <w:rFonts w:ascii="IRNazanin" w:hAnsi="IRNazanin" w:eastAsia="IRNazanin"/>
          <w:color w:val="111111"/>
          <w:sz w:val="28"/>
          <w:sz w:val="28"/>
          <w:szCs w:val="28"/>
          <w:rtl w:val="true"/>
          <w:lang w:bidi="fa-IR"/>
        </w:rPr>
        <w:t>و لا تدلّان علی ردّ الخبر الموافق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صحیحة محمّد بن إسماعیل بن بَزیع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الناس یقبلون علی شی‌ء فاجتنبه</w:t>
      </w:r>
      <w:r>
        <w:rPr>
          <w:rFonts w:eastAsia="IRNazanin" w:cs="IRNazanin"/>
          <w:color w:val="111111"/>
          <w:sz w:val="28"/>
          <w:szCs w:val="28"/>
          <w:rtl w:val="true"/>
          <w:lang w:bidi="fa-IR"/>
        </w:rPr>
        <w:t>»</w:t>
      </w:r>
    </w:p>
    <w:p>
      <w:pPr>
        <w:pStyle w:val="BookText"/>
        <w:rPr/>
      </w:pPr>
      <w:r>
        <w:rPr>
          <w:rStyle w:val="FootnoteAnchor"/>
          <w:rtl w:val="true"/>
        </w:rPr>
        <w:footnoteReference w:id="297"/>
      </w:r>
      <w:r>
        <w:rPr>
          <w:rFonts w:ascii="IRNazanin" w:hAnsi="IRNazanin" w:eastAsia="IRNazanin"/>
          <w:color w:val="111111"/>
          <w:sz w:val="28"/>
          <w:sz w:val="28"/>
          <w:szCs w:val="28"/>
          <w:rtl w:val="true"/>
          <w:lang w:bidi="fa-IR"/>
        </w:rPr>
        <w:t>فیدلّ علی أنّ إقبالهم علی شی‌ء و إصرارهم علیه، یدلّ علی بطلانه، و لا ربط له بما نحن فیه، و لو فرض إطلاقه فلا بدّ من رفع الید عنه؛ لعدم الفتوی علی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مخالفة العامّة من مرجّحات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من أوّل البحث إلی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المنصوص ینحصر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و السنّة، 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نظر الشیخ الأقدم محمّد بن یعقوب الکلینیّ إلی ما ذکرنا؛ حیث لم یذکر عند ذکر المرجّحات الأعدلیّة و ما یتلوها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الأخذ بالمجمع علیه الذی لا ریب فیه</w:t>
      </w:r>
      <w:r>
        <w:rPr>
          <w:rStyle w:val="FootnoteAnchor"/>
          <w:rtl w:val="true"/>
        </w:rPr>
        <w:footnoteReference w:id="298"/>
      </w:r>
      <w:r>
        <w:rPr>
          <w:rFonts w:ascii="IRNazanin" w:hAnsi="IRNazanin" w:eastAsia="IRNazanin"/>
          <w:color w:val="111111"/>
          <w:sz w:val="28"/>
          <w:sz w:val="28"/>
          <w:szCs w:val="28"/>
          <w:rtl w:val="true"/>
          <w:lang w:bidi="fa-IR"/>
        </w:rPr>
        <w:t>، و قد عرفت الکلام فیه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251" w:name="pg2353_14767"/>
    </w:p>
    <w:p>
      <w:pPr>
        <w:pStyle w:val="BookText"/>
        <w:rPr/>
      </w:pPr>
      <w:bookmarkEnd w:id="251"/>
      <w:r>
        <w:rPr>
          <w:rFonts w:ascii="IRNazanin" w:hAnsi="IRNazanin" w:eastAsia="IRNazanin"/>
          <w:color w:val="111111"/>
          <w:sz w:val="28"/>
          <w:sz w:val="28"/>
          <w:szCs w:val="28"/>
          <w:rtl w:val="true"/>
          <w:lang w:bidi="fa-IR"/>
        </w:rPr>
        <w:t>ثمّ إنّ الظاهر من مصحّحة عبد الرحمن، هو وجوب العرض علی کتاب اللَّه أوّلًا، و مع عدم وجدان الحکم فیه وجوب العرض علی أخبار العامّة، فمقتضاها الترتیب بینهما، فیجب تقیید إطلاق سائر الروایات، فصارت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الجمع المقبول العرفیّ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أوّلًا بموافقة الکتاب و السنّة، و مع عدم وجدان الحکم فیهما یرجّح بمخالفة العامّة، و مع فقدان ذلک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المقبولة ترک ما یکون حکّامهم و قضاتهم أمیل إلیه، و الأخذ بالآخر، و لکن یشکل رفع الید عن إطلاق دلیل التخییر بها؛ للإشکال فی کون المقبولة من أدلّة الترجیح، و طریق الاحتیاط واضح، و هو طریق النجاة</w:t>
      </w:r>
      <w:r>
        <w:rPr>
          <w:rFonts w:eastAsia="IRNazanin" w:cs="IRNazanin"/>
          <w:color w:val="111111"/>
          <w:sz w:val="28"/>
          <w:szCs w:val="28"/>
          <w:rtl w:val="true"/>
          <w:lang w:bidi="fa-IR"/>
        </w:rPr>
        <w:t>.</w:t>
      </w:r>
    </w:p>
    <w:p>
      <w:pPr>
        <w:pStyle w:val="Heading5"/>
        <w:numPr>
          <w:ilvl w:val="4"/>
          <w:numId w:val="1"/>
        </w:numPr>
        <w:rPr/>
      </w:pPr>
      <w:bookmarkStart w:id="252" w:name="__RefHeading___Toc2705139_3804643083"/>
      <w:bookmarkStart w:id="253" w:name="_Toc94"/>
      <w:bookmarkEnd w:id="252"/>
      <w:r>
        <w:rPr>
          <w:rtl w:val="true"/>
        </w:rPr>
        <w:t>تتمیم</w:t>
      </w:r>
      <w:bookmarkEnd w:id="25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بعض الروایات کمرسلة الحسین بن المختار</w:t>
      </w:r>
      <w:r>
        <w:rPr>
          <w:rStyle w:val="FootnoteAnchor"/>
          <w:rtl w:val="true"/>
        </w:rPr>
        <w:footnoteReference w:id="300"/>
      </w:r>
      <w:r>
        <w:rPr>
          <w:rFonts w:ascii="Amiri" w:hAnsi="Amiri" w:eastAsia="Amiri" w:cs="Amiri"/>
          <w:color w:val="111111"/>
          <w:sz w:val="28"/>
          <w:sz w:val="28"/>
          <w:szCs w:val="28"/>
          <w:rtl w:val="true"/>
          <w:lang w:bidi="ar-SA"/>
        </w:rPr>
        <w:t>و روایة المُعلّی</w:t>
      </w:r>
    </w:p>
    <w:p>
      <w:pPr>
        <w:pStyle w:val="BookText"/>
        <w:rPr/>
      </w:pPr>
      <w:r>
        <w:rPr>
          <w:rFonts w:ascii="Amiri" w:hAnsi="Amiri" w:eastAsia="Amiri" w:cs="Amiri"/>
          <w:color w:val="111111"/>
          <w:sz w:val="28"/>
          <w:sz w:val="28"/>
          <w:szCs w:val="28"/>
          <w:rtl w:val="true"/>
          <w:lang w:bidi="ar-SA"/>
        </w:rPr>
        <w:t>ابن خُنَیْس</w:t>
      </w:r>
      <w:r>
        <w:rPr>
          <w:rStyle w:val="FootnoteAnchor"/>
          <w:rtl w:val="true"/>
        </w:rPr>
        <w:footnoteReference w:id="301"/>
      </w:r>
      <w:r>
        <w:rPr>
          <w:rFonts w:ascii="Amiri" w:hAnsi="Amiri" w:eastAsia="Amiri" w:cs="Amiri"/>
          <w:color w:val="111111"/>
          <w:sz w:val="28"/>
          <w:sz w:val="28"/>
          <w:szCs w:val="28"/>
          <w:rtl w:val="true"/>
          <w:lang w:bidi="ar-SA"/>
        </w:rPr>
        <w:t>و أبی عمرو الکِنانیّ</w:t>
      </w:r>
      <w:r>
        <w:rPr>
          <w:rStyle w:val="FootnoteAnchor"/>
          <w:rtl w:val="true"/>
        </w:rPr>
        <w:footnoteReference w:id="302"/>
      </w:r>
      <w:r>
        <w:rPr>
          <w:rFonts w:ascii="IRNazanin" w:hAnsi="IRNazanin" w:eastAsia="IRNazanin"/>
          <w:color w:val="111111"/>
          <w:sz w:val="28"/>
          <w:sz w:val="28"/>
          <w:szCs w:val="28"/>
          <w:rtl w:val="true"/>
          <w:lang w:bidi="fa-IR"/>
        </w:rPr>
        <w:t>الأخذ بأحدث الخبرین، و أخیرهما، و ما بلغ عن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المتأمّل فیها یری أنّها لیست فی عداد المرجّحات، بل مفادها مخصوص بزمان حضور الأئمّة، و أنّهم علیهم السلام کانوا یفتون بحسب المصالح المقتضیة لصلاح حالهم و حال شیعتهم، و بحسب اقتضاء التقیّة و غیرها، کما یشهد له قوله فی ذیل روایة المُعلّی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لا ندخلکم إلّا فیما یسعکم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ذیل روایة الکِنانیّ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إلّا أن یعبد سرّاً، و اللَّه لئن فعلتم ذلک إنّه لخیر لی و لکم، أبی اللَّه عزّ و جلّ لنا فی دینه إلّا التقیّة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و تدبّر</w:t>
      </w:r>
      <w:r>
        <w:rPr>
          <w:rFonts w:eastAsia="IRNazanin" w:cs="IRNazanin"/>
          <w:color w:val="111111"/>
          <w:sz w:val="28"/>
          <w:szCs w:val="28"/>
          <w:rtl w:val="true"/>
          <w:lang w:bidi="fa-IR"/>
        </w:rPr>
        <w:t>.</w:t>
      </w:r>
      <w:bookmarkStart w:id="254" w:name="pg2353_14770"/>
    </w:p>
    <w:p>
      <w:pPr>
        <w:pStyle w:val="Heading3"/>
        <w:numPr>
          <w:ilvl w:val="2"/>
          <w:numId w:val="1"/>
        </w:numPr>
        <w:rPr/>
      </w:pPr>
      <w:bookmarkStart w:id="255" w:name="__RefHeading___Toc2705141_3804643083"/>
      <w:bookmarkStart w:id="256" w:name="_Toc95"/>
      <w:bookmarkEnd w:id="254"/>
      <w:bookmarkEnd w:id="255"/>
      <w:r>
        <w:rPr>
          <w:rtl w:val="true"/>
        </w:rPr>
        <w:t>الأمر الثالث هل یتعدّی من المرجّح المنصوص إلی غیره أم لا؟</w:t>
      </w:r>
      <w:bookmarkEnd w:id="256"/>
    </w:p>
    <w:p>
      <w:pPr>
        <w:pStyle w:val="Heading4"/>
        <w:numPr>
          <w:ilvl w:val="3"/>
          <w:numId w:val="1"/>
        </w:numPr>
        <w:rPr/>
      </w:pPr>
      <w:bookmarkStart w:id="257" w:name="__RefHeading___Toc2705143_3804643083"/>
      <w:bookmarkStart w:id="258" w:name="_Toc96"/>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ذهب الشیخ المرتضی قدس سره إلی التعدّی، مدّعیاً أنّ التأمّل الصادق فی أدلّة التخییر، یقتضی استظهار الاختصاص بصورة التکافؤ من جمیع الوجوه، کما أنّ تدقیق النظر فی أخبار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بمعونة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استنباط وجوب العمل بکلّ مزیّة توجب أقربیّة ذیها إلی الواقع</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ینبّه علی طریق الاستظهار المدّعی من أدلّة التخییر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سبق</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فیها هی روایة الحسن بن الجهم، و لا إشکال فی إطلاقها، و عدم إمکان ذلک الاستظهار منها، بل و لا من سائر الأخبار، علی فرض عدّها من أخبار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دعواه إهمال أدلّة التخییر، و القدر المتیقّن منها هو صورة التکافؤ من جمیع الجهات، أو أنّ الذهاب إلی التخییر لیس لأجل الأدلّة اللفظیّة؛ لقصور ما دلّ منها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وجه، لکن قد عرفت بیان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قصور سندها، فالظاهر جبره بعمل الأصحاب، بناءً علی أنّ مبنی حکمهم بالتخییر إنّما هو هذه الروایات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التعدّی إلی مطلق المرجّحات، لا بدّ من رفع الید عن وجوب التخییر؛ لندرة مورد لا یکون مرجّح ما لأحد الخبرین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مبنی فتوی الأصحاب بوجوب التخییر</w:t>
      </w:r>
      <w:r>
        <w:rPr>
          <w:rStyle w:val="FootnoteAnchor"/>
          <w:rtl w:val="true"/>
        </w:rPr>
        <w:footnoteReference w:id="305"/>
      </w:r>
      <w:r>
        <w:rPr>
          <w:rFonts w:ascii="IRNazanin" w:hAnsi="IRNazanin" w:eastAsia="IRNazanin"/>
          <w:color w:val="111111"/>
          <w:sz w:val="28"/>
          <w:sz w:val="28"/>
          <w:szCs w:val="28"/>
          <w:rtl w:val="true"/>
          <w:lang w:bidi="fa-IR"/>
        </w:rPr>
        <w:t>لیس مثل روایة ابن الجهم، کما سیأتی بیانه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259" w:name="pg2353_14772"/>
    </w:p>
    <w:p>
      <w:pPr>
        <w:pStyle w:val="Heading4"/>
        <w:numPr>
          <w:ilvl w:val="3"/>
          <w:numId w:val="1"/>
        </w:numPr>
        <w:rPr/>
      </w:pPr>
      <w:bookmarkStart w:id="260" w:name="__RefHeading___Toc2705145_3804643083"/>
      <w:bookmarkStart w:id="261" w:name="_Toc97"/>
      <w:bookmarkEnd w:id="259"/>
      <w:bookmarkEnd w:id="260"/>
      <w:r>
        <w:rPr>
          <w:rtl w:val="true"/>
        </w:rPr>
        <w:t>الوجوه التی استدلّ بها الشیخ علی التعدّی من المنصوص و نقدها</w:t>
      </w:r>
      <w:bookmarkEnd w:id="261"/>
    </w:p>
    <w:p>
      <w:pPr>
        <w:pStyle w:val="BookText"/>
        <w:rPr/>
      </w:pPr>
      <w:r>
        <w:rPr>
          <w:rFonts w:ascii="Amiri" w:hAnsi="Amiri" w:eastAsia="Amiri" w:cs="Amiri"/>
          <w:color w:val="111111"/>
          <w:sz w:val="28"/>
          <w:sz w:val="28"/>
          <w:szCs w:val="28"/>
          <w:rtl w:val="true"/>
          <w:lang w:bidi="ar-SA"/>
        </w:rPr>
        <w:t>و أمّا قضیّة استفادة التعدّی من أدلّة المرجّحات، فقد استدلّ علیه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المقبولة و المرفوعة من الترجیح بالأصدقیّة و الأوثقیّة، فإنّ الترجیح بهما لیس إلّا من حیث الأقربیّة إلی الواقع، من دون دخالة سبب خاصّ فیه، و لیستا کالأعدلیّة و الأفقهیّة، حیث یحتمل فیهما اعتبار الأقربیّة من السبب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یتعدّی منهما إلی کلّ صفة فی الراوی تکون من أجلها کذلک، و منها یتعدّی إلی صفة الروایة، لأنّ أصدقیّة الراوی و أوثقیّته، إنّما تعتبران من أجل حصول صفة الوثوق و الصدق فی نفس الروایة، فإذا کانت إحدی الروایتین منقولة باللفظ، و الاخری بالمعنی، کانت الاولی أقرب إلی الصدق</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أن یقال فی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صفة الأورعیّة و الأعدلیّة و الأفقهیّة، أیضاً تکون معتبرة لأجل الأقربیّة إلی الواقع، من غیر دخالة سبب خاصّ؛ فإنّ صفة الأورعیّة و الأعدلیّة تقتضی أن یکون الراوی دقیقاً فی حفظ کلمات الحدیث،</w:t>
      </w:r>
    </w:p>
    <w:p>
      <w:pPr>
        <w:pStyle w:val="BookText"/>
        <w:rPr/>
      </w:pPr>
      <w:r>
        <w:rPr>
          <w:rFonts w:ascii="IRNazanin" w:hAnsi="IRNazanin" w:eastAsia="IRNazanin"/>
          <w:color w:val="111111"/>
          <w:sz w:val="28"/>
          <w:sz w:val="28"/>
          <w:szCs w:val="28"/>
          <w:rtl w:val="true"/>
          <w:lang w:bidi="fa-IR"/>
        </w:rPr>
        <w:t>و التورّع عن التغییر و التبدیل و لو بکلمات مرادفة بنظره، و عن النقل بالمعنی، فتکون روایته أقرب إلی الواقع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صفة الأفقهیّة تقتضی الأقربیّة؛ لأجل کون الأفقه أعرف بمذاق الأئمّة علیهم السلام و طریقتهم، و أعرف بتمییز ما صدر منهم لأجل إفادة الحکم الواقعیّ من غیره، فلا ینقل فی مقام العمل و الفتوی إلّا ما هو أقرب إلی الواقع، بخلاف غیر الأفقه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الصفات المذکورة فی المقبولة و المرفوعة، مشترکة فی حیثیّة، و ممتازة فی حیثیّات، و إنّما جعلت مرجّحة من حیثیّتها المشترکة؛ و هی أقربیّة ذیها إلی الواقع، دون الجهات الممتازة، ثمّ بعد ما استکشفنا منها کون تمام الملاک و الموضوع لوجوب الترجیح، هو حیثیّة الأقربیّة إلی الواقع، نتعدّی إلی کلّ ما کان کذلک، هذا غایة تقریب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الراوی بعد سماع الترجیح بمجموع الصفات، لم یسأل عن صورة وجود بعضها و تخالفها فی الروایتین، و لو لا فهمه أنّ ما ذکر و أمثاله مزیّة مستقلّة، لم یکن وقع للسؤال عن صورة عدم المزیّة رأساً، بل ناسبه السؤال عن حکم عدم اجتماع الصفات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بعد اللتیا و التی، و إتعاب النفس فی تقریب الدلیل، لا یجوز التعدّی إلی</w:t>
      </w:r>
    </w:p>
    <w:p>
      <w:pPr>
        <w:pStyle w:val="BookText"/>
        <w:rPr/>
      </w:pPr>
      <w:r>
        <w:rPr>
          <w:rFonts w:ascii="IRNazanin" w:hAnsi="IRNazanin" w:eastAsia="IRNazanin"/>
          <w:color w:val="111111"/>
          <w:sz w:val="28"/>
          <w:sz w:val="28"/>
          <w:szCs w:val="28"/>
          <w:rtl w:val="true"/>
          <w:lang w:bidi="fa-IR"/>
        </w:rPr>
        <w:t>غیر ما فی النصّ؛ لأنّه بعد ذلک لم یخرج عن التخرّص الظنّی، و لم یستند إلی ظهور لفظیّ قابل للاعتداد به و الاحتجاج، و لم یخرج عن 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التعدّی عن مرجّح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مرجّح الروایة، ثمّ التعدّی من المنصوص إلی غیره بهذه التقریبات الظنّیة الخطابیّة، خارج عن مذاقنا، و لعلّ اعتماد الشیخ رحمه الله کان علی الشهرة و الإجماع المنقولین</w:t>
      </w:r>
      <w:r>
        <w:rPr>
          <w:rStyle w:val="FootnoteAnchor"/>
          <w:rtl w:val="true"/>
        </w:rPr>
        <w:footnoteReference w:id="309"/>
      </w:r>
      <w:r>
        <w:rPr>
          <w:rFonts w:ascii="IRNazanin" w:hAnsi="IRNazanin" w:eastAsia="IRNazanin"/>
          <w:color w:val="111111"/>
          <w:sz w:val="28"/>
          <w:sz w:val="28"/>
          <w:szCs w:val="28"/>
          <w:rtl w:val="true"/>
          <w:lang w:bidi="fa-IR"/>
        </w:rPr>
        <w:t>و أراد الاستدلال علیه بالأدلّة اللفظیّة؛ لئلّا تخلو الواقعة من دلیل لفظیّ، و إلّا فهذا النحو من الاستدلال خلاف مسلکه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الغریب تأیید مرامه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سؤال الراوی عن حال تخالفها، دلیل علی فهمه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بعکس ما أفاده؛ فإنّه لو فهم استقلال الصفات المذکورة فی الترجیح، لکان علیه السؤال عن مورد افتراقها؛ لاحتمال کون إحدی الصفات مع استقلال الجمیع أرجح فی نظر الشارع، بخلاف ما إذا فهم کون المجموع مرجّحاً واحداً، فإنّه معه لا وقع للسؤال عن مورد افتراقها؛ لمعلومیّة عدم الترجیح بها متفرّقة بعد کون المرجّح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الأخذ بالمشهور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اشتهار الروایة، کونها معروفة عند الکلّ، کما یدلّ علیه</w:t>
      </w:r>
    </w:p>
    <w:p>
      <w:pPr>
        <w:pStyle w:val="BookText"/>
        <w:rPr/>
      </w:pPr>
      <w:r>
        <w:rPr>
          <w:rFonts w:ascii="IRNazanin" w:hAnsi="IRNazanin" w:eastAsia="IRNazanin"/>
          <w:color w:val="111111"/>
          <w:sz w:val="28"/>
          <w:sz w:val="28"/>
          <w:szCs w:val="28"/>
          <w:rtl w:val="true"/>
          <w:lang w:bidi="fa-IR"/>
        </w:rPr>
        <w:t>فرض کونهما مشهورین، و المراد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ما لا یعرفه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لیس قطعیّاً من جمیع الجهات، حتّی یصیر ممّا لا ریب فیه حقیقة، و إلّا لم یمکن فرضهما مشهورین؛ لامتناع تحقّقها فیهما، و لا الرجوع إلی صفات الراوی قبل ملاحظة الشهرة؛ ضرورة أنّ الإرجاع بالأمارة الظنّیة لا یجوز إلّا مع فقدان الأمارة القطعیّة، و لا الحکم بالرجوع مع شهرتهما إلی المرجّحات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بنفی الریب نفیه بالإضافة إلی الشاذّ، و معناه أنّ الریب المحتمل فی الشاذّ، غیر محتمل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حاصل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أقلّ احتمالًا، یجب ترجیحه علی غیره، و مقتضی التعلیل التعدّی إلی کلّ ما کان کذلک</w:t>
      </w:r>
      <w:r>
        <w:rPr>
          <w:rStyle w:val="FootnoteAnchor"/>
          <w:rtl w:val="true"/>
        </w:rPr>
        <w:footnoteReference w:id="311"/>
      </w:r>
      <w:r>
        <w:rPr>
          <w:rFonts w:ascii="IRNazanin" w:hAnsi="IRNazanin" w:eastAsia="IRNazanin"/>
          <w:color w:val="111111"/>
          <w:sz w:val="28"/>
          <w:sz w:val="28"/>
          <w:szCs w:val="28"/>
          <w:rtl w:val="true"/>
          <w:lang w:bidi="fa-IR"/>
        </w:rPr>
        <w:t>انتهی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الذی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الشهرة الفتوائیّة، و عدم الریب هو الحقیقیّ منه؛ ضرورة استهجان سلب الریب عن المجمع علیه مع ذکر الکبری الکلّیة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و أمر بیّن غیّه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إرادة الإضافیّ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القرائن علی ذلک، فمنظور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قضیّة عدم جواز الرجوع إلی صفات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الأفقهیّة و الأصدقیّة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ملاحظة الشهرة؛ فلأنّ المقبولة بصدد بیان ترجیح حکم أحد الحَکَمین، و الظاهر منها أنّ حکم غیر الأفقه و غیر الأعدل، غیر نافذ مع وجود الأفقه الأعدل، فحینئذٍ یکون الترجیح بصفات القاضی مقدّماً علی الترجیح بالشهرة؛ لأنّ الترجیح بالصفات لتشخیص صلاحیته للحکم، و بعد إحرازها ینظر إلی حکمهما، فإذا کان أحد الحکمین مخالفاً للمجمع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مستنده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و نقض الحکم فی صورة مخالفته للإجماع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الحکم بالرجوع إلی سائر المرجّحات مع شهرتهما؛ فإنّما هو فیما إذا کانتا من المجمع علیه، و هو غیر معقول، فالاشتهار الحاصل فیهما مقابل الشذوذ، ففرض السائل عدم کون واحد منهما شاذّاً، و الآخر مجمعاً علیه، فی مقابل أمره بالأخذ بالمجمع علیه، و ترک الشاذّ الذی لیس بمشهور عند الأصحاب،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مشتهر بین الأصحاب، و تکون الفتوی بکلّ واحد منهما فتوی ظاهرة مشهورة، و لیس واحد منهما شاذّاً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حال استشهاده بامتناع کون الروایتین مشهورتین؛ لأنّ المشهور فی مقابل الشاذّ، و هو ممکن، و لو سلّم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الشهرة بالمعنی المتقدّم فیهما، ترفع الید عن هذا الظهور السیاقیّ الضعیف؛ لأجل الظهور القویّ المستند إلی اللفظ، مؤیّداً بالتعلیل، و إقامة البرهان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الإضافیّ فی نفسه، ممّا ینبو عنه</w:t>
      </w:r>
    </w:p>
    <w:p>
      <w:pPr>
        <w:pStyle w:val="BookText"/>
        <w:rPr/>
      </w:pPr>
      <w:r>
        <w:rPr>
          <w:rFonts w:ascii="IRNazanin" w:hAnsi="IRNazanin" w:eastAsia="IRNazanin"/>
          <w:color w:val="111111"/>
          <w:sz w:val="28"/>
          <w:sz w:val="28"/>
          <w:szCs w:val="28"/>
          <w:rtl w:val="true"/>
          <w:lang w:bidi="fa-IR"/>
        </w:rPr>
        <w:t>الطبع السلیم، فضلًا عن احتفافه بما ذکر من التعلیل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تعلیلهم لتقدیم الخبر المخالف للعامّة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w:t>
      </w:r>
      <w:r>
        <w:rPr>
          <w:rStyle w:val="FootnoteAnchor"/>
          <w:rtl w:val="true"/>
        </w:rPr>
        <w:footnoteReference w:id="313"/>
      </w:r>
      <w:r>
        <w:rPr>
          <w:rFonts w:ascii="IRNazanin" w:hAnsi="IRNazanin" w:eastAsia="IRNazanin"/>
          <w:color w:val="111111"/>
          <w:sz w:val="28"/>
          <w:sz w:val="28"/>
          <w:szCs w:val="28"/>
          <w:rtl w:val="true"/>
          <w:lang w:bidi="fa-IR"/>
        </w:rPr>
        <w:t>و الرشد</w:t>
      </w:r>
      <w:r>
        <w:rPr>
          <w:rStyle w:val="FootnoteAnchor"/>
          <w:rtl w:val="true"/>
        </w:rPr>
        <w:footnoteReference w:id="314"/>
      </w:r>
      <w:r>
        <w:rPr>
          <w:rFonts w:ascii="IRNazanin" w:hAnsi="IRNazanin" w:eastAsia="IRNazanin"/>
          <w:color w:val="111111"/>
          <w:sz w:val="28"/>
          <w:sz w:val="28"/>
          <w:szCs w:val="28"/>
          <w:rtl w:val="true"/>
          <w:lang w:bidi="fa-IR"/>
        </w:rPr>
        <w:t>فی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وافقهم فیه التقیّة</w:t>
      </w:r>
      <w:r>
        <w:rPr>
          <w:rFonts w:eastAsia="IRNazanin" w:cs="IRNazanin"/>
          <w:color w:val="111111"/>
          <w:sz w:val="28"/>
          <w:szCs w:val="28"/>
          <w:rtl w:val="true"/>
          <w:lang w:bidi="fa-IR"/>
        </w:rPr>
        <w:t>»</w:t>
      </w:r>
    </w:p>
    <w:p>
      <w:pPr>
        <w:pStyle w:val="BookText"/>
        <w:rPr/>
      </w:pPr>
      <w:r>
        <w:rPr>
          <w:rStyle w:val="FootnoteAnchor"/>
          <w:rtl w:val="true"/>
        </w:rPr>
        <w:footnoteReference w:id="315"/>
      </w:r>
      <w:r>
        <w:rPr>
          <w:rFonts w:ascii="IRNazanin" w:hAnsi="IRNazanin" w:eastAsia="IRNazanin"/>
          <w:color w:val="111111"/>
          <w:sz w:val="28"/>
          <w:sz w:val="28"/>
          <w:szCs w:val="28"/>
          <w:rtl w:val="true"/>
          <w:lang w:bidi="fa-IR"/>
        </w:rPr>
        <w:t>فإنّ هذه قضایا غالبیّة لا دائمیّة، فیدلّ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ترجیح کلّ ما کانت معه أمارة الحقّ و الرشد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التعلیل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فی خلافهم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ورد فی روایة علیّ بن أسباط، و موردها إنّما هو فی الجهل بالحکم ابتداءً من دون تعارض الروایتین، و الأخذ بعموم تعلیله ممّا لا یجوز، فهی محمولة علی موردها؛ و هو کون العمل ممّا لا بدّ منه مع فقد طریق إلی الواقع، کما هو مفروض السائل، و أنّ ما ورد فی المقبولة لیس إلّا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کون الموصول إشارة إلی خصوص الخبر المذکور قبله، فلا تستفاد العلّیة منه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مع تسلیمه یستفاد منه، أنّ مخالفة العامّة تکون بمرتبة من الإصابة، حتّی یکون الحقّ و الرشد فیها، و هو لا یدلّ علی أنّ کلّ ما کان بنظرنا أقرب إلی الواقع، یکون فیه الرشد و لو نوعاً و غالبیّاً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یحرز کون مزیّة بمرتبة مخالفة العامّة فی الإیصال إلی الحقّ، لا یجوز الأخذ بها، و أنّی لنا بإثباته؟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علی أنّه إذا دار الأمر بین أمرین، فی أحدهما ریب لیس فی الآخر ذلک الریب، یجب الأخذ به، و لیس المراد نفی مطلق الریب کما لا یخفی</w:t>
      </w:r>
      <w:r>
        <w:rPr>
          <w:rStyle w:val="FootnoteAnchor"/>
          <w:rtl w:val="true"/>
        </w:rPr>
        <w:footnoteReference w:id="3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فی مقابل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أن یکون الحقیقیّ منه؛ ضرورة أنّه إذا دار الأمر بین متناقضین، و کان أحدهما لا ریب فیه حقیقةً، یکون الطرف المقابل ممّا لا ریب فیه أیضاً، إلّا أنّه إذا کان أحدهما ممّا لا ریب فی حقیقته، یکون مقابله ممّا لا ریب فی بطلانه، لا أنّه ممّا فیه ریب، فإذا جعل مقابله ممّا فیه ریب، یکون ما لا ریب فیه هو الإضافیّ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محصّل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أمران، أحدهما فیه ریب، و الآخر لیس فیه هذا الریب، یجب الأخذ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الروایة مرسلة ضعیفة لا یمکن إثبات حکم بها؛ لکونها 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 فإنّک لن تجد فقد شی‌ء ترکته للَّه عزّ و جلّ</w:t>
      </w:r>
      <w:r>
        <w:rPr>
          <w:rFonts w:eastAsia="IRNazanin" w:cs="IRNazanin"/>
          <w:color w:val="111111"/>
          <w:sz w:val="28"/>
          <w:szCs w:val="28"/>
          <w:rtl w:val="true"/>
          <w:lang w:bidi="fa-IR"/>
        </w:rPr>
        <w:t>»</w:t>
      </w:r>
    </w:p>
    <w:p>
      <w:pPr>
        <w:pStyle w:val="BookText"/>
        <w:rPr/>
      </w:pP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فیها احتمالًا أقرب ممّا ذکر؛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الشبهة البدویّة التحریمیّة،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ثواب اللَّه تعالی؛ فإنّه المناسب للتعلیل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لن تجد فقد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فیه ریب لأجل ثواب اللَّه الذی لا ریب فیه؛ فإنّک لن تجد فقد ما ترکته للَّه، لأنّک تری ثوابه فی دار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 علی ما ذکره فلا یناسب التعلیل، مع أنّ فیما ذکرنا یکون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بمعناه الحقیقیّ الظاهر فیه، و لو منع من ظهورها فیما ذکرنا یکون احتمالًا مساویاً لما ذکر، فلا یصحّ الاستدلال بها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المرجّح المنصوص فی خصوص موافقة الکتاب و مخالفة العامّة، و لا یستفاد من الأدلّة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هاهنا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دلیل التخییر الذی عرفت انحصاره تقریباً بروایة ابن الجهم</w:t>
      </w:r>
      <w:r>
        <w:rPr>
          <w:rStyle w:val="FootnoteAnchor"/>
          <w:rtl w:val="true"/>
        </w:rPr>
        <w:footnoteReference w:id="321"/>
      </w:r>
      <w:r>
        <w:rPr>
          <w:rFonts w:ascii="IRNazanin" w:hAnsi="IRNazanin" w:eastAsia="IRNazanin"/>
          <w:color w:val="111111"/>
          <w:sz w:val="28"/>
          <w:sz w:val="28"/>
          <w:szCs w:val="28"/>
          <w:rtl w:val="true"/>
          <w:lang w:bidi="fa-IR"/>
        </w:rPr>
        <w:t>إنّما یمکن التمسّک بإطلاقها لو تمّ اعتبارها سنداً، و إنّا و إن احتملنا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رجّحنا</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سندها، لکنّه محلّ إشکال؛ لأنّ مبنی الأصحاب فی وجوب الأخذ بأحد الخبرین تخییراً</w:t>
      </w:r>
      <w:r>
        <w:rPr>
          <w:rStyle w:val="FootnoteAnchor"/>
          <w:rtl w:val="true"/>
        </w:rPr>
        <w:footnoteReference w:id="323"/>
      </w:r>
      <w:r>
        <w:rPr>
          <w:rFonts w:ascii="IRNazanin" w:hAnsi="IRNazanin" w:eastAsia="IRNazanin"/>
          <w:color w:val="111111"/>
          <w:sz w:val="28"/>
          <w:sz w:val="28"/>
          <w:szCs w:val="28"/>
          <w:rtl w:val="true"/>
          <w:lang w:bidi="fa-IR"/>
        </w:rPr>
        <w:t>لا یمکن أن یکون تلک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مفادها کما أشرنا إلیه سابقاً</w:t>
      </w:r>
      <w:r>
        <w:rPr>
          <w:rStyle w:val="FootnoteAnchor"/>
          <w:rtl w:val="true"/>
        </w:rPr>
        <w:footnoteReference w:id="324"/>
      </w:r>
      <w:r>
        <w:rPr>
          <w:rFonts w:ascii="IRNazanin" w:hAnsi="IRNazanin" w:eastAsia="IRNazanin"/>
          <w:color w:val="111111"/>
          <w:sz w:val="28"/>
          <w:sz w:val="28"/>
          <w:szCs w:val="28"/>
          <w:rtl w:val="true"/>
          <w:lang w:bidi="fa-IR"/>
        </w:rPr>
        <w:t>لیس إلّا التوسعة و جواز الأخذ بأحد الخبرین، مع أنّ فتوی الأصحاب إنّما هی بوجوب الأخذ بأحدهما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مستندهم فی التخییر تلک الروایة، لا فی عدم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العمل بکلّ ذی مزیّة، بل عن جماعة الإجماع و عدم ظهور الخلاف فیه</w:t>
      </w:r>
      <w:r>
        <w:rPr>
          <w:rStyle w:val="FootnoteAnchor"/>
          <w:rtl w:val="true"/>
        </w:rPr>
        <w:footnoteReference w:id="326"/>
      </w:r>
      <w:r>
        <w:rPr>
          <w:rFonts w:ascii="IRNazanin" w:hAnsi="IRNazanin" w:eastAsia="IRNazanin"/>
          <w:color w:val="111111"/>
          <w:sz w:val="28"/>
          <w:sz w:val="28"/>
          <w:szCs w:val="28"/>
          <w:rtl w:val="true"/>
          <w:lang w:bidi="fa-IR"/>
        </w:rPr>
        <w:t>مع أنّ إطلاق روایة ابن الجهم یقتضی الاقتصار علی المنصوص من المرجّحات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بنینا علی استفادة التعمیم من المرجّحات المنصوصة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الشیخ</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التقیید الکثیر المستهجن فی دلیل التخییر؛ لندرة تساوی الروایتین من جمیع الجهات</w:t>
      </w:r>
      <w:r>
        <w:rPr>
          <w:rFonts w:eastAsia="IRNazanin" w:cs="IRNazanin"/>
          <w:color w:val="111111"/>
          <w:sz w:val="28"/>
          <w:szCs w:val="28"/>
          <w:rtl w:val="true"/>
          <w:lang w:bidi="fa-IR"/>
        </w:rPr>
        <w:t>.</w:t>
      </w:r>
      <w:bookmarkStart w:id="262" w:name="pg2353_14781"/>
    </w:p>
    <w:p>
      <w:pPr>
        <w:pStyle w:val="Heading4"/>
        <w:numPr>
          <w:ilvl w:val="3"/>
          <w:numId w:val="1"/>
        </w:numPr>
        <w:rPr/>
      </w:pPr>
      <w:bookmarkStart w:id="263" w:name="__RefHeading___Toc2705147_3804643083"/>
      <w:bookmarkStart w:id="264" w:name="_Toc98"/>
      <w:bookmarkEnd w:id="262"/>
      <w:bookmarkEnd w:id="263"/>
      <w:r>
        <w:rPr>
          <w:rtl w:val="true"/>
        </w:rPr>
        <w:t>تقریب الترجیح بکل مزیّة</w:t>
      </w:r>
      <w:bookmarkEnd w:id="264"/>
    </w:p>
    <w:p>
      <w:pPr>
        <w:pStyle w:val="BookText"/>
        <w:rPr/>
      </w:pPr>
      <w:r>
        <w:rPr>
          <w:rFonts w:ascii="IRNazanin" w:hAnsi="IRNazanin" w:eastAsia="IRNazanin"/>
          <w:color w:val="111111"/>
          <w:sz w:val="28"/>
          <w:sz w:val="28"/>
          <w:szCs w:val="28"/>
          <w:rtl w:val="true"/>
          <w:lang w:bidi="fa-IR"/>
        </w:rPr>
        <w:t>و لهذا فلأحد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المحتمل أن یکون مبنی المشهور فی الترجیح بکلّ ذی مزیّة، هو أصالة التعیین فی الدوران بین التعیین و التخییر، لا لدلیل تعبّدی، أو لفهم التعمیم من 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الید عن مقتضی القاعدة فی دوران الأمر بین التعیین و التخییر، لا یجوز إلّا بدلیل معتبر، و لا دلیل علی التخییر إلّا روایة ابن الجهم، و هی لا تصلح للاستناد، فالقاعدة مقتضیة للأخذ بکلّ ذی مزیّة، و هو فی النتیجة کما أفاد الشیخ، و إن اختلف فی الاستدلال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بعد تسلیم عدم جواز رفع الید عن کلا المتعارضین، و العمل بمقتضی الاصول، کما هو کذلک؛ للتسالم بین الأصحاب</w:t>
      </w:r>
      <w:r>
        <w:rPr>
          <w:rStyle w:val="FootnoteAnchor"/>
          <w:rtl w:val="true"/>
        </w:rPr>
        <w:footnoteReference w:id="328"/>
      </w:r>
      <w:r>
        <w:rPr>
          <w:rFonts w:ascii="IRNazanin" w:hAnsi="IRNazanin" w:eastAsia="IRNazanin"/>
          <w:color w:val="111111"/>
          <w:sz w:val="28"/>
          <w:sz w:val="28"/>
          <w:szCs w:val="28"/>
          <w:rtl w:val="true"/>
          <w:lang w:bidi="fa-IR"/>
        </w:rPr>
        <w:t>بل کأنّه ضروری فی الفقه، فإذن یجب فی المتعارضین الترجیح بکلّ ذی مزیّة توجب الأقربیّة إلی الواقع، بل لو ظنّ أقربیّة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دار الأمر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الأخذ به تعییناً؛ بمقتضی القاعدة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اخترناه سابقاً</w:t>
      </w:r>
      <w:r>
        <w:rPr>
          <w:rStyle w:val="FootnoteAnchor"/>
          <w:rtl w:val="true"/>
        </w:rPr>
        <w:footnoteReference w:id="329"/>
      </w:r>
      <w:r>
        <w:rPr>
          <w:rFonts w:ascii="IRNazanin" w:hAnsi="IRNazanin" w:eastAsia="IRNazanin"/>
          <w:color w:val="111111"/>
          <w:sz w:val="28"/>
          <w:sz w:val="28"/>
          <w:szCs w:val="28"/>
          <w:rtl w:val="true"/>
          <w:lang w:bidi="fa-IR"/>
        </w:rPr>
        <w:t>فی وجه الجمع بین أخبار الإرجاء و أخبار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حمل الظاهر علی النصّ هو حمل أخبار الإرجاء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مع قطع النظر عن سند أخبار التخییر، أو البناء علی الانجبار بعمل الأصحاب، و إلّا فمع ضعف سندها و دلالة غالبها، فلا تصلح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حینئذٍ إمّا من حملها علی إمکان ملاقاة الإمام؛ بدعوی ظهور الغایة فی الممکنة، کما صنع شیخنا المرتضی</w:t>
      </w:r>
      <w:r>
        <w:rPr>
          <w:rStyle w:val="FootnoteAnchor"/>
          <w:rtl w:val="true"/>
        </w:rPr>
        <w:footnoteReference w:id="330"/>
      </w:r>
      <w:r>
        <w:rPr>
          <w:rFonts w:ascii="IRNazanin" w:hAnsi="IRNazanin" w:eastAsia="IRNazanin"/>
          <w:color w:val="111111"/>
          <w:sz w:val="28"/>
          <w:sz w:val="28"/>
          <w:szCs w:val="28"/>
          <w:rtl w:val="true"/>
          <w:lang w:bidi="fa-IR"/>
        </w:rPr>
        <w:t>و قد عرفت ما فیه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رفع الید عن ظهورها فی الوجوب، بدعوی إعراض المشهور عن ظاهرها؛ لذهابهم إلی وجوب ترجیح کلّ ذی مزیّة منصوصة و غیرها</w:t>
      </w:r>
      <w:r>
        <w:rPr>
          <w:rFonts w:eastAsia="IRNazanin" w:cs="IRNazanin"/>
          <w:color w:val="111111"/>
          <w:sz w:val="28"/>
          <w:szCs w:val="28"/>
          <w:rtl w:val="true"/>
          <w:lang w:bidi="fa-IR"/>
        </w:rPr>
        <w:t>.</w:t>
      </w:r>
      <w:bookmarkStart w:id="265" w:name="pg2353_14784"/>
    </w:p>
    <w:p>
      <w:pPr>
        <w:pStyle w:val="Heading3"/>
        <w:numPr>
          <w:ilvl w:val="2"/>
          <w:numId w:val="1"/>
        </w:numPr>
        <w:rPr/>
      </w:pPr>
      <w:bookmarkStart w:id="266" w:name="__RefHeading___Toc2705149_3804643083"/>
      <w:bookmarkStart w:id="267" w:name="_Toc99"/>
      <w:bookmarkEnd w:id="265"/>
      <w:bookmarkEnd w:id="266"/>
      <w:r>
        <w:rPr>
          <w:rtl w:val="true"/>
        </w:rPr>
        <w:t>الأمر الرابع فی إمکان کون کلّ من المرجّحین مرجّحاً للصدور أو لجهته</w:t>
      </w:r>
      <w:bookmarkEnd w:id="267"/>
    </w:p>
    <w:p>
      <w:pPr>
        <w:pStyle w:val="BookText"/>
        <w:rPr/>
      </w:pPr>
      <w:r>
        <w:rPr>
          <w:rFonts w:ascii="IRNazanin" w:hAnsi="IRNazanin" w:eastAsia="IRNazanin"/>
          <w:color w:val="111111"/>
          <w:sz w:val="28"/>
          <w:sz w:val="28"/>
          <w:szCs w:val="28"/>
          <w:rtl w:val="true"/>
          <w:lang w:bidi="fa-IR"/>
        </w:rPr>
        <w:t>قد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المنصوص منحصر فی موافقة الکتاب و مخالفة العامّة، فکلّ واحد منهما یمکن أن یکون ثبوتاً مرجّحاً لأصل الصدور، أو لجهته، و یمکن أن یکون کلّ لجهة؛ لأنّ الأخبار المخالفة للکتاب و السنّة، یمکن أن تکون غیر صادرة منهم نوعاً، فجعلت المخالفة أمارة علی عدم الصدور، أو صادرة لا لبیان الحکم الواقعیّ، بل للاحتشام عن ولاة الجور و تقیّة منهم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الأخبار الموافقة للعامّة، یمکن أن لا تکون صادرة منهم، و إنّما دسّها الدسّاسون فی أخبارهم، و یمکن أن تکون صادرة منهم لأجل التقیّة، فلا یتمحّض شی‌ء منهما بحسب الثبوت فی ترجیح الصدور أو جهته، بل یمکن إرجاع الترجیح بالأعدلیّة و ما یتلوها و کذا الاشتهار، إلی جهة الصدور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فالأخبار الواردة فی الترجیح بموافقة الکتاب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منها أنّها مرجّحة لأصل الصدور، کروایة ابن الجهم حیث قال فی الجواب عن ورود الأحادیث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یشبه کتاب اللَّه و أحادیثنا فهو منّا، و ما لا یشبههما فلیس منّا</w:t>
      </w:r>
      <w:r>
        <w:rPr>
          <w:rFonts w:eastAsia="IRNazanin" w:cs="IRNazanin"/>
          <w:color w:val="111111"/>
          <w:sz w:val="28"/>
          <w:szCs w:val="28"/>
          <w:rtl w:val="true"/>
          <w:lang w:bidi="fa-IR"/>
        </w:rPr>
        <w:t>»</w:t>
      </w:r>
    </w:p>
    <w:p>
      <w:pPr>
        <w:pStyle w:val="BookText"/>
        <w:rPr/>
      </w:pP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لم یصدر منّا، لا أنّه صدر للتقیّة، و کذا روایته الاخری عن العبد الصالح</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منها أنّها مرجّحة لجهة الصدور،</w:t>
      </w:r>
    </w:p>
    <w:p>
      <w:pPr>
        <w:pStyle w:val="BookText"/>
        <w:rPr/>
      </w:pPr>
      <w:r>
        <w:rPr>
          <w:rFonts w:ascii="IRNazanin" w:hAnsi="IRNazanin" w:eastAsia="IRNazanin"/>
          <w:color w:val="111111"/>
          <w:sz w:val="28"/>
          <w:sz w:val="28"/>
          <w:szCs w:val="28"/>
          <w:rtl w:val="true"/>
          <w:lang w:bidi="fa-IR"/>
        </w:rPr>
        <w:t>کقوله فی روایة المیثمیّ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لا نرخّص فیما لم یرخّص فیه رسول اللَّه، و لا نأمر بخلاف ما أمر به رسول اللَّه إلّا لعلّة خوف ضرورة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4"/>
      </w:r>
      <w:r>
        <w:rPr>
          <w:rFonts w:ascii="IRNazanin" w:hAnsi="IRNazanin" w:eastAsia="IRNazanin"/>
          <w:color w:val="111111"/>
          <w:sz w:val="28"/>
          <w:sz w:val="28"/>
          <w:szCs w:val="28"/>
          <w:rtl w:val="true"/>
          <w:lang w:bidi="fa-IR"/>
        </w:rPr>
        <w:t>، فإنّ الظاهر منه أنّ ما خالف رسول اللَّه قد یصدر منهم تقیّة و خوفاً، فأمر فی أخبار العلاج بردّ ما خالف السنّة من المتعارضین لأجله أو للأعمّ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الواردة فی الترجیح بمخالفة العامّة، فلا یظهر منها أنّها للترجیح الصدوریّ أو الجهتیّ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یرجح من بعض الأخبار الاخر کونها من مرجّح أصل الصدور، کأخبار الدسّ</w:t>
      </w:r>
      <w:r>
        <w:rPr>
          <w:rStyle w:val="FootnoteAnchor"/>
          <w:rtl w:val="true"/>
        </w:rPr>
        <w:footnoteReference w:id="335"/>
      </w:r>
      <w:r>
        <w:rPr>
          <w:rFonts w:ascii="IRNazanin" w:hAnsi="IRNazanin" w:eastAsia="IRNazanin"/>
          <w:color w:val="111111"/>
          <w:sz w:val="28"/>
          <w:sz w:val="28"/>
          <w:szCs w:val="28"/>
          <w:rtl w:val="true"/>
          <w:lang w:bidi="fa-IR"/>
        </w:rPr>
        <w:t>کما أنّ کثرة صدور الأخبار تقیّة ممّا یرجّح کونها مرجّحة لجهة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الاحتمالین ممکن، و الجزم بأحدهما لا یخلو من جزاف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 قد عرفت</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مقتضی مصحّحة عبد الرحمن بن أبی عبد اللَّه</w:t>
      </w:r>
      <w:r>
        <w:rPr>
          <w:rStyle w:val="FootnoteAnchor"/>
          <w:rtl w:val="true"/>
        </w:rPr>
        <w:footnoteReference w:id="337"/>
      </w:r>
      <w:r>
        <w:rPr>
          <w:rFonts w:ascii="IRNazanin" w:hAnsi="IRNazanin" w:eastAsia="IRNazanin"/>
          <w:color w:val="111111"/>
          <w:sz w:val="28"/>
          <w:sz w:val="28"/>
          <w:szCs w:val="28"/>
          <w:rtl w:val="true"/>
          <w:lang w:bidi="fa-IR"/>
        </w:rPr>
        <w:t>، أنّ الترجیح بموافقة الکتاب مقدّم علی الترجیح بمخالفة العامّة؛ و لا وجه لرفع الید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المرجّحات الصدوریّة مقدّمة علی المرجّحات الجهتیّة، و هی علی المرجّحات المضمونیّة؛ لتقدّم التعبّد بأصل الصدور علی التعبّد بجهته، و هی علی التعبّد بالمضمون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تقدّم التعبّد بالصدور علی جهته، و هو علی مضمونه، ممّا لا أصل له و لا دلیل علیه؛ لأنّ بناء العقلاء علی العمل بخبر الثقة بعد تمامیّة أصل</w:t>
      </w:r>
    </w:p>
    <w:p>
      <w:pPr>
        <w:pStyle w:val="BookText"/>
        <w:rPr/>
      </w:pPr>
      <w:r>
        <w:rPr>
          <w:rFonts w:ascii="IRNazanin" w:hAnsi="IRNazanin" w:eastAsia="IRNazanin"/>
          <w:color w:val="111111"/>
          <w:sz w:val="28"/>
          <w:sz w:val="28"/>
          <w:szCs w:val="28"/>
          <w:rtl w:val="true"/>
          <w:lang w:bidi="fa-IR"/>
        </w:rPr>
        <w:t>الصدور، وجهته، و ظهوره، و سائر الاصول العقلائیّة، و مع عدم جریان واحد منها لا یعملون به، و لا معنی للتعبّد بالصدور إلّا العمل به، و ما لا عمل له بوجه لا یکون مورداً للُاصول العقلائیّة، و لا للأدلّة الشرعیّة علی فرضها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التعبّد بالصدور مقدّم علی التعبّد بجهته، إن کان مراده هو التعبّد العملیّ شرعاً، أو البناء العملیّ لدی العقلاء، فلا معنی له، و هو واضح، و إن کان غیر ذلک فلا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سلّم، فإنّما هو فی غیر باب التعارض؛ ضرورة أنّ کافّة الاصول اللّفظیة و العقلیّة تسقط بالمعارضة، و تکون الروایتان ساقطتین رأساً، فلا بدّ فی العمل بواحدة منهما تعییناً أو تخییراً، من التماس دلیل، و لیس إلّا أخبار العلاج، و هی تدلّ علی تقدّم الترجیح بموافقة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کلّ ذلک، فلا یقاوم بناءُ العقلاء المصحّحةَ المصرّحة بتقدّم الترجیح بموافقة الکتاب علی الترجیح بمخالفة العامّة؛ لأنّ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الاصولَ العقلائیّة، کلّها قابلة للتخصیص و الردع فلا تغفل، هذا کلّه فی المرجّح المنصوص</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 فبناءً علی أنّ الترجیح بمطلقه إنّما هو لأجل دوران الأمر بین التعیین و التخییر، فلا ترجیح لمرجّح علی مرجّح إلّا ما هو أتمّ ملاکاً و أقرب إلی الواقع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مهمّات باب التعادل و التراجیح، و الحمد للَّه أوّلًا و آخراً، و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تألیفه لیلة الجمعة، تاسع شهر جمادی الأُولی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فی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أهل البیت علیهم السلام و من إخراجه إلی المبیضّة یوم الثالث و العشرین من شهر رمضان المبارک، سنة ألف و ثلاثمائة و سبعین هجریّة قمریّة، علی هاجرها الصلاة و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w:t>
      </w:r>
      <w:bookmarkStart w:id="268" w:name="pg2353_14790"/>
    </w:p>
    <w:p>
      <w:pPr>
        <w:pStyle w:val="Heading2"/>
        <w:numPr>
          <w:ilvl w:val="1"/>
          <w:numId w:val="1"/>
        </w:numPr>
        <w:rPr/>
      </w:pPr>
      <w:bookmarkStart w:id="269" w:name="__RefHeading___Toc2705151_3804643083"/>
      <w:bookmarkStart w:id="270" w:name="_Toc100"/>
      <w:bookmarkEnd w:id="268"/>
      <w:bookmarkEnd w:id="269"/>
      <w:r>
        <w:rPr>
          <w:rtl w:val="true"/>
        </w:rPr>
        <w:t>الفهارس العامّة</w:t>
      </w:r>
      <w:bookmarkEnd w:id="270"/>
    </w:p>
    <w:p>
      <w:pPr>
        <w:pStyle w:val="Heading3"/>
        <w:numPr>
          <w:ilvl w:val="2"/>
          <w:numId w:val="1"/>
        </w:numPr>
        <w:rPr/>
      </w:pPr>
      <w:bookmarkStart w:id="271" w:name="__RefHeading___Toc2705153_3804643083"/>
      <w:bookmarkStart w:id="272" w:name="_Toc101"/>
      <w:bookmarkEnd w:id="271"/>
      <w:r>
        <w:rPr>
          <w:rtl w:val="true"/>
        </w:rPr>
        <w:t>اشارة</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الکریمة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الشریفة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المعصومین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المذکورین فی المتن و الهامش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و البلدان و البقاع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الواردة فی المتن و الهامش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التحقیق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bookmarkStart w:id="273" w:name="pg2353_14792"/>
    </w:p>
    <w:p>
      <w:pPr>
        <w:pStyle w:val="Heading3"/>
        <w:numPr>
          <w:ilvl w:val="2"/>
          <w:numId w:val="1"/>
        </w:numPr>
        <w:rPr/>
      </w:pPr>
      <w:bookmarkStart w:id="274" w:name="__RefHeading___Toc2705155_3804643083"/>
      <w:bookmarkStart w:id="275" w:name="_Toc102"/>
      <w:bookmarkEnd w:id="273"/>
      <w:bookmarkEnd w:id="274"/>
      <w:r>
        <w:rPr>
          <w:rtl w:val="true"/>
        </w:rPr>
        <w:t>فهرس الآیات</w:t>
      </w:r>
      <w:bookmarkEnd w:id="275"/>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أَحَلَّ اللَّهُ الْبَیْعَ البقرة </w:t>
      </w:r>
      <w:r>
        <w:rPr>
          <w:rFonts w:eastAsia="Amiri" w:cs="Amiri" w:ascii="Amiri" w:hAnsi="Amiri"/>
          <w:color w:val="111111"/>
          <w:sz w:val="28"/>
          <w:szCs w:val="28"/>
          <w:lang w:bidi="ar-SA"/>
        </w:rPr>
        <w:t>75276</w:t>
      </w:r>
    </w:p>
    <w:p>
      <w:pPr>
        <w:pStyle w:val="BookText"/>
        <w:rPr/>
      </w:pPr>
      <w:r>
        <w:rPr>
          <w:rFonts w:ascii="Amiri" w:hAnsi="Amiri" w:eastAsia="Amiri" w:cs="Amiri"/>
          <w:color w:val="111111"/>
          <w:sz w:val="28"/>
          <w:sz w:val="28"/>
          <w:szCs w:val="28"/>
          <w:rtl w:val="true"/>
          <w:lang w:bidi="ar-SA"/>
        </w:rPr>
        <w:t xml:space="preserve">یُرِیدُونَ أنْ یَتَحَاکَمُوا إلی الطَّاغُوتِ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16961</w:t>
      </w:r>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3383</w:t>
      </w:r>
    </w:p>
    <w:p>
      <w:pPr>
        <w:pStyle w:val="BookText"/>
        <w:rPr/>
      </w:pPr>
      <w:r>
        <w:rPr>
          <w:rFonts w:ascii="Amiri" w:hAnsi="Amiri" w:eastAsia="Amiri" w:cs="Amiri"/>
          <w:color w:val="111111"/>
          <w:sz w:val="28"/>
          <w:sz w:val="28"/>
          <w:szCs w:val="28"/>
          <w:rtl w:val="true"/>
          <w:lang w:bidi="ar-SA"/>
        </w:rPr>
        <w:t xml:space="preserve">یا أیُّها الَّذِینَ آمَنُوا أوْفُوا بِالْعُقُودِ المائدة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826</w:t>
      </w:r>
    </w:p>
    <w:p>
      <w:pPr>
        <w:pStyle w:val="BookText"/>
        <w:rPr/>
      </w:pPr>
      <w:r>
        <w:rPr>
          <w:rFonts w:ascii="Amiri" w:hAnsi="Amiri" w:eastAsia="Amiri" w:cs="Amiri"/>
          <w:color w:val="111111"/>
          <w:sz w:val="28"/>
          <w:sz w:val="28"/>
          <w:szCs w:val="28"/>
          <w:rtl w:val="true"/>
          <w:lang w:bidi="ar-SA"/>
        </w:rPr>
        <w:t xml:space="preserve">إنْ أتَّبِعُ إلّا مَا یُوحَی إلیَّ الأنعام </w:t>
      </w:r>
      <w:r>
        <w:rPr>
          <w:rFonts w:eastAsia="Amiri" w:cs="Amiri" w:ascii="Amiri" w:hAnsi="Amiri"/>
          <w:color w:val="111111"/>
          <w:sz w:val="28"/>
          <w:szCs w:val="28"/>
          <w:lang w:bidi="ar-SA"/>
        </w:rPr>
        <w:t>13751</w:t>
      </w:r>
    </w:p>
    <w:p>
      <w:pPr>
        <w:pStyle w:val="BookText"/>
        <w:rPr/>
      </w:pPr>
      <w:r>
        <w:rPr>
          <w:rFonts w:ascii="Amiri" w:hAnsi="Amiri" w:eastAsia="Amiri" w:cs="Amiri"/>
          <w:color w:val="111111"/>
          <w:sz w:val="28"/>
          <w:sz w:val="28"/>
          <w:szCs w:val="28"/>
          <w:rtl w:val="true"/>
          <w:lang w:bidi="ar-SA"/>
        </w:rPr>
        <w:t xml:space="preserve">أرْجِهْ وَ أَخَاهُ الأعراف </w:t>
      </w:r>
      <w:r>
        <w:rPr>
          <w:rFonts w:eastAsia="Amiri" w:cs="Amiri" w:ascii="Amiri" w:hAnsi="Amiri"/>
          <w:color w:val="111111"/>
          <w:sz w:val="28"/>
          <w:szCs w:val="28"/>
          <w:lang w:bidi="ar-SA"/>
        </w:rPr>
        <w:t>128112</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417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آتَاکُمُ الرَّسُولُ فَخُذُوهُ وَ مَا نَهَاکُمْ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1378</w:t>
      </w:r>
      <w:bookmarkStart w:id="276" w:name="pg2353_14794"/>
    </w:p>
    <w:p>
      <w:pPr>
        <w:pStyle w:val="Heading3"/>
        <w:numPr>
          <w:ilvl w:val="2"/>
          <w:numId w:val="1"/>
        </w:numPr>
        <w:rPr/>
      </w:pPr>
      <w:bookmarkStart w:id="277" w:name="__RefHeading___Toc2705157_3804643083"/>
      <w:bookmarkStart w:id="278" w:name="_Toc103"/>
      <w:bookmarkEnd w:id="276"/>
      <w:bookmarkEnd w:id="277"/>
      <w:r>
        <w:rPr>
          <w:rtl w:val="true"/>
        </w:rPr>
        <w:t>فهرس الأحادیث</w:t>
      </w:r>
      <w:bookmarkEnd w:id="278"/>
    </w:p>
    <w:p>
      <w:pPr>
        <w:pStyle w:val="BookText"/>
        <w:rPr/>
      </w:pPr>
      <w:r>
        <w:rPr>
          <w:rFonts w:ascii="IRNazanin" w:hAnsi="IRNazanin" w:eastAsia="IRNazanin"/>
          <w:color w:val="111111"/>
          <w:sz w:val="28"/>
          <w:sz w:val="28"/>
          <w:szCs w:val="28"/>
          <w:rtl w:val="true"/>
          <w:lang w:bidi="fa-IR"/>
        </w:rPr>
        <w:t xml:space="preserve">ائت فقیه البلد فاستفته من أمرک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أبی اللَّه إلّا أن یعبد سرّاً، و اللَّه لئن فعلتم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 تدری لِمَ امرتم بالأخذ بخلاف ما تقول العامّة؟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إذا جاءک الحدیثان المختلفان فقسهما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إذا جاء کم عنّا حدیث فوجدتم علیه شاهداً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إذا رأیت الناس یقبلون علی شی‌ء فاجتنبه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إذا سمعت من أصحابک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 إلیه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إذا کان ذلک فأرجئه حتّی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إذا لم تعلم أیّهما الحق فموسّع علیک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إذا ورد علیکم حدیثان مختلفان فاعرضوهما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إذا ورد علیکم حدیثان مختلفان فانظروا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 علیکم حدیثان مختلفان فخذوا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إذا ورد علیکم حدیث فوجدتم له شاهداً من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إذا ورد علیکم خبران مختلفان فانظروا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إذن فأرجه حتّی تلقی إمامک فتسأله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إذن فتخیّر أحدهما فتأخذ به، و تدع الآخر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اعرضوهما علی کتاب اللَّه، فما وافق کتاب اللَّه فخذوه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الجواب عن ذلک حدیثان، 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انتقل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العَمْری و ابنه ثقتان، فما أدّیا إلیک عنّی فعنّی یؤدّیان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الناس فی سعة ما لا یعلمون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إنّ الناس فی سعة ما لم یعلموا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أنّ الحقّ فی خلافهم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أنّ الحقّ و الرشد فی خلافهم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إنّ اللَّه حرّم حراماً، و أحلّ حلالًا، و فرض 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إنّا و اللَّه لا ندخلکم إلّا فیما یسعکم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إنّ علی کلّ حقّ حقیقة، و علی کلّ صواب نوراً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 کان کذا فهو منّا و إلّا فلیس منّا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أنّ ما وافقهم فیه التقیّة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إنّ ما یشبه کتاب اللَّه و أحادیثنا فهو منّا، و ما لا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اوصیک یا شیخی و معتمدی و فقیهی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بأیّهما أخذت من باب التسلیم وسعک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بشّر المخبتین بالجنّة </w:t>
      </w:r>
      <w:r>
        <w:rPr>
          <w:rFonts w:eastAsia="Amiri" w:cs="Amiri" w:ascii="Amiri" w:hAnsi="Amiri"/>
          <w:color w:val="111111"/>
          <w:sz w:val="28"/>
          <w:szCs w:val="28"/>
          <w:lang w:bidi="ar-SA"/>
        </w:rPr>
        <w:t>91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حکمی علی الأوّلین حکمی علی الآخرین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حلال محمّد صلی الله علیه و آله و سلم حلال إلی یوم القیامة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خذ بما اشتهر بین أصحابک، و دع الشاذّ النادر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خذ بما فیه خلاف العامّة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خطب النبیّ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دعوا ما وافق القوم؛ فإنّ الرشد فی خلافهم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شیعتنا المسلّمون لأمرنا، الآخذون بقولنا،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صلّها فی المحمل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فإذا لم تعلم فموسّع علیک بأیّهما أخذت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فإن لم تجدوهما فی کتاب اللَّه فاعرضوهما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فما وافق کتاب اللَّه فخذوه، و ما خالف کتاب اللَّه فردّوه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فمَن ترک الشبهات نجا من المحرّمات و مَن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کلّ شی‌ء مردود إلی الکتاب و السنّة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لا تصلّها إلّا علی الأرض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لا تعمل بواحد منهما حتّی تلقی صاحبک فتسأله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لأنّا لا نرخّص فیما لم یرخّص فیه رسول اللَّه،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لأنّ حکم اللَّه فی الأولین و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لا و اللَّه، لا یسعکم إلّا التسلیم لنا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ما أنتم و اللَّه علی شی‌ء ممّا هم فیه، و لا هم علی شی‌ء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جاءک عنّا فقس علی کتاب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ما خالف قول ربّنا زخرف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ما سمعته منّی یشبه قول الناس فیه التقیّة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ما علمتم أنّه قولنا فالزموه، و ما لم تعلموا فردّوه إلینا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ما لم یوافق من الحدیث القرآن فهو زخرف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مخالف القرآن زخرف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معاشر الناس، ما من شی‌ء یقرّبکم من الجنّة 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من تحاکم إلیهم فی حقّ أو باطل فإنّما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موسّع علیک بأیّة عملت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و النفساء تدع الصلاة أکثره مثل أیّام حیضها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بأیّ هذه الأحادیث اخذ من جهة التسلیم جاز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 ما خالف کتاب اللَّه فدعوه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یرجئه حتّی یلقی من یخبره، فهو فی سعة حتّی یلقاه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ینظر إلی أعدلهما و أفقههما فی دین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إلی أفقههما و أعلمهما بأحادیثنا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bookmarkStart w:id="279" w:name="pg2353_14798"/>
    </w:p>
    <w:p>
      <w:pPr>
        <w:pStyle w:val="Heading3"/>
        <w:numPr>
          <w:ilvl w:val="2"/>
          <w:numId w:val="1"/>
        </w:numPr>
        <w:rPr/>
      </w:pPr>
      <w:bookmarkStart w:id="280" w:name="__RefHeading___Toc2705159_3804643083"/>
      <w:bookmarkStart w:id="281" w:name="_Toc104"/>
      <w:bookmarkEnd w:id="279"/>
      <w:bookmarkEnd w:id="280"/>
      <w:r>
        <w:rPr>
          <w:rtl w:val="true"/>
        </w:rPr>
        <w:t>فهرس أسماء المعصومین علیهم السلام</w:t>
      </w:r>
      <w:bookmarkEnd w:id="281"/>
    </w:p>
    <w:p>
      <w:pPr>
        <w:pStyle w:val="BookText"/>
        <w:rPr/>
      </w:pPr>
      <w:r>
        <w:rPr>
          <w:rFonts w:ascii="IRNazanin" w:hAnsi="IRNazanin" w:eastAsia="IRNazanin"/>
          <w:color w:val="111111"/>
          <w:sz w:val="28"/>
          <w:sz w:val="28"/>
          <w:szCs w:val="28"/>
          <w:rtl w:val="true"/>
          <w:lang w:bidi="fa-IR"/>
        </w:rPr>
        <w:t xml:space="preserve">محمّد صلی الله علیه و آله و سلم النبیّ الرسول رسول اللَّه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الأئمة علیهم السلام أئمّةِ الهدی أهل البیت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المعصومین علیهم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علی علیه السلام أمیر المؤمنین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الصادق علیه السلام أبو عبد اللَّه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الصادقین علیهما السلام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الکاظم علیه السلام العبد الصالح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الرضا علیه السلام أبو الحسن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الهادی علیه السلام علی بن محمّد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الحجة صاحب الزمان صاحب الأمر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bookmarkStart w:id="282" w:name="pg2353_14800"/>
    </w:p>
    <w:p>
      <w:pPr>
        <w:pStyle w:val="Heading3"/>
        <w:numPr>
          <w:ilvl w:val="2"/>
          <w:numId w:val="1"/>
        </w:numPr>
        <w:rPr/>
      </w:pPr>
      <w:bookmarkStart w:id="283" w:name="__RefHeading___Toc2705161_3804643083"/>
      <w:bookmarkStart w:id="284" w:name="_Toc105"/>
      <w:bookmarkEnd w:id="282"/>
      <w:bookmarkEnd w:id="283"/>
      <w:r>
        <w:rPr>
          <w:rtl w:val="true"/>
        </w:rPr>
        <w:t>فهرس الأعلام المذکورین فی المتن و الهامش</w:t>
      </w:r>
      <w:bookmarkEnd w:id="284"/>
    </w:p>
    <w:p>
      <w:pPr>
        <w:pStyle w:val="BookText"/>
        <w:rPr/>
      </w:pPr>
      <w:r>
        <w:rPr>
          <w:rFonts w:ascii="IRNazanin" w:hAnsi="IRNazanin" w:eastAsia="IRNazanin"/>
          <w:color w:val="111111"/>
          <w:sz w:val="28"/>
          <w:sz w:val="28"/>
          <w:szCs w:val="28"/>
          <w:rtl w:val="true"/>
          <w:lang w:bidi="fa-IR"/>
        </w:rPr>
        <w:t>فهرس الأعلام المذکورین فی المتن و الهامش</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إبراهیم بن أبی البلاد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إبراهیم بن عبد 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إبراهیم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أبو إسحاق الأرجانی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أبو الصمت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أبو العباس المکّی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أبو الفضل ظفر بن الداعی الأسترآبادی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أبو أیّوب 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أبو جعفر محمد العمری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أبو حاتم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أبو عمرو الکنانی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أحمد بن داود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أحمد بن زیاد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أحمد بن محمّد بن أبی نصر البزنطی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أحمد بن محمد بن یحیی العطّار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أحمد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أیّوب بن الحرّ الجعفی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أیّوب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ابن أبی جمهور الأحسائی </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ابن أبی یعفور عبد اللَّه بن أبی یعفور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الآخوند الخراسانی المحقق الخراسانی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الأراکی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الإمام الخمینی المصنّف العلّامة</w:t>
      </w:r>
    </w:p>
    <w:p>
      <w:pPr>
        <w:pStyle w:val="BookText"/>
        <w:rPr/>
      </w:pPr>
      <w:r>
        <w:rPr>
          <w:rFonts w:ascii="IRNazanin" w:hAnsi="IRNazanin" w:eastAsia="IRNazanin"/>
          <w:color w:val="111111"/>
          <w:sz w:val="28"/>
          <w:sz w:val="28"/>
          <w:szCs w:val="28"/>
          <w:rtl w:val="true"/>
          <w:lang w:bidi="fa-IR"/>
        </w:rPr>
        <w:t xml:space="preserve">الإمام العلّامة الأکبر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الأنصاری الشیخ الشیخ الأنصاری</w:t>
      </w:r>
    </w:p>
    <w:p>
      <w:pPr>
        <w:pStyle w:val="BookText"/>
        <w:rPr/>
      </w:pPr>
      <w:r>
        <w:rPr>
          <w:rFonts w:ascii="IRNazanin" w:hAnsi="IRNazanin" w:eastAsia="IRNazanin"/>
          <w:color w:val="111111"/>
          <w:sz w:val="28"/>
          <w:sz w:val="28"/>
          <w:szCs w:val="28"/>
          <w:rtl w:val="true"/>
          <w:lang w:bidi="fa-IR"/>
        </w:rPr>
        <w:t xml:space="preserve">الشیخ الأعظم شیخنا المرتضی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الحائری شیخنا العلّامة الحائری</w:t>
      </w:r>
    </w:p>
    <w:p>
      <w:pPr>
        <w:pStyle w:val="BookText"/>
        <w:rPr/>
      </w:pPr>
      <w:r>
        <w:rPr>
          <w:rFonts w:ascii="IRNazanin" w:hAnsi="IRNazanin" w:eastAsia="IRNazanin"/>
          <w:color w:val="111111"/>
          <w:sz w:val="28"/>
          <w:sz w:val="28"/>
          <w:szCs w:val="28"/>
          <w:rtl w:val="true"/>
          <w:lang w:bidi="fa-IR"/>
        </w:rPr>
        <w:t xml:space="preserve">شیخنا الأستاذ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بن المغیرة </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الحرّ الریاحی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الجهم ابن الجهم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الحسن بن السَّری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الحسن بن علیّ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الحسین بن السّری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الحسین بن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السید المجاهد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المجدّد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السید المرتضی 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الشیخ الخلّانی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الشیخ حسکا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الشیخ فضل اللَّه النوری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الشیخ محمد تقی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الطوسی الشیخ شیخ الإمامیة</w:t>
      </w:r>
    </w:p>
    <w:p>
      <w:pPr>
        <w:pStyle w:val="BookText"/>
        <w:rPr/>
      </w:pPr>
      <w:r>
        <w:rPr>
          <w:rFonts w:ascii="IRNazanin" w:hAnsi="IRNazanin" w:eastAsia="IRNazanin"/>
          <w:color w:val="111111"/>
          <w:sz w:val="28"/>
          <w:sz w:val="28"/>
          <w:szCs w:val="28"/>
          <w:rtl w:val="true"/>
          <w:lang w:bidi="fa-IR"/>
        </w:rPr>
        <w:t xml:space="preserve">شیخ الطائفة رئیس الطائفة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العلّامة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العلّامة العلّامة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العلاء بن رزین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العلاء بن سیّابة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العمری عثمان عثمان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الفشارکی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الفضل بن عبد الملک البقباق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الفضل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المحقق الرشتی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المحقق الشیروانی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المشایخ الثلاثة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المعلّی بن خُنیس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برید العجلی برید بن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جعفر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ذبیان بن حکیم الأزدی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زید بن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شرف الدین الفتال الغروی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شریف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صالح السندی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عبد الرحمن بن أبی عبد اللَّه </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 الکریم بن أبی یعفور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عبد الکریم بن عتبة الهاشمیّ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عبد اللَّه بن المغیرة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عبد اللَّه بن مسکان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عبد الملک بن أعین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 بن وائل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علیّ بن الحسن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علیّ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علیّ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علیّ بن رئاب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علیّ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علیّ بن مهزیار ابن مهزیار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علیّ بن هلال الجزائری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عمر بن حنظلة أبو صخر العجلی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فاطمة المعصومة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مجتبی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أمین التستری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باقر الصدر السید 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بن إدریس </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بن الولید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أحمد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محمّد بن علیّ الحلبی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محمّد بن علیّ بن عیسی الأشعری </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محبوب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محمد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عیسی العبیدی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موسی بن المتوکّل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بن یحیی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موسی بن القاسم البجلی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موسی بن أکیل </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میرزا علیّ آغا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نائینی المحقق النائینی المحقق</w:t>
      </w:r>
    </w:p>
    <w:p>
      <w:pPr>
        <w:pStyle w:val="BookText"/>
        <w:rPr/>
      </w:pPr>
      <w:r>
        <w:rPr>
          <w:rFonts w:ascii="IRNazanin" w:hAnsi="IRNazanin" w:eastAsia="IRNazanin"/>
          <w:color w:val="111111"/>
          <w:sz w:val="28"/>
          <w:sz w:val="28"/>
          <w:szCs w:val="28"/>
          <w:rtl w:val="true"/>
          <w:lang w:bidi="fa-IR"/>
        </w:rPr>
        <w:t xml:space="preserve">المعاصر بعض أعاظم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نسّابة الکلبی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نصر بن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یحیی بن عمران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یعقوب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bookmarkStart w:id="285" w:name="pg2353_14812"/>
    </w:p>
    <w:p>
      <w:pPr>
        <w:pStyle w:val="Heading3"/>
        <w:numPr>
          <w:ilvl w:val="2"/>
          <w:numId w:val="1"/>
        </w:numPr>
        <w:rPr/>
      </w:pPr>
      <w:bookmarkStart w:id="286" w:name="__RefHeading___Toc2705163_3804643083"/>
      <w:bookmarkStart w:id="287" w:name="_Toc106"/>
      <w:bookmarkEnd w:id="285"/>
      <w:bookmarkEnd w:id="286"/>
      <w:r>
        <w:rPr>
          <w:rtl w:val="true"/>
        </w:rPr>
        <w:t>فهرس الأماکن و البلدان و البقاع</w:t>
      </w:r>
      <w:bookmarkEnd w:id="287"/>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مهرجرد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میبد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أردکان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القز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کِندة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مشغر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bookmarkStart w:id="288" w:name="pg2353_14814"/>
    </w:p>
    <w:p>
      <w:pPr>
        <w:pStyle w:val="Heading3"/>
        <w:numPr>
          <w:ilvl w:val="2"/>
          <w:numId w:val="1"/>
        </w:numPr>
        <w:rPr/>
      </w:pPr>
      <w:bookmarkStart w:id="289" w:name="__RefHeading___Toc2705165_3804643083"/>
      <w:bookmarkStart w:id="290" w:name="_Toc107"/>
      <w:bookmarkEnd w:id="288"/>
      <w:bookmarkEnd w:id="289"/>
      <w:r>
        <w:rPr>
          <w:rtl w:val="true"/>
        </w:rPr>
        <w:t>فهرس أسماء الکتب الواردة فی المتن و الهامش</w:t>
      </w:r>
      <w:bookmarkEnd w:id="290"/>
    </w:p>
    <w:p>
      <w:pPr>
        <w:pStyle w:val="BookText"/>
        <w:rPr/>
      </w:pPr>
      <w:r>
        <w:rPr>
          <w:rFonts w:ascii="IRNazanin" w:hAnsi="IRNazanin" w:eastAsia="IRNazanin"/>
          <w:color w:val="111111"/>
          <w:sz w:val="28"/>
          <w:sz w:val="28"/>
          <w:szCs w:val="28"/>
          <w:rtl w:val="true"/>
          <w:lang w:bidi="fa-IR"/>
        </w:rPr>
        <w:t>فهرس أسماء الکتب الواردة فی المتن و الهامش</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إثبات الهداة بالنصوص و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أجود التقریرات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الأحادیث الفقهیّة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الرسائل للإمام الخمینی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العلل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الفقه الرضویّ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الفوائد الطوسیّة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الکتب الأربعة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المجلی فی السیر و السلوک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المنهاج فی مناسک الحاجّ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أمل الآمل فی علماء جبل عامل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أنوار 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بحر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للرشتی</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جامع المدارک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حاشیة المحقّق الهمدانیّ علی 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خاتمه المستدرک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الآخوند</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للحائری</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رجال العلّامة الحلّی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رسالة القطب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رسالة فی التعادل و الترجیح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شرح الباب الحادی عشر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شرح نهایة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فرائد الاصول 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فهرست منتجب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کتاب الشذرات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الحائری</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کنز الکراجکیّ 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مسائل الرجال 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محمّد بن علیّ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معالم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معونة الفارض فی استخراج سهام الفرائض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مفاتیح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مفاخر الطالبیة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مقدمة تفسیر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نهایة الأفکار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bookmarkStart w:id="291" w:name="pg2353_14824"/>
    </w:p>
    <w:p>
      <w:pPr>
        <w:pStyle w:val="Heading3"/>
        <w:numPr>
          <w:ilvl w:val="2"/>
          <w:numId w:val="1"/>
        </w:numPr>
        <w:rPr/>
      </w:pPr>
      <w:bookmarkStart w:id="292" w:name="__RefHeading___Toc2705167_3804643083"/>
      <w:bookmarkStart w:id="293" w:name="_Toc108"/>
      <w:bookmarkEnd w:id="291"/>
      <w:bookmarkEnd w:id="292"/>
      <w:r>
        <w:rPr>
          <w:rtl w:val="true"/>
        </w:rPr>
        <w:t>فهرس مصادر التحقیق</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ابن السید علی أکبر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معرفة الرجال رجال الکشی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بن عبد الکریم الأمین الحسینی العاملی الشقرائی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السید 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بیروت، دار 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النشر الإسلامی التابعة لجامعة المدرّسین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النعمان المعروف بالمفید،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بصیرتی،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السید حسن الموسوی الخرسان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طهران،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الحسین ابن بابویه القمی المعروف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الحسینی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قم،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عُمر الخطیب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مکتب الإعلام الإسلامی،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النصر محمد بن مسعود بن عیاش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بیروت، دار إحیاء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بن أحمد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النشر الإسلامی التابعة لجماعة المدرّسین،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محسن آقا بزرگ الطهرانی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إسماعیلیان،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العظمی 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إسماعیلیان،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للشیخ الأعظم الأنصاری فرائد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منصور بن أحمد بن إدریس العِجلی الحلّی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مؤسسة النشر الإسلامی، الطبعة الاولی،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النشر الإسلامی التابعة لجماعة المدرّسین،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الطوسی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طهران، مکتبة نینوی الحدیثة،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الغرویة فی الاصول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حسین بن عبد الرحیم الطهرانی الأصفهانی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إحیاء العلوم الإسلامیة،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المنسوب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مؤسسة آل البیت علیهم السلام لإحیاء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الاولی، مشهد المقدّسة، المؤتمر العالمی للإمام الرضا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السید حسن الموسوی الخرسان،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طهران،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مجلدین،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طبعة النجف الأشرف، المکتبة الرضویة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أبی القاسم القمی بن مولی محمد حسن الجیلانی المعروف</w:t>
      </w:r>
    </w:p>
    <w:p>
      <w:pPr>
        <w:pStyle w:val="BookText"/>
        <w:rPr/>
      </w:pPr>
      <w:r>
        <w:rPr>
          <w:rFonts w:ascii="IRNazanin" w:hAnsi="IRNazanin" w:eastAsia="IRNazanin"/>
          <w:color w:val="111111"/>
          <w:sz w:val="28"/>
          <w:sz w:val="28"/>
          <w:szCs w:val="28"/>
          <w:rtl w:val="true"/>
          <w:lang w:bidi="fa-IR"/>
        </w:rPr>
        <w:t xml:space="preserve">بالمیرزا القمی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العلمیة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بالأُوفست عن الطبعة الحجریة،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الطبعة الثالثة،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طهران، دار الکتب الإسلامیة،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بن محمد رضا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طهران، مکتبة الصدر،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و الأخبار 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السید محمد تقی الکشفی و محمد باقر البهبودی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المرتضویة لإحیاء الآثار الجعفریة،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جلال الدین الحسینی المشتهر بالمحدِّث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قم،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القیومی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جزءان فی مجلد واحد، بیروت، دار الکتب العلمیة،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للصلاح الدّین خلیل بن أیبک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الآمل فی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مجلّدان، قم، دار الکتاب</w:t>
      </w:r>
    </w:p>
    <w:p>
      <w:pPr>
        <w:pStyle w:val="BookText"/>
        <w:rPr/>
      </w:pPr>
      <w:r>
        <w:rPr>
          <w:rFonts w:ascii="IRNazanin" w:hAnsi="IRNazanin" w:eastAsia="IRNazanin"/>
          <w:color w:val="111111"/>
          <w:sz w:val="28"/>
          <w:sz w:val="28"/>
          <w:szCs w:val="28"/>
          <w:rtl w:val="true"/>
          <w:lang w:bidi="fa-IR"/>
        </w:rPr>
        <w:t xml:space="preserve">الإسلامی،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الطبعة الاولی، بغداد مکتبة الأندلس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الهدایة فی التعلیقة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آیة اللَّه العظمی 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قم، مؤسسة تنظیم و نشر آثار الإمام الخمینی قدس سره،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بیروت، 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قم، مؤسسة النشر الإسلامی التابعة لجماعة المدرّسین،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الفوائد فی شرح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میرزا محمد حسن الآشتیانی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الحجریة، قم، مکتبة آیة اللَّه المرعشی،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بدائع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حبیب اللَّه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بن محمد بن الحسن بن فرّوخ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آیة 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التفسیر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التفسیر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مکتب الإعلام الإسلامی، فرع خراسان، الطبعة الاولی، قم، مکتب الإعلام 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محمد حسن المامقانی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بالأُوفست عن طبعة النجف الأشرف، المطبعة المرتضویة،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السید حسن الموسوی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طهران، دار الکتب الإسلامیة،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لبحث آیة اللَّه العظمی 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بقلم آیة اللَّه الشیخ جعفر السبحانی التبریزی، قم، مؤسسة النشر الإسلامی التابعة لجماعة المدرّسین،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فی أحادیث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للمبارک بن محمد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المدارک فی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الموسوی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 علیه علی أکبر الغفّاری، الطبعة الثانیة،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طهران، مکتبة الصدوق،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المحقق الهمدانی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آقا رضا بن محمد هادی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کتاب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للآخوند الخراسانی المولی محمد کاظم بن حسین الهروی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الرضی،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الفوائد فی 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للآخوند الخراسانی المولی محمد کاظم بن</w:t>
      </w:r>
    </w:p>
    <w:p>
      <w:pPr>
        <w:pStyle w:val="BookText"/>
        <w:rPr/>
      </w:pPr>
      <w:r>
        <w:rPr>
          <w:rFonts w:ascii="IRNazanin" w:hAnsi="IRNazanin" w:eastAsia="IRNazanin"/>
          <w:color w:val="111111"/>
          <w:sz w:val="28"/>
          <w:sz w:val="28"/>
          <w:szCs w:val="28"/>
          <w:rtl w:val="true"/>
          <w:lang w:bidi="fa-IR"/>
        </w:rPr>
        <w:t xml:space="preserve">حسین الهروی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طهران، المؤسسة التابعة لوزارة الثقافة و الإرشاد الإسلامی،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الکریم الحائری الیزدی المهرجردی المیبدی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التابعة لجماعة المدرّسین،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ذکری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بصیرتی،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الطوسی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الرضی،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العلامة خلاصة الأقوال فی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 علّق علیه میر داماد الأسترآبادی، قم، مؤسسة آل البیت علیهم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أحمد بن علی بن أحمد النجاشی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موسی الشبیری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التابعة لجماعة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فی أحوال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الخوانساری الأصفهانی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أسد الله إسماعیلیان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إسماعیلیان،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 الجنان،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إسماعیل البخاری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w:t>
      </w:r>
    </w:p>
    <w:p>
      <w:pPr>
        <w:pStyle w:val="BookText"/>
        <w:rPr/>
      </w:pPr>
      <w:r>
        <w:rPr>
          <w:rFonts w:ascii="IRNazanin" w:hAnsi="IRNazanin" w:eastAsia="IRNazanin"/>
          <w:color w:val="111111"/>
          <w:sz w:val="28"/>
          <w:sz w:val="28"/>
          <w:szCs w:val="28"/>
          <w:rtl w:val="true"/>
          <w:lang w:bidi="fa-IR"/>
        </w:rPr>
        <w:t xml:space="preserve">أجزاء فی أربعة مجلدات، بیروت، دار القلم،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مسلم بن الحجّاج القشیری النیشابوری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عز الدین،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محسن آقا بزرگ الطهرانی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آیة 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النجف الأشرف، المکتبة الحیدریة،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إبراهیم الأحسائی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أوائل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مجتبی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مطبعة سید الشهداء،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رسائل فی مجلّد واحد، الطبعة الحجریة، تبریز،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الکاظمی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بحث المیرزا محمد حسین الغروی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أجزاء فی ثلاثة مجلدات،</w:t>
      </w:r>
    </w:p>
    <w:p>
      <w:pPr>
        <w:pStyle w:val="BookText"/>
        <w:rPr/>
      </w:pPr>
      <w:r>
        <w:rPr>
          <w:rFonts w:ascii="IRNazanin" w:hAnsi="IRNazanin" w:eastAsia="IRNazanin"/>
          <w:color w:val="111111"/>
          <w:sz w:val="28"/>
          <w:sz w:val="28"/>
          <w:szCs w:val="28"/>
          <w:rtl w:val="true"/>
          <w:lang w:bidi="fa-IR"/>
        </w:rPr>
        <w:t xml:space="preserve">قم، مؤسسة النشر الإسلامی التابعة لجماعة المدرّسین،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علماء الشیعة و مصنّفیهم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لمنتجب الدین أبی الحسن علی بن عبید اللَّه بن بابویه الرازی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آیة اللَّه المرعشی،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 الدّین الحسن بن علی بن داود الحلّی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الرضی،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الکریم الحائری الیزدی المهرجردی المیبدی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المطوّل فی شرح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 الدین مسعود بن عمر ابن عبد اللَّه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العلمیة 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للآخوند الخراسانی المولی محمد کاظم بن حسین الهروی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مؤسسة النشر الإسلامی التابعة لجماعة المدرّسین، الطبعة الاولی، قم، مؤسسة النشر الإسلامی التابعة لجماعة المدرّسین،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قم، 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حسن 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البیت علیهم السلام لإحیاء 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الرجال فی تراجم العلماء و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حرز الدّین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علیه محمد حسین حرز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مکتبة آیة اللَّه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جمال الدین الحسن بن زین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إعداد 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المطبعة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 و 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ابن السید علی أکبر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بیروت، دار الزهراء للطباعة و النشر،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مقابس الأنوار و نفائس الأسرار فی أحکام النبی المختار و عترته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أسد اللَّه بن إسماعیل التستری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مناهج 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العظمی 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تنظیم و نشر آثار الإمام الخمینی قدس سره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محسن آقا بزرگ الطهرانی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آیة 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بن عبد الکریم البروجردی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بحث استاذه آیة اللَّه آغا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التابعة لجماعة المدرّسین،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الدرایة فی شرح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مؤسسة آل البیت علیهم السلام، الطبعة الاولی، قم، مؤسسة آل البیت علیهم السلام 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طهران، المکتبة الإسلامیة،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94" w:name="pg2353_14836"/>
    </w:p>
    <w:p>
      <w:pPr>
        <w:pStyle w:val="Heading3"/>
        <w:numPr>
          <w:ilvl w:val="2"/>
          <w:numId w:val="1"/>
        </w:numPr>
        <w:rPr/>
      </w:pPr>
      <w:bookmarkStart w:id="295" w:name="__RefHeading___Toc2705169_3804643083"/>
      <w:bookmarkStart w:id="296" w:name="_Toc109"/>
      <w:bookmarkEnd w:id="294"/>
      <w:bookmarkEnd w:id="295"/>
      <w:r>
        <w:rPr>
          <w:rtl w:val="true"/>
        </w:rPr>
        <w:t>فهرس الموضوعات</w:t>
      </w:r>
      <w:bookmarkEnd w:id="296"/>
    </w:p>
    <w:p>
      <w:pPr>
        <w:pStyle w:val="BookText"/>
        <w:rPr/>
      </w:pPr>
      <w:r>
        <w:rPr>
          <w:rFonts w:ascii="IRNazanin" w:hAnsi="IRNazanin" w:eastAsia="IRNazanin"/>
          <w:color w:val="111111"/>
          <w:sz w:val="28"/>
          <w:sz w:val="28"/>
          <w:szCs w:val="28"/>
          <w:rtl w:val="true"/>
          <w:lang w:bidi="fa-IR"/>
        </w:rPr>
        <w:t>مقدمة التحقیق</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مناشئ اختلاف الأدلّة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خطأ فی الأدلّة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اطّلاعنا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الأحکام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التدرّج فی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هذه المناشئ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 و التزویر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دخالة الزمان و المکان فی الأحکام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العرفی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بالجمع العرفی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المرجّحات المنصوصة و غیر المنصوصة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مبحث التعارض و اختلاف الأدلّة</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تعارض العامّ و 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الکلام فی هذا الباب بتعارض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فرض التعارض فی محیط التشریع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عدم التعارض بین العامّ و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المحقّقین فی وجه تقدیم الخاصّ علی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علی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 بعض أعاظم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 شیخنا العلّامة أعلی اللَّه مقامه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 المحقّق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أصالتی الحقیقة و الجدّ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أصالتی الحقیقة و الجدّ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شمول أخبار العلاج للعامّ و 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العلمین المحقّق الخراسانیّ و شیخنا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 علی المحقّق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 شیخنا الاستاذ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قاعدة الجمع مهما أمکن، أولی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فی موضوع الترجیح بحسب الدلالة و ما فیه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الخارجة عن أخبار العلاج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یمکن أن یقال أو قیل بأنّهما من قبیل النصّ و 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لأحد الدلیلین قدر متیقّن فی مقام التخاطب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التخصیص فی أحد العامّین من وجه مستهجناً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أحد العامّین من وجه وارداً فی مورد 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عدّ من المرجّحات النوعیّة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الدلالیّة فی تعارض الدلیلین فقط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العموم و 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تقدّم العامّ علی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التخصیص و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الاختلاف بین العامّة و الخاصّة و تأخیر بیان المخصّصات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تقیید الإطلاق و حمل الأمر علی الاستحباب،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النهی علی الکراهة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التعارض بین أکثر من دلیلَین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کثیرة نذکر مهمّاتها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عامّ و خاصّان مختلفان موضوعاً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عامّ و خاصّان، مع کون النسبة بین الخاصّین العموم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عامّ و خاصّان و کانت النسبة بین الخاصّین عموماً من وجه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عامّان من وجه و خاص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دلیلان متباینان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العامّین من وجه هل یندرجان فی أخبار العلاج؟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المرجّحات الصدوریّة جاریة فی العامّین من وجه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المتکافئین</w:t>
      </w:r>
    </w:p>
    <w:p>
      <w:pPr>
        <w:pStyle w:val="BookText"/>
        <w:rPr/>
      </w:pPr>
      <w:r>
        <w:rPr>
          <w:rFonts w:ascii="IRNazanin" w:hAnsi="IRNazanin" w:eastAsia="IRNazanin"/>
          <w:color w:val="111111"/>
          <w:sz w:val="28"/>
          <w:sz w:val="28"/>
          <w:szCs w:val="28"/>
          <w:rtl w:val="true"/>
          <w:lang w:bidi="fa-IR"/>
        </w:rPr>
        <w:t>و فیه بحثان</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فیهما مع قطع النظر عن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علی الطریقیّة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علی السببیّة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المتکافئین بمقتضی الأخبار الواردة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أخبار التخییر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محمّد بن عبد اللَّه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الحارث بن المغیرة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حسن بن الجهم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الفقه الرضوی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مفاد أخبار التخییر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أخبار التوقّف</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محمّد بن علیّ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المیثمی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الشیخ الأعظم و العلّامة الحائری و ما فیهما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الجمع بین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التخییر فی المسألة الاصولیّة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تخییر القاضی و المفتی فی عمله و عمل مقلّدیه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التخییر بدویّ أو استمراریّ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 مجی‌ء الخبرین المختلفین فی الإخبار مع الواسطة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لأحد الخبرین مزیّة</w:t>
      </w:r>
    </w:p>
    <w:p>
      <w:pPr>
        <w:pStyle w:val="BookText"/>
        <w:rPr/>
      </w:pPr>
      <w:r>
        <w:rPr>
          <w:rFonts w:ascii="IRNazanin" w:hAnsi="IRNazanin" w:eastAsia="IRNazanin"/>
          <w:color w:val="111111"/>
          <w:sz w:val="28"/>
          <w:sz w:val="28"/>
          <w:szCs w:val="28"/>
          <w:rtl w:val="true"/>
          <w:lang w:bidi="fa-IR"/>
        </w:rPr>
        <w:t>و یتم البحث فیه فی ضمن امور</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اقتضاء الأصل للتعیین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أخبار العلاج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إشکالیّ العلّامة الحائری علی تمامیّة دلالتها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ورود الإشکالین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حول المقبولة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إلی إشکالَی العلّامة الحائریّ و جوابهما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فی باب التعارض منحصر بموافقة الکتاب و مخالفة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لاستقصاء البحث لا بدّ من عقد بحثین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الأخبار الواردة فی موافقة الکتاب و مخالفته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طائفتان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فی مطلق ما وافق الکتاب و خالفه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فی الحدیثین المتعارضین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 بین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مرجّحیّة موافقة الکتاب و الثمرة بین المرجعیّة و المرجّحیة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الأخبار الواردة فی مخالفة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طائفتان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فی خصوص الخبرین المتعارضین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منها لزوم مخالفتهم، و ترک الخبر الموافق لهم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الترجیح بالأحدث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یتعدّی من المرجّح المنصوص إلی غیره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التی استدلّ بها الشیخ علی التعدّی من المنصوص و نقدها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المقبولة و المرفوعة من الترجیح بالأصدقیّة و الأوثقیّة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 علیه السلام الأخذ بالمشهور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تعلیلهم علیهم السلام لتقدیم الخبر المخلف للعامّة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الترجیح بکل مزیّة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کون کلّ من المرجّحین مرجّحاً للصدور أو لجهته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الکریمة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الشریفة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المذکورین فی المتن و الهامش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الأماکن و البلدان و البقاع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الواردة فی المتن و الهامش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الحسن بن الجهم الآتیة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موثّقة سماعة الآتیة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المؤسس الاصولی و الفقیه البارع الرجالی الشیخ مرتضی ابن الشیخ محمد أمین التستری المعروف بالأنصاری نسبة لجدّه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فی مدینة دزفول، و فیها شرع بتحصیله العلمی، ثمّ حضر علی السید المجاهد و شریف العلماء و الشیخین موسی و علیّ کاشف الغطاء و الشیخ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قدس سره مبتکراً فی أنظاره الفقهیة و الاصولیة صاحب نظریات جدیدة و عمیقة، لذا قال استاذه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شاهد خمسین مجتهداً لم یرَ فیهم کالشیخ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المرجعیة بعد وفاة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له عدّة کتب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و المکاسب و کتاب فی الطهارة و آخر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الآخوند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الفقیه المدقّق الشیخ محمد کاظم بن حسین الهروی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بمشهد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شرع فی تحصیله العلمی و هو ابن إحدی عشرة سنة إلی أن بلغ الثالثة و العشرین و بعدها قصد النجف الأشرف فدرس مدّة عامین عند الشیخ الأعظم، و عشرة أعوام عند السید المجدّد الشیرازی ثمّ استقل بالتدریس و الإفادة فکان استاذ النجف الأوحد فی دقة بحوثه و عمقها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بالرغم من نشاطه العلمی و انشغاله بالمرجعیة و الزعامة الدینیة فقد کان له دور مهم فی الحرکة المشروطة و کان من أبرز الداعین إلی جهاد المحتلّین الروس و الإنجلیز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ظروف غامضة فجر الیوم الذی عزم فیه علی السفر لإیران لمجاهدة الغزاة و ذلک فی العشرین من شهر ذی الحجة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بالإضافة إلی الکفایة و حاشیته علی الرسائل کتاب الشذرات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المصلح المجاهد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ببعض أعاظم العصر هو آیة اللَّه العظمی المحقق الخبیر المیرزا محمد حسین بن عبد الرحیم النائینی ولد بنائین عام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درس المقدمات فی أصفهان ثمّ هاجر إلی العراق فحضر عند السید محمد الفشارکی الأصفهانی و الآخوند الخراسانی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امتاز المحقق النائینی بالإبداع و عنصر التجدید فی المجال الاصولی و یعدّ صاحب أعمق مدرسة اصولیة عرفها الفکر الاصولی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هذا فقد کان شریک الآخوند الخراسانی فی حرکة المشروطة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نظراً لمقامه العلمی الشامخ فقد تسابق العلماء و المحققون إلی تقریر أبحاثه الفقهیة و الاصولیة فکان منها الفوائد و الأجود اصولًا و المنیة و المکاسب و البیع و الصلاة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قدس سره من شیخه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آیة اللَّه العظمی الشیخ عبد الکریم بن محمد جعفر الحائری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فی قریة مهرجرد التابعة لمیبد فی محافظة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 المقدمات فی یزد و أردکان ثمّ قصد العراق فأکمل السطوح علی ید المحققین الشیروانی و الحاج الشیخ فضل اللَّه النوری و کان السید المجدّد الشیرازی قد أولاه عنایة فائقة حتّی أسکنه فی دار مع ولده الحاج میرزا علیّ آغا فکان کأحد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حضر العلّامة الحائری الأبحاث العالیة للسید المجدّد و الشیخ محمد تقی الشیرازی و السید الفشارکی و الآخوند الخراسانی فکان له عند اساتذته مقام سامٍ و درجة علمیة رفیعة و یکفی للتدلیل علی هذا الأمر ارجاع الشیخ محمد تقی الشیرازی احتیاطاته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قدس سره الفخر فی تأسیس الحوزة العلمیّة المبارکة بمدینة قم المقدسة فقد نظم من کان فیها تنظیماً عالیاً و وسع العطاء علی الطلّاب و العلماء و سنّ نظاماً للدراسة و أثبت الامتحان السنوی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عام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أعیان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الثقة الجلیل أبو عمرو عثمان بن سعید الزیّات الأسدیّ العمری السفیر الأول للناحیة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یتّجر فی السمن تغطیة علی الأمر فقیل له الزیّات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الهادی علیه السلام و هو ابن إحدی عشرة سنة، ثمّ صار وکیلًا للإمامین العسکریّ و صاحب الزمان علیهما السلام و کانت توقیعات الصاحب علیه السلام تخرج علی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ببغداد معروف متبرک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أبو جعفر محمد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جلیلًا عند الطائفة و وکیلًا للعسکری علیه السلام و سفیراً للصاحب أرواحنا له الفداء فکان یتولی هذا الأمر نحواً من خمسین عاماً و التوقیعات تخرج علی یده إلی الشیعة فی المهمات طول حیاته بالخط الذی کانت تخرج به فی حیاة أبیه عثمان لا یعرف الشیعة فی هذا الأمر غیره و لا یرجع إلی أحد سواه، فلما دنت منه قدّس اللَّه روحه المنیة حفر لنفسه قبراً و سوّاه بالساج فسئل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أسباب و قد أُمرت أن أجمع أمری فمات فی الیوم و الشهر و السنة التی ذکرها أی فی جمادی الاولی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ببغداد یعرف بقبر الشیخ الخلّانی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هامش الصفحة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الأول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کما استقرّ رأینا علیه فی مباحث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موضوع الاحتجاج و إن کان هو ظاهر کلام المتکلّم، لکن مبنی الحجّة لیس أصالة عدم القرینة، أو أصالة الظهور فی شی‌ء من الموارد، بل مبناها أصالة عدم الخطأ و الغلط و إلغاء احتمال تعمّد الکذب و الخیانة؛ ببناء العقلاء فی الإخبار مع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فأصالة الظهور إن رجعت إلی أصالة حجّیة الظهور، فهی تعبیر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رجعت إلی أصالة بقائه فهی تعبیر بملازم الشی‌ء، کما أنّها کذلک لو رجعت إلی أصالة کون الظاهر مراداً استعمالًا أو جدّاً، فلا معنی لأصالة الظهور بهذا التعبیر، إلّا أن ترجع إلی أحد ما تقدّم و نظائره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ما فی تهذیب الأحکام عدول عما اختاره سماحته قدس سره فی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للعلّامة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أصحابنا و ثقتهم أبو جعفر محمد بن عبد اللَّه بن جعفر 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صاحب الأمر علیه السلام و سأله مسائل فی أبواب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ابیه و روی عنه أحمد بن هارون و جعفر بن الحسین و علیّ بن حاتم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الثقة الجلیل أبو الحسن علی بن مَهْزِیار الأهوازی، کان أبوه نصرانیاً فأسلم و منّ اللَّه علی علیّ بمعرفة هذا الأمر فتفقّه و حسن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الرضا علیه السلام و اختصّ بالجواد و الهادی صلوات اللَّه علیهما فکان سفیراً ممدوحاً کما توکّل لهم فی بعض النواحی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عنهم علیهم السلام و عن ابن أبی عمیر و ابن فضّال و أحمد بن محمد بن أبی نصر و غیرهم و روی عنه إبراهیم بن هاشم و الحسین بن سعید و محمد بن عیسی بن عبید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شیخ الإمامیة و رئیس الطائفة المحقّة حامل لواء مذهب أهل البیت علیهم السلام أبو جعفر محمد ابن الحسن بن علیّ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بطوس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هاجر إلی بغداد و هو فی الثالثة و العشرین من عمره المبارک فلازم المفید حتّی وفاته کما أخذ عن الحسین بن عبید اللَّه الغضائری و السید المرتضی و غیرهم من أعلام الامّة فنهل من علومهم حتّی استقلّ بالزعامة الدینیة و صارت داره جامعة شاخصة ینتمی إلیها أکثر من ثلاثمائة من مجتهدی الشیعة و ما لا یحصی من علماء العامّة و بلغ به الأمر من العظمة أن جعل له الخلیفة العباسی کرسی الکلام ثمّ ثارت الفتن الطائفیّة ببغداد فلم یجد قدس سره بدّاً من أن یهاجر إلی النجف الأشرف و هناک تمکّن من إرساء قواعد الحوزة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مقدمة العلّامة الطهرانی علی کتاب غیبة الشیخ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العلم الفقیه الحکیم الصوفی محمد بن علی بن إبراهیم بن أبی جمهور الأحسائی کان من تلامذة الشیخ الفاضل شرف الدین حسن بن عبد الکریم الفتال الغروی خادم الروضة الغرویّة و الشیخ علی بن هلال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 الأحادیث الفقهیة و شرح الباب الحادی عشر و المجلی فی السیر و السلوک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آداب التجارة،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البیوع، باب بطلان بیع الحصاة و البیع الذی فیه غرر،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کتاب البیوع، باب بیع الغرر، الحدیث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مقدمة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حکم اللَّه فی الأوّلین و الآخرین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ذکرنا فی المتن هو الذی اخترناه 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 العامّ مقدّماً، 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شموله للأفراد فی الطبقات المتأخّرة عن الطبقة الاولی بالإطلاق، و دار الأمر بین النسخ و 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ترجیح بینهما؛ لأنّ ما ذکرناه من تقدیم التقیید علی التخصیص، إنّما هو فی فرض تعارض الدلیلین فی مورد الاجتماع، و کون أحدهما مطلقاً، و الآخر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دار الأمر بین تقیید مطلق و تخصیص عامّ بدلیل ثالث، فلا ترجیح بینهما، و المقام کذلک؛ لأنّ الأمر دائر بین کون الخاصّ مخصّصاً لعموم العامّ، أو إطلاقه المقامیّ، و لا ترجیح؛ لأنّ التصرّف فی کلّ منهما خلاف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سرّ التقدّم فی الدوران المتقدّم فی العامّین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 العامّ بیاناً للمطلق، و عدم صلاحیة المطلق للتخصیص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 فی المقام؛ لصلاحیة الخاصّ للتصرّف فی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التخصیص مستلزم للتصرّف فی المطلق أیضاً، بخلاف العکس کما تری؛ فإنّ التخصیص رافع لموضوع الإطلاق، لا تصرّف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التفصیلیّ بخروج الأفراد المتأخّرة إمّا نسخاً أو تخصیصاً، یوجب انحلال العلم، فیؤخذ بأصالة العموم فی الأفراد المتقدّمة، فإنّ العلم التفصیلیّ المتقوّم بالعلم الإجمالیّ، لا یعقل أن یصیر موجباً للانحلال؛ للزوم رافعیّة الشی‌ء لعلّته، بل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ذکرناه یظهر الحال فیما إذا کان دلیل الشمول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صلّی اللَّه علیه و آله حلال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بکونه من قبیل المطلق؛ لدوران الأمر بین تقییده أو تخصیص دلیل آخر، و لا ترجیح، فضلًا عمّا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من قبیل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باستفادة شمول الحکم للأفراد مطلقاً من نفس القضایا، فدار الأمر بین الأقلّ و الأکثر فی التخصیص، یقتصر علی الأقلّ، و یتمسّک بأصالة العموم فی الأفراد المتقدّمة المشکوک فی خروجها، هذا حال العامّ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مع تقدّم الخاصّ، و حضور وقت عمله، و دوران الأمر بین کون الخاصّ مخصّصاً، أو العامّ ناسخاً، و أخذنا بالإطلاق المقامیّ فی شمول الخاصّ للأفراد المتأخّرة، و وقع التعارض بین العامّ و المطلق، فیقدّم العامّ، و یحکم بالنسخ إذا کان بینهما عموم من وجه؛ من حیث شمول الأفراد فی عمود الزمان، دون ما إذا کان بینهما العموم المطلق؛ للإشکال فی بیانیّة العامّ للمطلق الأخصّ أو تقدیم الأخصّ علیه؛ لضعف أصالة الجدّ فی العموم، و بالتأمّل فیما ذکر یعلم حال سائر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صرف العمر فی مثل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ثمرة فیه؛ لعدم العلم بتواریخ العمومات و الخصوصات غالباً أو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ینبغی، أسأل اللَّه العفو عنّی بفضله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شیخ أصحابنا فی زمانه و متقدمهم أبو الحسن عبد ربه بن أعین الملقّب بزرارة، کان ثقة قارئاً فقیهاً متکلماً شاعراً أدیباً اجتمعت فیه خلال الفضل و الدین و ممن أجمعت العصابة علی تصدیقه و الإقرار له بالفقه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الباقر و الصادق و الکاظم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الخطاب و حمران بن أعین و عبد الکریم بن عتبة الهاشمی و روی عنه إبراهیم بن أبی البلاد و أبان بن تغلب و علی بن رئاب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أصحابنا الفقیه الورع أبو جعفر محمد بن مسلم بن رباح الأوقص الطحان مولی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أوثق الناس قولًا و عملًا موسراً جلیلًا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الباقر و الصادق و الکاظم علیهم السلام و کان الباقر إذا رآه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المخبتین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الصادقین علیهما السلام و عن زرارة و حمران ابنی أعین و عن أبی حمزة الثمالی و روی عنه أبو أیوب الخزاز و إبراهیم بن عثمان و جمیل بن دراج و آخرون مات رحمه اللَّه فی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سماحة آیة اللَّه الشیخ مجتبی الطهرانی عن مجلس بحث المصنّف العلّامة الإمام الخمینی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المحقّق العلّامة الحائری رحمه الله عدل عمّا فی الدرر إلی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للإمام الخمینیّ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بعضها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التعبیر بعینه لکن سیأتی ما هو قریب منه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التعبیر لکن سیأتی مضمونه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مذکور فی ذیل الصفحة، و لعلّه للمقرّر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حاشیة الآخوند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الجلیل الفاضل المحدّث الثقة الشیخ أبو منصور أحمد بن علی بن أبی طالب الطبرسیّ شیخ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المائة الخامسة الذین أدرکوا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الکافی فی الفقه، و الاحتجاج، و مفاخرة الطالبیة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ملجأ الشیعة و مفزعهم أبو علیّ الحارث بن المغیرة النصری من نصر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الباقر و الصادق و الکاظم علیهم السلام، کما روی عن زید بن علی رضوان اللَّه علیه و کان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أبان بن عثمان و صفوان بن یحیی و معاویة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العمل بخبر الثقة واجب و لیس بموسّع، فلا بدّ من حمله علی مورد التعارض، فیکون من أخبار الباب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الثقة أبو محمد الحسن بن الجهم بن بکیر بن أعین الشیبانی روی عن الکاظم علیه السلام و کان من خواصّ الرضا صلوات اللَّه علیه و الرواة عنه کما روی عن عبد اللَّه بن بکیر و بکیر بن أعین و الفضیل 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أحمد بن محمد بن عیسی و الحسن بن علی بن فضّال و علیّ بن 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الشیعة و تاج الشریعة ثقة الإسلام و کهف العلماء الأعلام أبو جعفر محمد بن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أوثق الناس فی الحدیث و أثبتهم حتّی أنّه قضی عشرین عاماً فی تصنیف کتابه العظیم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یکن أحد مثله قدس سره فی اشتهاره و وجاهته و خدمته لمذهب أهل البیت،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علیهم السلام لذا فإنّ ابن الأثیر لم یجد بدّاً من أن یعدّه المجدّد لمذهب الإمامیة علی رأس المائة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فإنّ أمره فی العلم و الفقه و الحدیث و الثقة و الورع و جلالة الشأن أشهر من أن یسطره قلم أو یصوّره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 داعی ربّه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قبره ببغداد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الثقة أبو ناشرة سَماعة بن مِهْران الحضرمی مولی عبد بن وائل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یتّجر فی القز و یخرج به إلی حرّان و نزل الکوفة فی 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 و الکاظم علیهما السلام و عن أبی بصیر و محمد بن عمران و النسّابة الکلبی و روی عنه محمد بن أبی عمیر و الحسن بن محبوب و عثمان بن عیسی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النفاس،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أحمد بن الحسن بن إسماعیل بن شعیب بن میثم التمّار مولی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صحیح الحدیث معتمداً علیه إلّا أنّه کان واقفی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الرضا علیه السلام و عن أبان بن عثمان و الحسین بن المختار و یونس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إبراهیم بن هاشم و أحمد بن محمد بن عیسی و یعقوب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ذکرها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صخر العجلی من أصحاب الباقر و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حمران بن أعین و روی عنه أبو أیوب الخزاز و زرارة و صفوان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الإمام العلّامة الفقیه المحقق فخر الدین أبو عبد اللَّه محمد بن أحمد بن إدریس الحلّی العجلی وصفه الصفدی بأنّه کان عدیم النظیر فی الفقه و لم یکن فی وقته مثله و مدحه بعض الشعراء بقصیدة فضّله فیها علی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السرائر، تُوفی رحمه الله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 بالوفیات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الإمام الهادی صلوات اللَّه علیه، و لیعلم إنّ محمّد بن علی بن عیسی لم یکتب إلی الإمام الهادی علیه السلام، بل کاتب العسکریّ سلام اللَّه علیه، کما أنّ الروایة مأخوذة من کتاب مسائل محمّد بن علی بن عیسی، لا من مسائل الرجال لعلی بن محمد علیهما السلام، فراجع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قم و أمیرها محمد بن علی بن عیسی القمی الأشعری الطلحی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مسائل لأبی محمد العسکریّ علیه السلام رواها عنه محمد بن أحمد بن زیاد و أحمد بن محمّد بن عیسی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المحدث الثقة أبو جعفر محمد بن الحسن بن فرّوخ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العسکریّ علیه السلام و له إلیه علیه السلام مسائل تعرف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عن إبراهیم بن هاشم و أحمد بن محمد بن عیسی و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أحمد بن داود القمی و محمد بن الحسن بن الولید و محمد بن یحیی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الهمدانی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الرشتی عن المحدّث الحرّ العاملی انظر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الأدیب الفقیه المحدّث الکامل الشیخ محمد بن الحسن المعروف باسم جدّه الأعلی الشهید الحرّ الریاحی 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قریة مشغر من قری جبل عامل عام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عن والده و عمه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 بلغ الأربعین من عمره المبارک حتّی هاجر عن بلاده و استقر بطوس حیث المرقد الطاهر للإمام الرضا علیه السلام و هناک أعطی منصب قاضی القضاة و شیخ الإسلام ثمّ صار من أعاظم علمائها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أکثر من عشرین کتاباً منها تفصیل وسائل الشیعة إلی تحصیل مسائل الشریعة، الفوائد الطوسیة، إثبات الهداة بالنصوص و المعجزات و أمل الآمل فی علماء 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رئیس المحدّثین و محیی معالم الدّین الشیخ الحفظة أبو جعفر محمّد بن علی بن الحسین بن بابویه القمّی الخراسانیّ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بدعاء الإمام علیه السلام فکان اعجوبة عصره فی حفظ الأحادیث و البصیرة بالرجال و نقد الأخبار و لم یُرَ فی القمیین مثله فی حفظه و کثرة علمه و کان قد زار بغداد و هو حدث السن فسمع منه شیوخ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کثیرة أشهرها الفقیه، و العلل، و العیون و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رضوان اللَّه علیه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شیخ الطائفة و فقیهها و وجهها أبو القاسم سعد بن عبد اللَّه بن أبی خلف الأشعری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فی طلب الحدیث فلقی من وجوه العامة الحسن بن عرفة و أبا حاتم الرازی و غیرهما و سمع من حدیثهم الشی‌ء الکثیر و کان رحمه اللَّه کثیر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إبراهیم بن هاشم و أیّوب بن نوح و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أحمد بن محمد بن یحیی العطار و علی بن بابویه القمی و محمد بن الحسن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رضی اللَّه عنه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بهذا اللفظ، لکن ما یقرب منه لفظاً و یوافقه معنیً، هو ما رواه فی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فی سعة ما لم یعلموا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الاصول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مختار آیة اللَّه المحقّق العلّامة الحائری فی مجلس بحثه الشریف، فراجع التحقیق الجدید الذی کتبه بصورة التعلیق علی الدرر تلمیذه آیة اللَّه العظمی الأراکی قدس سره،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المحدث الثقة أبو الحسن علی بن إبراهیم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ثبتاً معتمداً کثیر الروایة صحیح المذهب و من أجلّ رواة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أبیه و صالح السندی و محمد بن عیسی بن عبید و روی عنه أحمد بن زیاد الهمدانی و محمد بن موسی بن المتوکّل و محمد بن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الفاضل الثقة أبو إسحاق إبراهیم بن هاشم کان بالکوفة ثمّ انتقل إلی قم فعرف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نشر حدیث الکوفیین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رحمه الله کثیر الروایة بل یمکن القول بأنّه أکثر راوٍ تردد اسمه فی مجامیعنا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الرضا و الجواد علیهما السلام و روی عن أکثر من مائة و ستین شخصاً منهم أحمد بن محمد بن أبی نصر البزنطی و محمد بن أبی عمیر و حمّاد ابن عیسی و روی عنه ابنه و علی بن الحسن بن فضّال و محمد بن علی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مشترک بین ابنی عثمان و عیسی عند ذکره مطلقاً فی روایاتنا، و ان کان الأقرب إرادة ابن عیسی کما یظهر من الشیخ و النجاشی فی ترجمتهما لحریز السجستانی و من طریق الصدوق لحریز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کیفما کان فهما ثقتان جلیلا القدر صحبا الصادق و الکاظم و الرضا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مات ابن عثمان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مات ابن عیسی غریقاً بالجحفة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الفقیه الثقة أبو محمد حریز بن عبد اللَّه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الکوفة ثمّ انتقل إلی سجستان و کان غالب أهلها خوارج یثلبون أمیر المؤمنین علیه السلام و یسبّونه فکان أصحاب حریز یخبرونه و یستأمرونه فی قتل من یسمعون منه ذلک، فأذن لهم فی قتلهم غیلة فکان الخوارج یجدون القتیل بعد القتیل و لا یشکّون بالشیعة لقلّة عددهم و یطالبون المرجئة و یقاتلونهم حتّی وقفوا علی حقیقة الأمر و طلبوا الشیعة فاجتمع أصحاب حریز إلیه فی المسجد فعرقبوا علیهم المسجد و قلبوا أرضه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الفاضل الثقة الحسین بن سعید بن حمّاد الأهوازی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الرضا و الجواد و الهادی علیهم السلام و کانت له کتب معروفة لدی الطائفة معمول بها معوّل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أحمد بن محمد بن أبی نصر و حمّاد بن عیسی و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إبراهیم بن هاشم و الحسن بن محبوب و محمد بن عیسی العبیدی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الثقة عبد الرحمن بن أبی عبد اللَّه میمون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الصادق علیه السلام و کان صهر الفضیل بن یسار، روی عن أبی العبّاس المکّی و حمران بن أعین و محمد بن مسلم و روی عنه أبان بن عثمان و الحسن بن محبوب و حمّاد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بین جماعة و لا یسعنا تمییزه فی هذه العجالة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 فی روایتی السکونی و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خالف کتاب اللَّه 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مقبولة عمر بن حنظلة،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مرفوعة زرارة،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الحسین بن السری و الحسن بن الجهم و محمّد بن عبد اللَّه،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السکونی و ابن أبی یعفور،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سماعة،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سماعة الاخری،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 هذه الامور من مرجّحات حکم الحَکَمین، لا الخبرین فراجع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المحقق العلّامة الحائری بخلافه، فراجع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لعلّ ما فی المتن مستفاد من مجلس بحثه قدس سره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نسخة المستدرک عن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الثقة داود بن الحصین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الصادق و الکاظم علیهما السلام و لکن حکی عنه القول بالوقف روی عن الفضل بن عبد الملک البقباق و منصور بن حازم و یعقوب بن شعیب، و روی عنه البزنطی و جعفر بن بشیر و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الثقة موسی بن أکیل النمیری الکوفی من أصحاب الصادق علیه السلام روی عن داود ابن الحصین و محمد بن مسلم و العلاء بن سیابة و روی عنه إبراهیم بن عبد الحمید و ذبیان بن حکیم الأزدی و علی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محمّد بن علیّ صاحب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 و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المحدّث الجلیل الثقة صاحب المقامات الباهرة أبو الحسن علیّ بن الحسین بن موسی بن بابویه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وجیهاً عند الإمام العسکری علیه السلام لذا 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روی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اوصیک یا شیخی و معتمدی و فقیهی یا أبا الحسن علیّ بن الحسین بن بابویه القمی، وفّقک اللَّه لمرضاته، و جعل من ولدک أولاداً 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ابنه ورود الدعاء من المعصوم فی حقّه و کان له موقف 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قبره بقم منبع للبرکات و الخیرات المعنویّة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العیاشی عن الحسن بن الجهم و غیرها، انظر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الطائفة الشیخ الفاضل الثقة أبو علی جمیل بن درّاج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و الکاظم علیهما السلام، و کان ممن أجمع الأصحاب علی تصحیح ما یصح عنه، کما روی عن أبان بن تغلب و عبد الرحمن بن الحجّاج و یونس بن ظبیان، و روی عنه الحسن بن محبوب و عبد اللَّه ابن المغیرة و 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صحیحة؛ لقوّة الظنّ بأنّ ما وقع فی سندها یحیی بن عمران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الثقة أیّوب بن الحرّ الجعفی الکوفی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الصادق و الکاظم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برید العجلی و عبید بن زرارة و محمّد بن علی الحلبی، و روی عنه عبد اللَّه بن مسکان و النضر بن سوید و یحیی بن عمران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من الباب المتقدّم،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القضاء، من الباب المتقدم،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الثقة الجلیل الورع أبو محمد عبد اللَّه بن أبی یعفور واقد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یقرئ القرآن فی مسجد الکوفة و کان کریماً علی الصادق علیه السلام و من أهل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علیه السلام و عن أخیه عبد الکریم بن أبی یعفور و أبی الصمت، و روی عنه أبان بن عثمان و حمّاد بن عیسی و فضالة ابن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أکثر أهل الشرق علماً و فضلًا و أدباً و فهماً و نبلًا فی زمانه الثقة الجلیل أبو النضر محمّد ابن مسعود بن محمد بن عیّاش السلمی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عیون هذه الطائفة جلیل القدر واسع الأخبار مضطلعاً بها، و کان أوّل أمره عامیّاً ثمّ تبصّر، و کان محبّاً للعلم فقد أنفق علیه ترکة أبیه البالغة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داره مرتعاً للشیعة و أهل العلم مملوءة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کتبه تزید علی المائتی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إلّا أنَّ المحقق النائینی قدس سره لم یلتزم بحمل الثانیة علی المخالفة بالعموم المطلق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الصدر قدس سره فی شرح الوافیة، و مال إلیه المحقق الرشتی قدس سره، انظر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الفقیه المحدث الفاضل النحریر العلّامة المتبحر أبو الحسین قطب الدین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هبة اللَّه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أعاظم محدثی الشیعة صاحب تصانیف کثیرة منها الخرائج و الجرائح و شرح نهایة الشیخ الطوسی و کتاب منهاج البراعة فی شرح نهج البلاغة و هو أوّل شرح ألّف علی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دفن فی صحن السیدة فاطمة المعصومة علیها السلام بمدینة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السَّری الکاتب الکرخی العبدی الأنباری من أصحاب الباقر و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العلّامة و ابن داود فی رجالهما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الحسن بن إبراهیم و جابر ابن یزید الجعفی و عمر بن یزید، و روی عنه الحسن بن محبوب و أبان بن عثمان و یونس بن عبد الرحمن و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الوسائل هو الحسین بن السری، و الظاهر أنّه سهو و الصحیح ما أثبته سماحة الإمام قدس سره فی المتن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المقرئ الثقة أبو الحسن علیّ بن أسباط بن سالم بیّاع الزطّی من أصحاب الرضا و الجواد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فطحیاً فجرت بینه و بین علی بن مهزیار رسائل فی ذلک رجعوا فیها إلی الإمام الجواد علیه السلام فرجع ابن أسباط عن ذلک القول و ترکه، روی عن إبراهیم بن أبی البلاد و العلاء بن رزین و یونس بن یعقوب، و روی عنه إبراهیم بن هاشم و الحسن بن علی الوشّاء و موسی بن القاسم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الثقة العین عبید بن زرارة بن أعین الشیبانی الکوفی من أصحاب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الرؤساء الأعلام المأخوذ منهم الحلال و الحرام الذین لا یطعن علیهم و لا طریق لذم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حمزة بن حمران و زرارة و عبد الملک بن أعین، و روی عنه ثعلبة بن میمون و جمیل بن درّاج و حریز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الصالح العالم العامل الثقة أبو جعفر محمّد بن إسماعیل بن بزیع الکوفی، صحب الکاظم و الرضا و الجواد علیهم السلام و کان فی عداد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حنان بن سدیر و منصور بن حازم و هشام بن سالم، و روی عنه إبراهیم بن هاشم و الحسین بن سعید و یعقوب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الطواف،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 هو أبو عبد اللَّه الحسین بن المختار الکوفی القلانسی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الصادق علیه السلام و کان من خاصّة الکاظم علیه السلام و ثقاته و أهل الورع و الفقه من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برید ابن معاویة و الحارث بن المغیرة و صفوان بن یحیی و روی عنه حمّاد بن عیسی و محمّد بن أبی عمیر و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المعلّی بن خنیس الکوفی المدنی مولی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ضعیف جداً لا یعوّل علیه بینما ذکر الشیخ فی غیبته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قوّام الصادق علیه السلام و کان ممدوحاً عنده، و مضی علی منهاجه، و إنّ أمره مشهور و إنّما قتله داود بن علی 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أنّ تضعیف النجاشی مستند إلی ملاحظة الروایات المذکورة فی کتاب المعلّی، و أمّا الشیخ فناظر إلی الروایات المادحة للمعلّی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أبو عمرو الکِنانیّ مجهول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المقبولة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فقیه الأصحاب المتکلّم العلّامة الشیخ أبو الفتح محمد بن علی بن عثمان الکراجکیّ نزیل 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أکابر تلامذة المرتضی و الشیخ و الدیلمی و الواسطی و روی عن المفید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ابن أبی الکامل و الشیخ حسکا و غیرهما و علیه قرأ السید الفقیه أبو الفضل ظفر بن الداعی الأسترآبادی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کنز الفوائد، معونة الفارض فی استخراج سهام الفرائض، المنهاج فی مناسک الحاجّ تُوفیّ رحمه اللَّه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الکنی و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التعادل و الترجیح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التعادل و الترجیح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الغامق یشیر إلی ذکر الشخص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الهلالان یشیران إلی ذکره فی الترجمة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الغامق یشیر إلی ذکر الکتاب فی المتن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43001</Words>
  <Characters>183290</Characters>
  <CharactersWithSpaces>224150</CharactersWithSpaces>
  <Paragraphs>2593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2026-08-17T06:59:16Z</dcterms:created>
  <dc:creator>ghaemiyeh.com</dc:creator>
  <dc:description/>
  <dc:language>en-US</dc:language>
  <cp:lastModifiedBy/>
  <dcterms:modified xsi:type="dcterms:W3CDTF">2026-08-17T10:29:22Z</dcterms:modified>
  <cp:revision>1</cp:revision>
  <dc:subject/>
  <dc:title>التعادل و الترجیح</dc:title>
</cp:coreProperties>
</file>

<file path=docProps/custom.xml><?xml version="1.0" encoding="utf-8"?>
<Properties xmlns="http://schemas.openxmlformats.org/officeDocument/2006/custom-properties" xmlns:vt="http://schemas.openxmlformats.org/officeDocument/2006/docPropsVTypes"/>
</file>