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اوج عرفان در مناجات ماه شعبان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540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545407_3650668749">
            <w:r>
              <w:rPr>
                <w:webHidden/>
                <w:rStyle w:val="IndexLink"/>
                <w:rtl w:val="true"/>
              </w:rPr>
              <w:t>«</w:t>
            </w:r>
            <w:r>
              <w:rPr>
                <w:rStyle w:val="IndexLink"/>
                <w:rtl w:val="true"/>
              </w:rPr>
              <w:t>شرحي بر فرازهايي از مناجات شعبانيّه</w:t>
            </w:r>
            <w:r>
              <w:rPr>
                <w:rStyle w:val="IndexLink"/>
                <w:rtl w:val="true"/>
              </w:rPr>
              <w:t>»</w:t>
              <w:tab/>
            </w:r>
            <w:r>
              <w:rPr>
                <w:rStyle w:val="IndexLink"/>
              </w:rPr>
              <w:t>4</w:t>
            </w:r>
          </w:hyperlink>
        </w:p>
        <w:p>
          <w:pPr>
            <w:pStyle w:val="Contents2"/>
            <w:tabs>
              <w:tab w:val="clear" w:pos="8743"/>
              <w:tab w:val="right" w:pos="9026" w:leader="dot"/>
            </w:tabs>
            <w:rPr/>
          </w:pPr>
          <w:hyperlink w:anchor="__RefHeading___Toc4545409_3650668749">
            <w:r>
              <w:rPr>
                <w:webHidden/>
                <w:rStyle w:val="IndexLink"/>
                <w:rtl w:val="true"/>
              </w:rPr>
              <w:t>بستر مناجات شعبانيّه</w:t>
            </w:r>
            <w:r>
              <w:rPr>
                <w:rStyle w:val="IndexLink"/>
                <w:rtl w:val="true"/>
              </w:rPr>
              <w:tab/>
            </w:r>
            <w:r>
              <w:rPr>
                <w:rStyle w:val="IndexLink"/>
              </w:rPr>
              <w:t>5</w:t>
            </w:r>
          </w:hyperlink>
        </w:p>
        <w:p>
          <w:pPr>
            <w:pStyle w:val="Contents2"/>
            <w:tabs>
              <w:tab w:val="clear" w:pos="8743"/>
              <w:tab w:val="right" w:pos="9026" w:leader="dot"/>
            </w:tabs>
            <w:rPr/>
          </w:pPr>
          <w:hyperlink w:anchor="__RefHeading___Toc4545411_3650668749">
            <w:r>
              <w:rPr>
                <w:webHidden/>
                <w:rStyle w:val="IndexLink"/>
                <w:rtl w:val="true"/>
              </w:rPr>
              <w:t>اوج مناجات شعبانيّه</w:t>
            </w:r>
            <w:r>
              <w:rPr>
                <w:rStyle w:val="IndexLink"/>
                <w:rtl w:val="true"/>
              </w:rPr>
              <w:tab/>
            </w:r>
            <w:r>
              <w:rPr>
                <w:rStyle w:val="IndexLink"/>
              </w:rPr>
              <w:t>7</w:t>
            </w:r>
          </w:hyperlink>
        </w:p>
        <w:p>
          <w:pPr>
            <w:pStyle w:val="Contents2"/>
            <w:tabs>
              <w:tab w:val="clear" w:pos="8743"/>
              <w:tab w:val="right" w:pos="9026" w:leader="dot"/>
            </w:tabs>
            <w:rPr/>
          </w:pPr>
          <w:hyperlink w:anchor="__RefHeading___Toc4545413_3650668749">
            <w:r>
              <w:rPr>
                <w:webHidden/>
                <w:rStyle w:val="IndexLink"/>
                <w:rtl w:val="true"/>
              </w:rPr>
              <w:t>محلّ عزّ قدس كجاست؟</w:t>
            </w:r>
            <w:r>
              <w:rPr>
                <w:rStyle w:val="IndexLink"/>
                <w:rtl w:val="true"/>
              </w:rPr>
              <w:tab/>
            </w:r>
            <w:r>
              <w:rPr>
                <w:rStyle w:val="IndexLink"/>
              </w:rPr>
              <w:t>9</w:t>
            </w:r>
          </w:hyperlink>
        </w:p>
        <w:p>
          <w:pPr>
            <w:pStyle w:val="Contents2"/>
            <w:tabs>
              <w:tab w:val="clear" w:pos="8743"/>
              <w:tab w:val="right" w:pos="9026" w:leader="dot"/>
            </w:tabs>
            <w:rPr/>
          </w:pPr>
          <w:hyperlink w:anchor="__RefHeading___Toc4545415_3650668749">
            <w:r>
              <w:rPr>
                <w:webHidden/>
                <w:rStyle w:val="IndexLink"/>
                <w:rtl w:val="true"/>
              </w:rPr>
              <w:t>برخي از ويژگي‌هاي آويختگان به محلّ عزّ قدس</w:t>
            </w:r>
            <w:r>
              <w:rPr>
                <w:rStyle w:val="IndexLink"/>
                <w:rtl w:val="true"/>
              </w:rPr>
              <w:tab/>
            </w:r>
            <w:r>
              <w:rPr>
                <w:rStyle w:val="IndexLink"/>
              </w:rPr>
              <w:t>12</w:t>
            </w:r>
          </w:hyperlink>
        </w:p>
        <w:p>
          <w:pPr>
            <w:pStyle w:val="Contents2"/>
            <w:tabs>
              <w:tab w:val="clear" w:pos="8743"/>
              <w:tab w:val="right" w:pos="9026" w:leader="dot"/>
            </w:tabs>
            <w:rPr/>
          </w:pPr>
          <w:hyperlink w:anchor="__RefHeading___Toc4545417_3650668749">
            <w:r>
              <w:rPr>
                <w:webHidden/>
                <w:rStyle w:val="IndexLink"/>
                <w:rtl w:val="true"/>
              </w:rPr>
              <w:t>نكته اي در ره زني شيطان</w:t>
            </w:r>
            <w:r>
              <w:rPr>
                <w:rStyle w:val="IndexLink"/>
                <w:rtl w:val="true"/>
              </w:rPr>
              <w:tab/>
            </w:r>
            <w:r>
              <w:rPr>
                <w:rStyle w:val="IndexLink"/>
              </w:rPr>
              <w:t>14</w:t>
            </w:r>
          </w:hyperlink>
        </w:p>
        <w:p>
          <w:pPr>
            <w:pStyle w:val="Contents2"/>
            <w:tabs>
              <w:tab w:val="clear" w:pos="8743"/>
              <w:tab w:val="right" w:pos="9026" w:leader="dot"/>
            </w:tabs>
            <w:rPr/>
          </w:pPr>
          <w:hyperlink w:anchor="__RefHeading___Toc4545419_3650668749">
            <w:r>
              <w:rPr>
                <w:webHidden/>
                <w:rStyle w:val="IndexLink"/>
                <w:rtl w:val="true"/>
              </w:rPr>
              <w:t>فطري بودن محبّت حضرت حق عزّ و جلّ</w:t>
            </w:r>
            <w:r>
              <w:rPr>
                <w:rStyle w:val="IndexLink"/>
                <w:rtl w:val="true"/>
              </w:rPr>
              <w:tab/>
            </w:r>
            <w:r>
              <w:rPr>
                <w:rStyle w:val="IndexLink"/>
              </w:rPr>
              <w:t>17</w:t>
            </w:r>
          </w:hyperlink>
        </w:p>
        <w:p>
          <w:pPr>
            <w:pStyle w:val="Contents2"/>
            <w:tabs>
              <w:tab w:val="clear" w:pos="8743"/>
              <w:tab w:val="right" w:pos="9026" w:leader="dot"/>
            </w:tabs>
            <w:rPr/>
          </w:pPr>
          <w:hyperlink w:anchor="__RefHeading___Toc4545421_3650668749">
            <w:r>
              <w:rPr>
                <w:webHidden/>
                <w:rStyle w:val="IndexLink"/>
                <w:rtl w:val="true"/>
              </w:rPr>
              <w:t>ترس و اميد در اين مناجات</w:t>
            </w:r>
            <w:r>
              <w:rPr>
                <w:rStyle w:val="IndexLink"/>
                <w:rtl w:val="true"/>
              </w:rPr>
              <w:tab/>
            </w:r>
            <w:r>
              <w:rPr>
                <w:rStyle w:val="IndexLink"/>
              </w:rPr>
              <w:t>18</w:t>
            </w:r>
          </w:hyperlink>
        </w:p>
        <w:p>
          <w:pPr>
            <w:pStyle w:val="Contents2"/>
            <w:tabs>
              <w:tab w:val="clear" w:pos="8743"/>
              <w:tab w:val="right" w:pos="9026" w:leader="dot"/>
            </w:tabs>
            <w:rPr/>
          </w:pPr>
          <w:hyperlink w:anchor="__RefHeading___Toc4545423_3650668749">
            <w:r>
              <w:rPr>
                <w:webHidden/>
                <w:rStyle w:val="IndexLink"/>
                <w:rtl w:val="true"/>
              </w:rPr>
              <w:t>اشاره به نكته اي در آغاز و انجام دعا به صلوات</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5_19106"/>
      <w:bookmarkStart w:id="1" w:name="pg2085_19106"/>
      <w:bookmarkEnd w:id="1"/>
    </w:p>
    <w:p>
      <w:pPr>
        <w:pStyle w:val="Heading2"/>
        <w:numPr>
          <w:ilvl w:val="1"/>
          <w:numId w:val="1"/>
        </w:numPr>
        <w:rPr/>
      </w:pPr>
      <w:bookmarkStart w:id="2" w:name="pg2085_19106"/>
      <w:bookmarkStart w:id="3" w:name="__RefHeading___Toc454540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سيدمحمدرضا مدرسي طباطبايي يزدي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Heading2"/>
        <w:numPr>
          <w:ilvl w:val="1"/>
          <w:numId w:val="1"/>
        </w:numPr>
        <w:rPr/>
      </w:pPr>
      <w:bookmarkStart w:id="5" w:name="__RefHeading___Toc4545407_3650668749"/>
      <w:bookmarkStart w:id="6" w:name="_Toc2"/>
      <w:bookmarkEnd w:id="5"/>
      <w:r>
        <w:rPr>
          <w:rtl w:val="true"/>
        </w:rPr>
        <w:t>«</w:t>
      </w:r>
      <w:r>
        <w:rPr>
          <w:rtl w:val="true"/>
        </w:rPr>
        <w:t>شرحي بر فرازهايي از مناجات شعبانيّه</w:t>
      </w:r>
      <w:r>
        <w:rPr>
          <w:rtl w:val="true"/>
        </w:rPr>
        <w:t>»</w:t>
      </w:r>
      <w:bookmarkEnd w:id="6"/>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 و لعنة الله علي أعدائهم أجمعين</w:t>
      </w:r>
    </w:p>
    <w:p>
      <w:pPr>
        <w:pStyle w:val="BookText"/>
        <w:rPr/>
      </w:pPr>
      <w:r>
        <w:rPr>
          <w:rFonts w:ascii="IRNazanin" w:hAnsi="IRNazanin" w:eastAsia="IRNazanin"/>
          <w:color w:val="111111"/>
          <w:sz w:val="28"/>
          <w:sz w:val="28"/>
          <w:szCs w:val="28"/>
          <w:rtl w:val="true"/>
          <w:lang w:bidi="fa-IR"/>
        </w:rPr>
        <w:t>بحمدالله از اين دعاي شريف و روح نواز، با نواي خوش برادر بزرگوار بهره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مورد رضاي حضرت حق عزّ اسمه و توجّهات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 و أرواحنا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جلسه را مورد نظر خاصّ خود قرار داده و از مؤسّس و همه‌ي كساني كه شركت نموده‌اند به أحسن وجه قبول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لحظاتي كه خدمت برادران و خواهران مكرّم هستم، هيچ چيز مناسب تر از اين نيست كه كلّيّاتي درباره‌ي همين مناجات شريف شعبانيّه ـ با اين مضامين عالي ـ طرح نمايم؛ گرچه سخن گفتن درباره‌ي اين دعا واقعاً كار مشكلي است و بيان و ذوق و روح ديگري مي خواهد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به حَسَب آن‌چه كه نقل شده است، مناجات، گفتگو و ابراز شوق و علاقه ي اميرالمؤمنين و اولاد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تعبيري، عشق بازي آنان با پروردگار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فقرات اين مناجات، مضاميني وجود دارد كه فوق عقول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الفاظش را تكرار مي‌كنيم؛ ممكن است معاني تحت اللّفظي اش را هم بفهميم؛ امّا درك عمق و ژرفايش 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زبان معصوم صادر شده ـ براي افراد عادي و انسان هاي معمولي و حتّي براي كساني كه به عنوان عارف شناخته شده اند محال است؛ چه رسد به امثال من و كساني كه در اين سطوح نازل، گرفتار</w:t>
      </w:r>
      <w:bookmarkStart w:id="7" w:name="pg2085_19108"/>
    </w:p>
    <w:p>
      <w:pPr>
        <w:pStyle w:val="BookText"/>
        <w:rPr/>
      </w:pPr>
      <w:bookmarkEnd w:id="7"/>
      <w:r>
        <w:rPr>
          <w:rFonts w:ascii="IRNazanin" w:hAnsi="IRNazanin" w:eastAsia="IRNazanin"/>
          <w:color w:val="111111"/>
          <w:sz w:val="28"/>
          <w:sz w:val="28"/>
          <w:szCs w:val="28"/>
          <w:rtl w:val="true"/>
          <w:lang w:bidi="fa-IR"/>
        </w:rPr>
        <w:t>رسوبات مادّيّت و إخلاد إلي الأرض و پاي بند هوي و هوس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اميدواريم كه خداوند متعال رَشحه اي از رَشَحات و قطره اي از آن بِحار معارف و محبّت ها را نصيب ما بگرداند </w:t>
      </w:r>
      <w:r>
        <w:rPr>
          <w:rFonts w:eastAsia="IRNazanin" w:cs="IRNazanin"/>
          <w:color w:val="111111"/>
          <w:sz w:val="28"/>
          <w:szCs w:val="28"/>
          <w:rtl w:val="true"/>
          <w:lang w:bidi="fa-IR"/>
        </w:rPr>
        <w:t>.</w:t>
      </w:r>
    </w:p>
    <w:p>
      <w:pPr>
        <w:pStyle w:val="Heading2"/>
        <w:numPr>
          <w:ilvl w:val="1"/>
          <w:numId w:val="1"/>
        </w:numPr>
        <w:rPr/>
      </w:pPr>
      <w:bookmarkStart w:id="8" w:name="__RefHeading___Toc4545409_3650668749"/>
      <w:bookmarkStart w:id="9" w:name="_Toc3"/>
      <w:bookmarkEnd w:id="8"/>
      <w:r>
        <w:rPr>
          <w:rtl w:val="true"/>
        </w:rPr>
        <w:t>بستر مناجات شعبانيّه</w:t>
      </w:r>
      <w:bookmarkEnd w:id="9"/>
    </w:p>
    <w:p>
      <w:pPr>
        <w:pStyle w:val="BookText"/>
        <w:rPr/>
      </w:pPr>
      <w:r>
        <w:rPr>
          <w:rFonts w:ascii="IRNazanin" w:hAnsi="IRNazanin" w:eastAsia="IRNazanin"/>
          <w:color w:val="111111"/>
          <w:sz w:val="28"/>
          <w:sz w:val="28"/>
          <w:szCs w:val="28"/>
          <w:rtl w:val="true"/>
          <w:lang w:bidi="fa-IR"/>
        </w:rPr>
        <w:t>از آغاز تا پايان اين دعا سلسله‌اي از معارف و حقايق عالَمِ وجود است؛ از مبدأ هستي و غِنا و عظمت پروردگار، از ضعف و مسكنت مخلوق و از عشق و محبّت الهي سخن مي گويد و اين كه غير از او هيچ نيست و جز او همه ظُلُمات است و 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مضامين به گونه اي بيان شده كه اگر انسان آن را با توجّه بخواند و مخصوصاً تكرار نمايد، معنويّت آن در ژرفاي جان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نشيند، به اعماق روح تزريق مي شود و در باطن آدمي جاي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مناجات حقيقت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عرفان آن چيزي است كه مورد تأييد اهل بيت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 چه كه با سوء برداشت‌ها و سوء استفاده‌ها، به ناحق به عنوان عرفان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عرفان كساني است كه در طريقه ي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اهل بيت صد در صد تعبّد محض دارند امثال سلمان وكميل، و آنان‌كه پرورش يافته و شاگردان امام باقر و امام صادق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بودند و شاگردان شاگردان آن ها،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مطالبي در كتاب هاي كلامي، فلسفي و يا درآثار عرفاني بخوانيم، ولي حقيقت معاني آن در عمق جان رسوخ نمي كند و قلب و روح متحقّق به آن معاني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دعاهايي كه از ائمّه وارد شده است مي تواند اين معاني را در عمق جان نفوذ بدهد و وجود انسان را به آن حقايق متحقّق كند؛ به گونه اي كه نورانيّت آن را حس نموده و شهود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چه بسا افرادي كه اصطلاحات علمي را نمي‌دانند ـ نه اين كه بگويم ندانستن كمال است، نه، اشتباه نشود؛ راه حقيقي از راه معرفت و علم و دانش است ـ امّا به كمك همين ادعيه و مناجات هايي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فرمودند، نتيجه و غايات آن دانش ها را با عبادت ها، ذكرها، مناجات ها و انس شان به اين دعاها و مداومت بر آن حقايق، كشف نمودند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دريايي از دعاها با مضامين عالي از ائمّه 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به يادگار مانده كه اثرات علمي ـ تربيتي فراواني دارد؛ معارف حقّه را بيان نموده و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معارف ـ با همه‌ي فشارها و تلاش هايي كه براي حذف آن ها توسط ظالمان و غاصبان صورت گرفته ـ در لابلاي كتب تا به امروز باقي مانده و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دعاي كميل، دعاي صباح،</w:t>
      </w:r>
    </w:p>
    <w:p>
      <w:pPr>
        <w:pStyle w:val="BookText"/>
        <w:rPr/>
      </w:pPr>
      <w:r>
        <w:rPr>
          <w:rFonts w:ascii="IRNazanin" w:hAnsi="IRNazanin" w:eastAsia="IRNazanin"/>
          <w:color w:val="111111"/>
          <w:sz w:val="28"/>
          <w:sz w:val="28"/>
          <w:szCs w:val="28"/>
          <w:rtl w:val="true"/>
          <w:lang w:bidi="fa-IR"/>
        </w:rPr>
        <w:t>دعاي جوشن ، دعاي عرفه ، صحيفه ي سجّاديه، دعاهاي ماه رمضان، زيارات ودعاهاي بعد از آن‌ها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دعاها بعضي واقعاً از غُرر ادعيه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ادعيه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مضامين و معاني، از نظر الفاظ و از حيث آهنگ و موسيقي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علّتش چه بوده، هرچه مي خواهد باشد، يقيناً بي حكمت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براي بالا بردن معرفت انسان به مبدأ و معاد، و براي ارتقاء انديشه و عمق بخشيدن به آن درباره‌ي حقيقت هستي، و هم‌چنين براي تربيت اخلاقي و كسب خصايل عالي انساني، بسيار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غُرَر ادعيه، همين دعاي شريف و مناجات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معظّم شعبان است كه به مناجات شعبانيّه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هميشه مورد توجّه علما و عرفاي حقيقي و اهل ذوق و حالات معنوي و روحاني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دعا به مناسبت ماه شعبان است و دعاي اميرالمؤمنين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هر وقت كه حضور قلبي باشد خواندن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معلوم مي شود كه اين دعا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بعد از اين‌كه حضرت امام خميني ـ كه خود مربّي نفوس و مزكّي قلوب بود ـ عنايت خاصّي به اين دعا ابراز نمود، بحمدالله دعا فراگيرتر 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فقره اي از اين مناجات از لحاظ معرفتي و تربيتي، مطالب و مضامين بسيار والايي دارد كه در سر تا سر اين دعا موج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دعا از يك طرف، فلسفه ـ به معناي اعمّ ـ است كه حقيقت هستي را تبيين مي‌كند كه اصلاً هستي چيست؟ مبدأ هستي كدام است؟ غايت هستي چيست؟ أسماء حسناي الهي چيست؟ انسان چه نقشي در اين عالم هستي دارد؟ چگونه بايد رفتار كند؟ چه خصوصيّتي دارد؟ ضعف دروني انسان كدام است؟ از طرف ديگر، جهات اخلاقي و تربيتي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رسيدن به هدف نهايي و كمال انساني خود نمي تواند تنها به معرفت اكتفا كند؛ بلكه بايد تربيت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تربيتي كه در اين دعا به كار رفته،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انسان با اين دعا انس بگيرد و با توجّه به معاني اش آن را زمزمه كند، روحش صيقل مي خورد؛ به اهتزاز در مي آيد و كم كم عادت مي كند به عالم معنا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خود اين دعاي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ارواح ما را به محلّ قدست معلّق و متّصل گردان</w:t>
      </w:r>
      <w:r>
        <w:rPr>
          <w:rFonts w:eastAsia="IRNazanin" w:cs="IRNazanin"/>
          <w:color w:val="111111"/>
          <w:sz w:val="28"/>
          <w:szCs w:val="28"/>
          <w:rtl w:val="true"/>
          <w:lang w:bidi="fa-IR"/>
        </w:rPr>
        <w:t>.</w:t>
      </w:r>
      <w:r>
        <w:rPr>
          <w:rStyle w:val="FootnoteAnchor"/>
          <w:rtl w:val="true"/>
        </w:rPr>
        <w:footnoteReference w:id="2"/>
      </w:r>
      <w:bookmarkStart w:id="10" w:name="pg2085_19112"/>
    </w:p>
    <w:p>
      <w:pPr>
        <w:pStyle w:val="Heading2"/>
        <w:numPr>
          <w:ilvl w:val="1"/>
          <w:numId w:val="1"/>
        </w:numPr>
        <w:rPr/>
      </w:pPr>
      <w:bookmarkStart w:id="11" w:name="__RefHeading___Toc4545411_3650668749"/>
      <w:bookmarkStart w:id="12" w:name="_Toc4"/>
      <w:bookmarkEnd w:id="10"/>
      <w:bookmarkEnd w:id="11"/>
      <w:r>
        <w:rPr>
          <w:rtl w:val="true"/>
        </w:rPr>
        <w:t>اوج مناجات شعبانيّه</w:t>
      </w:r>
      <w:bookmarkEnd w:id="12"/>
    </w:p>
    <w:p>
      <w:pPr>
        <w:pStyle w:val="BookText"/>
        <w:rPr/>
      </w:pPr>
      <w:r>
        <w:rPr>
          <w:rFonts w:ascii="IRNazanin" w:hAnsi="IRNazanin" w:eastAsia="IRNazanin"/>
          <w:color w:val="111111"/>
          <w:sz w:val="28"/>
          <w:sz w:val="28"/>
          <w:szCs w:val="28"/>
          <w:rtl w:val="true"/>
          <w:lang w:bidi="fa-IR"/>
        </w:rPr>
        <w:t>با خواندن اين دعا روح لحظه به لحظه اوج مي‌گيرد و بالا و بالاتر مي‌رود تا آن‌جا كه از رسوبات مادّيِت رها شده و به سرچشمه‌ي هستي نزديك و نزديك‌تر مي‌گردد و آن‌گاه در يك حالت مستعدّي مي‌خوانيم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هَب لِي كَمالَ الإنقِطاعِ إِلَيك و أنِر أبصارَ قُلُوبِنا بِضِياءِ نَظَرِها إِلَيك حَتَّى تَخرِقَ أبصارُ القُلُوبِ حُجُبَ النُّورِ فَتَصِلَ إِلى مَعدِنِ العَظَمَةِ وَ تَصِيرَ أرواحُنا مُعَلَّقَةً بِعِزِّ قُدسِك؛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 نهايت بريدن به سوي خودت را، و روشن فرما چشم‌هاي دل‌هاي ما را به كمك نگاه‌هاي آن‌ها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چشم‌هاي دل‌ها پرده‌هاي نور را بشكافد و به معدن عظمت برسد و ارواح آويخته‌ي به عزّ قدس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چيز‌هايي را مي‌گوييم و الفاظي را تكرار مي‌كنيم و حتّي معانيي را براي خودمان ترسيم مي نماييم، ولي معاني به قدري دقيق و بالا و با عظمت است كه اگر امثال ما با اين ظرفيت‌هاي كم، حقيقت آن را بفهميم معلوم نيست كه بتوانيم ادامه‌ي حيات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نظيرش همّام ـ حتّي با آن روح بلند ـ كه وقتي خدمت اميرالمؤمنين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متّقين را براي من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خطبه‌ي جانانه‌اي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اين شخص فرياد و صعقه‌اي زد و قالب تهي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اين‌ها را بفهميم حداقل اين است كه بايد صعقه‌اي زده و مدهوش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دستمان به اوج نمي‌رسد، در مرحله‌ي پايين‌تري اين معاني را زمزمه كنيم و به اندازه‌ي ظرفيت‌هاي خودمان جرعه‌اي از اين اقيانوس رحمت و بركت را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خداوند متعال اين‌گونه 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الإنقِطاعِ إِلَيك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فرد از هرچه غير خداست ببرد و هيچ دل‌بستگي و وابستگي به غير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فرزند، همسر، جاه، مقام و خلاصه از دنيا و ما فيها و بلكه حتّي از بهشت و جهنّم هم ببرد و فقط خدا و تنها خداوند متعال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انقطاع است؛ بداند كه غير خدا، هيچ چيز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هيچ قدرتي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خداست؛ تمام قدرت‌ها، تمام نعمت‌ها، تمام رحمت‌ها و تمام هستي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توفيقي هم پيدا كرده</w:t>
      </w:r>
    </w:p>
    <w:p>
      <w:pPr>
        <w:pStyle w:val="BookText"/>
        <w:rPr/>
      </w:pPr>
      <w:r>
        <w:rPr>
          <w:rFonts w:ascii="IRNazanin" w:hAnsi="IRNazanin" w:eastAsia="IRNazanin"/>
          <w:color w:val="111111"/>
          <w:sz w:val="28"/>
          <w:sz w:val="28"/>
          <w:szCs w:val="28"/>
          <w:rtl w:val="true"/>
          <w:lang w:bidi="fa-IR"/>
        </w:rPr>
        <w:t>باشيم در اين وادي سخني بگوييم آن‌هم به عنايت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وَفَّقتَنِي بِخَيرٍ فَأنتَ دَلِيلِي عَلَيهِ وَ طَرِيقِي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خيري كه مرا موفّق فرمودي، تو راهنماي من بر آن، و راه من به سوي آن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بدانيم كه هرچه غير خداست، جز ذلّت و مسكنتْ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حقايق، لمس كردن و احساس كردن آن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خيلي مشكل نيست ولي اين‌كه كسي متحقّق به اين حقيقت شود و به گونه‌اي باشد كه با تمام وجودش اين معني را بفهمد و بالطّبع در اعمالش هم ظاهرگردد، به اين سادگي‌ها دست يافتني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قُطّاعُ الفَيافي إلي الحِميٰ كََثيرٌ و أمّا الواصِلونَ قَليلٌ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بيابان‌ها به سوي مأمن دوست زيادند؛ امّا به مقصد رسيدگان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بايد همه‌ي وجود را فرا گيرد كه هيچ غفلتي نباشد بلكه هميشه حضور باشد و چشم حقيقت از رخسار محبوب بر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إلي شَأوِ العُلي حَرَكاتٌ ولكِن عَزيزٌ في الرِّجالِ ثَباتٌ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همه به سوي دور دست ها حركاتي است وليكن ثبات در آن مراتب نادر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ياد خدا بايد عين جان بشود؛ نه فقط به زبان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لساني هم باشد و لازم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طوري كه در دعاي شريف كميل مي‌خوانيد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لِساني بِذِكرِكَ لَهِجاً؛ خدايا زبان مرا قرار بده تا به ذكر تو حركت كند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ذكر زباني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معني واقعي كلمه به ياد خدا بوده و غفلت نداشته باشد، آن وقت مي‌تواند بفهمد كه انقطاع الي الله چيست، تا كمال انقطاع را از خداوند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نتيجه‌ي رسيدن به كمال انقطاع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هَب لِي كَمالَ الإنقِطاعِ إِلَيك و أنِر أبصارَ قُلُوبِنا بِضِياءِ نَظَرِها إِلَيك حَتَّى تَخرِقَ أبصارُ القُلُوبِ 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جايي مي‌رسد كه حتّي حجاب‌هاي نوري بين او و خداوند برداشته مي‌شود و به معدن عظمت مي‌رسد و تمام پرده‌ها كنار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و حجاب‌ها دو نوعند</w:t>
      </w:r>
      <w:r>
        <w:rPr>
          <w:rFonts w:eastAsia="IRNazanin" w:cs="IRNazanin"/>
          <w:color w:val="111111"/>
          <w:sz w:val="28"/>
          <w:szCs w:val="28"/>
          <w:rtl w:val="true"/>
          <w:lang w:bidi="fa-IR"/>
        </w:rPr>
        <w:t>:</w:t>
      </w:r>
      <w:bookmarkStart w:id="13" w:name="pg2085_19116"/>
    </w:p>
    <w:p>
      <w:pPr>
        <w:pStyle w:val="BookText"/>
        <w:rPr/>
      </w:pPr>
      <w:bookmarkEnd w:id="1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حجاب‌ها و پرده‌هاي ظلماني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امثال ما مبتلا هستيم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دنياطلبي‌ها، جاه‌طلبي‌ها، قدرت‌پرستي‌ها، اسارت به همسر و فرزند و امثال اين‌هاست كه حُجُب ظلماني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پرده‌هايي كه بين عبد و خداست پرده‌هاي نوراني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مهم است كه شخص از اين پرده‌ها نيز بگذرد و به معدن عظمت الهي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پرده‌هاي نوراني، عبادات و علوم خود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رفتن به بهشت نور است؛ ولي اگر كسي بخواهد به سرچشمه و معدن اصلي نور برسد حتّي اين‌ها هم مانع رفتن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انقطاع الي الله مرتبه‌ي برتري است كه علم و عبادت هم مي‌تواند مانع شود؛ بلكه چه بسا برخي تجلّيات اسماء و صفات ـ و چيزهاي ديگري كه فعلاً نمي‌خواهم بيان كنم ـ مي‌تواند مانع رسيدن به معدن عظمت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مرتبه‌اي است كه در لسان برخي،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كه ديگر جز خدا هيچ چيز را نمي‌بيند و اگر چيز ديگري را ببيند به خدا مي‌بيند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تَخرِقَ أبصَارُ القُلُوبِ حُجُبَ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چشم‌هاي دل‌ها پرده‌هاي نوراني را مي‌شكافد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بِضِياءِ نَظَرِها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نور خاصّي كه به خداوند متعال نظر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تَصِيرَ أروَاحُنَا مُعَلَّقَةً بِعِزِّ قُدسِك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ارواح چنين افرادي به محلّ عزّت قدس الهي آويخته‌اند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چيزي واسطه‌ي بين عبد و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است كه آخرين درجه‌ي كمال انساني را به دست مي‌آورد</w:t>
      </w:r>
      <w:r>
        <w:rPr>
          <w:rFonts w:eastAsia="IRNazanin" w:cs="IRNazanin"/>
          <w:color w:val="111111"/>
          <w:sz w:val="28"/>
          <w:szCs w:val="28"/>
          <w:rtl w:val="true"/>
          <w:lang w:bidi="fa-IR"/>
        </w:rPr>
        <w:t>.</w:t>
      </w:r>
    </w:p>
    <w:p>
      <w:pPr>
        <w:pStyle w:val="Heading2"/>
        <w:numPr>
          <w:ilvl w:val="1"/>
          <w:numId w:val="1"/>
        </w:numPr>
        <w:rPr/>
      </w:pPr>
      <w:bookmarkStart w:id="14" w:name="__RefHeading___Toc4545413_3650668749"/>
      <w:bookmarkStart w:id="15" w:name="_Toc5"/>
      <w:bookmarkEnd w:id="14"/>
      <w:r>
        <w:rPr>
          <w:rtl w:val="true"/>
        </w:rPr>
        <w:t>محلّ عزّ قدس كجاست؟</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محلّ عزّ قدس كجاست؟ آن محلّ أعلي كجاست؟ نزديك به اين تعبير در قرآن كريم و نهج البلاغه و بعض كتب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بتوانيم با مقايسه‌ي اين‌ها تا اندازه‌اي بفهميم محلّ عزّ قدس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دو جا از ملأ أعلي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خداوند متعال به پيامبرش فرمان مي‌دهد و مي‌فرمايد اين‌چنين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علمي به ملأ أعلي نداشتم وقتي كه فرشتگان درباره‌ي خلقت آدم مجادله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خداوند متعال به فرشتگان فرمود مي‌خواهم آدم را خلق كنم،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موجود مُفِسدِ ظالم را براي چه خلق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اين‌جا بنده‌هاي تو هستيم و تو را تسبيح و تقديس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به چه دردي مي‌خورد؟ ـ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همانا من مي‌دانم آن‌چه را كه شما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شاهد سخن، خداوند خطاب به پيامبر مي‌فرمايد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لِي مِن عِلمٍ بِالمَلَإِ الأعلى إِذ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ملأ أعلي علمي نداشتم و نه كتابي خوانده بودم و نه از كسي شنيده بودم و با علم عادي نمي‌توانستم به آن دسترسي داشته باشم؛ بلكه تعليم الهي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خداوند متعال درباره‌ي راندن شياطين از ملأ أعلي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 وَ يُقذَفُونَ مِن كُلِّ جانِب</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شياطين نمي‌توانند سخنان فرشتگان را كه در ملأ أعلي هستند بشنوند؛ مگر دزدانه كه ـ با شهاب</w:t>
      </w:r>
      <w:r>
        <w:rPr>
          <w:rStyle w:val="FootnoteAnchor"/>
          <w:rtl w:val="true"/>
        </w:rPr>
        <w:footnoteReference w:id="7"/>
      </w:r>
      <w:r>
        <w:rPr>
          <w:rFonts w:ascii="IRNazanin" w:hAnsi="IRNazanin" w:eastAsia="IRNazanin"/>
          <w:color w:val="111111"/>
          <w:sz w:val="28"/>
          <w:sz w:val="28"/>
          <w:szCs w:val="28"/>
          <w:rtl w:val="true"/>
          <w:lang w:bidi="fa-IR"/>
        </w:rPr>
        <w:t>ـ زده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ملأ أعلي آن عالَم و جايي است كه جمع فرشتگان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نهج البلاغه مي‌خوانيم كه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اولياي ويژه‌ي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صَحِبُوا الدُّنيا بِأبدانٍ أرواحُها مُعَلَّقَةٌ بِالمَحَلِّ الأعلَى</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 همدم دنيايند، ولي جان‌شان به محلّ اعلي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كساني هستند؟ اين‌ها خلفاء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آنان هجوم آورده است، آن‌هم علمي كه بر اساس حقيقت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ما مي‌خواهيم يك كلمه بياموزيم بايد چقدر تلاش كنيم؛ حالا درست</w:t>
      </w:r>
    </w:p>
    <w:p>
      <w:pPr>
        <w:pStyle w:val="BookText"/>
        <w:rPr/>
      </w:pPr>
      <w:r>
        <w:rPr>
          <w:rFonts w:ascii="IRNazanin" w:hAnsi="IRNazanin" w:eastAsia="IRNazanin"/>
          <w:color w:val="111111"/>
          <w:sz w:val="28"/>
          <w:sz w:val="28"/>
          <w:szCs w:val="28"/>
          <w:rtl w:val="true"/>
          <w:lang w:bidi="fa-IR"/>
        </w:rPr>
        <w:t>يا غلط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اميرالمؤمنين درباره‌ي آنان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آن‌ها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علمي كه با آن حقيقت اشياء را مي‌فهمند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باشَرُوا رُوحَ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علمي كه همراه يقين است و در جانشان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شيداي ديدار آنانم؟</w:t>
      </w:r>
    </w:p>
    <w:p>
      <w:pPr>
        <w:pStyle w:val="BookText"/>
        <w:rPr/>
      </w:pPr>
      <w:r>
        <w:rPr>
          <w:rFonts w:ascii="IRNazanin" w:hAnsi="IRNazanin" w:eastAsia="IRNazanin"/>
          <w:color w:val="111111"/>
          <w:sz w:val="28"/>
          <w:sz w:val="28"/>
          <w:szCs w:val="28"/>
          <w:rtl w:val="true"/>
          <w:lang w:bidi="fa-IR"/>
        </w:rPr>
        <w:t>من در اين‌جا مي‌خواهم يك ارتباطي بين دعا و كلمات اميرالمؤمنين برقرار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مناجات شعبانيّه را من و شما مي‌خوانيم، بايد ببينيم چه چيزي را طلب مي‌كنيم؟ ببينيم چه كار مي‌خواهيم بكنيم؟ آيا براي اين سفر طولاني و مهم، توشه‌اش را هم آماده كرده‌ايم؟ يا تنها لقلقه‌ي زبان است؟</w:t>
      </w:r>
    </w:p>
    <w:p>
      <w:pPr>
        <w:pStyle w:val="BookText"/>
        <w:rPr/>
      </w:pPr>
      <w:r>
        <w:rPr>
          <w:rFonts w:ascii="IRNazanin" w:hAnsi="IRNazanin" w:eastAsia="IRNazanin"/>
          <w:color w:val="111111"/>
          <w:sz w:val="28"/>
          <w:sz w:val="28"/>
          <w:szCs w:val="28"/>
          <w:rtl w:val="true"/>
          <w:lang w:bidi="fa-IR"/>
        </w:rPr>
        <w:t>محلّ عزّ قدسي كه درخواست مي‌كنيم از آن ملأ أعلي كه جمع فرشتگان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ملأ أعلي حداقل اين است كه شياطين مي‌توانستند دزدانه سَرَك بكشند و رانده شوند؛ امّا آن‌چه در اين‌جا آمده است محلّ عزّ قدس و معدن عظمت است؛ حتّي شياطين دزدانه هم نمي‌توانند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محض است و در عين حال مرتبه‌ي عزّ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غير قدس بودن آن جا مقهور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مناجات هست، از آن ملأ أعلي كه در آيه آمده بالاتر است و شايد همان چيزي باشد كه در نهج البلاغه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صَحِبُوا الدُّنيا بِأبدانٍ أرواحُها مُعَلَّقَةٌ بِالمَحَلِّ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خوبان و پاكان و قدسيان با دنيا آن‌چنان مصاحبت مي‌كنند كه روحشان معلّق به محلّ أعلي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قطعه استفاده مي‌كنيم كه اين آويختگي به عالم بالا براي بعد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با اين بدن‌هايي كه من و شما داريم، مصاحبت مي‌كنند؛ امّا باطن آنان كه ارواح‌شان باشد، معلّق به ملأ أعلي و در آن محلّ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مي‌بيند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ديگري را هم مي‌بيند به خداوند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قطعه‌ي نهج‌البلاغه مثل آن‌چه باشد كه در مناجات شعانيّه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فَناجَيتَه سِرّاً و عَمِلَ لَكَ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تو به سِرْ بنده‌ات را ندا مي‌دهي، در حالي كه او آشكارا براي تو كار مي‌كند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سِر ندا مي‌دهي يعني روحش معلّق به عزّ قدس است، در حالي كه بدنش در ميان مردم مي‌باشد و مصداقي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الَّذِي يَسْمَعُ بِهِ وَ بَصَرَهُ الَّذِي يُبْصِرُ بِهِ وَ لِسَانَهُ الَّذِي</w:t>
      </w:r>
      <w:bookmarkStart w:id="16" w:name="pg2085_19122"/>
    </w:p>
    <w:p>
      <w:pPr>
        <w:pStyle w:val="BookText"/>
        <w:rPr/>
      </w:pPr>
      <w:bookmarkEnd w:id="16"/>
      <w:r>
        <w:rPr>
          <w:rFonts w:ascii="Amiri" w:hAnsi="Amiri" w:eastAsia="Amiri" w:cs="Amiri"/>
          <w:color w:val="111111"/>
          <w:sz w:val="28"/>
          <w:sz w:val="28"/>
          <w:szCs w:val="28"/>
          <w:rtl w:val="true"/>
          <w:lang w:bidi="ar-SA"/>
        </w:rPr>
        <w:t>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گوش عبد مي‌شوم كه به آن مي‌شنود، و چشم او مي‌شوم كه به آن مي‌بيند، و زبان او مي‌شوم كه بدان سخن مي‌گويد، و دست او مي‌شوم كه بدان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جوابش گويم و اگر درخواست كند، به او عطا نمايم</w:t>
      </w:r>
      <w:r>
        <w:rPr>
          <w:rFonts w:eastAsia="IRNazanin" w:cs="IRNazanin"/>
          <w:color w:val="111111"/>
          <w:sz w:val="28"/>
          <w:szCs w:val="28"/>
          <w:rtl w:val="true"/>
          <w:lang w:bidi="fa-IR"/>
        </w:rPr>
        <w:t>».</w:t>
      </w:r>
    </w:p>
    <w:p>
      <w:pPr>
        <w:pStyle w:val="Heading2"/>
        <w:numPr>
          <w:ilvl w:val="1"/>
          <w:numId w:val="1"/>
        </w:numPr>
        <w:rPr/>
      </w:pPr>
      <w:bookmarkStart w:id="17" w:name="__RefHeading___Toc4545415_3650668749"/>
      <w:bookmarkStart w:id="18" w:name="_Toc6"/>
      <w:bookmarkEnd w:id="17"/>
      <w:r>
        <w:rPr>
          <w:rtl w:val="true"/>
        </w:rPr>
        <w:t>برخي از ويژگي‌هاي آويختگان به محلّ عزّ قدس</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مقايسه‌ي اين فراز از مناجات شعبانيّه با آن فراز از خطبه ي مذكور مي‌فهميم آن‌ها كه ملحق به عالم عزّ قدس هستند و ارواحشان معلّق به ملأ أعلي است و اين حُجُب ظلماني و نوراني را طي كرده‌اند و به آن مرتبه رسيده‌اند، كساني هستند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عَلَى حَقِيقَةِ البَصِيرَةِ و باشَرُوا رُوحَ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بادرستي بصيرت علم به آنان هجوم آورده و روح يقين را بي هيچ واسطه‌اي اقتباس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يقين، مرتبه ي ساده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مرتبه اي است كه اگر انسان به آن برسد، ديگر همه چيز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در عمق جان اولياء الهي جاي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قريب به اين معنا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در ميان مردم كمتر از يقين تقسيم نشده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نعمتي بسيار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يقيني كه ناشي از علم صحيح باشد؛ يعني يقيني كه ثابت باشد و با حوادث روزگار بالا و پايين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يقيني كه تا آخرين لحظه همراه انسان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ها و خصايص ديگر آنان كه به عزّ قدس ملحق و معلّق شده‌اند اين است كه وقتي روح يقين را در آغوش گرفتند، آن چه را كه مترفين، مرفّهين و نازپروردگان عالم، پست و لئيم و ناگوار مي شمرند ـ يعني مشكلات دنيا ـ براي آن ها سازوَر، ليّن و خوش آيند مي شود؛ آن‌چه براي آن ها سخت است، براي اين ها كه به يقين رسيدند ملايم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راه محبوب و فرمان برداري از او براي اهل يقين شيرين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استَلانُوا ما استَوعَرَهُ المُترَفُونَ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چه كه براي جاهلان مايه ي ترس است و آن ها از آن وحشت دارند، براي اين ها كه صاحب يقين اند مايه ي خوشي است و با آن انس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أنِسُوا بِما استَوحَشَ مِنهُ الجاهِلُونَ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ديگر آن است كه آن ها در همان حال كه با اين بدن دنيايي در اين جهان زندگي مي‌كنند و به حَسَب ظاهر با من و شما حرف مي زنند، در عالم واقع ارواحشان آويخته به ملأ أعلي است و در كنار قدسيان و عرشيان هستند و در عالم ديگري سير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حال حيات دنيوي به آن مقامّات رسيده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صَحِبُوا الدُّنيا بِأبدانٍ أرواحُها مُعَلَّقَةٌ بالمَحَلِّ الأعلَي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همين‌جا عبد به درگاه خداوند عرضه 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اجعَلني مِمَّن نادَيتَه فأجابَكَ و لاحَظتَه فصَعِقَ لِجَلالِكَ فناجَيتَه سِرّاً و عَمِلَ لَكَ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در زمره ي كساني قرار ده كه او را خواندي و پاسخت داد؛ به او توجّه كردي پس از جلال و بزرگي تو فرياد زد و مدهوش شد؛ با او نهاني راز گفتي و او آشكارا براي تو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در اين لحظه به عنايت حضرت حق تمام هستيش خدايي مي‌شود و با توجّه خاصّ پروردگارْ اراده‌اش در اراده‌ي حق مُندك و با صعقه‌اي تمامِ أنانيّت مضمحلّ و متلاشي مي‌گردد و غير از حضرت حق، در آن مرتبه چيز ديگري نمي‌بيند و به سرّ راه يافته و از سرّ وجود به وجود ظاهر مي‌رسد و مي‌يابد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الآخِرُ و الظّاهِرُ و الباطِنُ</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و متحقّق به اين معني مي‌شود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وَجهِكَ الَّذِي أضَاءَ لَهُ كُلُّ شَي</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همه چيز متنوّر به نور الهي است و از خود هيچ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ي متّقين درباره‌ي مؤمنين اهل يقين چنين مي‌فرمايد</w:t>
      </w:r>
      <w:r>
        <w:rPr>
          <w:rFonts w:eastAsia="IRNazanin" w:cs="IRNazanin"/>
          <w:color w:val="111111"/>
          <w:sz w:val="28"/>
          <w:szCs w:val="28"/>
          <w:rtl w:val="true"/>
          <w:lang w:bidi="fa-IR"/>
        </w:rPr>
        <w:t>:</w:t>
      </w:r>
      <w:bookmarkStart w:id="19" w:name="pg2085_19126"/>
    </w:p>
    <w:p>
      <w:pPr>
        <w:pStyle w:val="BookText"/>
        <w:rPr/>
      </w:pPr>
      <w:bookmarkEnd w:id="19"/>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ـ چه خبر است؟ ما كجاييم؟ چه قدر بدبختيم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إخلاد به ارض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گرفتار مادّيّت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دست و پاي امثال من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بد و خصايل ناپسند ما را گرفتار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ـ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متعال مقدّر فرموده كه تا فلان لحظه بايد در اين دنيا بمانيم، افرادي كه به يقين رسيدند، مرغ روحشان از شوق به لقاء پروردگار، به عالم بالا پرواز مي كرد و به آن معدن عظمت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شريف امين‌الله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مُشتاقَةً إلَى فَرحَةِ لِقائِك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جان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شيداي سُرور ديدارت قرار ده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545417_3650668749"/>
      <w:bookmarkStart w:id="21" w:name="_Toc7"/>
      <w:bookmarkEnd w:id="20"/>
      <w:r>
        <w:rPr>
          <w:rtl w:val="true"/>
        </w:rPr>
        <w:t>نكته اي در ره زني شيطان</w:t>
      </w:r>
      <w:bookmarkEnd w:id="21"/>
    </w:p>
    <w:p>
      <w:pPr>
        <w:pStyle w:val="BookText"/>
        <w:rPr/>
      </w:pPr>
      <w:r>
        <w:rPr>
          <w:rFonts w:ascii="IRNazanin" w:hAnsi="IRNazanin" w:eastAsia="IRNazanin"/>
          <w:color w:val="111111"/>
          <w:sz w:val="28"/>
          <w:sz w:val="28"/>
          <w:szCs w:val="28"/>
          <w:rtl w:val="true"/>
          <w:lang w:bidi="fa-IR"/>
        </w:rPr>
        <w:t>در اين‌جا مناسب است نكته‌اي را يادآوري كنم تا توجّه كنيم چگونه شيطان با روش‌هاي زيبا سدّ راه اتّصال به عالم بالا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بعضي افراد نيز كه در جمهوري اسلامي با تزوير به بالاترين موقعيّت‌ها دست انداختند ـ و الحمدلله زحمت‌شان هم كم شد ـ در اين دام گرفتار شدند، ديدم در كتابي اين آيه ي شريفه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را آورده وآن را غلط و منحرفانه معني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فهم اين آيه دو گروه اشتباه كردند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گروه صوفي‌ها و بعضي از عارف نماها ـ نه عارف واقعي ـ كه مي‌گويند معني آيه آن است كه بايد عبادت كنيم تا به يقين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يقين رسيديم ديگر عبادت نمي‌خواهيم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وصل، طلب معني ندارد در حالي‌كه عبادت براي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وصل شما بالاتر از وصل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شما بالاتر از وصل اميرالمؤمنين مي‌شود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اگر پرده‌ها كنار برود چيزي بر يقين من افزوده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بزرگان</w:t>
      </w:r>
    </w:p>
    <w:p>
      <w:pPr>
        <w:pStyle w:val="BookText"/>
        <w:rPr/>
      </w:pPr>
      <w:r>
        <w:rPr>
          <w:rFonts w:ascii="IRNazanin" w:hAnsi="IRNazanin" w:eastAsia="IRNazanin"/>
          <w:color w:val="111111"/>
          <w:sz w:val="28"/>
          <w:sz w:val="28"/>
          <w:szCs w:val="28"/>
          <w:rtl w:val="true"/>
          <w:lang w:bidi="fa-IR"/>
        </w:rPr>
        <w:t>يك لحظه شد كه از عبادت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معني آيه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كنيد تا به يقين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يقين رسيديد ديگر عبادت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كنايه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پنجاه تفسير مراجعه كنيد مي‌بينيد همه‌ي تفاسير معتبر معني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تا فرا رسيدن مرگت پروردگارت را عبادت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عكس سخن صوفيان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آيه ي سوره ي مباركه ي مدّثر است كه از زبان مجرماني كه در دوزخ به سر مي برند، نقل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 حَتَّى أتَانَا اليَقِين</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روز جزا را انكار مي كرديم تا آن‌كه مرگ ما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 ها اين آيه را آن طور انحرافي معنا كردند و دسته‌ي ديگر كه آن كتاب نيز از زمره‌ي اينان است به نحوي ديگر آيه‌ي شريفه را به طور غلط معني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 خداوند را تا يقين پيدا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راه رسيدن به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مطلب درست است؛ ولي معناي آيه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عبادت يقين هم مي آورد؛ ولي آيه ي مباركه نمي خواهد اين مطلب را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لحظه‌ي مرگت بايد عبادت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سوره ي مباركه ي مدّثر از زبان مجرمان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كرديم تا اين كه يقين يعني مرگ سراغ ما آمد؛ يعني تا آخرين لحظه كه مرگ سراغشان آمد، مشغول عصيان بودند؛ نه اين‌كه آن قدر گناه كردند كه به يقين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كردن تا رسيدن به مرحله ي يقين 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موجب تكذيب است نه يقين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آيه را اين طور معنا كردند؟ اين ناشي از مطلبي در عمق انديشه‌ي اين‌گونه افراد است كه اين‌چنين ناشيانه بُروز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 جهت دنبال علم و درس مي‌رويد؛ حوزه و فقه، حتّي فلسفه و عقل همه بي خود است؛ همه را كنار بگذاريد؛ فقط برويد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اين اكتفا نمي كنند،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يك امر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چيزي براي خودش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خدا را مثل هندوها مي‌فهمد، ديگري مثل اشعري ها، كسي مثل معتزلي ها و اشخاصي هم مثل من و شما مي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به كسي كاري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نهايتاً ملّي‌گرا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ها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چه مي‌فهيمد؟ شما به جوامع روايي كه مراجعه كنيد، فصل اوّلش درباره‌ي عقل و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 توانيم بگوييم فقط عبادت؟ پس جايگاه عقل چه شد؟ البتّه عبادت خيلي مهم است ولي معنايش تعطيلي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كه ميزان و مقياس درستي و نادرستي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ميزان و معيار سنجش عبادت هم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فبِالعَقلِ عَرَفَ العِبَادُ خالِقَهُم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عَرَفوا بِه الحَسَنَ مِنَ القَبِيح؛</w:t>
      </w:r>
      <w:r>
        <w:rPr>
          <w:rStyle w:val="FootnoteAnchor"/>
          <w:rtl w:val="true"/>
        </w:rPr>
        <w:footnoteReference w:id="23"/>
      </w:r>
      <w:r>
        <w:rPr>
          <w:rFonts w:ascii="IRNazanin" w:hAnsi="IRNazanin" w:eastAsia="IRNazanin"/>
          <w:color w:val="111111"/>
          <w:sz w:val="28"/>
          <w:sz w:val="28"/>
          <w:szCs w:val="28"/>
          <w:rtl w:val="true"/>
          <w:lang w:bidi="fa-IR"/>
        </w:rPr>
        <w:t>بندگان به وسيله‌ي عقل به خالق‌شان معرفت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وسيله‌ي عقل خوب را از بد مي‌شناسند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مي بينيم اين ها براي آن كه با حوزه، علما، فقه و استدلال و تعقّل ـ كه اين‌همه مورد توجّه اسلام است ـ مخالفت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به قول خودشان تكثّر 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 شريفه 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معنا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اصلاً مبناي اسلام بر عقل و استدلال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اسلامي هم هيچ گاه مقابله اي با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بر آن عرفاني كه با عقل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بر عرفاني كه مخالف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قول صدرالمتألهين</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بر آن فلسفه اي كه مخالف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ها چرا مي خواهند فكر و استدلال را از حوزه بگيرند و از دست مردم خارج كنند؟ بايد بگوييم اين يا از جهالتشان است يا بر اساس توطئه هاي حساب شده و دقيق، و يا تلفيقي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ظرف هفت ـ هشت سال گذشته</w:t>
      </w:r>
      <w:r>
        <w:rPr>
          <w:rStyle w:val="FootnoteAnchor"/>
          <w:rtl w:val="true"/>
        </w:rPr>
        <w:footnoteReference w:id="24"/>
      </w:r>
      <w:r>
        <w:rPr>
          <w:rFonts w:ascii="IRNazanin" w:hAnsi="IRNazanin" w:eastAsia="IRNazanin"/>
          <w:color w:val="111111"/>
          <w:sz w:val="28"/>
          <w:sz w:val="28"/>
          <w:szCs w:val="28"/>
          <w:rtl w:val="true"/>
          <w:lang w:bidi="fa-IR"/>
        </w:rPr>
        <w:t>، آن ها اين‌گونه افكار را در جمهوري اسلامي ترويج كردند و حتّي در كتاب هاي رسمي خودشان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الحمدلله مردم يك مقدار بيدار و متوجّه شدند و در نهايت شرّ آن‌ها كم شد، گرچه به طور غير رسمي مشغولند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امير 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به يقين رسيدند، مرغ روحشان از شوق و محبّت خدا نزديك است به عالم بالا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همان كساني هستند كه طبق مناجات شعبانيّه از جلال و عظمت حق تعالي مدهوش هستند و آشكارا براي خداي متعال كار مي‌كنند و در تمام كارها او را مدّ نظر دارند و حاضر نيستند براي غير او قدمي بردارند</w:t>
      </w:r>
      <w:r>
        <w:rPr>
          <w:rFonts w:eastAsia="IRNazanin" w:cs="IRNazanin"/>
          <w:color w:val="111111"/>
          <w:sz w:val="28"/>
          <w:szCs w:val="28"/>
          <w:rtl w:val="true"/>
          <w:lang w:bidi="fa-IR"/>
        </w:rPr>
        <w:t>.</w:t>
      </w:r>
      <w:bookmarkStart w:id="22" w:name="pg2085_19130"/>
    </w:p>
    <w:p>
      <w:pPr>
        <w:pStyle w:val="Heading2"/>
        <w:numPr>
          <w:ilvl w:val="1"/>
          <w:numId w:val="1"/>
        </w:numPr>
        <w:rPr/>
      </w:pPr>
      <w:bookmarkStart w:id="23" w:name="__RefHeading___Toc4545419_3650668749"/>
      <w:bookmarkStart w:id="24" w:name="_Toc8"/>
      <w:bookmarkEnd w:id="22"/>
      <w:bookmarkEnd w:id="23"/>
      <w:r>
        <w:rPr>
          <w:rtl w:val="true"/>
        </w:rPr>
        <w:t>فطري بودن محبّت حضرت حق عزّ و جلّ</w:t>
      </w:r>
      <w:bookmarkEnd w:id="24"/>
    </w:p>
    <w:p>
      <w:pPr>
        <w:pStyle w:val="BookText"/>
        <w:rPr/>
      </w:pPr>
      <w:r>
        <w:rPr>
          <w:rFonts w:ascii="IRNazanin" w:hAnsi="IRNazanin" w:eastAsia="IRNazanin"/>
          <w:color w:val="111111"/>
          <w:sz w:val="28"/>
          <w:sz w:val="28"/>
          <w:szCs w:val="28"/>
          <w:rtl w:val="true"/>
          <w:lang w:bidi="fa-IR"/>
        </w:rPr>
        <w:t>در فراز ديگري از مناجات شعبانيّه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لَم يَكُن لي حَولٌ فَانتَقَلَ بِه عَن مَعصِيَتِكَ إلّا في وَقتٍ أيقَظتَني لِمحبّتك؛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نيروي تحرّكي نبود كه از حال نافرمانيت منتقل شوم، مگر وقتي كه مرا براي محبّت خودت بيدار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سخن از ايجاد محبّت نيست بلكه سخن از بيداري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نمي‌گويد محبّت را القا كردي بلكه مي گويد فقط براي محبّتت بيدارم كردي تا از معصيت تو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شوق و محبّت از كجا آمده است؟ اين محبّت در عمق جان هر انساني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اقتضاي فطرت و خلقت، خالقش را ـ كه وجودش و هستي اش از اوست ـ و مُنعِمش را ـ كسي كه اين همه نعمت و بركت به او داده در حالي كه خودْ غنيّ و جميل علي الاطلاق است ـ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گاهي بر اثر گناهان و بر اثر عوامل خارجي اين احساس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اگر عاملي باشد كه انسان را بيدار كند آن محبّت فَوَران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مُنعِم خود را دوست نداشت علّتش چيست؟ علّت اين است كه روي فطرتش پا گذاشته و فطرتْ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فطرت بيدار شود تا محبّت الهي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محبّت علامت و نشانه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محبّت الهي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 در عمق جان رسوخ كند از معصيت خدا دست مي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 از كسي كه ادّعاي محبّت خدا نموده و در عين حال عصيان خداوند را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دو بيت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خداوند مي كني و در همان وقت مي گويي محبّت خدا دارم و اظهار دوستي با خدا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تازه و شگفت انگيزي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تو راست بود اطاعت خدا را حتماً انجام مي‌دادي؛ زيرا مُحِبّ هميشه مُطيع محبوبش است</w:t>
      </w:r>
      <w:r>
        <w:rPr>
          <w:rFonts w:eastAsia="IRNazanin" w:cs="IRNazanin"/>
          <w:color w:val="111111"/>
          <w:sz w:val="28"/>
          <w:szCs w:val="28"/>
          <w:rtl w:val="true"/>
          <w:lang w:bidi="fa-IR"/>
        </w:rPr>
        <w:t>».</w:t>
      </w:r>
      <w:bookmarkStart w:id="25" w:name="pg2085_19131"/>
    </w:p>
    <w:p>
      <w:pPr>
        <w:pStyle w:val="Heading2"/>
        <w:numPr>
          <w:ilvl w:val="1"/>
          <w:numId w:val="1"/>
        </w:numPr>
        <w:rPr/>
      </w:pPr>
      <w:bookmarkStart w:id="26" w:name="__RefHeading___Toc4545421_3650668749"/>
      <w:bookmarkStart w:id="27" w:name="_Toc9"/>
      <w:bookmarkEnd w:id="25"/>
      <w:bookmarkEnd w:id="26"/>
      <w:r>
        <w:rPr>
          <w:rtl w:val="true"/>
        </w:rPr>
        <w:t>ترس و اميد در اين مناجات</w:t>
      </w:r>
      <w:bookmarkEnd w:id="27"/>
    </w:p>
    <w:p>
      <w:pPr>
        <w:pStyle w:val="BookText"/>
        <w:rPr/>
      </w:pPr>
      <w:r>
        <w:rPr>
          <w:rFonts w:ascii="IRNazanin" w:hAnsi="IRNazanin" w:eastAsia="IRNazanin"/>
          <w:color w:val="111111"/>
          <w:sz w:val="28"/>
          <w:sz w:val="28"/>
          <w:szCs w:val="28"/>
          <w:rtl w:val="true"/>
          <w:lang w:bidi="fa-IR"/>
        </w:rPr>
        <w:t>از معارف و اصول تربيتي ديگري كه در اين مناجات وجود دارد مسأله ي خوف و رجاست كه در سراسر آن موج مي زند،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الخَطايا قَدْ أسقَطَتني لَدَيكَ فَاصفَح عَنّي بِحُسنِ تَوَكُّلي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خطاهايم مرا از نظرت انداخته، به خاطر حسن توكّلم بر تو از من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حَطَّتني الذُّنوبُ مِن مَكارِمِ لُطفِكَ فَقَد نَبَّهَني اليَقينُ إلي كَرَمِ عَطفِك؛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گناهانم مرا به انحطاط كشانده و پستم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يقين مرا به لطف و كرمت آگاه و بيدار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أنامَتنِي الغَفلَةُ عَنِ الاستِعدادِ لِلِقائِكَ فَقَد نَبَّهَتني المَعرِفَةُ بِكَرَمِ آلائِك؛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و بي خبري از آماده شدن براي ملاقات با تو خوابم كرده، در عوض شناختي كه از كرم و مهرباني ات دارم مرا بيدار و متنبّه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 و رجا دو ابزار تربيتي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خائِفاً راجِياً؛</w:t>
      </w:r>
      <w:r>
        <w:rPr>
          <w:rStyle w:val="FootnoteAnchor"/>
          <w:rtl w:val="true"/>
        </w:rPr>
        <w:footnoteReference w:id="26"/>
      </w:r>
      <w:r>
        <w:rPr>
          <w:rFonts w:ascii="IRNazanin" w:hAnsi="IRNazanin" w:eastAsia="IRNazanin"/>
          <w:color w:val="111111"/>
          <w:sz w:val="28"/>
          <w:sz w:val="28"/>
          <w:szCs w:val="28"/>
          <w:rtl w:val="true"/>
          <w:lang w:bidi="fa-IR"/>
        </w:rPr>
        <w:t>معبد نمي تواند مؤمن باشد مگر اين‌كه هم ترسان باشد و هم اميدوار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عذاب الهي در مقابل كوتاهي ها، و اميد به رحمت الهي با همه ي بدي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روايات دارد كه بايد خوف و رجاء در دل مؤمن مساوي و هم سنگ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هَذا لَم يَزِد عَلَى هَذا و لَو وُزِنَ هَذا لَم يَزِد عَلَى هَذا؛</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و رجاء را به ميزان در آورند، نه خوف بر رجاء سنگيني مي كند و نه رجاء بر خوف</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وصيّت لقمان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عجايب و شگفتي‌هايي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حكمت را به لقمان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سخنان حكمت آميز لقمان به فرزندش ـ كه قرآن كريم آن را نقل فرموده ـ چنين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شرك نَوَرز كه شرك ظلمي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شگفت‌ترين سخن لقمان به فرزندش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 جَلَّ خِيفَةً لَو جِئتَهُ بِبِرِّ الثَّقَلَينِ لَعَذَّبَكَ وَ ارجُ اللَّهَ رَجاءً لَو جِئتَهُ بِذُنُوبِ الثَّقَلَينِ لَرَحِمَك؛</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عزّ و جلّ چنان بترس كه اگر نيكي جنّ و انس را بياوري تو را عذاب خواهد كرد و چنان اميدوار به خداوند باش كه اگر گناهان جنّ و انس را بياوري تورا مورد رحمت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ثقلين را داشته باشي از رحمت خدا نا اميد نباش و اگر عبادت ثقلين هم داري به خودت مطمئن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گونه اي باشد كه خوفت تو را از معاصي نگه دارد و رجايت تو را اميدوار به رحمت الهي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مناجات را تا آخر بخوانيم، مي‌بينيم ظاهراً با روايت اندكي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جنبه‌ي رجاء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رحمت پروردگار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تفاوت ظاهري با آن‌چه كه در برخي روايات به تساوي بين وزن رجا و خوف وارد شده است، قابل جمع است؟ به نظر مي‌آيد اين تفاوت مربوط به شرايط و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دعايي است در زمان خاص از زبان افراد خاصّي و در شرايطي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بايد طوري بود كه جنبه‌ي رحمت و رجاء بيشتر موج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اين مضامين عالي به معدن عظمت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مي‌رسد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رَحمَتُهُ غَضَبَه؛</w:t>
      </w:r>
      <w:r>
        <w:rPr>
          <w:rStyle w:val="FootnoteAnchor"/>
          <w:rtl w:val="true"/>
        </w:rPr>
        <w:footnoteReference w:id="31"/>
      </w:r>
      <w:r>
        <w:rPr>
          <w:rFonts w:ascii="IRNazanin" w:hAnsi="IRNazanin" w:eastAsia="IRNazanin"/>
          <w:color w:val="111111"/>
          <w:sz w:val="28"/>
          <w:sz w:val="28"/>
          <w:szCs w:val="28"/>
          <w:rtl w:val="true"/>
          <w:lang w:bidi="fa-IR"/>
        </w:rPr>
        <w:t>خداوند رحمتش سابق بر غضبش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عالم بايد جنبه‌ي رجاء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حالات معمولي كه انسان گرفتار تيرگي‌هاي مادّيت است و در اين عالم ظلماني گرفتار كار و كسب و معامله و رفت و آمد و مذاكرات با مردم، غيبت و تهمت و امثال اين‌هاست، در چنين موقعيّتي انسان نبايد حالتي داشته باشد كه جنبه‌ي رجايش غالب باشد و الّا شيطان سوء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آن‌جا خوف و رجاء مساوي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چنين شرايطي كه شرايط غالب است بايد اين دو جنبه مساوي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جايي بايد جنبه‌ي رجاء قوي‌تر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در ابتداي جواني و اوايل زندگي بايد اين</w:t>
      </w:r>
      <w:bookmarkStart w:id="28" w:name="pg2085_19133"/>
    </w:p>
    <w:p>
      <w:pPr>
        <w:pStyle w:val="BookText"/>
        <w:rPr/>
      </w:pPr>
      <w:bookmarkEnd w:id="28"/>
      <w:r>
        <w:rPr>
          <w:rFonts w:ascii="IRNazanin" w:hAnsi="IRNazanin" w:eastAsia="IRNazanin"/>
          <w:color w:val="111111"/>
          <w:sz w:val="28"/>
          <w:sz w:val="28"/>
          <w:szCs w:val="28"/>
          <w:rtl w:val="true"/>
          <w:lang w:bidi="fa-IR"/>
        </w:rPr>
        <w:t>دو خصلت خوف و رجاء مساوي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سن بيشتر شده و شهوات شكسته مي‌شوند و احتمال مرگ بيشتر مي‌گردد، آ‌ن‌جا بيشتر بايد اميدوار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چنان‌كه در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w:t>
      </w:r>
      <w:r>
        <w:rPr>
          <w:rStyle w:val="FootnoteAnchor"/>
          <w:rtl w:val="true"/>
        </w:rPr>
        <w:footnoteReference w:id="34"/>
      </w:r>
      <w:r>
        <w:rPr>
          <w:rFonts w:ascii="IRNazanin" w:hAnsi="IRNazanin" w:eastAsia="IRNazanin"/>
          <w:color w:val="111111"/>
          <w:sz w:val="28"/>
          <w:sz w:val="28"/>
          <w:szCs w:val="28"/>
          <w:rtl w:val="true"/>
          <w:lang w:bidi="fa-IR"/>
        </w:rPr>
        <w:t>من نزد گمان عبد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خير به من داشت من هم خير به او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روايت چنين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كَرِيمٌ بِيَدِهِ الْخَيْرُ يَسْتَحْيِي أَنْ يَكُونَ عَبْدُهُ الْمُؤْمِنُ قَدْ أَحْسَنَ بِهِ الظَّنَّ ثُمَّ يُخْلِفَ ظَنَّهُ 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 حياء مي‌كند كه عبدش به او گمان نيك داشته باشد و او گمان نيك او را به عمل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مناسب است كه محتضر را به رحمت خداوند اميد‌وار كنند تا با اين حال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عملي نقل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قال الشهيد الاوّل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حسن الظن بالله في كل وقت و آكده عند الموت و يستحب لمن حضره أمره بحسن ظنه و طمعه في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ذكري‌الشيعة في أحكام الشريعة،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4545423_3650668749"/>
      <w:bookmarkStart w:id="30" w:name="_Toc10"/>
      <w:bookmarkEnd w:id="29"/>
      <w:r>
        <w:rPr>
          <w:rtl w:val="true"/>
        </w:rPr>
        <w:t>اشاره به نكته اي در آغاز و انجام دعا به صلوات</w:t>
      </w:r>
      <w:bookmarkEnd w:id="30"/>
    </w:p>
    <w:p>
      <w:pPr>
        <w:pStyle w:val="BookText"/>
        <w:rPr/>
      </w:pPr>
      <w:r>
        <w:rPr>
          <w:rFonts w:ascii="IRNazanin" w:hAnsi="IRNazanin" w:eastAsia="IRNazanin"/>
          <w:color w:val="111111"/>
          <w:sz w:val="28"/>
          <w:sz w:val="28"/>
          <w:szCs w:val="28"/>
          <w:rtl w:val="true"/>
          <w:lang w:bidi="fa-IR"/>
        </w:rPr>
        <w:t>از جمله مطالب مهمّ مربوط به اين مناجات، شروع و ختم آن به صلوات بر پيامبر و آل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به سوي خدا كَلِم طيّب و سخنان پاكيزه بالا مي رود؛ و عمل صالح آن كَلِم طيّب را به سوي خداوند بالا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 آن‌چه كه در اين دعا هست از صفات و اسماء حُسناي الهي، كَلِم طيّب است و عمل صالحي كه آن را مي تواند بالا ببرد و تربيتي كه ما با اين دعاي شريف مي شويم جهات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كه آن عمل صالحي كه كلمه‌ي طيّبه را بالا مي‌برد، 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كسي كه اهل صلوات باشد، اهل ولايت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اين ثناء الهي و اين سخناني كه با خدا داري بالا برود، بايد ولايت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يكي از مصاديق عمل صالح، ذكر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اگر با صلوات دعايت را شروع كردي و با صلوات ختم نمودي، چون درود بر پيامبر را خداوند مي‌پذيرد، دعاي شما را هم مي‌پذيرد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اين يك قاعده است كه ابتدا و اختتام نام محمّد و آل محمّد باشد؛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وَ بِنَا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خداوند با ما شروع فرمود و به ما پايان مي 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أبان بن تَغلَب نقل شده است كه ايشان خدمت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كوفه رسيدي از جانب من اين سخن را روايت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إله إلّا الله مُخلِصاً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روي اخلاص لا اله الا الله بگويد بهشت بر او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با تعجّب ـ قريب به اين مضمون ـ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هركه بگويد لا اله الا الله از روي اخلاص بهشت بر او واجب مي شود، ديگر سنگ روي سنگ بند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امر ولايت را نشناسد اگر لا اله الا الله هم بگويد روز قيامت از او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ي طيّبه‌ي لا اله الا الله با آن عظمتش اگر كسي ولايت نداشته باشد از او گرفته مي شود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خداوند متعال همه ي ما را با كلمه ي طيّبه ي لا اله الا الله و ولايت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بدارد و بميراند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 أَرْوَاحُنَا مُعَلَّقَةً بِعِزِّ قُدْسِك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استَرَقَ السَّمعَ فَأتبَعَهُ شِهابٌ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حكمت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الأعلَي أولَئِكَ خُلَفاءُ اللَّهِ في أرضِهِ و الدُّعَاةُ إِلَى دِينِهِ آهِ آهِ شَوقاً إِلَى رُؤيَتِهِم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مَن أهانَ لِي وَلِيّاً فَقَد أرصَدَ لِمُحارَبَتِي و ما تَقَرَّبَ إلَيَّ عَبدٌ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 و ما تَرَدَّدتُ عَن شَي‌ءٍ أنَا فاعِلُهُ كَتَرَدُّدِي عَن مَوتِ المُؤمِنِ يَكرَهُ المَوتَ و أكرَهُ مَساءَتَه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قُسِمَ في النَّاسِ شَي‌ءٌ أَقَلُّ مِنَ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حكمت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مصباح‌الكفعمي،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 آيات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دوره‌ي اصلاحات غربي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شايد حتّي خوف اندكي غالب باشد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فِي حالَةِ المَرَضِ خُصُوصاً مَرَضَ المَوتِ أن يَزِيدَ الرَّجاءَ عَلَى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كه در هنگام بيماري علي الخصوص در بيماري منجر به مرگ، ميزان رجا را نسبت به خوف بالا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عُدَّةُالدّاعِي،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روايت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وَجَدنا في كِتابِ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لا إلَهَ إِلّا هُو ما أُعطِيَ مُؤمِنٌ قَطُّ خَيرَ الدُّنيَا و الآخِرَةِ إِلّا بِحُسنِ ظَنِّهِ باللَّهِ و رَجائِهِ لَهُ و حُسنِ خُلُقِهِ و الكَفِّ عَنِ اغتِيابِ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لا إلَهَ إِلّا هُو لا يُعَذِّبُ اللَّهُ مُؤمِناً بَعدَ التَّوبةِ و الإستِغفارِ إلّا بِسُوءِ ظَنِّهِ بِاللَّهِ و تَقصِيرٍ مِن رَجائِهِ لَهُ و سُوءِ خُلُقِهِ و اغتِيابِ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لا إلَهَ إِلّا هُو لا يَحسُنُ ظَنُّ عَبدٍ مُؤمِنٍ بِاللَّهِ إلّا كانَ اللَّهُ عِندَ ظَنِّ عَبدِهِ المُؤمِنِ لأنَّ اللَّهَ كَرِيمٌ بِيَدِهِ الخَيرُ يَستَحيِي أن يَكونَ عَبدُهُ المُؤمِنُ قَد أحسَنَ بِه الظَّنَّ ثُمَّ يُخلِفَ ظَنَّهُ و رَجاءَهُ فأحسِنوا بِاللَّهِ الظَّنَّ و ارغَبوا إلَيهِ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أهلِ مَجلِسِهِ فَقِيلَ عَلِيلٌ فَقَصَدَهُ عائِداً و جَلَسَ عِندَ رَأسِهِ فَوَجَدَهُ دَنِفاً فَقالَ أحسِن ظَنَّكَ بِاللَّهِ فَقالَ أمّا ظَنِّي بِاللَّهِ فَحَسَنٌ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لَهُ إلَى اللَّهِ عَزَّ و جَلَّ حاجَةٌ فَليَبدَأ بِالصَّلاةِ عَلَى مُحَمَّدٍ و آلِهِ ثُمَّ يَسألُ حاجَتَهُ ثُمَّ يَختِمُ بِالصَّلاةِ عَلَى مُحَمَّدٍ و آلِ مُحَمَّدٍ فَإنَّ اللَّهَ عَزَّ و جَلَّ أكرَمُ مِن أن يَقبَلَ الطَّرَفَينِ و يَدَعَ الوَسَطَ إذا كانَتِ الصَّلاةُ عَلَى مُحَمَّدٍ و آلِ مُحَمَّدٍ لا تُحجَبُ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6449</Words>
  <Characters>24389</Characters>
  <CharactersWithSpaces>30703</CharactersWithSpaces>
  <Paragraphs>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2026-08-16T21:56:47Z</dcterms:created>
  <dc:creator>ghaemiyeh.com</dc:creator>
  <dc:description/>
  <dc:language>en-US</dc:language>
  <cp:lastModifiedBy/>
  <dcterms:modified xsi:type="dcterms:W3CDTF">2026-08-17T01:26:49Z</dcterms:modified>
  <cp:revision>1</cp:revision>
  <dc:subject/>
  <dc:title>اوج عرفان در مناجات ماه شعبان</dc:title>
</cp:coreProperties>
</file>

<file path=docProps/custom.xml><?xml version="1.0" encoding="utf-8"?>
<Properties xmlns="http://schemas.openxmlformats.org/officeDocument/2006/custom-properties" xmlns:vt="http://schemas.openxmlformats.org/officeDocument/2006/docPropsVTypes"/>
</file>