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اجوبه الشبهات حول شعایرالحسینی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20486_365066874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920488_365066874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920490_3650668749">
            <w:r>
              <w:rPr>
                <w:webHidden/>
                <w:rStyle w:val="IndexLink"/>
                <w:rtl w:val="true"/>
              </w:rPr>
              <w:t>كلمة المعهد</w:t>
            </w:r>
            <w:r>
              <w:rPr>
                <w:rStyle w:val="IndexLink"/>
                <w:rtl w:val="true"/>
              </w:rPr>
              <w:tab/>
            </w:r>
            <w:r>
              <w:rPr>
                <w:rStyle w:val="IndexLink"/>
              </w:rPr>
              <w:t>11</w:t>
            </w:r>
          </w:hyperlink>
        </w:p>
        <w:p>
          <w:pPr>
            <w:pStyle w:val="Contents2"/>
            <w:tabs>
              <w:tab w:val="clear" w:pos="8743"/>
              <w:tab w:val="right" w:pos="9026" w:leader="dot"/>
            </w:tabs>
            <w:rPr/>
          </w:pPr>
          <w:hyperlink w:anchor="__RefHeading___Toc3920492_3650668749">
            <w:r>
              <w:rPr>
                <w:webHidden/>
                <w:rStyle w:val="IndexLink"/>
                <w:rtl w:val="true"/>
              </w:rPr>
              <w:t>تقديم</w:t>
            </w:r>
            <w:r>
              <w:rPr>
                <w:rStyle w:val="IndexLink"/>
                <w:rtl w:val="true"/>
              </w:rPr>
              <w:tab/>
            </w:r>
            <w:r>
              <w:rPr>
                <w:rStyle w:val="IndexLink"/>
              </w:rPr>
              <w:t>13</w:t>
            </w:r>
          </w:hyperlink>
        </w:p>
        <w:p>
          <w:pPr>
            <w:pStyle w:val="Contents2"/>
            <w:tabs>
              <w:tab w:val="clear" w:pos="8743"/>
              <w:tab w:val="right" w:pos="9026" w:leader="dot"/>
            </w:tabs>
            <w:rPr/>
          </w:pPr>
          <w:hyperlink w:anchor="__RefHeading___Toc3920494_3650668749">
            <w:r>
              <w:rPr>
                <w:webHidden/>
                <w:rStyle w:val="IndexLink"/>
                <w:rtl w:val="true"/>
              </w:rPr>
              <w:t>سِرُّ القوَّة فى تأثير الشعائر الحسينية</w:t>
            </w:r>
            <w:r>
              <w:rPr>
                <w:rStyle w:val="IndexLink"/>
                <w:rtl w:val="true"/>
              </w:rPr>
              <w:tab/>
            </w:r>
            <w:r>
              <w:rPr>
                <w:rStyle w:val="IndexLink"/>
              </w:rPr>
              <w:t>14</w:t>
            </w:r>
          </w:hyperlink>
        </w:p>
        <w:p>
          <w:pPr>
            <w:pStyle w:val="Contents2"/>
            <w:tabs>
              <w:tab w:val="clear" w:pos="8743"/>
              <w:tab w:val="right" w:pos="9026" w:leader="dot"/>
            </w:tabs>
            <w:rPr/>
          </w:pPr>
          <w:hyperlink w:anchor="__RefHeading___Toc3920496_3650668749">
            <w:r>
              <w:rPr>
                <w:webHidden/>
                <w:rStyle w:val="IndexLink"/>
                <w:rtl w:val="true"/>
              </w:rPr>
              <w:t>منهج البحث</w:t>
            </w:r>
            <w:r>
              <w:rPr>
                <w:rStyle w:val="IndexLink"/>
                <w:rtl w:val="true"/>
              </w:rPr>
              <w:tab/>
            </w:r>
            <w:r>
              <w:rPr>
                <w:rStyle w:val="IndexLink"/>
              </w:rPr>
              <w:t>15</w:t>
            </w:r>
          </w:hyperlink>
        </w:p>
        <w:p>
          <w:pPr>
            <w:pStyle w:val="Contents2"/>
            <w:tabs>
              <w:tab w:val="clear" w:pos="8743"/>
              <w:tab w:val="right" w:pos="9026" w:leader="dot"/>
            </w:tabs>
            <w:rPr/>
          </w:pPr>
          <w:hyperlink w:anchor="__RefHeading___Toc3920498_3650668749">
            <w:r>
              <w:rPr>
                <w:webHidden/>
                <w:rStyle w:val="IndexLink"/>
                <w:rtl w:val="true"/>
              </w:rPr>
              <w:t>الإهداء</w:t>
            </w:r>
            <w:r>
              <w:rPr>
                <w:rStyle w:val="IndexLink"/>
                <w:rtl w:val="true"/>
              </w:rPr>
              <w:tab/>
            </w:r>
            <w:r>
              <w:rPr>
                <w:rStyle w:val="IndexLink"/>
              </w:rPr>
              <w:t>17</w:t>
            </w:r>
          </w:hyperlink>
        </w:p>
        <w:p>
          <w:pPr>
            <w:pStyle w:val="Contents2"/>
            <w:tabs>
              <w:tab w:val="clear" w:pos="8743"/>
              <w:tab w:val="right" w:pos="9026" w:leader="dot"/>
            </w:tabs>
            <w:rPr/>
          </w:pPr>
          <w:hyperlink w:anchor="__RefHeading___Toc3920500_3650668749">
            <w:r>
              <w:rPr>
                <w:webHidden/>
                <w:rStyle w:val="IndexLink"/>
                <w:rtl w:val="true"/>
              </w:rPr>
              <w:t>الفصل الأوّل</w:t>
            </w:r>
            <w:r>
              <w:rPr>
                <w:rStyle w:val="IndexLink"/>
                <w:rtl w:val="true"/>
              </w:rPr>
              <w:t xml:space="preserve">: </w:t>
            </w:r>
            <w:r>
              <w:rPr>
                <w:rStyle w:val="IndexLink"/>
                <w:rtl w:val="true"/>
              </w:rPr>
              <w:t>الشعائر الحسينية وما يتعلق بالجواب عن الشبهات فيها بنحو كلي</w:t>
            </w:r>
            <w:r>
              <w:rPr>
                <w:rStyle w:val="IndexLink"/>
                <w:rtl w:val="true"/>
              </w:rPr>
              <w:tab/>
            </w:r>
            <w:r>
              <w:rPr>
                <w:rStyle w:val="IndexLink"/>
              </w:rPr>
              <w:t>19</w:t>
            </w:r>
          </w:hyperlink>
        </w:p>
        <w:p>
          <w:pPr>
            <w:pStyle w:val="Contents3"/>
            <w:tabs>
              <w:tab w:val="clear" w:pos="8459"/>
              <w:tab w:val="right" w:pos="9026" w:leader="dot"/>
            </w:tabs>
            <w:rPr/>
          </w:pPr>
          <w:hyperlink w:anchor="__RefHeading___Toc3920502_3650668749">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3920504_3650668749">
            <w:r>
              <w:rPr>
                <w:webHidden/>
                <w:rStyle w:val="IndexLink"/>
                <w:rtl w:val="true"/>
              </w:rPr>
              <w:t>الشُبهة الاُولى</w:t>
            </w:r>
            <w:r>
              <w:rPr>
                <w:rStyle w:val="IndexLink"/>
                <w:rtl w:val="true"/>
              </w:rPr>
              <w:t xml:space="preserve">: </w:t>
            </w:r>
            <w:r>
              <w:rPr>
                <w:rStyle w:val="IndexLink"/>
                <w:rtl w:val="true"/>
              </w:rPr>
              <w:t>الشعائر الحسينية بِدعة</w:t>
            </w:r>
            <w:r>
              <w:rPr>
                <w:rStyle w:val="IndexLink"/>
                <w:rtl w:val="true"/>
              </w:rPr>
              <w:tab/>
            </w:r>
            <w:r>
              <w:rPr>
                <w:rStyle w:val="IndexLink"/>
              </w:rPr>
              <w:t>21</w:t>
            </w:r>
          </w:hyperlink>
        </w:p>
        <w:p>
          <w:pPr>
            <w:pStyle w:val="Contents4"/>
            <w:tabs>
              <w:tab w:val="clear" w:pos="8176"/>
              <w:tab w:val="right" w:pos="9026" w:leader="dot"/>
            </w:tabs>
            <w:rPr/>
          </w:pPr>
          <w:hyperlink w:anchor="__RefHeading___Toc3920506_3650668749">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3920508_3650668749">
            <w:r>
              <w:rPr>
                <w:webHidden/>
                <w:rStyle w:val="IndexLink"/>
                <w:rtl w:val="true"/>
              </w:rPr>
              <w:t>الأمر الأوَّل</w:t>
            </w:r>
            <w:r>
              <w:rPr>
                <w:rStyle w:val="IndexLink"/>
                <w:rtl w:val="true"/>
              </w:rPr>
              <w:t xml:space="preserve">: </w:t>
            </w:r>
            <w:r>
              <w:rPr>
                <w:rStyle w:val="IndexLink"/>
                <w:rtl w:val="true"/>
              </w:rPr>
              <w:t>البحث في معنى الشعائر لغة</w:t>
            </w:r>
            <w:r>
              <w:rPr>
                <w:rStyle w:val="IndexLink"/>
                <w:rtl w:val="true"/>
              </w:rPr>
              <w:tab/>
            </w:r>
            <w:r>
              <w:rPr>
                <w:rStyle w:val="IndexLink"/>
              </w:rPr>
              <w:t>22</w:t>
            </w:r>
          </w:hyperlink>
        </w:p>
        <w:p>
          <w:pPr>
            <w:pStyle w:val="Contents4"/>
            <w:tabs>
              <w:tab w:val="clear" w:pos="8176"/>
              <w:tab w:val="right" w:pos="9026" w:leader="dot"/>
            </w:tabs>
            <w:rPr/>
          </w:pPr>
          <w:hyperlink w:anchor="__RefHeading___Toc3920510_3650668749">
            <w:r>
              <w:rPr>
                <w:webHidden/>
                <w:rStyle w:val="IndexLink"/>
                <w:rtl w:val="true"/>
              </w:rPr>
              <w:t>الأمر الثاني</w:t>
            </w:r>
            <w:r>
              <w:rPr>
                <w:rStyle w:val="IndexLink"/>
                <w:rtl w:val="true"/>
              </w:rPr>
              <w:t xml:space="preserve">: </w:t>
            </w:r>
            <w:r>
              <w:rPr>
                <w:rStyle w:val="IndexLink"/>
                <w:rtl w:val="true"/>
              </w:rPr>
              <w:t>الاستدلال على أنَّ شعائر الله ليست لها حقيقة شرعية</w:t>
            </w:r>
            <w:r>
              <w:rPr>
                <w:rStyle w:val="IndexLink"/>
                <w:rtl w:val="true"/>
              </w:rPr>
              <w:tab/>
            </w:r>
            <w:r>
              <w:rPr>
                <w:rStyle w:val="IndexLink"/>
              </w:rPr>
              <w:t>24</w:t>
            </w:r>
          </w:hyperlink>
        </w:p>
        <w:p>
          <w:pPr>
            <w:pStyle w:val="Contents5"/>
            <w:tabs>
              <w:tab w:val="clear" w:pos="7892"/>
              <w:tab w:val="right" w:pos="9026" w:leader="dot"/>
            </w:tabs>
            <w:rPr/>
          </w:pPr>
          <w:hyperlink w:anchor="__RefHeading___Toc3920512_3650668749">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3920514_3650668749">
            <w:r>
              <w:rPr>
                <w:webHidden/>
                <w:rStyle w:val="IndexLink"/>
                <w:rtl w:val="true"/>
              </w:rPr>
              <w:t>لمحة إجمالية في معنى الحقيقة الشرعية</w:t>
            </w:r>
            <w:r>
              <w:rPr>
                <w:rStyle w:val="IndexLink"/>
                <w:rtl w:val="true"/>
              </w:rPr>
              <w:tab/>
            </w:r>
            <w:r>
              <w:rPr>
                <w:rStyle w:val="IndexLink"/>
              </w:rPr>
              <w:t>24</w:t>
            </w:r>
          </w:hyperlink>
        </w:p>
        <w:p>
          <w:pPr>
            <w:pStyle w:val="Contents5"/>
            <w:tabs>
              <w:tab w:val="clear" w:pos="7892"/>
              <w:tab w:val="right" w:pos="9026" w:leader="dot"/>
            </w:tabs>
            <w:rPr/>
          </w:pPr>
          <w:hyperlink w:anchor="__RefHeading___Toc3920516_3650668749">
            <w:r>
              <w:rPr>
                <w:webHidden/>
                <w:rStyle w:val="IndexLink"/>
                <w:rtl w:val="true"/>
              </w:rPr>
              <w:t>أقوال العلماء في معنى الشعائر</w:t>
            </w:r>
            <w:r>
              <w:rPr>
                <w:rStyle w:val="IndexLink"/>
                <w:rtl w:val="true"/>
              </w:rPr>
              <w:tab/>
            </w:r>
            <w:r>
              <w:rPr>
                <w:rStyle w:val="IndexLink"/>
              </w:rPr>
              <w:t>25</w:t>
            </w:r>
          </w:hyperlink>
        </w:p>
        <w:p>
          <w:pPr>
            <w:pStyle w:val="Contents6"/>
            <w:tabs>
              <w:tab w:val="clear" w:pos="7609"/>
              <w:tab w:val="right" w:pos="9026" w:leader="dot"/>
            </w:tabs>
            <w:rPr/>
          </w:pPr>
          <w:hyperlink w:anchor="__RefHeading___Toc3920518_3650668749">
            <w:r>
              <w:rPr>
                <w:webHidden/>
                <w:rStyle w:val="IndexLink"/>
              </w:rPr>
              <w:t>١</w:t>
            </w:r>
            <w:r>
              <w:rPr>
                <w:rStyle w:val="IndexLink"/>
                <w:rtl w:val="true"/>
              </w:rPr>
              <w:t xml:space="preserve">- </w:t>
            </w:r>
            <w:r>
              <w:rPr>
                <w:rStyle w:val="IndexLink"/>
                <w:rtl w:val="true"/>
              </w:rPr>
              <w:t>أقوال علماء الشيعة في معنى الشعائر</w:t>
            </w:r>
            <w:r>
              <w:rPr>
                <w:rStyle w:val="IndexLink"/>
                <w:rtl w:val="true"/>
              </w:rPr>
              <w:tab/>
            </w:r>
            <w:r>
              <w:rPr>
                <w:rStyle w:val="IndexLink"/>
              </w:rPr>
              <w:t>25</w:t>
            </w:r>
          </w:hyperlink>
        </w:p>
        <w:p>
          <w:pPr>
            <w:pStyle w:val="Contents6"/>
            <w:tabs>
              <w:tab w:val="clear" w:pos="7609"/>
              <w:tab w:val="right" w:pos="9026" w:leader="dot"/>
            </w:tabs>
            <w:rPr/>
          </w:pPr>
          <w:hyperlink w:anchor="__RefHeading___Toc3920520_3650668749">
            <w:r>
              <w:rPr>
                <w:webHidden/>
                <w:rStyle w:val="IndexLink"/>
              </w:rPr>
              <w:t>٢</w:t>
            </w:r>
            <w:r>
              <w:rPr>
                <w:rStyle w:val="IndexLink"/>
                <w:rtl w:val="true"/>
              </w:rPr>
              <w:t xml:space="preserve">- </w:t>
            </w:r>
            <w:r>
              <w:rPr>
                <w:rStyle w:val="IndexLink"/>
                <w:rtl w:val="true"/>
              </w:rPr>
              <w:t>أقوال علماء السُنَّة في معنى الشعائر</w:t>
            </w:r>
            <w:r>
              <w:rPr>
                <w:rStyle w:val="IndexLink"/>
                <w:rtl w:val="true"/>
              </w:rPr>
              <w:tab/>
            </w:r>
            <w:r>
              <w:rPr>
                <w:rStyle w:val="IndexLink"/>
              </w:rPr>
              <w:t>29</w:t>
            </w:r>
          </w:hyperlink>
        </w:p>
        <w:p>
          <w:pPr>
            <w:pStyle w:val="Contents4"/>
            <w:tabs>
              <w:tab w:val="clear" w:pos="8176"/>
              <w:tab w:val="right" w:pos="9026" w:leader="dot"/>
            </w:tabs>
            <w:rPr/>
          </w:pPr>
          <w:hyperlink w:anchor="__RefHeading___Toc3920522_3650668749">
            <w:r>
              <w:rPr>
                <w:webHidden/>
                <w:rStyle w:val="IndexLink"/>
                <w:rtl w:val="true"/>
              </w:rPr>
              <w:t>الأمر الثالث</w:t>
            </w:r>
            <w:r>
              <w:rPr>
                <w:rStyle w:val="IndexLink"/>
                <w:rtl w:val="true"/>
              </w:rPr>
              <w:t xml:space="preserve">: </w:t>
            </w:r>
            <w:r>
              <w:rPr>
                <w:rStyle w:val="IndexLink"/>
                <w:rtl w:val="true"/>
              </w:rPr>
              <w:t>مناقشة ما استُدلَّ به على أنَّ شعائر اللّه لها حقيقة شرعية</w:t>
            </w:r>
            <w:r>
              <w:rPr>
                <w:rStyle w:val="IndexLink"/>
                <w:rtl w:val="true"/>
              </w:rPr>
              <w:tab/>
            </w:r>
            <w:r>
              <w:rPr>
                <w:rStyle w:val="IndexLink"/>
              </w:rPr>
              <w:t>31</w:t>
            </w:r>
          </w:hyperlink>
        </w:p>
        <w:p>
          <w:pPr>
            <w:pStyle w:val="Contents5"/>
            <w:tabs>
              <w:tab w:val="clear" w:pos="7892"/>
              <w:tab w:val="right" w:pos="9026" w:leader="dot"/>
            </w:tabs>
            <w:rPr/>
          </w:pPr>
          <w:hyperlink w:anchor="__RefHeading___Toc3920524_3650668749">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3920526_3650668749">
            <w:r>
              <w:rPr>
                <w:webHidden/>
                <w:rStyle w:val="IndexLink"/>
                <w:rtl w:val="true"/>
              </w:rPr>
              <w:t>الدليل الأوَّل</w:t>
            </w:r>
            <w:r>
              <w:rPr>
                <w:rStyle w:val="IndexLink"/>
                <w:rtl w:val="true"/>
              </w:rPr>
              <w:tab/>
            </w:r>
            <w:r>
              <w:rPr>
                <w:rStyle w:val="IndexLink"/>
              </w:rPr>
              <w:t>31</w:t>
            </w:r>
          </w:hyperlink>
        </w:p>
        <w:p>
          <w:pPr>
            <w:pStyle w:val="Contents6"/>
            <w:tabs>
              <w:tab w:val="clear" w:pos="7609"/>
              <w:tab w:val="right" w:pos="9026" w:leader="dot"/>
            </w:tabs>
            <w:rPr/>
          </w:pPr>
          <w:hyperlink w:anchor="__RefHeading___Toc3920528_3650668749">
            <w:r>
              <w:rPr>
                <w:webHidden/>
                <w:rStyle w:val="IndexLink"/>
                <w:rtl w:val="true"/>
              </w:rPr>
              <w:t>اشارة</w:t>
            </w:r>
            <w:r>
              <w:rPr>
                <w:rStyle w:val="IndexLink"/>
                <w:rtl w:val="true"/>
              </w:rPr>
              <w:tab/>
            </w:r>
            <w:r>
              <w:rPr>
                <w:rStyle w:val="IndexLink"/>
              </w:rPr>
              <w:t>31</w:t>
            </w:r>
          </w:hyperlink>
        </w:p>
        <w:p>
          <w:pPr>
            <w:pStyle w:val="Contents6"/>
            <w:tabs>
              <w:tab w:val="clear" w:pos="7609"/>
              <w:tab w:val="right" w:pos="9026" w:leader="dot"/>
            </w:tabs>
            <w:rPr/>
          </w:pPr>
          <w:hyperlink w:anchor="__RefHeading___Toc3920530_3650668749">
            <w:r>
              <w:rPr>
                <w:webHidden/>
                <w:rStyle w:val="IndexLink"/>
                <w:rtl w:val="true"/>
              </w:rPr>
              <w:t>مناقشة الدليل الأول</w:t>
            </w:r>
            <w:r>
              <w:rPr>
                <w:rStyle w:val="IndexLink"/>
                <w:rtl w:val="true"/>
              </w:rPr>
              <w:tab/>
            </w:r>
            <w:r>
              <w:rPr>
                <w:rStyle w:val="IndexLink"/>
              </w:rPr>
              <w:t>32</w:t>
            </w:r>
          </w:hyperlink>
        </w:p>
        <w:p>
          <w:pPr>
            <w:pStyle w:val="Contents5"/>
            <w:tabs>
              <w:tab w:val="clear" w:pos="7892"/>
              <w:tab w:val="right" w:pos="9026" w:leader="dot"/>
            </w:tabs>
            <w:rPr/>
          </w:pPr>
          <w:hyperlink w:anchor="__RefHeading___Toc3920532_3650668749">
            <w:r>
              <w:rPr>
                <w:webHidden/>
                <w:rStyle w:val="IndexLink"/>
                <w:rtl w:val="true"/>
              </w:rPr>
              <w:t>الدليل الثاني</w:t>
            </w:r>
            <w:r>
              <w:rPr>
                <w:rStyle w:val="IndexLink"/>
                <w:rtl w:val="true"/>
              </w:rPr>
              <w:tab/>
            </w:r>
            <w:r>
              <w:rPr>
                <w:rStyle w:val="IndexLink"/>
              </w:rPr>
              <w:t>32</w:t>
            </w:r>
          </w:hyperlink>
        </w:p>
        <w:p>
          <w:pPr>
            <w:pStyle w:val="Contents6"/>
            <w:tabs>
              <w:tab w:val="clear" w:pos="7609"/>
              <w:tab w:val="right" w:pos="9026" w:leader="dot"/>
            </w:tabs>
            <w:rPr/>
          </w:pPr>
          <w:hyperlink w:anchor="__RefHeading___Toc3920534_3650668749">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3920536_3650668749">
            <w:r>
              <w:rPr>
                <w:webHidden/>
                <w:rStyle w:val="IndexLink"/>
                <w:rtl w:val="true"/>
              </w:rPr>
              <w:t>مناقشة الدليل الثاني</w:t>
            </w:r>
            <w:r>
              <w:rPr>
                <w:rStyle w:val="IndexLink"/>
                <w:rtl w:val="true"/>
              </w:rPr>
              <w:tab/>
            </w:r>
            <w:r>
              <w:rPr>
                <w:rStyle w:val="IndexLink"/>
              </w:rPr>
              <w:t>32</w:t>
            </w:r>
          </w:hyperlink>
        </w:p>
        <w:p>
          <w:pPr>
            <w:pStyle w:val="Contents4"/>
            <w:tabs>
              <w:tab w:val="clear" w:pos="8176"/>
              <w:tab w:val="right" w:pos="9026" w:leader="dot"/>
            </w:tabs>
            <w:rPr/>
          </w:pPr>
          <w:hyperlink w:anchor="__RefHeading___Toc3920538_3650668749">
            <w:r>
              <w:rPr>
                <w:webHidden/>
                <w:rStyle w:val="IndexLink"/>
                <w:rtl w:val="true"/>
              </w:rPr>
              <w:t>الأمر الرابع</w:t>
            </w:r>
            <w:r>
              <w:rPr>
                <w:rStyle w:val="IndexLink"/>
                <w:rtl w:val="true"/>
              </w:rPr>
              <w:t xml:space="preserve">: </w:t>
            </w:r>
            <w:r>
              <w:rPr>
                <w:rStyle w:val="IndexLink"/>
                <w:rtl w:val="true"/>
              </w:rPr>
              <w:t>في معنى البدعة</w:t>
            </w:r>
            <w:r>
              <w:rPr>
                <w:rStyle w:val="IndexLink"/>
                <w:rtl w:val="true"/>
              </w:rPr>
              <w:tab/>
            </w:r>
            <w:r>
              <w:rPr>
                <w:rStyle w:val="IndexLink"/>
              </w:rPr>
              <w:t>34</w:t>
            </w:r>
          </w:hyperlink>
        </w:p>
        <w:p>
          <w:pPr>
            <w:pStyle w:val="Contents3"/>
            <w:tabs>
              <w:tab w:val="clear" w:pos="8459"/>
              <w:tab w:val="right" w:pos="9026" w:leader="dot"/>
            </w:tabs>
            <w:rPr/>
          </w:pPr>
          <w:hyperlink w:anchor="__RefHeading___Toc3920540_3650668749">
            <w:r>
              <w:rPr>
                <w:webHidden/>
                <w:rStyle w:val="IndexLink"/>
                <w:rtl w:val="true"/>
              </w:rPr>
              <w:t>الشبهة الثانية</w:t>
            </w:r>
            <w:r>
              <w:rPr>
                <w:rStyle w:val="IndexLink"/>
                <w:rtl w:val="true"/>
              </w:rPr>
              <w:t xml:space="preserve">: </w:t>
            </w:r>
            <w:r>
              <w:rPr>
                <w:rStyle w:val="IndexLink"/>
                <w:rtl w:val="true"/>
              </w:rPr>
              <w:t>لزوم تبدّل دين الله فى المعني العرفى للشعائر</w:t>
            </w:r>
            <w:r>
              <w:rPr>
                <w:rStyle w:val="IndexLink"/>
                <w:rtl w:val="true"/>
              </w:rPr>
              <w:tab/>
            </w:r>
            <w:r>
              <w:rPr>
                <w:rStyle w:val="IndexLink"/>
              </w:rPr>
              <w:t>37</w:t>
            </w:r>
          </w:hyperlink>
        </w:p>
        <w:p>
          <w:pPr>
            <w:pStyle w:val="Contents4"/>
            <w:tabs>
              <w:tab w:val="clear" w:pos="8176"/>
              <w:tab w:val="right" w:pos="9026" w:leader="dot"/>
            </w:tabs>
            <w:rPr/>
          </w:pPr>
          <w:hyperlink w:anchor="__RefHeading___Toc3920542_3650668749">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3920544_3650668749">
            <w:r>
              <w:rPr>
                <w:webHidden/>
                <w:rStyle w:val="IndexLink"/>
                <w:rtl w:val="true"/>
              </w:rPr>
              <w:t>المقدّمة الأُولى</w:t>
            </w:r>
            <w:r>
              <w:rPr>
                <w:rStyle w:val="IndexLink"/>
                <w:rtl w:val="true"/>
              </w:rPr>
              <w:t xml:space="preserve">: </w:t>
            </w:r>
            <w:r>
              <w:rPr>
                <w:rStyle w:val="IndexLink"/>
                <w:rtl w:val="true"/>
              </w:rPr>
              <w:t>في معنى العُرف</w:t>
            </w:r>
            <w:r>
              <w:rPr>
                <w:rStyle w:val="IndexLink"/>
                <w:rtl w:val="true"/>
              </w:rPr>
              <w:tab/>
            </w:r>
            <w:r>
              <w:rPr>
                <w:rStyle w:val="IndexLink"/>
              </w:rPr>
              <w:t>38</w:t>
            </w:r>
          </w:hyperlink>
        </w:p>
        <w:p>
          <w:pPr>
            <w:pStyle w:val="Contents4"/>
            <w:tabs>
              <w:tab w:val="clear" w:pos="8176"/>
              <w:tab w:val="right" w:pos="9026" w:leader="dot"/>
            </w:tabs>
            <w:rPr/>
          </w:pPr>
          <w:hyperlink w:anchor="__RefHeading___Toc3920546_3650668749">
            <w:r>
              <w:rPr>
                <w:webHidden/>
                <w:rStyle w:val="IndexLink"/>
                <w:rtl w:val="true"/>
              </w:rPr>
              <w:t>المقدّمة الثانية</w:t>
            </w:r>
            <w:r>
              <w:rPr>
                <w:rStyle w:val="IndexLink"/>
                <w:rtl w:val="true"/>
              </w:rPr>
              <w:t xml:space="preserve">: </w:t>
            </w:r>
            <w:r>
              <w:rPr>
                <w:rStyle w:val="IndexLink"/>
                <w:rtl w:val="true"/>
              </w:rPr>
              <w:t>مرجعية العُرف في استكشاف الحكم الشرعي</w:t>
            </w:r>
            <w:r>
              <w:rPr>
                <w:rStyle w:val="IndexLink"/>
                <w:rtl w:val="true"/>
              </w:rPr>
              <w:tab/>
            </w:r>
            <w:r>
              <w:rPr>
                <w:rStyle w:val="IndexLink"/>
              </w:rPr>
              <w:t>39</w:t>
            </w:r>
          </w:hyperlink>
        </w:p>
        <w:p>
          <w:pPr>
            <w:pStyle w:val="Contents4"/>
            <w:tabs>
              <w:tab w:val="clear" w:pos="8176"/>
              <w:tab w:val="right" w:pos="9026" w:leader="dot"/>
            </w:tabs>
            <w:rPr/>
          </w:pPr>
          <w:hyperlink w:anchor="__RefHeading___Toc3920548_3650668749">
            <w:r>
              <w:rPr>
                <w:webHidden/>
                <w:rStyle w:val="IndexLink"/>
                <w:rtl w:val="true"/>
              </w:rPr>
              <w:t>المقدّمة الثالثة</w:t>
            </w:r>
            <w:r>
              <w:rPr>
                <w:rStyle w:val="IndexLink"/>
                <w:rtl w:val="true"/>
              </w:rPr>
              <w:t xml:space="preserve">: </w:t>
            </w:r>
            <w:r>
              <w:rPr>
                <w:rStyle w:val="IndexLink"/>
                <w:rtl w:val="true"/>
              </w:rPr>
              <w:t>مرجعية العُرف في تشخيص مواضيع الأحكام الشرعية</w:t>
            </w:r>
            <w:r>
              <w:rPr>
                <w:rStyle w:val="IndexLink"/>
                <w:rtl w:val="true"/>
              </w:rPr>
              <w:tab/>
            </w:r>
            <w:r>
              <w:rPr>
                <w:rStyle w:val="IndexLink"/>
              </w:rPr>
              <w:t>39</w:t>
            </w:r>
          </w:hyperlink>
        </w:p>
        <w:p>
          <w:pPr>
            <w:pStyle w:val="Contents5"/>
            <w:tabs>
              <w:tab w:val="clear" w:pos="7892"/>
              <w:tab w:val="right" w:pos="9026" w:leader="dot"/>
            </w:tabs>
            <w:rPr/>
          </w:pPr>
          <w:hyperlink w:anchor="__RefHeading___Toc3920550_3650668749">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3920552_3650668749">
            <w:r>
              <w:rPr>
                <w:webHidden/>
                <w:rStyle w:val="IndexLink"/>
                <w:rtl w:val="true"/>
              </w:rPr>
              <w:t>أقسام مواضيع الأحكام الشرعية</w:t>
            </w:r>
            <w:r>
              <w:rPr>
                <w:rStyle w:val="IndexLink"/>
                <w:rtl w:val="true"/>
              </w:rPr>
              <w:tab/>
            </w:r>
            <w:r>
              <w:rPr>
                <w:rStyle w:val="IndexLink"/>
              </w:rPr>
              <w:t>39</w:t>
            </w:r>
          </w:hyperlink>
        </w:p>
        <w:p>
          <w:pPr>
            <w:pStyle w:val="Contents5"/>
            <w:tabs>
              <w:tab w:val="clear" w:pos="7892"/>
              <w:tab w:val="right" w:pos="9026" w:leader="dot"/>
            </w:tabs>
            <w:rPr/>
          </w:pPr>
          <w:hyperlink w:anchor="__RefHeading___Toc3920554_3650668749">
            <w:r>
              <w:rPr>
                <w:webHidden/>
                <w:rStyle w:val="IndexLink"/>
                <w:rtl w:val="true"/>
              </w:rPr>
              <w:t>شواهد فقهية على عدم حاجة العنوان المُستجد لدليلٍ خاص</w:t>
            </w:r>
            <w:r>
              <w:rPr>
                <w:rStyle w:val="IndexLink"/>
                <w:rtl w:val="true"/>
              </w:rPr>
              <w:tab/>
            </w:r>
            <w:r>
              <w:rPr>
                <w:rStyle w:val="IndexLink"/>
              </w:rPr>
              <w:t>43</w:t>
            </w:r>
          </w:hyperlink>
        </w:p>
        <w:p>
          <w:pPr>
            <w:pStyle w:val="Contents5"/>
            <w:tabs>
              <w:tab w:val="clear" w:pos="7892"/>
              <w:tab w:val="right" w:pos="9026" w:leader="dot"/>
            </w:tabs>
            <w:rPr/>
          </w:pPr>
          <w:hyperlink w:anchor="__RefHeading___Toc3920556_3650668749">
            <w:r>
              <w:rPr>
                <w:webHidden/>
                <w:rStyle w:val="IndexLink"/>
                <w:rtl w:val="true"/>
              </w:rPr>
              <w:t>حكم اختلاف الأعراف في ممارسة الشعائر</w:t>
            </w:r>
            <w:r>
              <w:rPr>
                <w:rStyle w:val="IndexLink"/>
                <w:rtl w:val="true"/>
              </w:rPr>
              <w:tab/>
            </w:r>
            <w:r>
              <w:rPr>
                <w:rStyle w:val="IndexLink"/>
              </w:rPr>
              <w:t>46</w:t>
            </w:r>
          </w:hyperlink>
        </w:p>
        <w:p>
          <w:pPr>
            <w:pStyle w:val="Contents3"/>
            <w:tabs>
              <w:tab w:val="clear" w:pos="8459"/>
              <w:tab w:val="right" w:pos="9026" w:leader="dot"/>
            </w:tabs>
            <w:rPr/>
          </w:pPr>
          <w:hyperlink w:anchor="__RefHeading___Toc3920558_3650668749">
            <w:r>
              <w:rPr>
                <w:webHidden/>
                <w:rStyle w:val="IndexLink"/>
                <w:rtl w:val="true"/>
              </w:rPr>
              <w:t>الشبهة الثالثة</w:t>
            </w:r>
            <w:r>
              <w:rPr>
                <w:rStyle w:val="IndexLink"/>
                <w:rtl w:val="true"/>
              </w:rPr>
              <w:t xml:space="preserve">: </w:t>
            </w:r>
            <w:r>
              <w:rPr>
                <w:rStyle w:val="IndexLink"/>
                <w:rtl w:val="true"/>
              </w:rPr>
              <w:t xml:space="preserve">يجب الفرح بشهادة الحسين </w:t>
            </w:r>
            <w:r>
              <w:rPr>
                <w:rStyle w:val="IndexLink"/>
                <w:rtl w:val="true"/>
              </w:rPr>
              <w:t>(</w:t>
            </w:r>
            <w:r>
              <w:rPr>
                <w:rStyle w:val="IndexLink"/>
                <w:rtl w:val="true"/>
              </w:rPr>
              <w:t>ع</w:t>
            </w:r>
            <w:r>
              <w:rPr>
                <w:rStyle w:val="IndexLink"/>
                <w:rtl w:val="true"/>
              </w:rPr>
              <w:t xml:space="preserve">) </w:t>
            </w:r>
            <w:r>
              <w:rPr>
                <w:rStyle w:val="IndexLink"/>
                <w:rtl w:val="true"/>
              </w:rPr>
              <w:t>لا البكاء والجزع</w:t>
            </w:r>
            <w:r>
              <w:rPr>
                <w:rStyle w:val="IndexLink"/>
                <w:rtl w:val="true"/>
              </w:rPr>
              <w:t>!</w:t>
              <w:tab/>
            </w:r>
            <w:r>
              <w:rPr>
                <w:rStyle w:val="IndexLink"/>
              </w:rPr>
              <w:t>47</w:t>
            </w:r>
          </w:hyperlink>
        </w:p>
        <w:p>
          <w:pPr>
            <w:pStyle w:val="Contents4"/>
            <w:tabs>
              <w:tab w:val="clear" w:pos="8176"/>
              <w:tab w:val="right" w:pos="9026" w:leader="dot"/>
            </w:tabs>
            <w:rPr/>
          </w:pPr>
          <w:hyperlink w:anchor="__RefHeading___Toc3920560_3650668749">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3920562_3650668749">
            <w:r>
              <w:rPr>
                <w:webHidden/>
                <w:rStyle w:val="IndexLink"/>
                <w:rtl w:val="true"/>
              </w:rPr>
              <w:t xml:space="preserve">البكاء على الحسين </w:t>
            </w:r>
            <w:r>
              <w:rPr>
                <w:rStyle w:val="IndexLink"/>
                <w:rtl w:val="true"/>
              </w:rPr>
              <w:t>(</w:t>
            </w:r>
            <w:r>
              <w:rPr>
                <w:rStyle w:val="IndexLink"/>
                <w:rtl w:val="true"/>
              </w:rPr>
              <w:t>ع</w:t>
            </w:r>
            <w:r>
              <w:rPr>
                <w:rStyle w:val="IndexLink"/>
                <w:rtl w:val="true"/>
              </w:rPr>
              <w:t xml:space="preserve">) </w:t>
            </w:r>
            <w:r>
              <w:rPr>
                <w:rStyle w:val="IndexLink"/>
                <w:rtl w:val="true"/>
              </w:rPr>
              <w:t>أهمّ العبادات</w:t>
            </w:r>
            <w:r>
              <w:rPr>
                <w:rStyle w:val="IndexLink"/>
                <w:rtl w:val="true"/>
              </w:rPr>
              <w:tab/>
            </w:r>
            <w:r>
              <w:rPr>
                <w:rStyle w:val="IndexLink"/>
              </w:rPr>
              <w:t>48</w:t>
            </w:r>
          </w:hyperlink>
        </w:p>
        <w:p>
          <w:pPr>
            <w:pStyle w:val="Contents4"/>
            <w:tabs>
              <w:tab w:val="clear" w:pos="8176"/>
              <w:tab w:val="right" w:pos="9026" w:leader="dot"/>
            </w:tabs>
            <w:rPr/>
          </w:pPr>
          <w:hyperlink w:anchor="__RefHeading___Toc3920564_3650668749">
            <w:r>
              <w:rPr>
                <w:webHidden/>
                <w:rStyle w:val="IndexLink"/>
                <w:rtl w:val="true"/>
              </w:rPr>
              <w:t>الاستدلال القرآني على جواز البكاء</w:t>
            </w:r>
            <w:r>
              <w:rPr>
                <w:rStyle w:val="IndexLink"/>
                <w:rtl w:val="true"/>
              </w:rPr>
              <w:tab/>
            </w:r>
            <w:r>
              <w:rPr>
                <w:rStyle w:val="IndexLink"/>
              </w:rPr>
              <w:t>52</w:t>
            </w:r>
          </w:hyperlink>
        </w:p>
        <w:p>
          <w:pPr>
            <w:pStyle w:val="Contents4"/>
            <w:tabs>
              <w:tab w:val="clear" w:pos="8176"/>
              <w:tab w:val="right" w:pos="9026" w:leader="dot"/>
            </w:tabs>
            <w:rPr/>
          </w:pPr>
          <w:hyperlink w:anchor="__RefHeading___Toc3920566_3650668749">
            <w:r>
              <w:rPr>
                <w:webHidden/>
                <w:rStyle w:val="IndexLink"/>
                <w:rtl w:val="true"/>
              </w:rPr>
              <w:t>تقريب الاستدلال</w:t>
            </w:r>
            <w:r>
              <w:rPr>
                <w:rStyle w:val="IndexLink"/>
                <w:rtl w:val="true"/>
              </w:rPr>
              <w:tab/>
            </w:r>
            <w:r>
              <w:rPr>
                <w:rStyle w:val="IndexLink"/>
              </w:rPr>
              <w:t>55</w:t>
            </w:r>
          </w:hyperlink>
        </w:p>
        <w:p>
          <w:pPr>
            <w:pStyle w:val="Contents4"/>
            <w:tabs>
              <w:tab w:val="clear" w:pos="8176"/>
              <w:tab w:val="right" w:pos="9026" w:leader="dot"/>
            </w:tabs>
            <w:rPr/>
          </w:pPr>
          <w:hyperlink w:anchor="__RefHeading___Toc3920568_3650668749">
            <w:r>
              <w:rPr>
                <w:webHidden/>
                <w:rStyle w:val="IndexLink"/>
                <w:rtl w:val="true"/>
              </w:rPr>
              <w:t>التأييد الروائي</w:t>
            </w:r>
            <w:r>
              <w:rPr>
                <w:rStyle w:val="IndexLink"/>
                <w:rtl w:val="true"/>
              </w:rPr>
              <w:tab/>
            </w:r>
            <w:r>
              <w:rPr>
                <w:rStyle w:val="IndexLink"/>
              </w:rPr>
              <w:t>55</w:t>
            </w:r>
          </w:hyperlink>
        </w:p>
        <w:p>
          <w:pPr>
            <w:pStyle w:val="Contents4"/>
            <w:tabs>
              <w:tab w:val="clear" w:pos="8176"/>
              <w:tab w:val="right" w:pos="9026" w:leader="dot"/>
            </w:tabs>
            <w:rPr/>
          </w:pPr>
          <w:hyperlink w:anchor="__RefHeading___Toc3920570_3650668749">
            <w:r>
              <w:rPr>
                <w:webHidden/>
                <w:rStyle w:val="IndexLink"/>
                <w:rtl w:val="true"/>
              </w:rPr>
              <w:t xml:space="preserve">الروايات الدالّة على استحباب الجزع على سيد الشهداء </w:t>
            </w:r>
            <w:r>
              <w:rPr>
                <w:rStyle w:val="IndexLink"/>
                <w:rtl w:val="true"/>
              </w:rPr>
              <w:t>(</w:t>
            </w:r>
            <w:r>
              <w:rPr>
                <w:rStyle w:val="IndexLink"/>
                <w:rtl w:val="true"/>
              </w:rPr>
              <w:t>ع</w:t>
            </w:r>
            <w:r>
              <w:rPr>
                <w:rStyle w:val="IndexLink"/>
                <w:rtl w:val="true"/>
              </w:rPr>
              <w:t>)</w:t>
              <w:tab/>
            </w:r>
            <w:r>
              <w:rPr>
                <w:rStyle w:val="IndexLink"/>
              </w:rPr>
              <w:t>56</w:t>
            </w:r>
          </w:hyperlink>
        </w:p>
        <w:p>
          <w:pPr>
            <w:pStyle w:val="Contents4"/>
            <w:tabs>
              <w:tab w:val="clear" w:pos="8176"/>
              <w:tab w:val="right" w:pos="9026" w:leader="dot"/>
            </w:tabs>
            <w:rPr/>
          </w:pPr>
          <w:hyperlink w:anchor="__RefHeading___Toc3920572_3650668749">
            <w:r>
              <w:rPr>
                <w:webHidden/>
                <w:rStyle w:val="IndexLink"/>
                <w:rtl w:val="true"/>
              </w:rPr>
              <w:t>الحاصل من روايات الجزع</w:t>
            </w:r>
            <w:r>
              <w:rPr>
                <w:rStyle w:val="IndexLink"/>
                <w:rtl w:val="true"/>
              </w:rPr>
              <w:tab/>
            </w:r>
            <w:r>
              <w:rPr>
                <w:rStyle w:val="IndexLink"/>
              </w:rPr>
              <w:t>59</w:t>
            </w:r>
          </w:hyperlink>
        </w:p>
        <w:p>
          <w:pPr>
            <w:pStyle w:val="Contents4"/>
            <w:tabs>
              <w:tab w:val="clear" w:pos="8176"/>
              <w:tab w:val="right" w:pos="9026" w:leader="dot"/>
            </w:tabs>
            <w:rPr/>
          </w:pPr>
          <w:hyperlink w:anchor="__RefHeading___Toc3920574_3650668749">
            <w:r>
              <w:rPr>
                <w:webHidden/>
                <w:rStyle w:val="IndexLink"/>
                <w:rtl w:val="true"/>
              </w:rPr>
              <w:t xml:space="preserve">البكاء على الحسين </w:t>
            </w:r>
            <w:r>
              <w:rPr>
                <w:rStyle w:val="IndexLink"/>
                <w:rtl w:val="true"/>
              </w:rPr>
              <w:t>(</w:t>
            </w:r>
            <w:r>
              <w:rPr>
                <w:rStyle w:val="IndexLink"/>
                <w:rtl w:val="true"/>
              </w:rPr>
              <w:t>ع</w:t>
            </w:r>
            <w:r>
              <w:rPr>
                <w:rStyle w:val="IndexLink"/>
                <w:rtl w:val="true"/>
              </w:rPr>
              <w:t xml:space="preserve">) </w:t>
            </w:r>
            <w:r>
              <w:rPr>
                <w:rStyle w:val="IndexLink"/>
                <w:rtl w:val="true"/>
              </w:rPr>
              <w:t>في مصادر أهل السُنَّة</w:t>
            </w:r>
            <w:r>
              <w:rPr>
                <w:rStyle w:val="IndexLink"/>
                <w:rtl w:val="true"/>
              </w:rPr>
              <w:tab/>
            </w:r>
            <w:r>
              <w:rPr>
                <w:rStyle w:val="IndexLink"/>
              </w:rPr>
              <w:t>59</w:t>
            </w:r>
          </w:hyperlink>
        </w:p>
        <w:p>
          <w:pPr>
            <w:pStyle w:val="Contents5"/>
            <w:tabs>
              <w:tab w:val="clear" w:pos="7892"/>
              <w:tab w:val="right" w:pos="9026" w:leader="dot"/>
            </w:tabs>
            <w:rPr/>
          </w:pPr>
          <w:hyperlink w:anchor="__RefHeading___Toc3920576_3650668749">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3920578_3650668749">
            <w:r>
              <w:rPr>
                <w:webHidden/>
                <w:rStyle w:val="IndexLink"/>
                <w:rtl w:val="true"/>
              </w:rPr>
              <w:t xml:space="preserve">بكاء السماء دماً حزناً على الحسين </w:t>
            </w:r>
            <w:r>
              <w:rPr>
                <w:rStyle w:val="IndexLink"/>
                <w:rtl w:val="true"/>
              </w:rPr>
              <w:t>(</w:t>
            </w:r>
            <w:r>
              <w:rPr>
                <w:rStyle w:val="IndexLink"/>
                <w:rtl w:val="true"/>
              </w:rPr>
              <w:t>ع</w:t>
            </w:r>
            <w:r>
              <w:rPr>
                <w:rStyle w:val="IndexLink"/>
                <w:rtl w:val="true"/>
              </w:rPr>
              <w:t xml:space="preserve">) </w:t>
            </w:r>
            <w:r>
              <w:rPr>
                <w:rStyle w:val="IndexLink"/>
                <w:rtl w:val="true"/>
              </w:rPr>
              <w:t>في مصادر أهل السُنَّة</w:t>
            </w:r>
            <w:r>
              <w:rPr>
                <w:rStyle w:val="IndexLink"/>
                <w:rtl w:val="true"/>
              </w:rPr>
              <w:tab/>
            </w:r>
            <w:r>
              <w:rPr>
                <w:rStyle w:val="IndexLink"/>
              </w:rPr>
              <w:t>61</w:t>
            </w:r>
          </w:hyperlink>
        </w:p>
        <w:p>
          <w:pPr>
            <w:pStyle w:val="Contents5"/>
            <w:tabs>
              <w:tab w:val="clear" w:pos="7892"/>
              <w:tab w:val="right" w:pos="9026" w:leader="dot"/>
            </w:tabs>
            <w:rPr/>
          </w:pPr>
          <w:hyperlink w:anchor="__RefHeading___Toc3920580_3650668749">
            <w:r>
              <w:rPr>
                <w:webHidden/>
                <w:rStyle w:val="IndexLink"/>
                <w:rtl w:val="true"/>
              </w:rPr>
              <w:t xml:space="preserve">بكاء الأرض دماً عبيطاً على الحسين </w:t>
            </w:r>
            <w:r>
              <w:rPr>
                <w:rStyle w:val="IndexLink"/>
                <w:rtl w:val="true"/>
              </w:rPr>
              <w:t>(</w:t>
            </w:r>
            <w:r>
              <w:rPr>
                <w:rStyle w:val="IndexLink"/>
                <w:rtl w:val="true"/>
              </w:rPr>
              <w:t>ع</w:t>
            </w:r>
            <w:r>
              <w:rPr>
                <w:rStyle w:val="IndexLink"/>
                <w:rtl w:val="true"/>
              </w:rPr>
              <w:t xml:space="preserve">) </w:t>
            </w:r>
            <w:r>
              <w:rPr>
                <w:rStyle w:val="IndexLink"/>
                <w:rtl w:val="true"/>
              </w:rPr>
              <w:t>في مصادر أهل السُنَّة</w:t>
            </w:r>
            <w:r>
              <w:rPr>
                <w:rStyle w:val="IndexLink"/>
                <w:rtl w:val="true"/>
              </w:rPr>
              <w:tab/>
            </w:r>
            <w:r>
              <w:rPr>
                <w:rStyle w:val="IndexLink"/>
              </w:rPr>
              <w:t>64</w:t>
            </w:r>
          </w:hyperlink>
        </w:p>
        <w:p>
          <w:pPr>
            <w:pStyle w:val="Contents5"/>
            <w:tabs>
              <w:tab w:val="clear" w:pos="7892"/>
              <w:tab w:val="right" w:pos="9026" w:leader="dot"/>
            </w:tabs>
            <w:rPr/>
          </w:pPr>
          <w:hyperlink w:anchor="__RefHeading___Toc3920582_3650668749">
            <w:r>
              <w:rPr>
                <w:webHidden/>
                <w:rStyle w:val="IndexLink"/>
                <w:rtl w:val="true"/>
              </w:rPr>
              <w:t>كسوف الشمس واضطراب الكواكب بعد عاشوراء في مصادر أهل السُنَّة</w:t>
            </w:r>
            <w:r>
              <w:rPr>
                <w:rStyle w:val="IndexLink"/>
                <w:rtl w:val="true"/>
              </w:rPr>
              <w:tab/>
            </w:r>
            <w:r>
              <w:rPr>
                <w:rStyle w:val="IndexLink"/>
              </w:rPr>
              <w:t>65</w:t>
            </w:r>
          </w:hyperlink>
        </w:p>
        <w:p>
          <w:pPr>
            <w:pStyle w:val="Contents5"/>
            <w:tabs>
              <w:tab w:val="clear" w:pos="7892"/>
              <w:tab w:val="right" w:pos="9026" w:leader="dot"/>
            </w:tabs>
            <w:rPr/>
          </w:pPr>
          <w:hyperlink w:anchor="__RefHeading___Toc3920584_3650668749">
            <w:r>
              <w:rPr>
                <w:webHidden/>
                <w:rStyle w:val="IndexLink"/>
                <w:rtl w:val="true"/>
              </w:rPr>
              <w:t xml:space="preserve">بكاء ملائكة السماء على الحسين </w:t>
            </w:r>
            <w:r>
              <w:rPr>
                <w:rStyle w:val="IndexLink"/>
                <w:rtl w:val="true"/>
              </w:rPr>
              <w:t>(</w:t>
            </w:r>
            <w:r>
              <w:rPr>
                <w:rStyle w:val="IndexLink"/>
                <w:rtl w:val="true"/>
              </w:rPr>
              <w:t>ع</w:t>
            </w:r>
            <w:r>
              <w:rPr>
                <w:rStyle w:val="IndexLink"/>
                <w:rtl w:val="true"/>
              </w:rPr>
              <w:t xml:space="preserve">) </w:t>
            </w:r>
            <w:r>
              <w:rPr>
                <w:rStyle w:val="IndexLink"/>
                <w:rtl w:val="true"/>
              </w:rPr>
              <w:t>في مصادر أهل السُنَّة</w:t>
            </w:r>
            <w:r>
              <w:rPr>
                <w:rStyle w:val="IndexLink"/>
                <w:rtl w:val="true"/>
              </w:rPr>
              <w:tab/>
            </w:r>
            <w:r>
              <w:rPr>
                <w:rStyle w:val="IndexLink"/>
              </w:rPr>
              <w:t>66</w:t>
            </w:r>
          </w:hyperlink>
        </w:p>
        <w:p>
          <w:pPr>
            <w:pStyle w:val="Contents5"/>
            <w:tabs>
              <w:tab w:val="clear" w:pos="7892"/>
              <w:tab w:val="right" w:pos="9026" w:leader="dot"/>
            </w:tabs>
            <w:rPr/>
          </w:pPr>
          <w:hyperlink w:anchor="__RefHeading___Toc3920586_3650668749">
            <w:r>
              <w:rPr>
                <w:webHidden/>
                <w:rStyle w:val="IndexLink"/>
                <w:rtl w:val="true"/>
              </w:rPr>
              <w:t xml:space="preserve">ومن حوادث غريبة بعد واقعة عاشوراء في مصادر أهل السُنَّة هي نوح الجنّ على الحسين </w:t>
            </w:r>
            <w:r>
              <w:rPr>
                <w:rStyle w:val="IndexLink"/>
                <w:rtl w:val="true"/>
              </w:rPr>
              <w:t>(</w:t>
            </w:r>
            <w:r>
              <w:rPr>
                <w:rStyle w:val="IndexLink"/>
                <w:rtl w:val="true"/>
              </w:rPr>
              <w:t>ع</w:t>
            </w:r>
            <w:r>
              <w:rPr>
                <w:rStyle w:val="IndexLink"/>
                <w:rtl w:val="true"/>
              </w:rPr>
              <w:t>)</w:t>
              <w:tab/>
            </w:r>
            <w:r>
              <w:rPr>
                <w:rStyle w:val="IndexLink"/>
              </w:rPr>
              <w:t>66</w:t>
            </w:r>
          </w:hyperlink>
        </w:p>
        <w:p>
          <w:pPr>
            <w:pStyle w:val="Contents5"/>
            <w:tabs>
              <w:tab w:val="clear" w:pos="7892"/>
              <w:tab w:val="right" w:pos="9026" w:leader="dot"/>
            </w:tabs>
            <w:rPr/>
          </w:pPr>
          <w:hyperlink w:anchor="__RefHeading___Toc3920588_3650668749">
            <w:r>
              <w:rPr>
                <w:webHidden/>
                <w:rStyle w:val="IndexLink"/>
                <w:rtl w:val="true"/>
              </w:rPr>
              <w:t xml:space="preserve">المآتم التي أقامها الرسول </w:t>
            </w:r>
            <w:r>
              <w:rPr>
                <w:rStyle w:val="IndexLink"/>
                <w:rtl w:val="true"/>
              </w:rPr>
              <w:t>(</w:t>
            </w:r>
            <w:r>
              <w:rPr>
                <w:rStyle w:val="IndexLink"/>
                <w:rtl w:val="true"/>
              </w:rPr>
              <w:t>ص</w:t>
            </w:r>
            <w:r>
              <w:rPr>
                <w:rStyle w:val="IndexLink"/>
                <w:rtl w:val="true"/>
              </w:rPr>
              <w:t xml:space="preserve">) </w:t>
            </w:r>
            <w:r>
              <w:rPr>
                <w:rStyle w:val="IndexLink"/>
                <w:rtl w:val="true"/>
              </w:rPr>
              <w:t xml:space="preserve">على الحسين </w:t>
            </w:r>
            <w:r>
              <w:rPr>
                <w:rStyle w:val="IndexLink"/>
                <w:rtl w:val="true"/>
              </w:rPr>
              <w:t>(</w:t>
            </w:r>
            <w:r>
              <w:rPr>
                <w:rStyle w:val="IndexLink"/>
                <w:rtl w:val="true"/>
              </w:rPr>
              <w:t>ع</w:t>
            </w:r>
            <w:r>
              <w:rPr>
                <w:rStyle w:val="IndexLink"/>
                <w:rtl w:val="true"/>
              </w:rPr>
              <w:t xml:space="preserve">) </w:t>
            </w:r>
            <w:r>
              <w:rPr>
                <w:rStyle w:val="IndexLink"/>
                <w:rtl w:val="true"/>
              </w:rPr>
              <w:t>في مصادر السُنَّة</w:t>
            </w:r>
            <w:r>
              <w:rPr>
                <w:rStyle w:val="IndexLink"/>
                <w:rtl w:val="true"/>
              </w:rPr>
              <w:tab/>
            </w:r>
            <w:r>
              <w:rPr>
                <w:rStyle w:val="IndexLink"/>
              </w:rPr>
              <w:t>67</w:t>
            </w:r>
          </w:hyperlink>
        </w:p>
        <w:p>
          <w:pPr>
            <w:pStyle w:val="Contents6"/>
            <w:tabs>
              <w:tab w:val="clear" w:pos="7609"/>
              <w:tab w:val="right" w:pos="9026" w:leader="dot"/>
            </w:tabs>
            <w:rPr/>
          </w:pPr>
          <w:hyperlink w:anchor="__RefHeading___Toc3920590_3650668749">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3920592_3650668749">
            <w:r>
              <w:rPr>
                <w:webHidden/>
                <w:rStyle w:val="IndexLink"/>
              </w:rPr>
              <w:t>١</w:t>
            </w:r>
            <w:r>
              <w:rPr>
                <w:rStyle w:val="IndexLink"/>
                <w:rtl w:val="true"/>
              </w:rPr>
              <w:t xml:space="preserve">- </w:t>
            </w:r>
            <w:r>
              <w:rPr>
                <w:rStyle w:val="IndexLink"/>
                <w:rtl w:val="true"/>
              </w:rPr>
              <w:t xml:space="preserve">مأتم يوم ولادة الحسين </w:t>
            </w:r>
            <w:r>
              <w:rPr>
                <w:rStyle w:val="IndexLink"/>
                <w:rtl w:val="true"/>
              </w:rPr>
              <w:t>(</w:t>
            </w:r>
            <w:r>
              <w:rPr>
                <w:rStyle w:val="IndexLink"/>
                <w:rtl w:val="true"/>
              </w:rPr>
              <w:t>ع</w:t>
            </w:r>
            <w:r>
              <w:rPr>
                <w:rStyle w:val="IndexLink"/>
                <w:rtl w:val="true"/>
              </w:rPr>
              <w:t>)</w:t>
              <w:tab/>
            </w:r>
            <w:r>
              <w:rPr>
                <w:rStyle w:val="IndexLink"/>
              </w:rPr>
              <w:t>67</w:t>
            </w:r>
          </w:hyperlink>
        </w:p>
        <w:p>
          <w:pPr>
            <w:pStyle w:val="Contents6"/>
            <w:tabs>
              <w:tab w:val="clear" w:pos="7609"/>
              <w:tab w:val="right" w:pos="9026" w:leader="dot"/>
            </w:tabs>
            <w:rPr/>
          </w:pPr>
          <w:hyperlink w:anchor="__RefHeading___Toc3920594_3650668749">
            <w:r>
              <w:rPr>
                <w:webHidden/>
                <w:rStyle w:val="IndexLink"/>
              </w:rPr>
              <w:t>٢</w:t>
            </w:r>
            <w:r>
              <w:rPr>
                <w:rStyle w:val="IndexLink"/>
                <w:rtl w:val="true"/>
              </w:rPr>
              <w:t xml:space="preserve">- </w:t>
            </w:r>
            <w:r>
              <w:rPr>
                <w:rStyle w:val="IndexLink"/>
                <w:rtl w:val="true"/>
              </w:rPr>
              <w:t>مأتم الرَضوعة</w:t>
            </w:r>
            <w:r>
              <w:rPr>
                <w:rStyle w:val="IndexLink"/>
                <w:rtl w:val="true"/>
              </w:rPr>
              <w:tab/>
            </w:r>
            <w:r>
              <w:rPr>
                <w:rStyle w:val="IndexLink"/>
              </w:rPr>
              <w:t>67</w:t>
            </w:r>
          </w:hyperlink>
        </w:p>
        <w:p>
          <w:pPr>
            <w:pStyle w:val="Contents6"/>
            <w:tabs>
              <w:tab w:val="clear" w:pos="7609"/>
              <w:tab w:val="right" w:pos="9026" w:leader="dot"/>
            </w:tabs>
            <w:rPr/>
          </w:pPr>
          <w:hyperlink w:anchor="__RefHeading___Toc3920596_3650668749">
            <w:r>
              <w:rPr>
                <w:webHidden/>
                <w:rStyle w:val="IndexLink"/>
              </w:rPr>
              <w:t>٣</w:t>
            </w:r>
            <w:r>
              <w:rPr>
                <w:rStyle w:val="IndexLink"/>
                <w:rtl w:val="true"/>
              </w:rPr>
              <w:t xml:space="preserve">- </w:t>
            </w:r>
            <w:r>
              <w:rPr>
                <w:rStyle w:val="IndexLink"/>
                <w:rtl w:val="true"/>
              </w:rPr>
              <w:t xml:space="preserve">مأتم أقامه الرسول </w:t>
            </w:r>
            <w:r>
              <w:rPr>
                <w:rStyle w:val="IndexLink"/>
                <w:rtl w:val="true"/>
              </w:rPr>
              <w:t>(</w:t>
            </w:r>
            <w:r>
              <w:rPr>
                <w:rStyle w:val="IndexLink"/>
                <w:rtl w:val="true"/>
              </w:rPr>
              <w:t>ص</w:t>
            </w:r>
            <w:r>
              <w:rPr>
                <w:rStyle w:val="IndexLink"/>
                <w:rtl w:val="true"/>
              </w:rPr>
              <w:t xml:space="preserve">) </w:t>
            </w:r>
            <w:r>
              <w:rPr>
                <w:rStyle w:val="IndexLink"/>
                <w:rtl w:val="true"/>
              </w:rPr>
              <w:t xml:space="preserve">عند إخبار الملائكة بمقتل الحسين </w:t>
            </w:r>
            <w:r>
              <w:rPr>
                <w:rStyle w:val="IndexLink"/>
                <w:rtl w:val="true"/>
              </w:rPr>
              <w:t>(</w:t>
            </w:r>
            <w:r>
              <w:rPr>
                <w:rStyle w:val="IndexLink"/>
                <w:rtl w:val="true"/>
              </w:rPr>
              <w:t>ع</w:t>
            </w:r>
            <w:r>
              <w:rPr>
                <w:rStyle w:val="IndexLink"/>
                <w:rtl w:val="true"/>
              </w:rPr>
              <w:t>)</w:t>
              <w:tab/>
            </w:r>
            <w:r>
              <w:rPr>
                <w:rStyle w:val="IndexLink"/>
              </w:rPr>
              <w:t>68</w:t>
            </w:r>
          </w:hyperlink>
        </w:p>
        <w:p>
          <w:pPr>
            <w:pStyle w:val="Contents6"/>
            <w:tabs>
              <w:tab w:val="clear" w:pos="7609"/>
              <w:tab w:val="right" w:pos="9026" w:leader="dot"/>
            </w:tabs>
            <w:rPr/>
          </w:pPr>
          <w:hyperlink w:anchor="__RefHeading___Toc3920598_3650668749">
            <w:r>
              <w:rPr>
                <w:webHidden/>
                <w:rStyle w:val="IndexLink"/>
              </w:rPr>
              <w:t>۴</w:t>
            </w:r>
            <w:r>
              <w:rPr>
                <w:rStyle w:val="IndexLink"/>
                <w:rtl w:val="true"/>
              </w:rPr>
              <w:t xml:space="preserve">- </w:t>
            </w:r>
            <w:r>
              <w:rPr>
                <w:rStyle w:val="IndexLink"/>
                <w:rtl w:val="true"/>
              </w:rPr>
              <w:t xml:space="preserve">مأتم أقامه الرسول </w:t>
            </w:r>
            <w:r>
              <w:rPr>
                <w:rStyle w:val="IndexLink"/>
                <w:rtl w:val="true"/>
              </w:rPr>
              <w:t>(</w:t>
            </w:r>
            <w:r>
              <w:rPr>
                <w:rStyle w:val="IndexLink"/>
                <w:rtl w:val="true"/>
              </w:rPr>
              <w:t>ص</w:t>
            </w:r>
            <w:r>
              <w:rPr>
                <w:rStyle w:val="IndexLink"/>
                <w:rtl w:val="true"/>
              </w:rPr>
              <w:t xml:space="preserve">) </w:t>
            </w:r>
            <w:r>
              <w:rPr>
                <w:rStyle w:val="IndexLink"/>
                <w:rtl w:val="true"/>
              </w:rPr>
              <w:t xml:space="preserve">عند إخبار جبرائيل بمقتل الحسين </w:t>
            </w:r>
            <w:r>
              <w:rPr>
                <w:rStyle w:val="IndexLink"/>
                <w:rtl w:val="true"/>
              </w:rPr>
              <w:t>(</w:t>
            </w:r>
            <w:r>
              <w:rPr>
                <w:rStyle w:val="IndexLink"/>
                <w:rtl w:val="true"/>
              </w:rPr>
              <w:t>ع</w:t>
            </w:r>
            <w:r>
              <w:rPr>
                <w:rStyle w:val="IndexLink"/>
                <w:rtl w:val="true"/>
              </w:rPr>
              <w:t>)</w:t>
              <w:tab/>
            </w:r>
            <w:r>
              <w:rPr>
                <w:rStyle w:val="IndexLink"/>
              </w:rPr>
              <w:t>68</w:t>
            </w:r>
          </w:hyperlink>
        </w:p>
        <w:p>
          <w:pPr>
            <w:pStyle w:val="Contents6"/>
            <w:tabs>
              <w:tab w:val="clear" w:pos="7609"/>
              <w:tab w:val="right" w:pos="9026" w:leader="dot"/>
            </w:tabs>
            <w:rPr/>
          </w:pPr>
          <w:hyperlink w:anchor="__RefHeading___Toc3920600_3650668749">
            <w:r>
              <w:rPr>
                <w:webHidden/>
                <w:rStyle w:val="IndexLink"/>
              </w:rPr>
              <w:t>۵</w:t>
            </w:r>
            <w:r>
              <w:rPr>
                <w:rStyle w:val="IndexLink"/>
                <w:rtl w:val="true"/>
              </w:rPr>
              <w:t xml:space="preserve">- </w:t>
            </w:r>
            <w:r>
              <w:rPr>
                <w:rStyle w:val="IndexLink"/>
                <w:rtl w:val="true"/>
              </w:rPr>
              <w:t xml:space="preserve">مأتم آخر حينما تكرَّر إخبار جبرائيل والملائكة بمقتل الحسين </w:t>
            </w:r>
            <w:r>
              <w:rPr>
                <w:rStyle w:val="IndexLink"/>
                <w:rtl w:val="true"/>
              </w:rPr>
              <w:t>(</w:t>
            </w:r>
            <w:r>
              <w:rPr>
                <w:rStyle w:val="IndexLink"/>
                <w:rtl w:val="true"/>
              </w:rPr>
              <w:t>ع</w:t>
            </w:r>
            <w:r>
              <w:rPr>
                <w:rStyle w:val="IndexLink"/>
                <w:rtl w:val="true"/>
              </w:rPr>
              <w:t>)</w:t>
              <w:tab/>
            </w:r>
            <w:r>
              <w:rPr>
                <w:rStyle w:val="IndexLink"/>
              </w:rPr>
              <w:t>69</w:t>
            </w:r>
          </w:hyperlink>
        </w:p>
        <w:p>
          <w:pPr>
            <w:pStyle w:val="Contents6"/>
            <w:tabs>
              <w:tab w:val="clear" w:pos="7609"/>
              <w:tab w:val="right" w:pos="9026" w:leader="dot"/>
            </w:tabs>
            <w:rPr/>
          </w:pPr>
          <w:hyperlink w:anchor="__RefHeading___Toc3920602_3650668749">
            <w:r>
              <w:rPr>
                <w:webHidden/>
                <w:rStyle w:val="IndexLink"/>
              </w:rPr>
              <w:t>۶</w:t>
            </w:r>
            <w:r>
              <w:rPr>
                <w:rStyle w:val="IndexLink"/>
                <w:rtl w:val="true"/>
              </w:rPr>
              <w:t xml:space="preserve">- </w:t>
            </w:r>
            <w:r>
              <w:rPr>
                <w:rStyle w:val="IndexLink"/>
                <w:rtl w:val="true"/>
              </w:rPr>
              <w:t>مأتم في بيت عائشة</w:t>
            </w:r>
            <w:r>
              <w:rPr>
                <w:rStyle w:val="IndexLink"/>
                <w:rtl w:val="true"/>
              </w:rPr>
              <w:tab/>
            </w:r>
            <w:r>
              <w:rPr>
                <w:rStyle w:val="IndexLink"/>
              </w:rPr>
              <w:t>69</w:t>
            </w:r>
          </w:hyperlink>
        </w:p>
        <w:p>
          <w:pPr>
            <w:pStyle w:val="Contents6"/>
            <w:tabs>
              <w:tab w:val="clear" w:pos="7609"/>
              <w:tab w:val="right" w:pos="9026" w:leader="dot"/>
            </w:tabs>
            <w:rPr/>
          </w:pPr>
          <w:hyperlink w:anchor="__RefHeading___Toc3920604_3650668749">
            <w:r>
              <w:rPr>
                <w:webHidden/>
                <w:rStyle w:val="IndexLink"/>
              </w:rPr>
              <w:t>٧</w:t>
            </w:r>
            <w:r>
              <w:rPr>
                <w:rStyle w:val="IndexLink"/>
                <w:rtl w:val="true"/>
              </w:rPr>
              <w:t xml:space="preserve">- </w:t>
            </w:r>
            <w:r>
              <w:rPr>
                <w:rStyle w:val="IndexLink"/>
                <w:rtl w:val="true"/>
              </w:rPr>
              <w:t xml:space="preserve">مأتم يقيمه الرسول </w:t>
            </w:r>
            <w:r>
              <w:rPr>
                <w:rStyle w:val="IndexLink"/>
                <w:rtl w:val="true"/>
              </w:rPr>
              <w:t>(</w:t>
            </w:r>
            <w:r>
              <w:rPr>
                <w:rStyle w:val="IndexLink"/>
                <w:rtl w:val="true"/>
              </w:rPr>
              <w:t>ص</w:t>
            </w:r>
            <w:r>
              <w:rPr>
                <w:rStyle w:val="IndexLink"/>
                <w:rtl w:val="true"/>
              </w:rPr>
              <w:t xml:space="preserve">) </w:t>
            </w:r>
            <w:r>
              <w:rPr>
                <w:rStyle w:val="IndexLink"/>
                <w:rtl w:val="true"/>
              </w:rPr>
              <w:t>في اللحظات الأخيرة من حياته</w:t>
            </w:r>
            <w:r>
              <w:rPr>
                <w:rStyle w:val="IndexLink"/>
                <w:rtl w:val="true"/>
              </w:rPr>
              <w:tab/>
            </w:r>
            <w:r>
              <w:rPr>
                <w:rStyle w:val="IndexLink"/>
              </w:rPr>
              <w:t>69</w:t>
            </w:r>
          </w:hyperlink>
        </w:p>
        <w:p>
          <w:pPr>
            <w:pStyle w:val="Contents6"/>
            <w:tabs>
              <w:tab w:val="clear" w:pos="7609"/>
              <w:tab w:val="right" w:pos="9026" w:leader="dot"/>
            </w:tabs>
            <w:rPr/>
          </w:pPr>
          <w:hyperlink w:anchor="__RefHeading___Toc3920606_3650668749">
            <w:r>
              <w:rPr>
                <w:webHidden/>
                <w:rStyle w:val="IndexLink"/>
              </w:rPr>
              <w:t>8</w:t>
            </w:r>
            <w:r>
              <w:rPr>
                <w:rStyle w:val="IndexLink"/>
                <w:rtl w:val="true"/>
              </w:rPr>
              <w:t xml:space="preserve">- </w:t>
            </w:r>
            <w:r>
              <w:rPr>
                <w:rStyle w:val="IndexLink"/>
                <w:rtl w:val="true"/>
              </w:rPr>
              <w:t xml:space="preserve">مأتم لرسول الله </w:t>
            </w:r>
            <w:r>
              <w:rPr>
                <w:rStyle w:val="IndexLink"/>
                <w:rtl w:val="true"/>
              </w:rPr>
              <w:t>(</w:t>
            </w:r>
            <w:r>
              <w:rPr>
                <w:rStyle w:val="IndexLink"/>
                <w:rtl w:val="true"/>
              </w:rPr>
              <w:t>ص</w:t>
            </w:r>
            <w:r>
              <w:rPr>
                <w:rStyle w:val="IndexLink"/>
                <w:rtl w:val="true"/>
              </w:rPr>
              <w:t xml:space="preserve">) </w:t>
            </w:r>
            <w:r>
              <w:rPr>
                <w:rStyle w:val="IndexLink"/>
                <w:rtl w:val="true"/>
              </w:rPr>
              <w:t>رأته أم سلمة في منامها</w:t>
            </w:r>
            <w:r>
              <w:rPr>
                <w:rStyle w:val="IndexLink"/>
                <w:rtl w:val="true"/>
              </w:rPr>
              <w:tab/>
            </w:r>
            <w:r>
              <w:rPr>
                <w:rStyle w:val="IndexLink"/>
              </w:rPr>
              <w:t>70</w:t>
            </w:r>
          </w:hyperlink>
        </w:p>
        <w:p>
          <w:pPr>
            <w:pStyle w:val="Contents6"/>
            <w:tabs>
              <w:tab w:val="clear" w:pos="7609"/>
              <w:tab w:val="right" w:pos="9026" w:leader="dot"/>
            </w:tabs>
            <w:rPr/>
          </w:pPr>
          <w:hyperlink w:anchor="__RefHeading___Toc3920608_3650668749">
            <w:r>
              <w:rPr>
                <w:webHidden/>
                <w:rStyle w:val="IndexLink"/>
              </w:rPr>
              <w:t>٩</w:t>
            </w:r>
            <w:r>
              <w:rPr>
                <w:rStyle w:val="IndexLink"/>
                <w:rtl w:val="true"/>
              </w:rPr>
              <w:t xml:space="preserve">- </w:t>
            </w:r>
            <w:r>
              <w:rPr>
                <w:rStyle w:val="IndexLink"/>
                <w:rtl w:val="true"/>
              </w:rPr>
              <w:t xml:space="preserve">مأتم عزاء الأنبياء لرسول الله </w:t>
            </w:r>
            <w:r>
              <w:rPr>
                <w:rStyle w:val="IndexLink"/>
                <w:rtl w:val="true"/>
              </w:rPr>
              <w:t>(</w:t>
            </w:r>
            <w:r>
              <w:rPr>
                <w:rStyle w:val="IndexLink"/>
                <w:rtl w:val="true"/>
              </w:rPr>
              <w:t>ص</w:t>
            </w:r>
            <w:r>
              <w:rPr>
                <w:rStyle w:val="IndexLink"/>
                <w:rtl w:val="true"/>
              </w:rPr>
              <w:t>)</w:t>
              <w:tab/>
            </w:r>
            <w:r>
              <w:rPr>
                <w:rStyle w:val="IndexLink"/>
              </w:rPr>
              <w:t>70</w:t>
            </w:r>
          </w:hyperlink>
        </w:p>
        <w:p>
          <w:pPr>
            <w:pStyle w:val="Contents3"/>
            <w:tabs>
              <w:tab w:val="clear" w:pos="8459"/>
              <w:tab w:val="right" w:pos="9026" w:leader="dot"/>
            </w:tabs>
            <w:rPr/>
          </w:pPr>
          <w:hyperlink w:anchor="__RefHeading___Toc3920610_3650668749">
            <w:r>
              <w:rPr>
                <w:webHidden/>
                <w:rStyle w:val="IndexLink"/>
                <w:rtl w:val="true"/>
              </w:rPr>
              <w:t>الشبهة الرابعة</w:t>
            </w:r>
            <w:r>
              <w:rPr>
                <w:rStyle w:val="IndexLink"/>
                <w:rtl w:val="true"/>
              </w:rPr>
              <w:t xml:space="preserve">: </w:t>
            </w:r>
            <w:r>
              <w:rPr>
                <w:rStyle w:val="IndexLink"/>
                <w:rtl w:val="true"/>
              </w:rPr>
              <w:t>البكاء على الميّت تعذيب و بدعة</w:t>
            </w:r>
            <w:r>
              <w:rPr>
                <w:rStyle w:val="IndexLink"/>
                <w:rtl w:val="true"/>
              </w:rPr>
              <w:tab/>
            </w:r>
            <w:r>
              <w:rPr>
                <w:rStyle w:val="IndexLink"/>
              </w:rPr>
              <w:t>71</w:t>
            </w:r>
          </w:hyperlink>
        </w:p>
        <w:p>
          <w:pPr>
            <w:pStyle w:val="Contents3"/>
            <w:tabs>
              <w:tab w:val="clear" w:pos="8459"/>
              <w:tab w:val="right" w:pos="9026" w:leader="dot"/>
            </w:tabs>
            <w:rPr/>
          </w:pPr>
          <w:hyperlink w:anchor="__RefHeading___Toc3920612_3650668749">
            <w:r>
              <w:rPr>
                <w:webHidden/>
                <w:rStyle w:val="IndexLink"/>
                <w:rtl w:val="true"/>
              </w:rPr>
              <w:t>الشبهة الخامسة</w:t>
            </w:r>
            <w:r>
              <w:rPr>
                <w:rStyle w:val="IndexLink"/>
                <w:rtl w:val="true"/>
              </w:rPr>
              <w:t xml:space="preserve">: </w:t>
            </w:r>
            <w:r>
              <w:rPr>
                <w:rStyle w:val="IndexLink"/>
                <w:rtl w:val="true"/>
              </w:rPr>
              <w:t>روايات البكاء يرفضها العقل لعدم معقولية ثوابها</w:t>
            </w:r>
            <w:r>
              <w:rPr>
                <w:rStyle w:val="IndexLink"/>
                <w:rtl w:val="true"/>
              </w:rPr>
              <w:t>!</w:t>
              <w:tab/>
            </w:r>
            <w:r>
              <w:rPr>
                <w:rStyle w:val="IndexLink"/>
              </w:rPr>
              <w:t>77</w:t>
            </w:r>
          </w:hyperlink>
        </w:p>
        <w:p>
          <w:pPr>
            <w:pStyle w:val="Contents4"/>
            <w:tabs>
              <w:tab w:val="clear" w:pos="8176"/>
              <w:tab w:val="right" w:pos="9026" w:leader="dot"/>
            </w:tabs>
            <w:rPr/>
          </w:pPr>
          <w:hyperlink w:anchor="__RefHeading___Toc3920614_3650668749">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3920616_3650668749">
            <w:r>
              <w:rPr>
                <w:webHidden/>
                <w:rStyle w:val="IndexLink"/>
              </w:rPr>
              <w:t>١</w:t>
            </w:r>
            <w:r>
              <w:rPr>
                <w:rStyle w:val="IndexLink"/>
                <w:rtl w:val="true"/>
              </w:rPr>
              <w:t xml:space="preserve">- </w:t>
            </w:r>
            <w:r>
              <w:rPr>
                <w:rStyle w:val="IndexLink"/>
                <w:rtl w:val="true"/>
              </w:rPr>
              <w:t xml:space="preserve">روايات البكاء على الحسين </w:t>
            </w:r>
            <w:r>
              <w:rPr>
                <w:rStyle w:val="IndexLink"/>
                <w:rtl w:val="true"/>
              </w:rPr>
              <w:t>(</w:t>
            </w:r>
            <w:r>
              <w:rPr>
                <w:rStyle w:val="IndexLink"/>
                <w:rtl w:val="true"/>
              </w:rPr>
              <w:t>ع</w:t>
            </w:r>
            <w:r>
              <w:rPr>
                <w:rStyle w:val="IndexLink"/>
                <w:rtl w:val="true"/>
              </w:rPr>
              <w:t xml:space="preserve">) </w:t>
            </w:r>
            <w:r>
              <w:rPr>
                <w:rStyle w:val="IndexLink"/>
                <w:rtl w:val="true"/>
              </w:rPr>
              <w:t>متواترة</w:t>
            </w:r>
            <w:r>
              <w:rPr>
                <w:rStyle w:val="IndexLink"/>
                <w:rtl w:val="true"/>
              </w:rPr>
              <w:tab/>
            </w:r>
            <w:r>
              <w:rPr>
                <w:rStyle w:val="IndexLink"/>
              </w:rPr>
              <w:t>78</w:t>
            </w:r>
          </w:hyperlink>
        </w:p>
        <w:p>
          <w:pPr>
            <w:pStyle w:val="Contents4"/>
            <w:tabs>
              <w:tab w:val="clear" w:pos="8176"/>
              <w:tab w:val="right" w:pos="9026" w:leader="dot"/>
            </w:tabs>
            <w:rPr/>
          </w:pPr>
          <w:hyperlink w:anchor="__RefHeading___Toc3920618_3650668749">
            <w:r>
              <w:rPr>
                <w:webHidden/>
                <w:rStyle w:val="IndexLink"/>
              </w:rPr>
              <w:t>٢</w:t>
            </w:r>
            <w:r>
              <w:rPr>
                <w:rStyle w:val="IndexLink"/>
                <w:rtl w:val="true"/>
              </w:rPr>
              <w:t xml:space="preserve">- </w:t>
            </w:r>
            <w:r>
              <w:rPr>
                <w:rStyle w:val="IndexLink"/>
                <w:rtl w:val="true"/>
              </w:rPr>
              <w:t>الاستبعاد لا يصلح للدليلية</w:t>
            </w:r>
            <w:r>
              <w:rPr>
                <w:rStyle w:val="IndexLink"/>
                <w:rtl w:val="true"/>
              </w:rPr>
              <w:tab/>
            </w:r>
            <w:r>
              <w:rPr>
                <w:rStyle w:val="IndexLink"/>
              </w:rPr>
              <w:t>80</w:t>
            </w:r>
          </w:hyperlink>
        </w:p>
        <w:p>
          <w:pPr>
            <w:pStyle w:val="Contents4"/>
            <w:tabs>
              <w:tab w:val="clear" w:pos="8176"/>
              <w:tab w:val="right" w:pos="9026" w:leader="dot"/>
            </w:tabs>
            <w:rPr/>
          </w:pPr>
          <w:hyperlink w:anchor="__RefHeading___Toc3920620_3650668749">
            <w:r>
              <w:rPr>
                <w:webHidden/>
                <w:rStyle w:val="IndexLink"/>
              </w:rPr>
              <w:t>٣</w:t>
            </w:r>
            <w:r>
              <w:rPr>
                <w:rStyle w:val="IndexLink"/>
                <w:rtl w:val="true"/>
              </w:rPr>
              <w:t xml:space="preserve">- </w:t>
            </w:r>
            <w:r>
              <w:rPr>
                <w:rStyle w:val="IndexLink"/>
                <w:rtl w:val="true"/>
              </w:rPr>
              <w:t xml:space="preserve">وفرة الثواب لا يختصّ بالبكاء على الحسين </w:t>
            </w:r>
            <w:r>
              <w:rPr>
                <w:rStyle w:val="IndexLink"/>
                <w:rtl w:val="true"/>
              </w:rPr>
              <w:t>(</w:t>
            </w:r>
            <w:r>
              <w:rPr>
                <w:rStyle w:val="IndexLink"/>
                <w:rtl w:val="true"/>
              </w:rPr>
              <w:t>ع</w:t>
            </w:r>
            <w:r>
              <w:rPr>
                <w:rStyle w:val="IndexLink"/>
                <w:rtl w:val="true"/>
              </w:rPr>
              <w:t>)</w:t>
              <w:tab/>
            </w:r>
            <w:r>
              <w:rPr>
                <w:rStyle w:val="IndexLink"/>
              </w:rPr>
              <w:t>80</w:t>
            </w:r>
          </w:hyperlink>
        </w:p>
        <w:p>
          <w:pPr>
            <w:pStyle w:val="Contents4"/>
            <w:tabs>
              <w:tab w:val="clear" w:pos="8176"/>
              <w:tab w:val="right" w:pos="9026" w:leader="dot"/>
            </w:tabs>
            <w:rPr/>
          </w:pPr>
          <w:hyperlink w:anchor="__RefHeading___Toc3920622_3650668749">
            <w:r>
              <w:rPr>
                <w:webHidden/>
                <w:rStyle w:val="IndexLink"/>
              </w:rPr>
              <w:t>۴</w:t>
            </w:r>
            <w:r>
              <w:rPr>
                <w:rStyle w:val="IndexLink"/>
                <w:rtl w:val="true"/>
              </w:rPr>
              <w:t xml:space="preserve">- </w:t>
            </w:r>
            <w:r>
              <w:rPr>
                <w:rStyle w:val="IndexLink"/>
                <w:rtl w:val="true"/>
              </w:rPr>
              <w:t>قيمة العمل لا تقاس بحجمه المادّي</w:t>
            </w:r>
            <w:r>
              <w:rPr>
                <w:rStyle w:val="IndexLink"/>
                <w:rtl w:val="true"/>
              </w:rPr>
              <w:tab/>
            </w:r>
            <w:r>
              <w:rPr>
                <w:rStyle w:val="IndexLink"/>
              </w:rPr>
              <w:t>81</w:t>
            </w:r>
          </w:hyperlink>
        </w:p>
        <w:p>
          <w:pPr>
            <w:pStyle w:val="Contents4"/>
            <w:tabs>
              <w:tab w:val="clear" w:pos="8176"/>
              <w:tab w:val="right" w:pos="9026" w:leader="dot"/>
            </w:tabs>
            <w:rPr/>
          </w:pPr>
          <w:hyperlink w:anchor="__RefHeading___Toc3920624_3650668749">
            <w:r>
              <w:rPr>
                <w:webHidden/>
                <w:rStyle w:val="IndexLink"/>
              </w:rPr>
              <w:t>۵</w:t>
            </w:r>
            <w:r>
              <w:rPr>
                <w:rStyle w:val="IndexLink"/>
                <w:rtl w:val="true"/>
              </w:rPr>
              <w:t xml:space="preserve">- </w:t>
            </w:r>
            <w:r>
              <w:rPr>
                <w:rStyle w:val="IndexLink"/>
                <w:rtl w:val="true"/>
              </w:rPr>
              <w:t xml:space="preserve">البكاء على الحسين </w:t>
            </w:r>
            <w:r>
              <w:rPr>
                <w:rStyle w:val="IndexLink"/>
                <w:rtl w:val="true"/>
              </w:rPr>
              <w:t>(</w:t>
            </w:r>
            <w:r>
              <w:rPr>
                <w:rStyle w:val="IndexLink"/>
                <w:rtl w:val="true"/>
              </w:rPr>
              <w:t>ع</w:t>
            </w:r>
            <w:r>
              <w:rPr>
                <w:rStyle w:val="IndexLink"/>
                <w:rtl w:val="true"/>
              </w:rPr>
              <w:t xml:space="preserve">) </w:t>
            </w:r>
            <w:r>
              <w:rPr>
                <w:rStyle w:val="IndexLink"/>
                <w:rtl w:val="true"/>
              </w:rPr>
              <w:t>يلتقي مع التوبة والشفاعة في عدم الجرأة على الذنوب</w:t>
            </w:r>
            <w:r>
              <w:rPr>
                <w:rStyle w:val="IndexLink"/>
                <w:rtl w:val="true"/>
              </w:rPr>
              <w:tab/>
            </w:r>
            <w:r>
              <w:rPr>
                <w:rStyle w:val="IndexLink"/>
              </w:rPr>
              <w:t>82</w:t>
            </w:r>
          </w:hyperlink>
        </w:p>
        <w:p>
          <w:pPr>
            <w:pStyle w:val="Contents4"/>
            <w:tabs>
              <w:tab w:val="clear" w:pos="8176"/>
              <w:tab w:val="right" w:pos="9026" w:leader="dot"/>
            </w:tabs>
            <w:rPr/>
          </w:pPr>
          <w:hyperlink w:anchor="__RefHeading___Toc3920626_3650668749">
            <w:r>
              <w:rPr>
                <w:webHidden/>
                <w:rStyle w:val="IndexLink"/>
              </w:rPr>
              <w:t>۶</w:t>
            </w:r>
            <w:r>
              <w:rPr>
                <w:rStyle w:val="IndexLink"/>
                <w:rtl w:val="true"/>
              </w:rPr>
              <w:t xml:space="preserve">- </w:t>
            </w:r>
            <w:r>
              <w:rPr>
                <w:rStyle w:val="IndexLink"/>
                <w:rtl w:val="true"/>
              </w:rPr>
              <w:t>إن البكاء مقتضي وليس علة تامة</w:t>
            </w:r>
            <w:r>
              <w:rPr>
                <w:rStyle w:val="IndexLink"/>
                <w:rtl w:val="true"/>
              </w:rPr>
              <w:tab/>
            </w:r>
            <w:r>
              <w:rPr>
                <w:rStyle w:val="IndexLink"/>
              </w:rPr>
              <w:t>82</w:t>
            </w:r>
          </w:hyperlink>
        </w:p>
        <w:p>
          <w:pPr>
            <w:pStyle w:val="Contents4"/>
            <w:tabs>
              <w:tab w:val="clear" w:pos="8176"/>
              <w:tab w:val="right" w:pos="9026" w:leader="dot"/>
            </w:tabs>
            <w:rPr/>
          </w:pPr>
          <w:hyperlink w:anchor="__RefHeading___Toc3920628_3650668749">
            <w:r>
              <w:rPr>
                <w:webHidden/>
                <w:rStyle w:val="IndexLink"/>
              </w:rPr>
              <w:t>٧</w:t>
            </w:r>
            <w:r>
              <w:rPr>
                <w:rStyle w:val="IndexLink"/>
                <w:rtl w:val="true"/>
              </w:rPr>
              <w:t xml:space="preserve">- </w:t>
            </w:r>
            <w:r>
              <w:rPr>
                <w:rStyle w:val="IndexLink"/>
                <w:rtl w:val="true"/>
              </w:rPr>
              <w:t>الثواب من الله تعالى من باب التفضّل</w:t>
            </w:r>
            <w:r>
              <w:rPr>
                <w:rStyle w:val="IndexLink"/>
                <w:rtl w:val="true"/>
              </w:rPr>
              <w:tab/>
            </w:r>
            <w:r>
              <w:rPr>
                <w:rStyle w:val="IndexLink"/>
              </w:rPr>
              <w:t>83</w:t>
            </w:r>
          </w:hyperlink>
        </w:p>
        <w:p>
          <w:pPr>
            <w:pStyle w:val="Contents4"/>
            <w:tabs>
              <w:tab w:val="clear" w:pos="8176"/>
              <w:tab w:val="right" w:pos="9026" w:leader="dot"/>
            </w:tabs>
            <w:rPr/>
          </w:pPr>
          <w:hyperlink w:anchor="__RefHeading___Toc3920630_3650668749">
            <w:r>
              <w:rPr>
                <w:webHidden/>
                <w:rStyle w:val="IndexLink"/>
              </w:rPr>
              <w:t>٨</w:t>
            </w:r>
            <w:r>
              <w:rPr>
                <w:rStyle w:val="IndexLink"/>
                <w:rtl w:val="true"/>
              </w:rPr>
              <w:t xml:space="preserve">- </w:t>
            </w:r>
            <w:r>
              <w:rPr>
                <w:rStyle w:val="IndexLink"/>
                <w:rtl w:val="true"/>
              </w:rPr>
              <w:t>مقدار الثواب على حسب درجة الاعتقاد</w:t>
            </w:r>
            <w:r>
              <w:rPr>
                <w:rStyle w:val="IndexLink"/>
                <w:rtl w:val="true"/>
              </w:rPr>
              <w:tab/>
            </w:r>
            <w:r>
              <w:rPr>
                <w:rStyle w:val="IndexLink"/>
              </w:rPr>
              <w:t>83</w:t>
            </w:r>
          </w:hyperlink>
        </w:p>
        <w:p>
          <w:pPr>
            <w:pStyle w:val="Contents4"/>
            <w:tabs>
              <w:tab w:val="clear" w:pos="8176"/>
              <w:tab w:val="right" w:pos="9026" w:leader="dot"/>
            </w:tabs>
            <w:rPr/>
          </w:pPr>
          <w:hyperlink w:anchor="__RefHeading___Toc3920632_3650668749">
            <w:r>
              <w:rPr>
                <w:webHidden/>
                <w:rStyle w:val="IndexLink"/>
                <w:rtl w:val="true"/>
              </w:rPr>
              <w:t>مقدمة</w:t>
            </w:r>
            <w:r>
              <w:rPr>
                <w:rStyle w:val="IndexLink"/>
                <w:rtl w:val="true"/>
              </w:rPr>
              <w:t xml:space="preserve">: </w:t>
            </w:r>
            <w:r>
              <w:rPr>
                <w:rStyle w:val="IndexLink"/>
                <w:rtl w:val="true"/>
              </w:rPr>
              <w:t>العلاقة بين العمل والأجر والثواب</w:t>
            </w:r>
            <w:r>
              <w:rPr>
                <w:rStyle w:val="IndexLink"/>
                <w:rtl w:val="true"/>
              </w:rPr>
              <w:tab/>
            </w:r>
            <w:r>
              <w:rPr>
                <w:rStyle w:val="IndexLink"/>
              </w:rPr>
              <w:t>84</w:t>
            </w:r>
          </w:hyperlink>
        </w:p>
        <w:p>
          <w:pPr>
            <w:pStyle w:val="Contents3"/>
            <w:tabs>
              <w:tab w:val="clear" w:pos="8459"/>
              <w:tab w:val="right" w:pos="9026" w:leader="dot"/>
            </w:tabs>
            <w:rPr/>
          </w:pPr>
          <w:hyperlink w:anchor="__RefHeading___Toc3920634_3650668749">
            <w:r>
              <w:rPr>
                <w:webHidden/>
                <w:rStyle w:val="IndexLink"/>
                <w:rtl w:val="true"/>
              </w:rPr>
              <w:t>خلاصة الفصل الأوّل</w:t>
            </w:r>
            <w:r>
              <w:rPr>
                <w:rStyle w:val="IndexLink"/>
                <w:rtl w:val="true"/>
              </w:rPr>
              <w:tab/>
            </w:r>
            <w:r>
              <w:rPr>
                <w:rStyle w:val="IndexLink"/>
              </w:rPr>
              <w:t>89</w:t>
            </w:r>
          </w:hyperlink>
        </w:p>
        <w:p>
          <w:pPr>
            <w:pStyle w:val="Contents2"/>
            <w:tabs>
              <w:tab w:val="clear" w:pos="8743"/>
              <w:tab w:val="right" w:pos="9026" w:leader="dot"/>
            </w:tabs>
            <w:rPr/>
          </w:pPr>
          <w:hyperlink w:anchor="__RefHeading___Toc3920636_3650668749">
            <w:r>
              <w:rPr>
                <w:webHidden/>
                <w:rStyle w:val="IndexLink"/>
                <w:rtl w:val="true"/>
              </w:rPr>
              <w:t>الفصل الثاني</w:t>
            </w:r>
            <w:r>
              <w:rPr>
                <w:rStyle w:val="IndexLink"/>
                <w:rtl w:val="true"/>
              </w:rPr>
              <w:t xml:space="preserve">: </w:t>
            </w:r>
            <w:r>
              <w:rPr>
                <w:rStyle w:val="IndexLink"/>
                <w:rtl w:val="true"/>
              </w:rPr>
              <w:t>في أجوبة الشبهات المتعلّقة بشعيرة اللّطم</w:t>
            </w:r>
            <w:r>
              <w:rPr>
                <w:rStyle w:val="IndexLink"/>
                <w:rtl w:val="true"/>
              </w:rPr>
              <w:tab/>
            </w:r>
            <w:r>
              <w:rPr>
                <w:rStyle w:val="IndexLink"/>
              </w:rPr>
              <w:t>93</w:t>
            </w:r>
          </w:hyperlink>
        </w:p>
        <w:p>
          <w:pPr>
            <w:pStyle w:val="Contents3"/>
            <w:tabs>
              <w:tab w:val="clear" w:pos="8459"/>
              <w:tab w:val="right" w:pos="9026" w:leader="dot"/>
            </w:tabs>
            <w:rPr/>
          </w:pPr>
          <w:hyperlink w:anchor="__RefHeading___Toc3920638_3650668749">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3920640_3650668749">
            <w:r>
              <w:rPr>
                <w:webHidden/>
                <w:rStyle w:val="IndexLink"/>
                <w:rtl w:val="true"/>
              </w:rPr>
              <w:t>الشبهة الاُولى</w:t>
            </w:r>
            <w:r>
              <w:rPr>
                <w:rStyle w:val="IndexLink"/>
                <w:rtl w:val="true"/>
              </w:rPr>
              <w:t xml:space="preserve">: </w:t>
            </w:r>
            <w:r>
              <w:rPr>
                <w:rStyle w:val="IndexLink"/>
                <w:rtl w:val="true"/>
              </w:rPr>
              <w:t>اللطم لا أصل له في الشريعة</w:t>
            </w:r>
            <w:r>
              <w:rPr>
                <w:rStyle w:val="IndexLink"/>
                <w:rtl w:val="true"/>
              </w:rPr>
              <w:tab/>
            </w:r>
            <w:r>
              <w:rPr>
                <w:rStyle w:val="IndexLink"/>
              </w:rPr>
              <w:t>95</w:t>
            </w:r>
          </w:hyperlink>
        </w:p>
        <w:p>
          <w:pPr>
            <w:pStyle w:val="Contents4"/>
            <w:tabs>
              <w:tab w:val="clear" w:pos="8176"/>
              <w:tab w:val="right" w:pos="9026" w:leader="dot"/>
            </w:tabs>
            <w:rPr/>
          </w:pPr>
          <w:hyperlink w:anchor="__RefHeading___Toc3920642_3650668749">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3920644_3650668749">
            <w:r>
              <w:rPr>
                <w:webHidden/>
                <w:rStyle w:val="IndexLink"/>
                <w:rtl w:val="true"/>
              </w:rPr>
              <w:t>الصنف الأول</w:t>
            </w:r>
            <w:r>
              <w:rPr>
                <w:rStyle w:val="IndexLink"/>
                <w:rtl w:val="true"/>
              </w:rPr>
              <w:t xml:space="preserve">: </w:t>
            </w:r>
            <w:r>
              <w:rPr>
                <w:rStyle w:val="IndexLink"/>
                <w:rtl w:val="true"/>
              </w:rPr>
              <w:t>إن اللطم حرام</w:t>
            </w:r>
            <w:r>
              <w:rPr>
                <w:rStyle w:val="IndexLink"/>
                <w:rtl w:val="true"/>
              </w:rPr>
              <w:tab/>
            </w:r>
            <w:r>
              <w:rPr>
                <w:rStyle w:val="IndexLink"/>
              </w:rPr>
              <w:t>95</w:t>
            </w:r>
          </w:hyperlink>
        </w:p>
        <w:p>
          <w:pPr>
            <w:pStyle w:val="Contents5"/>
            <w:tabs>
              <w:tab w:val="clear" w:pos="7892"/>
              <w:tab w:val="right" w:pos="9026" w:leader="dot"/>
            </w:tabs>
            <w:rPr/>
          </w:pPr>
          <w:hyperlink w:anchor="__RefHeading___Toc3920646_3650668749">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3920648_3650668749">
            <w:r>
              <w:rPr>
                <w:webHidden/>
                <w:rStyle w:val="IndexLink"/>
                <w:rtl w:val="true"/>
              </w:rPr>
              <w:t>الجواب</w:t>
            </w:r>
            <w:r>
              <w:rPr>
                <w:rStyle w:val="IndexLink"/>
                <w:rtl w:val="true"/>
              </w:rPr>
              <w:tab/>
            </w:r>
            <w:r>
              <w:rPr>
                <w:rStyle w:val="IndexLink"/>
              </w:rPr>
              <w:t>95</w:t>
            </w:r>
          </w:hyperlink>
        </w:p>
        <w:p>
          <w:pPr>
            <w:pStyle w:val="Contents4"/>
            <w:tabs>
              <w:tab w:val="clear" w:pos="8176"/>
              <w:tab w:val="right" w:pos="9026" w:leader="dot"/>
            </w:tabs>
            <w:rPr/>
          </w:pPr>
          <w:hyperlink w:anchor="__RefHeading___Toc3920650_3650668749">
            <w:r>
              <w:rPr>
                <w:webHidden/>
                <w:rStyle w:val="IndexLink"/>
                <w:rtl w:val="true"/>
              </w:rPr>
              <w:t>الصنف الثاني</w:t>
            </w:r>
            <w:r>
              <w:rPr>
                <w:rStyle w:val="IndexLink"/>
                <w:rtl w:val="true"/>
              </w:rPr>
              <w:t xml:space="preserve">: </w:t>
            </w:r>
            <w:r>
              <w:rPr>
                <w:rStyle w:val="IndexLink"/>
                <w:rtl w:val="true"/>
              </w:rPr>
              <w:t>اللطم إضرار وإيذاء للنفس</w:t>
            </w:r>
            <w:r>
              <w:rPr>
                <w:rStyle w:val="IndexLink"/>
                <w:rtl w:val="true"/>
              </w:rPr>
              <w:tab/>
            </w:r>
            <w:r>
              <w:rPr>
                <w:rStyle w:val="IndexLink"/>
              </w:rPr>
              <w:t>97</w:t>
            </w:r>
          </w:hyperlink>
        </w:p>
        <w:p>
          <w:pPr>
            <w:pStyle w:val="Contents5"/>
            <w:tabs>
              <w:tab w:val="clear" w:pos="7892"/>
              <w:tab w:val="right" w:pos="9026" w:leader="dot"/>
            </w:tabs>
            <w:rPr/>
          </w:pPr>
          <w:hyperlink w:anchor="__RefHeading___Toc3920652_3650668749">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3920654_3650668749">
            <w:r>
              <w:rPr>
                <w:webHidden/>
                <w:rStyle w:val="IndexLink"/>
                <w:rtl w:val="true"/>
              </w:rPr>
              <w:t>الجواب</w:t>
            </w:r>
            <w:r>
              <w:rPr>
                <w:rStyle w:val="IndexLink"/>
                <w:rtl w:val="true"/>
              </w:rPr>
              <w:tab/>
            </w:r>
            <w:r>
              <w:rPr>
                <w:rStyle w:val="IndexLink"/>
              </w:rPr>
              <w:t>97</w:t>
            </w:r>
          </w:hyperlink>
        </w:p>
        <w:p>
          <w:pPr>
            <w:pStyle w:val="Contents5"/>
            <w:tabs>
              <w:tab w:val="clear" w:pos="7892"/>
              <w:tab w:val="right" w:pos="9026" w:leader="dot"/>
            </w:tabs>
            <w:rPr/>
          </w:pPr>
          <w:hyperlink w:anchor="__RefHeading___Toc3920656_3650668749">
            <w:r>
              <w:rPr>
                <w:webHidden/>
                <w:rStyle w:val="IndexLink"/>
              </w:rPr>
              <w:t>١</w:t>
            </w:r>
            <w:r>
              <w:rPr>
                <w:rStyle w:val="IndexLink"/>
                <w:rtl w:val="true"/>
              </w:rPr>
              <w:t xml:space="preserve">- </w:t>
            </w:r>
            <w:r>
              <w:rPr>
                <w:rStyle w:val="IndexLink"/>
                <w:rtl w:val="true"/>
              </w:rPr>
              <w:t>ليس في اللطم ضرر معتدّ به</w:t>
            </w:r>
            <w:r>
              <w:rPr>
                <w:rStyle w:val="IndexLink"/>
                <w:rtl w:val="true"/>
              </w:rPr>
              <w:tab/>
            </w:r>
            <w:r>
              <w:rPr>
                <w:rStyle w:val="IndexLink"/>
              </w:rPr>
              <w:t>97</w:t>
            </w:r>
          </w:hyperlink>
        </w:p>
        <w:p>
          <w:pPr>
            <w:pStyle w:val="Contents5"/>
            <w:tabs>
              <w:tab w:val="clear" w:pos="7892"/>
              <w:tab w:val="right" w:pos="9026" w:leader="dot"/>
            </w:tabs>
            <w:rPr/>
          </w:pPr>
          <w:hyperlink w:anchor="__RefHeading___Toc3920658_3650668749">
            <w:r>
              <w:rPr>
                <w:webHidden/>
                <w:rStyle w:val="IndexLink"/>
              </w:rPr>
              <w:t>٢</w:t>
            </w:r>
            <w:r>
              <w:rPr>
                <w:rStyle w:val="IndexLink"/>
                <w:rtl w:val="true"/>
              </w:rPr>
              <w:t xml:space="preserve">- </w:t>
            </w:r>
            <w:r>
              <w:rPr>
                <w:rStyle w:val="IndexLink"/>
                <w:rtl w:val="true"/>
              </w:rPr>
              <w:t>الضرر المسوّغ للحُرمة هو الضرر الكبير</w:t>
            </w:r>
            <w:r>
              <w:rPr>
                <w:rStyle w:val="IndexLink"/>
                <w:rtl w:val="true"/>
              </w:rPr>
              <w:tab/>
            </w:r>
            <w:r>
              <w:rPr>
                <w:rStyle w:val="IndexLink"/>
              </w:rPr>
              <w:t>98</w:t>
            </w:r>
          </w:hyperlink>
        </w:p>
        <w:p>
          <w:pPr>
            <w:pStyle w:val="Contents5"/>
            <w:tabs>
              <w:tab w:val="clear" w:pos="7892"/>
              <w:tab w:val="right" w:pos="9026" w:leader="dot"/>
            </w:tabs>
            <w:rPr/>
          </w:pPr>
          <w:hyperlink w:anchor="__RefHeading___Toc3920660_3650668749">
            <w:r>
              <w:rPr>
                <w:webHidden/>
                <w:rStyle w:val="IndexLink"/>
              </w:rPr>
              <w:t>٣</w:t>
            </w:r>
            <w:r>
              <w:rPr>
                <w:rStyle w:val="IndexLink"/>
                <w:rtl w:val="true"/>
              </w:rPr>
              <w:t xml:space="preserve">- </w:t>
            </w:r>
            <w:r>
              <w:rPr>
                <w:rStyle w:val="IndexLink"/>
                <w:rtl w:val="true"/>
              </w:rPr>
              <w:t>الضرر الموجب للحرمة هو الضرر الشخصي لا النوعي</w:t>
            </w:r>
            <w:r>
              <w:rPr>
                <w:rStyle w:val="IndexLink"/>
                <w:rtl w:val="true"/>
              </w:rPr>
              <w:tab/>
            </w:r>
            <w:r>
              <w:rPr>
                <w:rStyle w:val="IndexLink"/>
              </w:rPr>
              <w:t>99</w:t>
            </w:r>
          </w:hyperlink>
        </w:p>
        <w:p>
          <w:pPr>
            <w:pStyle w:val="Contents5"/>
            <w:tabs>
              <w:tab w:val="clear" w:pos="7892"/>
              <w:tab w:val="right" w:pos="9026" w:leader="dot"/>
            </w:tabs>
            <w:rPr/>
          </w:pPr>
          <w:hyperlink w:anchor="__RefHeading___Toc3920662_3650668749">
            <w:r>
              <w:rPr>
                <w:webHidden/>
                <w:rStyle w:val="IndexLink"/>
              </w:rPr>
              <w:t>۴</w:t>
            </w:r>
            <w:r>
              <w:rPr>
                <w:rStyle w:val="IndexLink"/>
                <w:rtl w:val="true"/>
              </w:rPr>
              <w:t xml:space="preserve">- </w:t>
            </w:r>
            <w:r>
              <w:rPr>
                <w:rStyle w:val="IndexLink"/>
                <w:rtl w:val="true"/>
              </w:rPr>
              <w:t>النقض بتجويز الرياضات العنيفة</w:t>
            </w:r>
            <w:r>
              <w:rPr>
                <w:rStyle w:val="IndexLink"/>
                <w:rtl w:val="true"/>
              </w:rPr>
              <w:tab/>
            </w:r>
            <w:r>
              <w:rPr>
                <w:rStyle w:val="IndexLink"/>
              </w:rPr>
              <w:t>99</w:t>
            </w:r>
          </w:hyperlink>
        </w:p>
        <w:p>
          <w:pPr>
            <w:pStyle w:val="Contents5"/>
            <w:tabs>
              <w:tab w:val="clear" w:pos="7892"/>
              <w:tab w:val="right" w:pos="9026" w:leader="dot"/>
            </w:tabs>
            <w:rPr/>
          </w:pPr>
          <w:hyperlink w:anchor="__RefHeading___Toc3920664_3650668749">
            <w:r>
              <w:rPr>
                <w:webHidden/>
                <w:rStyle w:val="IndexLink"/>
              </w:rPr>
              <w:t>۵</w:t>
            </w:r>
            <w:r>
              <w:rPr>
                <w:rStyle w:val="IndexLink"/>
                <w:rtl w:val="true"/>
              </w:rPr>
              <w:t xml:space="preserve">- </w:t>
            </w:r>
            <w:r>
              <w:rPr>
                <w:rStyle w:val="IndexLink"/>
                <w:rtl w:val="true"/>
              </w:rPr>
              <w:t>ذهاب المشهور إلى استحباب اللطم</w:t>
            </w:r>
            <w:r>
              <w:rPr>
                <w:rStyle w:val="IndexLink"/>
                <w:rtl w:val="true"/>
              </w:rPr>
              <w:tab/>
            </w:r>
            <w:r>
              <w:rPr>
                <w:rStyle w:val="IndexLink"/>
              </w:rPr>
              <w:t>100</w:t>
            </w:r>
          </w:hyperlink>
        </w:p>
        <w:p>
          <w:pPr>
            <w:pStyle w:val="Contents4"/>
            <w:tabs>
              <w:tab w:val="clear" w:pos="8176"/>
              <w:tab w:val="right" w:pos="9026" w:leader="dot"/>
            </w:tabs>
            <w:rPr/>
          </w:pPr>
          <w:hyperlink w:anchor="__RefHeading___Toc3920666_3650668749">
            <w:r>
              <w:rPr>
                <w:webHidden/>
                <w:rStyle w:val="IndexLink"/>
                <w:rtl w:val="true"/>
              </w:rPr>
              <w:t>الصنف الثالث</w:t>
            </w:r>
            <w:r>
              <w:rPr>
                <w:rStyle w:val="IndexLink"/>
                <w:rtl w:val="true"/>
              </w:rPr>
              <w:t xml:space="preserve">: </w:t>
            </w:r>
            <w:r>
              <w:rPr>
                <w:rStyle w:val="IndexLink"/>
                <w:rtl w:val="true"/>
              </w:rPr>
              <w:t>استقلال العقل بقبح ظُلم النفس أو إيذائها</w:t>
            </w:r>
            <w:r>
              <w:rPr>
                <w:rStyle w:val="IndexLink"/>
                <w:rtl w:val="true"/>
              </w:rPr>
              <w:tab/>
            </w:r>
            <w:r>
              <w:rPr>
                <w:rStyle w:val="IndexLink"/>
              </w:rPr>
              <w:t>100</w:t>
            </w:r>
          </w:hyperlink>
        </w:p>
        <w:p>
          <w:pPr>
            <w:pStyle w:val="Contents5"/>
            <w:tabs>
              <w:tab w:val="clear" w:pos="7892"/>
              <w:tab w:val="right" w:pos="9026" w:leader="dot"/>
            </w:tabs>
            <w:rPr/>
          </w:pPr>
          <w:hyperlink w:anchor="__RefHeading___Toc3920668_3650668749">
            <w:r>
              <w:rPr>
                <w:webHidden/>
                <w:rStyle w:val="IndexLink"/>
                <w:rtl w:val="true"/>
              </w:rPr>
              <w:t>الجواب</w:t>
            </w:r>
            <w:r>
              <w:rPr>
                <w:rStyle w:val="IndexLink"/>
                <w:rtl w:val="true"/>
              </w:rPr>
              <w:tab/>
            </w:r>
            <w:r>
              <w:rPr>
                <w:rStyle w:val="IndexLink"/>
              </w:rPr>
              <w:t>100</w:t>
            </w:r>
          </w:hyperlink>
        </w:p>
        <w:p>
          <w:pPr>
            <w:pStyle w:val="Contents5"/>
            <w:tabs>
              <w:tab w:val="clear" w:pos="7892"/>
              <w:tab w:val="right" w:pos="9026" w:leader="dot"/>
            </w:tabs>
            <w:rPr/>
          </w:pPr>
          <w:hyperlink w:anchor="__RefHeading___Toc3920670_3650668749">
            <w:r>
              <w:rPr>
                <w:webHidden/>
                <w:rStyle w:val="IndexLink"/>
                <w:rtl w:val="true"/>
              </w:rPr>
              <w:t xml:space="preserve">موارد إيذاء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أنفسهم في سبيل الله</w:t>
            </w:r>
            <w:r>
              <w:rPr>
                <w:rStyle w:val="IndexLink"/>
                <w:rtl w:val="true"/>
              </w:rPr>
              <w:tab/>
            </w:r>
            <w:r>
              <w:rPr>
                <w:rStyle w:val="IndexLink"/>
              </w:rPr>
              <w:t>101</w:t>
            </w:r>
          </w:hyperlink>
        </w:p>
        <w:p>
          <w:pPr>
            <w:pStyle w:val="Contents6"/>
            <w:tabs>
              <w:tab w:val="clear" w:pos="7609"/>
              <w:tab w:val="right" w:pos="9026" w:leader="dot"/>
            </w:tabs>
            <w:rPr/>
          </w:pPr>
          <w:hyperlink w:anchor="__RefHeading___Toc3920672_3650668749">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3920674_3650668749">
            <w:r>
              <w:rPr>
                <w:webHidden/>
                <w:rStyle w:val="IndexLink"/>
              </w:rPr>
              <w:t>١</w:t>
            </w:r>
            <w:r>
              <w:rPr>
                <w:rStyle w:val="IndexLink"/>
                <w:rtl w:val="true"/>
              </w:rPr>
              <w:t xml:space="preserve">- </w:t>
            </w:r>
            <w:r>
              <w:rPr>
                <w:rStyle w:val="IndexLink"/>
                <w:rtl w:val="true"/>
              </w:rPr>
              <w:t xml:space="preserve">تورّم قدم النبي </w:t>
            </w:r>
            <w:r>
              <w:rPr>
                <w:rStyle w:val="IndexLink"/>
                <w:rtl w:val="true"/>
              </w:rPr>
              <w:t>(</w:t>
            </w:r>
            <w:r>
              <w:rPr>
                <w:rStyle w:val="IndexLink"/>
                <w:rtl w:val="true"/>
              </w:rPr>
              <w:t>ص</w:t>
            </w:r>
            <w:r>
              <w:rPr>
                <w:rStyle w:val="IndexLink"/>
                <w:rtl w:val="true"/>
              </w:rPr>
              <w:t xml:space="preserve">) </w:t>
            </w:r>
            <w:r>
              <w:rPr>
                <w:rStyle w:val="IndexLink"/>
                <w:rtl w:val="true"/>
              </w:rPr>
              <w:t>نتيجة القيام للعبادة</w:t>
            </w:r>
            <w:r>
              <w:rPr>
                <w:rStyle w:val="IndexLink"/>
                <w:rtl w:val="true"/>
              </w:rPr>
              <w:tab/>
            </w:r>
            <w:r>
              <w:rPr>
                <w:rStyle w:val="IndexLink"/>
              </w:rPr>
              <w:t>101</w:t>
            </w:r>
          </w:hyperlink>
        </w:p>
        <w:p>
          <w:pPr>
            <w:pStyle w:val="Contents6"/>
            <w:tabs>
              <w:tab w:val="clear" w:pos="7609"/>
              <w:tab w:val="right" w:pos="9026" w:leader="dot"/>
            </w:tabs>
            <w:rPr/>
          </w:pPr>
          <w:hyperlink w:anchor="__RefHeading___Toc3920676_3650668749">
            <w:r>
              <w:rPr>
                <w:webHidden/>
                <w:rStyle w:val="IndexLink"/>
              </w:rPr>
              <w:t>٢</w:t>
            </w:r>
            <w:r>
              <w:rPr>
                <w:rStyle w:val="IndexLink"/>
                <w:rtl w:val="true"/>
              </w:rPr>
              <w:t xml:space="preserve">- </w:t>
            </w:r>
            <w:r>
              <w:rPr>
                <w:rStyle w:val="IndexLink"/>
                <w:rtl w:val="true"/>
              </w:rPr>
              <w:t xml:space="preserve">تورّم قدمَي السجاد </w:t>
            </w:r>
            <w:r>
              <w:rPr>
                <w:rStyle w:val="IndexLink"/>
                <w:rtl w:val="true"/>
              </w:rPr>
              <w:t>(</w:t>
            </w:r>
            <w:r>
              <w:rPr>
                <w:rStyle w:val="IndexLink"/>
                <w:rtl w:val="true"/>
              </w:rPr>
              <w:t>ع</w:t>
            </w:r>
            <w:r>
              <w:rPr>
                <w:rStyle w:val="IndexLink"/>
                <w:rtl w:val="true"/>
              </w:rPr>
              <w:t>)</w:t>
              <w:tab/>
            </w:r>
            <w:r>
              <w:rPr>
                <w:rStyle w:val="IndexLink"/>
              </w:rPr>
              <w:t>102</w:t>
            </w:r>
          </w:hyperlink>
        </w:p>
        <w:p>
          <w:pPr>
            <w:pStyle w:val="Contents6"/>
            <w:tabs>
              <w:tab w:val="clear" w:pos="7609"/>
              <w:tab w:val="right" w:pos="9026" w:leader="dot"/>
            </w:tabs>
            <w:rPr/>
          </w:pPr>
          <w:hyperlink w:anchor="__RefHeading___Toc3920678_3650668749">
            <w:r>
              <w:rPr>
                <w:webHidden/>
                <w:rStyle w:val="IndexLink"/>
              </w:rPr>
              <w:t>٣</w:t>
            </w:r>
            <w:r>
              <w:rPr>
                <w:rStyle w:val="IndexLink"/>
                <w:rtl w:val="true"/>
              </w:rPr>
              <w:t xml:space="preserve">- </w:t>
            </w:r>
            <w:r>
              <w:rPr>
                <w:rStyle w:val="IndexLink"/>
                <w:rtl w:val="true"/>
              </w:rPr>
              <w:t xml:space="preserve">تورّم قدمَي الزهراء </w:t>
            </w:r>
            <w:r>
              <w:rPr>
                <w:rStyle w:val="IndexLink"/>
                <w:rtl w:val="true"/>
              </w:rPr>
              <w:t>(</w:t>
            </w:r>
            <w:r>
              <w:rPr>
                <w:rStyle w:val="IndexLink"/>
                <w:rtl w:val="true"/>
              </w:rPr>
              <w:t>عليهاالسلام</w:t>
            </w:r>
            <w:r>
              <w:rPr>
                <w:rStyle w:val="IndexLink"/>
                <w:rtl w:val="true"/>
              </w:rPr>
              <w:t xml:space="preserve">) </w:t>
            </w:r>
            <w:r>
              <w:rPr>
                <w:rStyle w:val="IndexLink"/>
                <w:rtl w:val="true"/>
              </w:rPr>
              <w:t>وإضرارها من العبادة</w:t>
            </w:r>
            <w:r>
              <w:rPr>
                <w:rStyle w:val="IndexLink"/>
                <w:rtl w:val="true"/>
              </w:rPr>
              <w:tab/>
            </w:r>
            <w:r>
              <w:rPr>
                <w:rStyle w:val="IndexLink"/>
              </w:rPr>
              <w:t>102</w:t>
            </w:r>
          </w:hyperlink>
        </w:p>
        <w:p>
          <w:pPr>
            <w:pStyle w:val="Contents6"/>
            <w:tabs>
              <w:tab w:val="clear" w:pos="7609"/>
              <w:tab w:val="right" w:pos="9026" w:leader="dot"/>
            </w:tabs>
            <w:rPr/>
          </w:pPr>
          <w:hyperlink w:anchor="__RefHeading___Toc3920680_3650668749">
            <w:r>
              <w:rPr>
                <w:webHidden/>
                <w:rStyle w:val="IndexLink"/>
              </w:rPr>
              <w:t>۴</w:t>
            </w:r>
            <w:r>
              <w:rPr>
                <w:rStyle w:val="IndexLink"/>
                <w:rtl w:val="true"/>
              </w:rPr>
              <w:t xml:space="preserve">- </w:t>
            </w:r>
            <w:r>
              <w:rPr>
                <w:rStyle w:val="IndexLink"/>
                <w:rtl w:val="true"/>
              </w:rPr>
              <w:t xml:space="preserve">إيذاء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أنفسهم بالجوع</w:t>
            </w:r>
            <w:r>
              <w:rPr>
                <w:rStyle w:val="IndexLink"/>
                <w:rtl w:val="true"/>
              </w:rPr>
              <w:tab/>
            </w:r>
            <w:r>
              <w:rPr>
                <w:rStyle w:val="IndexLink"/>
              </w:rPr>
              <w:t>103</w:t>
            </w:r>
          </w:hyperlink>
        </w:p>
        <w:p>
          <w:pPr>
            <w:pStyle w:val="Contents6"/>
            <w:tabs>
              <w:tab w:val="clear" w:pos="7609"/>
              <w:tab w:val="right" w:pos="9026" w:leader="dot"/>
            </w:tabs>
            <w:rPr/>
          </w:pPr>
          <w:hyperlink w:anchor="__RefHeading___Toc3920682_3650668749">
            <w:r>
              <w:rPr>
                <w:webHidden/>
                <w:rStyle w:val="IndexLink"/>
              </w:rPr>
              <w:t>۵</w:t>
            </w:r>
            <w:r>
              <w:rPr>
                <w:rStyle w:val="IndexLink"/>
                <w:rtl w:val="true"/>
              </w:rPr>
              <w:t xml:space="preserve">- </w:t>
            </w:r>
            <w:r>
              <w:rPr>
                <w:rStyle w:val="IndexLink"/>
                <w:rtl w:val="true"/>
              </w:rPr>
              <w:t>إيذاء النفس بالمشي للحجّ مع تمكّنهم من الركوب</w:t>
            </w:r>
            <w:r>
              <w:rPr>
                <w:rStyle w:val="IndexLink"/>
                <w:rtl w:val="true"/>
              </w:rPr>
              <w:tab/>
            </w:r>
            <w:r>
              <w:rPr>
                <w:rStyle w:val="IndexLink"/>
              </w:rPr>
              <w:t>103</w:t>
            </w:r>
          </w:hyperlink>
        </w:p>
        <w:p>
          <w:pPr>
            <w:pStyle w:val="Contents6"/>
            <w:tabs>
              <w:tab w:val="clear" w:pos="7609"/>
              <w:tab w:val="right" w:pos="9026" w:leader="dot"/>
            </w:tabs>
            <w:rPr/>
          </w:pPr>
          <w:hyperlink w:anchor="__RefHeading___Toc3920684_3650668749">
            <w:r>
              <w:rPr>
                <w:webHidden/>
                <w:rStyle w:val="IndexLink"/>
              </w:rPr>
              <w:t>۶</w:t>
            </w:r>
            <w:r>
              <w:rPr>
                <w:rStyle w:val="IndexLink"/>
                <w:rtl w:val="true"/>
              </w:rPr>
              <w:t xml:space="preserve">- </w:t>
            </w:r>
            <w:r>
              <w:rPr>
                <w:rStyle w:val="IndexLink"/>
                <w:rtl w:val="true"/>
              </w:rPr>
              <w:t xml:space="preserve">إيذاء الإمام السجاد نفسه بالبكاء على أبيه </w:t>
            </w:r>
            <w:r>
              <w:rPr>
                <w:rStyle w:val="IndexLink"/>
                <w:rtl w:val="true"/>
              </w:rPr>
              <w:t>(</w:t>
            </w:r>
            <w:r>
              <w:rPr>
                <w:rStyle w:val="IndexLink"/>
                <w:rtl w:val="true"/>
              </w:rPr>
              <w:t>عليهم السلام</w:t>
            </w:r>
            <w:r>
              <w:rPr>
                <w:rStyle w:val="IndexLink"/>
                <w:rtl w:val="true"/>
              </w:rPr>
              <w:t>)</w:t>
              <w:tab/>
            </w:r>
            <w:r>
              <w:rPr>
                <w:rStyle w:val="IndexLink"/>
              </w:rPr>
              <w:t>104</w:t>
            </w:r>
          </w:hyperlink>
        </w:p>
        <w:p>
          <w:pPr>
            <w:pStyle w:val="Contents6"/>
            <w:tabs>
              <w:tab w:val="clear" w:pos="7609"/>
              <w:tab w:val="right" w:pos="9026" w:leader="dot"/>
            </w:tabs>
            <w:rPr/>
          </w:pPr>
          <w:hyperlink w:anchor="__RefHeading___Toc3920686_3650668749">
            <w:r>
              <w:rPr>
                <w:webHidden/>
                <w:rStyle w:val="IndexLink"/>
              </w:rPr>
              <w:t>٧</w:t>
            </w:r>
            <w:r>
              <w:rPr>
                <w:rStyle w:val="IndexLink"/>
                <w:rtl w:val="true"/>
              </w:rPr>
              <w:t xml:space="preserve">- </w:t>
            </w:r>
            <w:r>
              <w:rPr>
                <w:rStyle w:val="IndexLink"/>
                <w:rtl w:val="true"/>
              </w:rPr>
              <w:t xml:space="preserve">أمر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بزيارة الحسين </w:t>
            </w:r>
            <w:r>
              <w:rPr>
                <w:rStyle w:val="IndexLink"/>
                <w:rtl w:val="true"/>
              </w:rPr>
              <w:t>(</w:t>
            </w:r>
            <w:r>
              <w:rPr>
                <w:rStyle w:val="IndexLink"/>
                <w:rtl w:val="true"/>
              </w:rPr>
              <w:t>ع</w:t>
            </w:r>
            <w:r>
              <w:rPr>
                <w:rStyle w:val="IndexLink"/>
                <w:rtl w:val="true"/>
              </w:rPr>
              <w:t xml:space="preserve">) </w:t>
            </w:r>
            <w:r>
              <w:rPr>
                <w:rStyle w:val="IndexLink"/>
                <w:rtl w:val="true"/>
              </w:rPr>
              <w:t>مع احتمال وجود الضرر أو احتمال الموت</w:t>
            </w:r>
            <w:r>
              <w:rPr>
                <w:rStyle w:val="IndexLink"/>
                <w:rtl w:val="true"/>
              </w:rPr>
              <w:tab/>
            </w:r>
            <w:r>
              <w:rPr>
                <w:rStyle w:val="IndexLink"/>
              </w:rPr>
              <w:t>104</w:t>
            </w:r>
          </w:hyperlink>
        </w:p>
        <w:p>
          <w:pPr>
            <w:pStyle w:val="Contents4"/>
            <w:tabs>
              <w:tab w:val="clear" w:pos="8176"/>
              <w:tab w:val="right" w:pos="9026" w:leader="dot"/>
            </w:tabs>
            <w:rPr/>
          </w:pPr>
          <w:hyperlink w:anchor="__RefHeading___Toc3920688_3650668749">
            <w:r>
              <w:rPr>
                <w:webHidden/>
                <w:rStyle w:val="IndexLink"/>
                <w:rtl w:val="true"/>
              </w:rPr>
              <w:t>الصنف الرابع</w:t>
            </w:r>
            <w:r>
              <w:rPr>
                <w:rStyle w:val="IndexLink"/>
                <w:rtl w:val="true"/>
              </w:rPr>
              <w:t xml:space="preserve">: </w:t>
            </w:r>
            <w:r>
              <w:rPr>
                <w:rStyle w:val="IndexLink"/>
                <w:rtl w:val="true"/>
              </w:rPr>
              <w:t>مادلَّ على حرمة الوهن والسُخرية بالمذهب</w:t>
            </w:r>
            <w:r>
              <w:rPr>
                <w:rStyle w:val="IndexLink"/>
                <w:rtl w:val="true"/>
              </w:rPr>
              <w:tab/>
            </w:r>
            <w:r>
              <w:rPr>
                <w:rStyle w:val="IndexLink"/>
              </w:rPr>
              <w:t>106</w:t>
            </w:r>
          </w:hyperlink>
        </w:p>
        <w:p>
          <w:pPr>
            <w:pStyle w:val="Contents5"/>
            <w:tabs>
              <w:tab w:val="clear" w:pos="7892"/>
              <w:tab w:val="right" w:pos="9026" w:leader="dot"/>
            </w:tabs>
            <w:rPr/>
          </w:pPr>
          <w:hyperlink w:anchor="__RefHeading___Toc3920690_3650668749">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3920692_3650668749">
            <w:r>
              <w:rPr>
                <w:webHidden/>
                <w:rStyle w:val="IndexLink"/>
                <w:rtl w:val="true"/>
              </w:rPr>
              <w:t>الجواب</w:t>
            </w:r>
            <w:r>
              <w:rPr>
                <w:rStyle w:val="IndexLink"/>
                <w:rtl w:val="true"/>
              </w:rPr>
              <w:t>:</w:t>
              <w:tab/>
            </w:r>
            <w:r>
              <w:rPr>
                <w:rStyle w:val="IndexLink"/>
              </w:rPr>
              <w:t>107</w:t>
            </w:r>
          </w:hyperlink>
        </w:p>
        <w:p>
          <w:pPr>
            <w:pStyle w:val="Contents5"/>
            <w:tabs>
              <w:tab w:val="clear" w:pos="7892"/>
              <w:tab w:val="right" w:pos="9026" w:leader="dot"/>
            </w:tabs>
            <w:rPr/>
          </w:pPr>
          <w:hyperlink w:anchor="__RefHeading___Toc3920694_3650668749">
            <w:r>
              <w:rPr>
                <w:webHidden/>
                <w:rStyle w:val="IndexLink"/>
                <w:rtl w:val="true"/>
              </w:rPr>
              <w:t>المقدّمة الأُولى</w:t>
            </w:r>
            <w:r>
              <w:rPr>
                <w:rStyle w:val="IndexLink"/>
                <w:rtl w:val="true"/>
              </w:rPr>
              <w:t xml:space="preserve">: </w:t>
            </w:r>
            <w:r>
              <w:rPr>
                <w:rStyle w:val="IndexLink"/>
                <w:rtl w:val="true"/>
              </w:rPr>
              <w:t>معنى الوهن والهتك ومنشأهما</w:t>
            </w:r>
            <w:r>
              <w:rPr>
                <w:rStyle w:val="IndexLink"/>
                <w:rtl w:val="true"/>
              </w:rPr>
              <w:tab/>
            </w:r>
            <w:r>
              <w:rPr>
                <w:rStyle w:val="IndexLink"/>
              </w:rPr>
              <w:t>108</w:t>
            </w:r>
          </w:hyperlink>
        </w:p>
        <w:p>
          <w:pPr>
            <w:pStyle w:val="Contents5"/>
            <w:tabs>
              <w:tab w:val="clear" w:pos="7892"/>
              <w:tab w:val="right" w:pos="9026" w:leader="dot"/>
            </w:tabs>
            <w:rPr/>
          </w:pPr>
          <w:hyperlink w:anchor="__RefHeading___Toc3920696_3650668749">
            <w:r>
              <w:rPr>
                <w:webHidden/>
                <w:rStyle w:val="IndexLink"/>
                <w:rtl w:val="true"/>
              </w:rPr>
              <w:t>المقدِّمة الثانية</w:t>
            </w:r>
            <w:r>
              <w:rPr>
                <w:rStyle w:val="IndexLink"/>
                <w:rtl w:val="true"/>
              </w:rPr>
              <w:t xml:space="preserve">: </w:t>
            </w:r>
            <w:r>
              <w:rPr>
                <w:rStyle w:val="IndexLink"/>
                <w:rtl w:val="true"/>
              </w:rPr>
              <w:t>الوهن والهتك من العناوين العُرفية</w:t>
            </w:r>
            <w:r>
              <w:rPr>
                <w:rStyle w:val="IndexLink"/>
                <w:rtl w:val="true"/>
              </w:rPr>
              <w:tab/>
            </w:r>
            <w:r>
              <w:rPr>
                <w:rStyle w:val="IndexLink"/>
              </w:rPr>
              <w:t>109</w:t>
            </w:r>
          </w:hyperlink>
        </w:p>
        <w:p>
          <w:pPr>
            <w:pStyle w:val="Contents5"/>
            <w:tabs>
              <w:tab w:val="clear" w:pos="7892"/>
              <w:tab w:val="right" w:pos="9026" w:leader="dot"/>
            </w:tabs>
            <w:rPr/>
          </w:pPr>
          <w:hyperlink w:anchor="__RefHeading___Toc3920698_3650668749">
            <w:r>
              <w:rPr>
                <w:webHidden/>
                <w:rStyle w:val="IndexLink"/>
                <w:rtl w:val="true"/>
              </w:rPr>
              <w:t>حكم ما لو تعارضت الأعراف</w:t>
            </w:r>
            <w:r>
              <w:rPr>
                <w:rStyle w:val="IndexLink"/>
                <w:rtl w:val="true"/>
              </w:rPr>
              <w:tab/>
            </w:r>
            <w:r>
              <w:rPr>
                <w:rStyle w:val="IndexLink"/>
              </w:rPr>
              <w:t>109</w:t>
            </w:r>
          </w:hyperlink>
        </w:p>
        <w:p>
          <w:pPr>
            <w:pStyle w:val="Contents5"/>
            <w:tabs>
              <w:tab w:val="clear" w:pos="7892"/>
              <w:tab w:val="right" w:pos="9026" w:leader="dot"/>
            </w:tabs>
            <w:rPr/>
          </w:pPr>
          <w:hyperlink w:anchor="__RefHeading___Toc3920700_3650668749">
            <w:r>
              <w:rPr>
                <w:webHidden/>
                <w:rStyle w:val="IndexLink"/>
                <w:rtl w:val="true"/>
              </w:rPr>
              <w:t>بعض الموارد التي لا يصدق عليها عنوان الوهن والهتك</w:t>
            </w:r>
            <w:r>
              <w:rPr>
                <w:rStyle w:val="IndexLink"/>
                <w:rtl w:val="true"/>
              </w:rPr>
              <w:tab/>
            </w:r>
            <w:r>
              <w:rPr>
                <w:rStyle w:val="IndexLink"/>
              </w:rPr>
              <w:t>110</w:t>
            </w:r>
          </w:hyperlink>
        </w:p>
        <w:p>
          <w:pPr>
            <w:pStyle w:val="Contents6"/>
            <w:tabs>
              <w:tab w:val="clear" w:pos="7609"/>
              <w:tab w:val="right" w:pos="9026" w:leader="dot"/>
            </w:tabs>
            <w:rPr/>
          </w:pPr>
          <w:hyperlink w:anchor="__RefHeading___Toc3920702_3650668749">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3920704_3650668749">
            <w:r>
              <w:rPr>
                <w:webHidden/>
                <w:rStyle w:val="IndexLink"/>
                <w:rtl w:val="true"/>
              </w:rPr>
              <w:t>المورد الأوّل</w:t>
            </w:r>
            <w:r>
              <w:rPr>
                <w:rStyle w:val="IndexLink"/>
                <w:rtl w:val="true"/>
              </w:rPr>
              <w:t xml:space="preserve">: </w:t>
            </w:r>
            <w:r>
              <w:rPr>
                <w:rStyle w:val="IndexLink"/>
                <w:rtl w:val="true"/>
              </w:rPr>
              <w:t>الوهن الناشئ نتيجة اختلاف الأعراف</w:t>
            </w:r>
            <w:r>
              <w:rPr>
                <w:rStyle w:val="IndexLink"/>
                <w:rtl w:val="true"/>
              </w:rPr>
              <w:tab/>
            </w:r>
            <w:r>
              <w:rPr>
                <w:rStyle w:val="IndexLink"/>
              </w:rPr>
              <w:t>110</w:t>
            </w:r>
          </w:hyperlink>
        </w:p>
        <w:p>
          <w:pPr>
            <w:pStyle w:val="Contents6"/>
            <w:tabs>
              <w:tab w:val="clear" w:pos="7609"/>
              <w:tab w:val="right" w:pos="9026" w:leader="dot"/>
            </w:tabs>
            <w:rPr/>
          </w:pPr>
          <w:hyperlink w:anchor="__RefHeading___Toc3920706_3650668749">
            <w:r>
              <w:rPr>
                <w:webHidden/>
                <w:rStyle w:val="IndexLink"/>
                <w:rtl w:val="true"/>
              </w:rPr>
              <w:t>المورد الثاني</w:t>
            </w:r>
            <w:r>
              <w:rPr>
                <w:rStyle w:val="IndexLink"/>
                <w:rtl w:val="true"/>
              </w:rPr>
              <w:t xml:space="preserve">: </w:t>
            </w:r>
            <w:r>
              <w:rPr>
                <w:rStyle w:val="IndexLink"/>
                <w:rtl w:val="true"/>
              </w:rPr>
              <w:t>الوهن الناشئ من الاستهزاء بالمعتقدات والأحكام الدينية</w:t>
            </w:r>
            <w:r>
              <w:rPr>
                <w:rStyle w:val="IndexLink"/>
                <w:rtl w:val="true"/>
              </w:rPr>
              <w:tab/>
            </w:r>
            <w:r>
              <w:rPr>
                <w:rStyle w:val="IndexLink"/>
              </w:rPr>
              <w:t>111</w:t>
            </w:r>
          </w:hyperlink>
        </w:p>
        <w:p>
          <w:pPr>
            <w:pStyle w:val="Contents5"/>
            <w:tabs>
              <w:tab w:val="clear" w:pos="7892"/>
              <w:tab w:val="right" w:pos="9026" w:leader="dot"/>
            </w:tabs>
            <w:rPr/>
          </w:pPr>
          <w:hyperlink w:anchor="__RefHeading___Toc3920708_3650668749">
            <w:r>
              <w:rPr>
                <w:webHidden/>
                <w:rStyle w:val="IndexLink"/>
                <w:rtl w:val="true"/>
              </w:rPr>
              <w:t>النصوص القرآنية التي تشير إلى استهزاء أعداء الله بالأنبياء وشرائعهم</w:t>
            </w:r>
            <w:r>
              <w:rPr>
                <w:rStyle w:val="IndexLink"/>
                <w:rtl w:val="true"/>
              </w:rPr>
              <w:tab/>
            </w:r>
            <w:r>
              <w:rPr>
                <w:rStyle w:val="IndexLink"/>
              </w:rPr>
              <w:t>111</w:t>
            </w:r>
          </w:hyperlink>
        </w:p>
        <w:p>
          <w:pPr>
            <w:pStyle w:val="Contents5"/>
            <w:tabs>
              <w:tab w:val="clear" w:pos="7892"/>
              <w:tab w:val="right" w:pos="9026" w:leader="dot"/>
            </w:tabs>
            <w:rPr/>
          </w:pPr>
          <w:hyperlink w:anchor="__RefHeading___Toc3920710_3650668749">
            <w:r>
              <w:rPr>
                <w:webHidden/>
                <w:rStyle w:val="IndexLink"/>
                <w:rtl w:val="true"/>
              </w:rPr>
              <w:t>موقف القرآن الكريم من المستهزئين بالأنبياء ودين الله</w:t>
            </w:r>
            <w:r>
              <w:rPr>
                <w:rStyle w:val="IndexLink"/>
                <w:rtl w:val="true"/>
              </w:rPr>
              <w:tab/>
            </w:r>
            <w:r>
              <w:rPr>
                <w:rStyle w:val="IndexLink"/>
              </w:rPr>
              <w:t>115</w:t>
            </w:r>
          </w:hyperlink>
        </w:p>
        <w:p>
          <w:pPr>
            <w:pStyle w:val="Contents5"/>
            <w:tabs>
              <w:tab w:val="clear" w:pos="7892"/>
              <w:tab w:val="right" w:pos="9026" w:leader="dot"/>
            </w:tabs>
            <w:rPr/>
          </w:pPr>
          <w:hyperlink w:anchor="__RefHeading___Toc3920712_3650668749">
            <w:r>
              <w:rPr>
                <w:webHidden/>
                <w:rStyle w:val="IndexLink"/>
                <w:rtl w:val="true"/>
              </w:rPr>
              <w:t xml:space="preserve">موقف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من المستهزئين بالعقائد الإسلامية والشعائر الحسينية</w:t>
            </w:r>
            <w:r>
              <w:rPr>
                <w:rStyle w:val="IndexLink"/>
                <w:rtl w:val="true"/>
              </w:rPr>
              <w:tab/>
            </w:r>
            <w:r>
              <w:rPr>
                <w:rStyle w:val="IndexLink"/>
              </w:rPr>
              <w:t>116</w:t>
            </w:r>
          </w:hyperlink>
        </w:p>
        <w:p>
          <w:pPr>
            <w:pStyle w:val="Contents5"/>
            <w:tabs>
              <w:tab w:val="clear" w:pos="7892"/>
              <w:tab w:val="right" w:pos="9026" w:leader="dot"/>
            </w:tabs>
            <w:rPr/>
          </w:pPr>
          <w:hyperlink w:anchor="__RefHeading___Toc3920714_3650668749">
            <w:r>
              <w:rPr>
                <w:webHidden/>
                <w:rStyle w:val="IndexLink"/>
                <w:rtl w:val="true"/>
              </w:rPr>
              <w:t>حكم الفقيه هو المتَّبع في حالة الاختلاف</w:t>
            </w:r>
            <w:r>
              <w:rPr>
                <w:rStyle w:val="IndexLink"/>
                <w:rtl w:val="true"/>
              </w:rPr>
              <w:tab/>
            </w:r>
            <w:r>
              <w:rPr>
                <w:rStyle w:val="IndexLink"/>
              </w:rPr>
              <w:t>118</w:t>
            </w:r>
          </w:hyperlink>
        </w:p>
        <w:p>
          <w:pPr>
            <w:pStyle w:val="Contents3"/>
            <w:tabs>
              <w:tab w:val="clear" w:pos="8459"/>
              <w:tab w:val="right" w:pos="9026" w:leader="dot"/>
            </w:tabs>
            <w:rPr/>
          </w:pPr>
          <w:hyperlink w:anchor="__RefHeading___Toc3920716_3650668749">
            <w:r>
              <w:rPr>
                <w:webHidden/>
                <w:rStyle w:val="IndexLink"/>
                <w:rtl w:val="true"/>
              </w:rPr>
              <w:t>الشبهة الثانية</w:t>
            </w:r>
            <w:r>
              <w:rPr>
                <w:rStyle w:val="IndexLink"/>
                <w:rtl w:val="true"/>
              </w:rPr>
              <w:t xml:space="preserve">: </w:t>
            </w:r>
            <w:r>
              <w:rPr>
                <w:rStyle w:val="IndexLink"/>
                <w:rtl w:val="true"/>
              </w:rPr>
              <w:t>اللطم لا يدخل تحت عنوان العزاء عرفاً</w:t>
            </w:r>
            <w:r>
              <w:rPr>
                <w:rStyle w:val="IndexLink"/>
                <w:rtl w:val="true"/>
              </w:rPr>
              <w:tab/>
            </w:r>
            <w:r>
              <w:rPr>
                <w:rStyle w:val="IndexLink"/>
              </w:rPr>
              <w:t>122</w:t>
            </w:r>
          </w:hyperlink>
        </w:p>
        <w:p>
          <w:pPr>
            <w:pStyle w:val="Contents3"/>
            <w:tabs>
              <w:tab w:val="clear" w:pos="8459"/>
              <w:tab w:val="right" w:pos="9026" w:leader="dot"/>
            </w:tabs>
            <w:rPr/>
          </w:pPr>
          <w:hyperlink w:anchor="__RefHeading___Toc3920718_3650668749">
            <w:r>
              <w:rPr>
                <w:webHidden/>
                <w:rStyle w:val="IndexLink"/>
                <w:rtl w:val="true"/>
              </w:rPr>
              <w:t>الشبهة الثالثة</w:t>
            </w:r>
            <w:r>
              <w:rPr>
                <w:rStyle w:val="IndexLink"/>
                <w:rtl w:val="true"/>
              </w:rPr>
              <w:t xml:space="preserve">: </w:t>
            </w:r>
            <w:r>
              <w:rPr>
                <w:rStyle w:val="IndexLink"/>
                <w:rtl w:val="true"/>
              </w:rPr>
              <w:t>اللطم حرام بالأدلّة الدالَّة على حرمة اللطم على الميّت</w:t>
            </w:r>
            <w:r>
              <w:rPr>
                <w:rStyle w:val="IndexLink"/>
                <w:rtl w:val="true"/>
              </w:rPr>
              <w:tab/>
            </w:r>
            <w:r>
              <w:rPr>
                <w:rStyle w:val="IndexLink"/>
              </w:rPr>
              <w:t>124</w:t>
            </w:r>
          </w:hyperlink>
        </w:p>
        <w:p>
          <w:pPr>
            <w:pStyle w:val="Contents4"/>
            <w:tabs>
              <w:tab w:val="clear" w:pos="8176"/>
              <w:tab w:val="right" w:pos="9026" w:leader="dot"/>
            </w:tabs>
            <w:rPr/>
          </w:pPr>
          <w:hyperlink w:anchor="__RefHeading___Toc3920720_3650668749">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3920722_3650668749">
            <w:r>
              <w:rPr>
                <w:webHidden/>
                <w:rStyle w:val="IndexLink"/>
                <w:rtl w:val="true"/>
              </w:rPr>
              <w:t>هل معقد الاجماع نهي اللطم على جميع الأموات</w:t>
            </w:r>
            <w:r>
              <w:rPr>
                <w:rStyle w:val="IndexLink"/>
                <w:rtl w:val="true"/>
              </w:rPr>
              <w:tab/>
            </w:r>
            <w:r>
              <w:rPr>
                <w:rStyle w:val="IndexLink"/>
              </w:rPr>
              <w:t>124</w:t>
            </w:r>
          </w:hyperlink>
        </w:p>
        <w:p>
          <w:pPr>
            <w:pStyle w:val="Contents4"/>
            <w:tabs>
              <w:tab w:val="clear" w:pos="8176"/>
              <w:tab w:val="right" w:pos="9026" w:leader="dot"/>
            </w:tabs>
            <w:rPr/>
          </w:pPr>
          <w:hyperlink w:anchor="__RefHeading___Toc3920724_3650668749">
            <w:r>
              <w:rPr>
                <w:webHidden/>
                <w:rStyle w:val="IndexLink"/>
                <w:rtl w:val="true"/>
              </w:rPr>
              <w:t xml:space="preserve">عائشة تلطم على رسول الله </w:t>
            </w:r>
            <w:r>
              <w:rPr>
                <w:rStyle w:val="IndexLink"/>
                <w:rtl w:val="true"/>
              </w:rPr>
              <w:t>(</w:t>
            </w:r>
            <w:r>
              <w:rPr>
                <w:rStyle w:val="IndexLink"/>
                <w:rtl w:val="true"/>
              </w:rPr>
              <w:t>ص</w:t>
            </w:r>
            <w:r>
              <w:rPr>
                <w:rStyle w:val="IndexLink"/>
                <w:rtl w:val="true"/>
              </w:rPr>
              <w:t>)</w:t>
              <w:tab/>
            </w:r>
            <w:r>
              <w:rPr>
                <w:rStyle w:val="IndexLink"/>
              </w:rPr>
              <w:t>125</w:t>
            </w:r>
          </w:hyperlink>
        </w:p>
        <w:p>
          <w:pPr>
            <w:pStyle w:val="Contents3"/>
            <w:tabs>
              <w:tab w:val="clear" w:pos="8459"/>
              <w:tab w:val="right" w:pos="9026" w:leader="dot"/>
            </w:tabs>
            <w:rPr/>
          </w:pPr>
          <w:hyperlink w:anchor="__RefHeading___Toc3920726_3650668749">
            <w:r>
              <w:rPr>
                <w:webHidden/>
                <w:rStyle w:val="IndexLink"/>
                <w:rtl w:val="true"/>
              </w:rPr>
              <w:t>الشبهة الرابعة</w:t>
            </w:r>
            <w:r>
              <w:rPr>
                <w:rStyle w:val="IndexLink"/>
                <w:rtl w:val="true"/>
              </w:rPr>
              <w:t xml:space="preserve">: </w:t>
            </w:r>
            <w:r>
              <w:rPr>
                <w:rStyle w:val="IndexLink"/>
                <w:rtl w:val="true"/>
              </w:rPr>
              <w:t>مواكب اللطم لم تكن في عهد الأئمة</w:t>
            </w:r>
            <w:r>
              <w:rPr>
                <w:rStyle w:val="IndexLink"/>
                <w:rtl w:val="true"/>
              </w:rPr>
              <w:t xml:space="preserve">: </w:t>
            </w:r>
            <w:r>
              <w:rPr>
                <w:rStyle w:val="IndexLink"/>
                <w:rtl w:val="true"/>
              </w:rPr>
              <w:t>وزمانهم</w:t>
            </w:r>
            <w:r>
              <w:rPr>
                <w:rStyle w:val="IndexLink"/>
                <w:rtl w:val="true"/>
              </w:rPr>
              <w:tab/>
            </w:r>
            <w:r>
              <w:rPr>
                <w:rStyle w:val="IndexLink"/>
              </w:rPr>
              <w:t>126</w:t>
            </w:r>
          </w:hyperlink>
        </w:p>
        <w:p>
          <w:pPr>
            <w:pStyle w:val="Contents3"/>
            <w:tabs>
              <w:tab w:val="clear" w:pos="8459"/>
              <w:tab w:val="right" w:pos="9026" w:leader="dot"/>
            </w:tabs>
            <w:rPr/>
          </w:pPr>
          <w:hyperlink w:anchor="__RefHeading___Toc3920728_3650668749">
            <w:r>
              <w:rPr>
                <w:webHidden/>
                <w:rStyle w:val="IndexLink"/>
                <w:rtl w:val="true"/>
              </w:rPr>
              <w:t>الشبهة الخامسه</w:t>
            </w:r>
            <w:r>
              <w:rPr>
                <w:rStyle w:val="IndexLink"/>
                <w:rtl w:val="true"/>
              </w:rPr>
              <w:t xml:space="preserve">: </w:t>
            </w:r>
            <w:r>
              <w:rPr>
                <w:rStyle w:val="IndexLink"/>
                <w:rtl w:val="true"/>
              </w:rPr>
              <w:t>روّاد المواكب لا يلتزمون بأحكام الشريعة</w:t>
            </w:r>
            <w:r>
              <w:rPr>
                <w:rStyle w:val="IndexLink"/>
                <w:rtl w:val="true"/>
              </w:rPr>
              <w:tab/>
            </w:r>
            <w:r>
              <w:rPr>
                <w:rStyle w:val="IndexLink"/>
              </w:rPr>
              <w:t>128</w:t>
            </w:r>
          </w:hyperlink>
        </w:p>
        <w:p>
          <w:pPr>
            <w:pStyle w:val="Contents3"/>
            <w:tabs>
              <w:tab w:val="clear" w:pos="8459"/>
              <w:tab w:val="right" w:pos="9026" w:leader="dot"/>
            </w:tabs>
            <w:rPr/>
          </w:pPr>
          <w:hyperlink w:anchor="__RefHeading___Toc3920730_3650668749">
            <w:r>
              <w:rPr>
                <w:webHidden/>
                <w:rStyle w:val="IndexLink"/>
                <w:rtl w:val="true"/>
              </w:rPr>
              <w:t>خلاصة الفصل الثاني</w:t>
            </w:r>
            <w:r>
              <w:rPr>
                <w:rStyle w:val="IndexLink"/>
                <w:rtl w:val="true"/>
              </w:rPr>
              <w:tab/>
            </w:r>
            <w:r>
              <w:rPr>
                <w:rStyle w:val="IndexLink"/>
              </w:rPr>
              <w:t>130</w:t>
            </w:r>
          </w:hyperlink>
        </w:p>
        <w:p>
          <w:pPr>
            <w:pStyle w:val="Contents2"/>
            <w:tabs>
              <w:tab w:val="clear" w:pos="8743"/>
              <w:tab w:val="right" w:pos="9026" w:leader="dot"/>
            </w:tabs>
            <w:rPr/>
          </w:pPr>
          <w:hyperlink w:anchor="__RefHeading___Toc3920732_3650668749">
            <w:r>
              <w:rPr>
                <w:webHidden/>
                <w:rStyle w:val="IndexLink"/>
                <w:rtl w:val="true"/>
              </w:rPr>
              <w:t>الفصل الثالث</w:t>
            </w:r>
            <w:r>
              <w:rPr>
                <w:rStyle w:val="IndexLink"/>
                <w:rtl w:val="true"/>
              </w:rPr>
              <w:t xml:space="preserve">: </w:t>
            </w:r>
            <w:r>
              <w:rPr>
                <w:rStyle w:val="IndexLink"/>
                <w:rtl w:val="true"/>
              </w:rPr>
              <w:t>في الأجوبة على الشبهات حول تحريف واقعة كربلاء</w:t>
            </w:r>
            <w:r>
              <w:rPr>
                <w:rStyle w:val="IndexLink"/>
                <w:rtl w:val="true"/>
              </w:rPr>
              <w:tab/>
            </w:r>
            <w:r>
              <w:rPr>
                <w:rStyle w:val="IndexLink"/>
              </w:rPr>
              <w:t>136</w:t>
            </w:r>
          </w:hyperlink>
        </w:p>
        <w:p>
          <w:pPr>
            <w:pStyle w:val="Contents3"/>
            <w:tabs>
              <w:tab w:val="clear" w:pos="8459"/>
              <w:tab w:val="right" w:pos="9026" w:leader="dot"/>
            </w:tabs>
            <w:rPr/>
          </w:pPr>
          <w:hyperlink w:anchor="__RefHeading___Toc3920734_3650668749">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3920736_3650668749">
            <w:r>
              <w:rPr>
                <w:webHidden/>
                <w:rStyle w:val="IndexLink"/>
                <w:rtl w:val="true"/>
              </w:rPr>
              <w:t>الشبهة الأولى</w:t>
            </w:r>
            <w:r>
              <w:rPr>
                <w:rStyle w:val="IndexLink"/>
                <w:rtl w:val="true"/>
              </w:rPr>
              <w:t xml:space="preserve">: </w:t>
            </w:r>
            <w:r>
              <w:rPr>
                <w:rStyle w:val="IndexLink"/>
                <w:rtl w:val="true"/>
              </w:rPr>
              <w:t>تحريف عاشوراء من خلال الكذب على المنابر</w:t>
            </w:r>
            <w:r>
              <w:rPr>
                <w:rStyle w:val="IndexLink"/>
                <w:rtl w:val="true"/>
              </w:rPr>
              <w:tab/>
            </w:r>
            <w:r>
              <w:rPr>
                <w:rStyle w:val="IndexLink"/>
              </w:rPr>
              <w:t>138</w:t>
            </w:r>
          </w:hyperlink>
        </w:p>
        <w:p>
          <w:pPr>
            <w:pStyle w:val="Contents4"/>
            <w:tabs>
              <w:tab w:val="clear" w:pos="8176"/>
              <w:tab w:val="right" w:pos="9026" w:leader="dot"/>
            </w:tabs>
            <w:rPr/>
          </w:pPr>
          <w:hyperlink w:anchor="__RefHeading___Toc3920738_3650668749">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3920740_3650668749">
            <w:r>
              <w:rPr>
                <w:webHidden/>
                <w:rStyle w:val="IndexLink"/>
                <w:rtl w:val="true"/>
              </w:rPr>
              <w:t>هل يتوقَّف ثبوت القضية التاريخية على سندٍ صحيح؟</w:t>
            </w:r>
            <w:r>
              <w:rPr>
                <w:rStyle w:val="IndexLink"/>
                <w:rtl w:val="true"/>
              </w:rPr>
              <w:tab/>
            </w:r>
            <w:r>
              <w:rPr>
                <w:rStyle w:val="IndexLink"/>
              </w:rPr>
              <w:t>139</w:t>
            </w:r>
          </w:hyperlink>
        </w:p>
        <w:p>
          <w:pPr>
            <w:pStyle w:val="Contents4"/>
            <w:tabs>
              <w:tab w:val="clear" w:pos="8176"/>
              <w:tab w:val="right" w:pos="9026" w:leader="dot"/>
            </w:tabs>
            <w:rPr/>
          </w:pPr>
          <w:hyperlink w:anchor="__RefHeading___Toc3920742_3650668749">
            <w:r>
              <w:rPr>
                <w:webHidden/>
                <w:rStyle w:val="IndexLink"/>
                <w:rtl w:val="true"/>
              </w:rPr>
              <w:t>النتيجة الأُولى</w:t>
            </w:r>
            <w:r>
              <w:rPr>
                <w:rStyle w:val="IndexLink"/>
                <w:rtl w:val="true"/>
              </w:rPr>
              <w:t xml:space="preserve">: </w:t>
            </w:r>
            <w:r>
              <w:rPr>
                <w:rStyle w:val="IndexLink"/>
                <w:rtl w:val="true"/>
              </w:rPr>
              <w:t>إثبات ما وقع في عاشوراء لا يتوقّف على وجود سند صحيح</w:t>
            </w:r>
            <w:r>
              <w:rPr>
                <w:rStyle w:val="IndexLink"/>
                <w:rtl w:val="true"/>
              </w:rPr>
              <w:tab/>
            </w:r>
            <w:r>
              <w:rPr>
                <w:rStyle w:val="IndexLink"/>
              </w:rPr>
              <w:t>140</w:t>
            </w:r>
          </w:hyperlink>
        </w:p>
        <w:p>
          <w:pPr>
            <w:pStyle w:val="Contents4"/>
            <w:tabs>
              <w:tab w:val="clear" w:pos="8176"/>
              <w:tab w:val="right" w:pos="9026" w:leader="dot"/>
            </w:tabs>
            <w:rPr/>
          </w:pPr>
          <w:hyperlink w:anchor="__RefHeading___Toc3920744_3650668749">
            <w:r>
              <w:rPr>
                <w:webHidden/>
                <w:rStyle w:val="IndexLink"/>
                <w:rtl w:val="true"/>
              </w:rPr>
              <w:t>النتيجة الثانية</w:t>
            </w:r>
            <w:r>
              <w:rPr>
                <w:rStyle w:val="IndexLink"/>
                <w:rtl w:val="true"/>
              </w:rPr>
              <w:t xml:space="preserve">: </w:t>
            </w:r>
            <w:r>
              <w:rPr>
                <w:rStyle w:val="IndexLink"/>
                <w:rtl w:val="true"/>
              </w:rPr>
              <w:t>معنى نقل الخبر الكاذب</w:t>
            </w:r>
            <w:r>
              <w:rPr>
                <w:rStyle w:val="IndexLink"/>
                <w:rtl w:val="true"/>
              </w:rPr>
              <w:tab/>
            </w:r>
            <w:r>
              <w:rPr>
                <w:rStyle w:val="IndexLink"/>
              </w:rPr>
              <w:t>141</w:t>
            </w:r>
          </w:hyperlink>
        </w:p>
        <w:p>
          <w:pPr>
            <w:pStyle w:val="Contents5"/>
            <w:tabs>
              <w:tab w:val="clear" w:pos="7892"/>
              <w:tab w:val="right" w:pos="9026" w:leader="dot"/>
            </w:tabs>
            <w:rPr/>
          </w:pPr>
          <w:hyperlink w:anchor="__RefHeading___Toc3920746_3650668749">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3920748_3650668749">
            <w:r>
              <w:rPr>
                <w:webHidden/>
                <w:rStyle w:val="IndexLink"/>
                <w:rtl w:val="true"/>
              </w:rPr>
              <w:t>ما يتحقّق به الكذب المحرَّم في نقل واقعة عاشوراء</w:t>
            </w:r>
            <w:r>
              <w:rPr>
                <w:rStyle w:val="IndexLink"/>
                <w:rtl w:val="true"/>
              </w:rPr>
              <w:tab/>
            </w:r>
            <w:r>
              <w:rPr>
                <w:rStyle w:val="IndexLink"/>
              </w:rPr>
              <w:t>141</w:t>
            </w:r>
          </w:hyperlink>
        </w:p>
        <w:p>
          <w:pPr>
            <w:pStyle w:val="Contents4"/>
            <w:tabs>
              <w:tab w:val="clear" w:pos="8176"/>
              <w:tab w:val="right" w:pos="9026" w:leader="dot"/>
            </w:tabs>
            <w:rPr/>
          </w:pPr>
          <w:hyperlink w:anchor="__RefHeading___Toc3920750_3650668749">
            <w:r>
              <w:rPr>
                <w:webHidden/>
                <w:rStyle w:val="IndexLink"/>
                <w:rtl w:val="true"/>
              </w:rPr>
              <w:t>النتيجة الثالثة</w:t>
            </w:r>
            <w:r>
              <w:rPr>
                <w:rStyle w:val="IndexLink"/>
                <w:rtl w:val="true"/>
              </w:rPr>
              <w:t xml:space="preserve">: </w:t>
            </w:r>
            <w:r>
              <w:rPr>
                <w:rStyle w:val="IndexLink"/>
                <w:rtl w:val="true"/>
              </w:rPr>
              <w:t>الخبر المكذوب هو الذي قُطع بوضعه</w:t>
            </w:r>
            <w:r>
              <w:rPr>
                <w:rStyle w:val="IndexLink"/>
                <w:rtl w:val="true"/>
              </w:rPr>
              <w:tab/>
            </w:r>
            <w:r>
              <w:rPr>
                <w:rStyle w:val="IndexLink"/>
              </w:rPr>
              <w:t>142</w:t>
            </w:r>
          </w:hyperlink>
        </w:p>
        <w:p>
          <w:pPr>
            <w:pStyle w:val="Contents4"/>
            <w:tabs>
              <w:tab w:val="clear" w:pos="8176"/>
              <w:tab w:val="right" w:pos="9026" w:leader="dot"/>
            </w:tabs>
            <w:rPr/>
          </w:pPr>
          <w:hyperlink w:anchor="__RefHeading___Toc3920752_3650668749">
            <w:r>
              <w:rPr>
                <w:webHidden/>
                <w:rStyle w:val="IndexLink"/>
                <w:rtl w:val="true"/>
              </w:rPr>
              <w:t>النتيجة الرابعة</w:t>
            </w:r>
            <w:r>
              <w:rPr>
                <w:rStyle w:val="IndexLink"/>
                <w:rtl w:val="true"/>
              </w:rPr>
              <w:t xml:space="preserve">: </w:t>
            </w:r>
            <w:r>
              <w:rPr>
                <w:rStyle w:val="IndexLink"/>
                <w:rtl w:val="true"/>
              </w:rPr>
              <w:t>ما قيل من الوقائع المكذوبة لا تصل إلى أصابع اليد الواحدة</w:t>
            </w:r>
            <w:r>
              <w:rPr>
                <w:rStyle w:val="IndexLink"/>
                <w:rtl w:val="true"/>
              </w:rPr>
              <w:tab/>
            </w:r>
            <w:r>
              <w:rPr>
                <w:rStyle w:val="IndexLink"/>
              </w:rPr>
              <w:t>142</w:t>
            </w:r>
          </w:hyperlink>
        </w:p>
        <w:p>
          <w:pPr>
            <w:pStyle w:val="Contents3"/>
            <w:tabs>
              <w:tab w:val="clear" w:pos="8459"/>
              <w:tab w:val="right" w:pos="9026" w:leader="dot"/>
            </w:tabs>
            <w:rPr/>
          </w:pPr>
          <w:hyperlink w:anchor="__RefHeading___Toc3920754_3650668749">
            <w:r>
              <w:rPr>
                <w:webHidden/>
                <w:rStyle w:val="IndexLink"/>
                <w:rtl w:val="true"/>
              </w:rPr>
              <w:t>الشُبهة الثانية</w:t>
            </w:r>
            <w:r>
              <w:rPr>
                <w:rStyle w:val="IndexLink"/>
                <w:rtl w:val="true"/>
              </w:rPr>
              <w:t xml:space="preserve">: </w:t>
            </w:r>
            <w:r>
              <w:rPr>
                <w:rStyle w:val="IndexLink"/>
                <w:rtl w:val="true"/>
              </w:rPr>
              <w:t>التحريف في عاشوراء اعتماداً على قاعدة التسامح</w:t>
            </w:r>
            <w:r>
              <w:rPr>
                <w:rStyle w:val="IndexLink"/>
                <w:rtl w:val="true"/>
              </w:rPr>
              <w:tab/>
            </w:r>
            <w:r>
              <w:rPr>
                <w:rStyle w:val="IndexLink"/>
              </w:rPr>
              <w:t>144</w:t>
            </w:r>
          </w:hyperlink>
        </w:p>
        <w:p>
          <w:pPr>
            <w:pStyle w:val="Contents3"/>
            <w:tabs>
              <w:tab w:val="clear" w:pos="8459"/>
              <w:tab w:val="right" w:pos="9026" w:leader="dot"/>
            </w:tabs>
            <w:rPr/>
          </w:pPr>
          <w:hyperlink w:anchor="__RefHeading___Toc3920756_3650668749">
            <w:r>
              <w:rPr>
                <w:webHidden/>
                <w:rStyle w:val="IndexLink"/>
                <w:rtl w:val="true"/>
              </w:rPr>
              <w:t>الشبهة الثالثة</w:t>
            </w:r>
            <w:r>
              <w:rPr>
                <w:rStyle w:val="IndexLink"/>
                <w:rtl w:val="true"/>
              </w:rPr>
              <w:t xml:space="preserve">: </w:t>
            </w:r>
            <w:r>
              <w:rPr>
                <w:rStyle w:val="IndexLink"/>
                <w:rtl w:val="true"/>
              </w:rPr>
              <w:t>نسبة كلمات إلى الإمام الحسين لا تليق بمقامه</w:t>
            </w:r>
            <w:r>
              <w:rPr>
                <w:rStyle w:val="IndexLink"/>
                <w:rtl w:val="true"/>
              </w:rPr>
              <w:tab/>
            </w:r>
            <w:r>
              <w:rPr>
                <w:rStyle w:val="IndexLink"/>
              </w:rPr>
              <w:t>148</w:t>
            </w:r>
          </w:hyperlink>
        </w:p>
        <w:p>
          <w:pPr>
            <w:pStyle w:val="Contents3"/>
            <w:tabs>
              <w:tab w:val="clear" w:pos="8459"/>
              <w:tab w:val="right" w:pos="9026" w:leader="dot"/>
            </w:tabs>
            <w:rPr/>
          </w:pPr>
          <w:hyperlink w:anchor="__RefHeading___Toc3920758_3650668749">
            <w:r>
              <w:rPr>
                <w:webHidden/>
                <w:rStyle w:val="IndexLink"/>
                <w:rtl w:val="true"/>
              </w:rPr>
              <w:t>الشبهة الرابعة</w:t>
            </w:r>
            <w:r>
              <w:rPr>
                <w:rStyle w:val="IndexLink"/>
                <w:rtl w:val="true"/>
              </w:rPr>
              <w:t xml:space="preserve">: </w:t>
            </w:r>
            <w:r>
              <w:rPr>
                <w:rStyle w:val="IndexLink"/>
                <w:rtl w:val="true"/>
              </w:rPr>
              <w:t>التحريف في هدف الثورة الحسينية</w:t>
            </w:r>
            <w:r>
              <w:rPr>
                <w:rStyle w:val="IndexLink"/>
                <w:rtl w:val="true"/>
              </w:rPr>
              <w:tab/>
            </w:r>
            <w:r>
              <w:rPr>
                <w:rStyle w:val="IndexLink"/>
              </w:rPr>
              <w:t>152</w:t>
            </w:r>
          </w:hyperlink>
        </w:p>
        <w:p>
          <w:pPr>
            <w:pStyle w:val="Contents3"/>
            <w:tabs>
              <w:tab w:val="clear" w:pos="8459"/>
              <w:tab w:val="right" w:pos="9026" w:leader="dot"/>
            </w:tabs>
            <w:rPr/>
          </w:pPr>
          <w:hyperlink w:anchor="__RefHeading___Toc3920760_3650668749">
            <w:r>
              <w:rPr>
                <w:webHidden/>
                <w:rStyle w:val="IndexLink"/>
                <w:rtl w:val="true"/>
              </w:rPr>
              <w:t>الشبهة الخامسة</w:t>
            </w:r>
            <w:r>
              <w:rPr>
                <w:rStyle w:val="IndexLink"/>
                <w:rtl w:val="true"/>
              </w:rPr>
              <w:t xml:space="preserve">: </w:t>
            </w:r>
            <w:r>
              <w:rPr>
                <w:rStyle w:val="IndexLink"/>
                <w:rtl w:val="true"/>
              </w:rPr>
              <w:t>حُرمة سماع الرجال لصياح وصراخ النساء</w:t>
            </w:r>
            <w:r>
              <w:rPr>
                <w:rStyle w:val="IndexLink"/>
                <w:rtl w:val="true"/>
              </w:rPr>
              <w:tab/>
            </w:r>
            <w:r>
              <w:rPr>
                <w:rStyle w:val="IndexLink"/>
              </w:rPr>
              <w:t>156</w:t>
            </w:r>
          </w:hyperlink>
        </w:p>
        <w:p>
          <w:pPr>
            <w:pStyle w:val="Contents3"/>
            <w:tabs>
              <w:tab w:val="clear" w:pos="8459"/>
              <w:tab w:val="right" w:pos="9026" w:leader="dot"/>
            </w:tabs>
            <w:rPr/>
          </w:pPr>
          <w:hyperlink w:anchor="__RefHeading___Toc3920762_3650668749">
            <w:r>
              <w:rPr>
                <w:webHidden/>
                <w:rStyle w:val="IndexLink"/>
                <w:rtl w:val="true"/>
              </w:rPr>
              <w:t>الشبهة السادسة</w:t>
            </w:r>
            <w:r>
              <w:rPr>
                <w:rStyle w:val="IndexLink"/>
                <w:rtl w:val="true"/>
              </w:rPr>
              <w:t xml:space="preserve">: </w:t>
            </w:r>
            <w:r>
              <w:rPr>
                <w:rStyle w:val="IndexLink"/>
                <w:rtl w:val="true"/>
              </w:rPr>
              <w:t>ما ورد في زيارة الناحية غير معقول</w:t>
            </w:r>
            <w:r>
              <w:rPr>
                <w:rStyle w:val="IndexLink"/>
                <w:rtl w:val="true"/>
              </w:rPr>
              <w:t>!</w:t>
              <w:tab/>
            </w:r>
            <w:r>
              <w:rPr>
                <w:rStyle w:val="IndexLink"/>
              </w:rPr>
              <w:t>160</w:t>
            </w:r>
          </w:hyperlink>
        </w:p>
        <w:p>
          <w:pPr>
            <w:pStyle w:val="Contents4"/>
            <w:tabs>
              <w:tab w:val="clear" w:pos="8176"/>
              <w:tab w:val="right" w:pos="9026" w:leader="dot"/>
            </w:tabs>
            <w:rPr/>
          </w:pPr>
          <w:hyperlink w:anchor="__RefHeading___Toc3920764_3650668749">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3920766_3650668749">
            <w:r>
              <w:rPr>
                <w:webHidden/>
                <w:rStyle w:val="IndexLink"/>
                <w:rtl w:val="true"/>
              </w:rPr>
              <w:t>الأوَّل</w:t>
            </w:r>
            <w:r>
              <w:rPr>
                <w:rStyle w:val="IndexLink"/>
                <w:rtl w:val="true"/>
              </w:rPr>
              <w:t xml:space="preserve">: </w:t>
            </w:r>
            <w:r>
              <w:rPr>
                <w:rStyle w:val="IndexLink"/>
                <w:rtl w:val="true"/>
              </w:rPr>
              <w:t>لم يكن خروج النساء أمام الأجانب</w:t>
            </w:r>
            <w:r>
              <w:rPr>
                <w:rStyle w:val="IndexLink"/>
                <w:rtl w:val="true"/>
              </w:rPr>
              <w:tab/>
            </w:r>
            <w:r>
              <w:rPr>
                <w:rStyle w:val="IndexLink"/>
              </w:rPr>
              <w:t>160</w:t>
            </w:r>
          </w:hyperlink>
        </w:p>
        <w:p>
          <w:pPr>
            <w:pStyle w:val="Contents4"/>
            <w:tabs>
              <w:tab w:val="clear" w:pos="8176"/>
              <w:tab w:val="right" w:pos="9026" w:leader="dot"/>
            </w:tabs>
            <w:rPr/>
          </w:pPr>
          <w:hyperlink w:anchor="__RefHeading___Toc3920768_3650668749">
            <w:r>
              <w:rPr>
                <w:webHidden/>
                <w:rStyle w:val="IndexLink"/>
                <w:rtl w:val="true"/>
              </w:rPr>
              <w:t>الثاني</w:t>
            </w:r>
            <w:r>
              <w:rPr>
                <w:rStyle w:val="IndexLink"/>
                <w:rtl w:val="true"/>
              </w:rPr>
              <w:t xml:space="preserve">: </w:t>
            </w:r>
            <w:r>
              <w:rPr>
                <w:rStyle w:val="IndexLink"/>
                <w:rtl w:val="true"/>
              </w:rPr>
              <w:t xml:space="preserve">النساء اللاتي خرجن لسنَ نساء أهل البيت </w:t>
            </w:r>
            <w:r>
              <w:rPr>
                <w:rStyle w:val="IndexLink"/>
                <w:rtl w:val="true"/>
              </w:rPr>
              <w:t>(</w:t>
            </w:r>
            <w:r>
              <w:rPr>
                <w:rStyle w:val="IndexLink"/>
                <w:rtl w:val="true"/>
              </w:rPr>
              <w:t>عليهم السلام</w:t>
            </w:r>
            <w:r>
              <w:rPr>
                <w:rStyle w:val="IndexLink"/>
                <w:rtl w:val="true"/>
              </w:rPr>
              <w:t>)</w:t>
              <w:tab/>
            </w:r>
            <w:r>
              <w:rPr>
                <w:rStyle w:val="IndexLink"/>
              </w:rPr>
              <w:t>161</w:t>
            </w:r>
          </w:hyperlink>
        </w:p>
        <w:p>
          <w:pPr>
            <w:pStyle w:val="Contents3"/>
            <w:tabs>
              <w:tab w:val="clear" w:pos="8459"/>
              <w:tab w:val="right" w:pos="9026" w:leader="dot"/>
            </w:tabs>
            <w:rPr/>
          </w:pPr>
          <w:hyperlink w:anchor="__RefHeading___Toc3920770_3650668749">
            <w:r>
              <w:rPr>
                <w:webHidden/>
                <w:rStyle w:val="IndexLink"/>
                <w:rtl w:val="true"/>
              </w:rPr>
              <w:t>الشبهة السابعة</w:t>
            </w:r>
            <w:r>
              <w:rPr>
                <w:rStyle w:val="IndexLink"/>
                <w:rtl w:val="true"/>
              </w:rPr>
              <w:t xml:space="preserve">: </w:t>
            </w:r>
            <w:r>
              <w:rPr>
                <w:rStyle w:val="IndexLink"/>
                <w:rtl w:val="true"/>
              </w:rPr>
              <w:t>إحياء عاشوراء فتنة تفرِّق المسلمين</w:t>
            </w:r>
            <w:r>
              <w:rPr>
                <w:rStyle w:val="IndexLink"/>
                <w:rtl w:val="true"/>
              </w:rPr>
              <w:tab/>
            </w:r>
            <w:r>
              <w:rPr>
                <w:rStyle w:val="IndexLink"/>
              </w:rPr>
              <w:t>162</w:t>
            </w:r>
          </w:hyperlink>
        </w:p>
        <w:p>
          <w:pPr>
            <w:pStyle w:val="Contents4"/>
            <w:tabs>
              <w:tab w:val="clear" w:pos="8176"/>
              <w:tab w:val="right" w:pos="9026" w:leader="dot"/>
            </w:tabs>
            <w:rPr/>
          </w:pPr>
          <w:hyperlink w:anchor="__RefHeading___Toc3920772_3650668749">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3920774_3650668749">
            <w:r>
              <w:rPr>
                <w:webHidden/>
                <w:rStyle w:val="IndexLink"/>
              </w:rPr>
              <w:t>١</w:t>
            </w:r>
            <w:r>
              <w:rPr>
                <w:rStyle w:val="IndexLink"/>
                <w:rtl w:val="true"/>
              </w:rPr>
              <w:t xml:space="preserve">- </w:t>
            </w:r>
            <w:r>
              <w:rPr>
                <w:rStyle w:val="IndexLink"/>
                <w:rtl w:val="true"/>
              </w:rPr>
              <w:t>إنَّ الغزالي نفسه لا يلتزم بهذا المنهج</w:t>
            </w:r>
            <w:r>
              <w:rPr>
                <w:rStyle w:val="IndexLink"/>
                <w:rtl w:val="true"/>
              </w:rPr>
              <w:tab/>
            </w:r>
            <w:r>
              <w:rPr>
                <w:rStyle w:val="IndexLink"/>
              </w:rPr>
              <w:t>162</w:t>
            </w:r>
          </w:hyperlink>
        </w:p>
        <w:p>
          <w:pPr>
            <w:pStyle w:val="Contents4"/>
            <w:tabs>
              <w:tab w:val="clear" w:pos="8176"/>
              <w:tab w:val="right" w:pos="9026" w:leader="dot"/>
            </w:tabs>
            <w:rPr/>
          </w:pPr>
          <w:hyperlink w:anchor="__RefHeading___Toc3920776_3650668749">
            <w:r>
              <w:rPr>
                <w:webHidden/>
                <w:rStyle w:val="IndexLink"/>
              </w:rPr>
              <w:t>٢</w:t>
            </w:r>
            <w:r>
              <w:rPr>
                <w:rStyle w:val="IndexLink"/>
                <w:rtl w:val="true"/>
              </w:rPr>
              <w:t xml:space="preserve">- </w:t>
            </w:r>
            <w:r>
              <w:rPr>
                <w:rStyle w:val="IndexLink"/>
                <w:rtl w:val="true"/>
              </w:rPr>
              <w:t xml:space="preserve">إقامة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للعزاء الحسيني في مختلف الظروف</w:t>
            </w:r>
            <w:r>
              <w:rPr>
                <w:rStyle w:val="IndexLink"/>
                <w:rtl w:val="true"/>
              </w:rPr>
              <w:tab/>
            </w:r>
            <w:r>
              <w:rPr>
                <w:rStyle w:val="IndexLink"/>
              </w:rPr>
              <w:t>163</w:t>
            </w:r>
          </w:hyperlink>
        </w:p>
        <w:p>
          <w:pPr>
            <w:pStyle w:val="Contents4"/>
            <w:tabs>
              <w:tab w:val="clear" w:pos="8176"/>
              <w:tab w:val="right" w:pos="9026" w:leader="dot"/>
            </w:tabs>
            <w:rPr/>
          </w:pPr>
          <w:hyperlink w:anchor="__RefHeading___Toc3920778_3650668749">
            <w:r>
              <w:rPr>
                <w:webHidden/>
                <w:rStyle w:val="IndexLink"/>
              </w:rPr>
              <w:t>٣</w:t>
            </w:r>
            <w:r>
              <w:rPr>
                <w:rStyle w:val="IndexLink"/>
                <w:rtl w:val="true"/>
              </w:rPr>
              <w:t xml:space="preserve">- </w:t>
            </w:r>
            <w:r>
              <w:rPr>
                <w:rStyle w:val="IndexLink"/>
                <w:rtl w:val="true"/>
              </w:rPr>
              <w:t>وجود العلاقة الوثيقة بين التاريخ وعمل التربوي</w:t>
            </w:r>
            <w:r>
              <w:rPr>
                <w:rStyle w:val="IndexLink"/>
                <w:rtl w:val="true"/>
              </w:rPr>
              <w:tab/>
            </w:r>
            <w:r>
              <w:rPr>
                <w:rStyle w:val="IndexLink"/>
              </w:rPr>
              <w:t>163</w:t>
            </w:r>
          </w:hyperlink>
        </w:p>
        <w:p>
          <w:pPr>
            <w:pStyle w:val="Contents4"/>
            <w:tabs>
              <w:tab w:val="clear" w:pos="8176"/>
              <w:tab w:val="right" w:pos="9026" w:leader="dot"/>
            </w:tabs>
            <w:rPr/>
          </w:pPr>
          <w:hyperlink w:anchor="__RefHeading___Toc3920780_3650668749">
            <w:r>
              <w:rPr>
                <w:webHidden/>
                <w:rStyle w:val="IndexLink"/>
              </w:rPr>
              <w:t>۴</w:t>
            </w:r>
            <w:r>
              <w:rPr>
                <w:rStyle w:val="IndexLink"/>
                <w:rtl w:val="true"/>
              </w:rPr>
              <w:t xml:space="preserve">- </w:t>
            </w:r>
            <w:r>
              <w:rPr>
                <w:rStyle w:val="IndexLink"/>
                <w:rtl w:val="true"/>
              </w:rPr>
              <w:t>قراءة التاريخ لأجل الاعتبار</w:t>
            </w:r>
            <w:r>
              <w:rPr>
                <w:rStyle w:val="IndexLink"/>
                <w:rtl w:val="true"/>
              </w:rPr>
              <w:tab/>
            </w:r>
            <w:r>
              <w:rPr>
                <w:rStyle w:val="IndexLink"/>
              </w:rPr>
              <w:t>166</w:t>
            </w:r>
          </w:hyperlink>
        </w:p>
        <w:p>
          <w:pPr>
            <w:pStyle w:val="Contents4"/>
            <w:tabs>
              <w:tab w:val="clear" w:pos="8176"/>
              <w:tab w:val="right" w:pos="9026" w:leader="dot"/>
            </w:tabs>
            <w:rPr/>
          </w:pPr>
          <w:hyperlink w:anchor="__RefHeading___Toc3920782_3650668749">
            <w:r>
              <w:rPr>
                <w:webHidden/>
                <w:rStyle w:val="IndexLink"/>
              </w:rPr>
              <w:t>۵</w:t>
            </w:r>
            <w:r>
              <w:rPr>
                <w:rStyle w:val="IndexLink"/>
                <w:rtl w:val="true"/>
              </w:rPr>
              <w:t xml:space="preserve">- </w:t>
            </w:r>
            <w:r>
              <w:rPr>
                <w:rStyle w:val="IndexLink"/>
                <w:rtl w:val="true"/>
              </w:rPr>
              <w:t>دور مجالس العزاء في توعية الناس</w:t>
            </w:r>
            <w:r>
              <w:rPr>
                <w:rStyle w:val="IndexLink"/>
                <w:rtl w:val="true"/>
              </w:rPr>
              <w:tab/>
            </w:r>
            <w:r>
              <w:rPr>
                <w:rStyle w:val="IndexLink"/>
              </w:rPr>
              <w:t>167</w:t>
            </w:r>
          </w:hyperlink>
        </w:p>
        <w:p>
          <w:pPr>
            <w:pStyle w:val="Contents3"/>
            <w:tabs>
              <w:tab w:val="clear" w:pos="8459"/>
              <w:tab w:val="right" w:pos="9026" w:leader="dot"/>
            </w:tabs>
            <w:rPr/>
          </w:pPr>
          <w:hyperlink w:anchor="__RefHeading___Toc3920784_3650668749">
            <w:r>
              <w:rPr>
                <w:webHidden/>
                <w:rStyle w:val="IndexLink"/>
                <w:rtl w:val="true"/>
              </w:rPr>
              <w:t>الشبهة الثامنة</w:t>
            </w:r>
            <w:r>
              <w:rPr>
                <w:rStyle w:val="IndexLink"/>
                <w:rtl w:val="true"/>
              </w:rPr>
              <w:t xml:space="preserve">: </w:t>
            </w:r>
            <w:r>
              <w:rPr>
                <w:rStyle w:val="IndexLink"/>
                <w:rtl w:val="true"/>
              </w:rPr>
              <w:t>علم الإمام بالغيب وإشكالية الإلقاء بالتهلكة</w:t>
            </w:r>
            <w:r>
              <w:rPr>
                <w:rStyle w:val="IndexLink"/>
                <w:rtl w:val="true"/>
              </w:rPr>
              <w:tab/>
            </w:r>
            <w:r>
              <w:rPr>
                <w:rStyle w:val="IndexLink"/>
              </w:rPr>
              <w:t>168</w:t>
            </w:r>
          </w:hyperlink>
        </w:p>
        <w:p>
          <w:pPr>
            <w:pStyle w:val="Contents3"/>
            <w:tabs>
              <w:tab w:val="clear" w:pos="8459"/>
              <w:tab w:val="right" w:pos="9026" w:leader="dot"/>
            </w:tabs>
            <w:rPr/>
          </w:pPr>
          <w:hyperlink w:anchor="__RefHeading___Toc3920786_3650668749">
            <w:r>
              <w:rPr>
                <w:webHidden/>
                <w:rStyle w:val="IndexLink"/>
                <w:rtl w:val="true"/>
              </w:rPr>
              <w:t>الشبهة التاسعة</w:t>
            </w:r>
            <w:r>
              <w:rPr>
                <w:rStyle w:val="IndexLink"/>
                <w:rtl w:val="true"/>
              </w:rPr>
              <w:t xml:space="preserve">: </w:t>
            </w:r>
            <w:r>
              <w:rPr>
                <w:rStyle w:val="IndexLink"/>
                <w:rtl w:val="true"/>
              </w:rPr>
              <w:t>زيارة الأربعين بِدعة</w:t>
            </w:r>
            <w:r>
              <w:rPr>
                <w:rStyle w:val="IndexLink"/>
                <w:rtl w:val="true"/>
              </w:rPr>
              <w:tab/>
            </w:r>
            <w:r>
              <w:rPr>
                <w:rStyle w:val="IndexLink"/>
              </w:rPr>
              <w:t>172</w:t>
            </w:r>
          </w:hyperlink>
        </w:p>
        <w:p>
          <w:pPr>
            <w:pStyle w:val="Contents3"/>
            <w:tabs>
              <w:tab w:val="clear" w:pos="8459"/>
              <w:tab w:val="right" w:pos="9026" w:leader="dot"/>
            </w:tabs>
            <w:rPr/>
          </w:pPr>
          <w:hyperlink w:anchor="__RefHeading___Toc3920788_3650668749">
            <w:r>
              <w:rPr>
                <w:webHidden/>
                <w:rStyle w:val="IndexLink"/>
                <w:rtl w:val="true"/>
              </w:rPr>
              <w:t>الشُبهة العاشرة</w:t>
            </w:r>
            <w:r>
              <w:rPr>
                <w:rStyle w:val="IndexLink"/>
                <w:rtl w:val="true"/>
              </w:rPr>
              <w:t xml:space="preserve">: </w:t>
            </w:r>
            <w:r>
              <w:rPr>
                <w:rStyle w:val="IndexLink"/>
                <w:rtl w:val="true"/>
              </w:rPr>
              <w:t>عدم وجود مصادر تاريخية لواقعة عاشوراء</w:t>
            </w:r>
            <w:r>
              <w:rPr>
                <w:rStyle w:val="IndexLink"/>
                <w:rtl w:val="true"/>
              </w:rPr>
              <w:tab/>
            </w:r>
            <w:r>
              <w:rPr>
                <w:rStyle w:val="IndexLink"/>
              </w:rPr>
              <w:t>176</w:t>
            </w:r>
          </w:hyperlink>
        </w:p>
        <w:p>
          <w:pPr>
            <w:pStyle w:val="Contents3"/>
            <w:tabs>
              <w:tab w:val="clear" w:pos="8459"/>
              <w:tab w:val="right" w:pos="9026" w:leader="dot"/>
            </w:tabs>
            <w:rPr/>
          </w:pPr>
          <w:hyperlink w:anchor="__RefHeading___Toc3920790_3650668749">
            <w:r>
              <w:rPr>
                <w:webHidden/>
                <w:rStyle w:val="IndexLink"/>
                <w:rtl w:val="true"/>
              </w:rPr>
              <w:t>الشبهة الحادية عشر</w:t>
            </w:r>
            <w:r>
              <w:rPr>
                <w:rStyle w:val="IndexLink"/>
                <w:rtl w:val="true"/>
              </w:rPr>
              <w:t xml:space="preserve">: </w:t>
            </w:r>
            <w:r>
              <w:rPr>
                <w:rStyle w:val="IndexLink"/>
                <w:rtl w:val="true"/>
              </w:rPr>
              <w:t>لا دليل على لبس السواد في عاشوراء</w:t>
            </w:r>
            <w:r>
              <w:rPr>
                <w:rStyle w:val="IndexLink"/>
                <w:rtl w:val="true"/>
              </w:rPr>
              <w:tab/>
            </w:r>
            <w:r>
              <w:rPr>
                <w:rStyle w:val="IndexLink"/>
              </w:rPr>
              <w:t>182</w:t>
            </w:r>
          </w:hyperlink>
        </w:p>
        <w:p>
          <w:pPr>
            <w:pStyle w:val="Contents3"/>
            <w:tabs>
              <w:tab w:val="clear" w:pos="8459"/>
              <w:tab w:val="right" w:pos="9026" w:leader="dot"/>
            </w:tabs>
            <w:rPr/>
          </w:pPr>
          <w:hyperlink w:anchor="__RefHeading___Toc3920792_3650668749">
            <w:r>
              <w:rPr>
                <w:webHidden/>
                <w:rStyle w:val="IndexLink"/>
                <w:rtl w:val="true"/>
              </w:rPr>
              <w:t>خلاصة الفصل الثالث</w:t>
            </w:r>
            <w:r>
              <w:rPr>
                <w:rStyle w:val="IndexLink"/>
                <w:rtl w:val="true"/>
              </w:rPr>
              <w:tab/>
            </w:r>
            <w:r>
              <w:rPr>
                <w:rStyle w:val="IndexLink"/>
              </w:rPr>
              <w:t>186</w:t>
            </w:r>
          </w:hyperlink>
        </w:p>
        <w:p>
          <w:pPr>
            <w:pStyle w:val="Contents2"/>
            <w:tabs>
              <w:tab w:val="clear" w:pos="8743"/>
              <w:tab w:val="right" w:pos="9026" w:leader="dot"/>
            </w:tabs>
            <w:rPr/>
          </w:pPr>
          <w:hyperlink w:anchor="__RefHeading___Toc3920794_3650668749">
            <w:r>
              <w:rPr>
                <w:webHidden/>
                <w:rStyle w:val="IndexLink"/>
                <w:rtl w:val="true"/>
              </w:rPr>
              <w:t>المصادر</w:t>
            </w:r>
            <w:r>
              <w:rPr>
                <w:rStyle w:val="IndexLink"/>
                <w:rtl w:val="true"/>
              </w:rPr>
              <w:tab/>
            </w:r>
            <w:r>
              <w:rPr>
                <w:rStyle w:val="IndexLink"/>
              </w:rPr>
              <w:t>194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4_19530"/>
      <w:bookmarkStart w:id="1" w:name="pg1994_19530"/>
      <w:bookmarkEnd w:id="1"/>
    </w:p>
    <w:p>
      <w:pPr>
        <w:pStyle w:val="Heading2"/>
        <w:numPr>
          <w:ilvl w:val="1"/>
          <w:numId w:val="1"/>
        </w:numPr>
        <w:rPr/>
      </w:pPr>
      <w:bookmarkStart w:id="2" w:name="pg1994_19530"/>
      <w:bookmarkStart w:id="3" w:name="__RefHeading___Toc3920486_3650668749"/>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علي حمود عناد</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اجوبة الشبهات حول شعايرالحسيني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علي‌حمود العبادي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شعاير و مراسم مذهبي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۳۰۲۳۰</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20488_365066874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94_19537"/>
      <w:bookmarkStart w:id="8" w:name="pg1994_19537"/>
      <w:bookmarkEnd w:id="8"/>
    </w:p>
    <w:p>
      <w:pPr>
        <w:pStyle w:val="Heading2"/>
        <w:numPr>
          <w:ilvl w:val="1"/>
          <w:numId w:val="1"/>
        </w:numPr>
        <w:rPr/>
      </w:pPr>
      <w:bookmarkStart w:id="9" w:name="pg1994_19537"/>
      <w:bookmarkStart w:id="10" w:name="__RefHeading___Toc3920490_3650668749"/>
      <w:bookmarkStart w:id="11" w:name="_Toc3"/>
      <w:bookmarkEnd w:id="9"/>
      <w:bookmarkEnd w:id="10"/>
      <w:r>
        <w:rPr>
          <w:rtl w:val="true"/>
        </w:rPr>
        <w:t>كلمة المعهد</w:t>
      </w:r>
      <w:bookmarkEnd w:id="11"/>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حسين مني و أنا من حسين أحبَّ الله من أحبَّ حُسيناً</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ستبقى دائماً ثورة الإمام أبي عبدالله الحسين عاملاً للقيام ضد الظالمين و الجائرين على طول التاريخ، و ضامناً لبقاء الإسلام؛ لما لها من دور أساسي في بناء و تحريك الثورات في العالم المعاصر، و بالخصوص الثورة الإسلامية الإيرانية التي باتت غير خفية على أحدٍ من العالمين؛ و لهذا السبب صارت مورد هجوم الأعداء الظالمين و حكّام الجور الذين تسلطوا على رقاب الأمة بواسطة وعاظ السلاطين المتحكمين بمصير الأمة، ووجّهوا أفكارهم المعادية، وشبهاتهم الواهية وافترائاتهم الكاذبة حول 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هذه الجهة تطلب الأمر الإجابة عن هذه الشبهات وعرضها على المجتمع الإسلامي وقد قام الأستاذ علي حمود العبادي، بأجوبة محققة ودامغة لإبطال و دحض ما افترى به حول واقعة عاشوراء، يضيء بها مشعل الهداية لطلاب الحق ومريديه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الختام لم يبق لنا الاّ أنْ نتقدم له بالشكر الجزيل لما بذله من جهود مَضنية وجبّارة في هذا المسار ونرجوله من العلي القدير أنْ يُوفّقه لما يحب ويرضى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ولي التوفيق</w:t>
      </w:r>
    </w:p>
    <w:p>
      <w:pPr>
        <w:pStyle w:val="BookText"/>
        <w:rPr/>
      </w:pPr>
      <w:r>
        <w:rPr>
          <w:rFonts w:ascii="Amiri" w:hAnsi="Amiri" w:eastAsia="Amiri" w:cs="Amiri"/>
          <w:color w:val="111111"/>
          <w:sz w:val="28"/>
          <w:sz w:val="28"/>
          <w:szCs w:val="28"/>
          <w:rtl w:val="true"/>
          <w:lang w:bidi="ar-SA"/>
        </w:rPr>
        <w:t>معهد الحج والزيارة</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الكلام والمعارف الإسلاميه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94_19541"/>
      <w:bookmarkStart w:id="13" w:name="pg1994_19541"/>
      <w:bookmarkEnd w:id="13"/>
    </w:p>
    <w:p>
      <w:pPr>
        <w:pStyle w:val="Heading2"/>
        <w:numPr>
          <w:ilvl w:val="1"/>
          <w:numId w:val="1"/>
        </w:numPr>
        <w:rPr/>
      </w:pPr>
      <w:bookmarkStart w:id="14" w:name="pg1994_19541"/>
      <w:bookmarkStart w:id="15" w:name="__RefHeading___Toc3920492_3650668749"/>
      <w:bookmarkStart w:id="16" w:name="_Toc4"/>
      <w:bookmarkEnd w:id="14"/>
      <w:bookmarkEnd w:id="15"/>
      <w:r>
        <w:rPr>
          <w:rtl w:val="true"/>
        </w:rPr>
        <w:t>تقديم</w:t>
      </w:r>
      <w:bookmarkEnd w:id="16"/>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 أُولئِكَ هُمْ أُولُوا الأَلْبابِ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بادئ ذي بِدء نقول إنَّ للشعائر الحسينية أدواراً كبيرةً مُهمَّة في بناء المجتمع الإسلامي والانساني لا يمكن الوقوف عليها في هذه العُجالة، فهي ليست ضرباً من الانكسار النفسي كما يُصوِّرها البعض، ولا هي مجرَّد تقاليد اجتماعية فارغة من الأفكار والمفاهيم الرسالية، كما أنَّها ليست سلوكاً سلبياً خالياً من الأهداف والنتائج التي تُسهم في تغيير المجتمع، بل هي تحمل في طيّاتها الأهداف العظيمة والكبيرة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الأهداف العظيمة هو كون الشعائر الحسينية تعدّ ممارسة إعلامية تُساهم في إعلاء كلمة الحق وإبقاء المذهب، والدعوة إلى مكافحة الظلم والجور في كل عصر من الأعصار، فضلاً عمّا تخلقه من ارتباط وحب عاطفي مع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يشكِّل القاعدة التحتية لبناء الفكر السليم عند الإنسان المؤمن، وبناء أساس عقائدي متين يستند عليه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لها من الدور الكبير في خلق عامل وحدوي؛ من خلال </w:t>
      </w:r>
      <w:bookmarkStart w:id="17" w:name="pg1994_19543"/>
    </w:p>
    <w:p>
      <w:pPr>
        <w:pStyle w:val="BookText"/>
        <w:rPr/>
      </w:pPr>
      <w:bookmarkEnd w:id="17"/>
      <w:r>
        <w:rPr>
          <w:rFonts w:ascii="Amiri" w:hAnsi="Amiri" w:eastAsia="Amiri" w:cs="Amiri"/>
          <w:color w:val="111111"/>
          <w:sz w:val="28"/>
          <w:sz w:val="28"/>
          <w:szCs w:val="28"/>
          <w:rtl w:val="true"/>
          <w:lang w:bidi="ar-SA"/>
        </w:rPr>
        <w:t xml:space="preserve">المشاركة الجماهيرية في المواساة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ما نلمسه في نصوص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الطافحة في التأكيد على هذا المعنى بصورة واضحة، من خلال الحثّ على المواساة والحُزن في مصابهم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كانت هذه الشعائر تُمثِّل أحد الأعمدة التي يقوم عليها المذهب، جنباً إلى جنب مع المرجعية التي تمثِّل الإدارة والعقل الموجِّه، في حين أنَّ الشعائر تمثِّل العنصر الجامع والموحِّد بين أبناء المذهب، على اختلاف جنسياتهم وقومياتهم</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3920494_3650668749"/>
      <w:bookmarkStart w:id="19" w:name="_Toc5"/>
      <w:bookmarkEnd w:id="18"/>
      <w:r>
        <w:rPr>
          <w:rtl w:val="true"/>
        </w:rPr>
        <w:t>سِرُّ القوَّة فى تأثير الشعائر الحسينية</w:t>
      </w:r>
      <w:bookmarkEnd w:id="19"/>
    </w:p>
    <w:p>
      <w:pPr>
        <w:pStyle w:val="BookText"/>
        <w:rPr/>
      </w:pPr>
      <w:r>
        <w:rPr>
          <w:rFonts w:ascii="Amiri" w:hAnsi="Amiri" w:eastAsia="Amiri" w:cs="Amiri"/>
          <w:color w:val="111111"/>
          <w:sz w:val="28"/>
          <w:sz w:val="28"/>
          <w:szCs w:val="28"/>
          <w:rtl w:val="true"/>
          <w:lang w:bidi="ar-SA"/>
        </w:rPr>
        <w:t>لا يخفى أنَّ سر القوة في تأثير الشعائر الحسينية هو أنَّ الشعائر حينما تتحوّل إلى مُتبنيّات لدى الإنسان، وتكون جزءاً من شخصيته؛ تصبح عنده عملية المساس بها مساساً لشخصيته، وحينما تكون هذه الأفكار مستوحاة من الرسالة؛ يكون الانتصار لها والدفاع عنها انتصاراً ودفاعاً عن شخصيته الرسالية وتأكيداً لها، لا أنْ يكون ذلك تأكيداً لذاتيته وأنانيته؛ وبذلك يهتز الإنسان بكل مشاعره متى ما مُسّت رسالته وأهدافه؛ وبذلك يتحوّل هذا الإحساس المُرهف إلى رصيدٍ رسالي يصون الرسالة و رجالها وأهدافها من كل عدو</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جانب، ومن جانب آخر فإنَّ لغة المشاعر يفهمها ويحياها الناس كافة، بمختلف طوائفهم ومستوياتهم، وبذلك تتوفر أهمّ ركيزتين أساسيتين لعملية بناء المشاعر بناءً رسالياً؛ من خلال تعميق الجانب النوعي من الإحساس والشعور، وتكتيل الجانب الكمّي لذوي الإحساس، وهذا هو سر القوة في عملية إثارة المشاعر</w:t>
      </w:r>
      <w:r>
        <w:rPr>
          <w:rFonts w:eastAsia="Amiri" w:cs="Amiri" w:ascii="Amiri" w:hAnsi="Amiri"/>
          <w:color w:val="111111"/>
          <w:sz w:val="28"/>
          <w:szCs w:val="28"/>
          <w:rtl w:val="true"/>
          <w:lang w:bidi="ar-SA"/>
        </w:rPr>
        <w:t xml:space="preserve">. </w:t>
      </w:r>
      <w:bookmarkStart w:id="20" w:name="pg1994_19545"/>
    </w:p>
    <w:p>
      <w:pPr>
        <w:pStyle w:val="BookText"/>
        <w:rPr/>
      </w:pPr>
      <w:bookmarkEnd w:id="20"/>
      <w:r>
        <w:rPr>
          <w:rFonts w:ascii="Amiri" w:hAnsi="Amiri" w:eastAsia="Amiri" w:cs="Amiri"/>
          <w:color w:val="111111"/>
          <w:sz w:val="28"/>
          <w:sz w:val="28"/>
          <w:szCs w:val="28"/>
          <w:rtl w:val="true"/>
          <w:lang w:bidi="ar-SA"/>
        </w:rPr>
        <w:t>ومن هذا المنطلق نفهم مغزى تلك الروايات المكثَّفة التي أشارت إلى ضرورة الالتزام ودوام هذه الشعائر في الوسط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تنبثق أهميّة البحث في هذه الشعائر والدفاع عنها، لأنَّ هناك الكثير من الأقاويل والإثارات والتُهم على الشيعة، من دون تمحيص وعلم، منذ القديم وحتى الآن، ومن دون أن يُكلّف المشغفون أنفسهم عناء الفهم والإصغاء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غرابة أن يقتفي الخَلَف آثار السلف ما دام الأمر يتعلَّق بالشيعة؛ ذلك لأنَّ كل شيء تطوّر إلاّ الكتابة عن الشيعة، ولكل شيءٍ نهاية إلاّ الافتراء على الشيعة، ولكل حكم مصدره ودليله إلاّ التُهم على الشيعة</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3920496_3650668749"/>
      <w:bookmarkStart w:id="22" w:name="_Toc6"/>
      <w:bookmarkEnd w:id="21"/>
      <w:r>
        <w:rPr>
          <w:rtl w:val="true"/>
        </w:rPr>
        <w:t>منهج البحث</w:t>
      </w:r>
      <w:bookmarkEnd w:id="22"/>
    </w:p>
    <w:p>
      <w:pPr>
        <w:pStyle w:val="BookText"/>
        <w:rPr/>
      </w:pPr>
      <w:r>
        <w:rPr>
          <w:rFonts w:ascii="Amiri" w:hAnsi="Amiri" w:eastAsia="Amiri" w:cs="Amiri"/>
          <w:color w:val="111111"/>
          <w:sz w:val="28"/>
          <w:sz w:val="28"/>
          <w:szCs w:val="28"/>
          <w:rtl w:val="true"/>
          <w:lang w:bidi="ar-SA"/>
        </w:rPr>
        <w:t>التزمتُ في هذا البحث منهجاً تبدو معالمه من خلال النقاط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الاستناد على النصوص القرآنية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الاستناد على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الاستناد على روايات أهل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الاستناد والاستشهاد بأقوال علماء الفريقين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حرصت على الإفادة من المصادر والمراجع القديمة لأصالتها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خرَّجت الأحاديث الواردة من مصادر العامّة من المصادر الأساسية المُعتمَدة لديهم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التزمت بأنْ لا أنسب أيّ قول من أقوال علماء الفريقين إلاّ من خلال الكتب المُعتبرَة والموثَّقة لدى كل طرف</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994_19548"/>
      <w:bookmarkStart w:id="24" w:name="pg1994_19548"/>
      <w:bookmarkEnd w:id="24"/>
    </w:p>
    <w:p>
      <w:pPr>
        <w:pStyle w:val="Heading2"/>
        <w:numPr>
          <w:ilvl w:val="1"/>
          <w:numId w:val="1"/>
        </w:numPr>
        <w:rPr/>
      </w:pPr>
      <w:bookmarkStart w:id="25" w:name="pg1994_19548"/>
      <w:bookmarkStart w:id="26" w:name="__RefHeading___Toc3920498_3650668749"/>
      <w:bookmarkStart w:id="27" w:name="_Toc7"/>
      <w:bookmarkEnd w:id="25"/>
      <w:bookmarkEnd w:id="26"/>
      <w:r>
        <w:rPr>
          <w:rtl w:val="true"/>
        </w:rPr>
        <w:t>الإهداء</w:t>
      </w:r>
      <w:bookmarkEnd w:id="27"/>
    </w:p>
    <w:p>
      <w:pPr>
        <w:pStyle w:val="BookText"/>
        <w:rPr/>
      </w:pPr>
      <w:r>
        <w:rPr>
          <w:rFonts w:ascii="Amiri" w:hAnsi="Amiri" w:eastAsia="Amiri" w:cs="Amiri"/>
          <w:color w:val="111111"/>
          <w:sz w:val="28"/>
          <w:sz w:val="28"/>
          <w:szCs w:val="28"/>
          <w:rtl w:val="true"/>
          <w:lang w:bidi="ar-SA"/>
        </w:rPr>
        <w:t xml:space="preserve">أسأل الله تعالى أن يتقبَّل منّي هذه البضاعة المُزجاة بأفضل القبول، متضرّعاً إليه أن يرفع أجر هذا العمل إلى الأرواح الطاهرة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إلى سيدتي عقيلة الهاشميين، ولبوة الطالبين، شريكة أخيها الحسين في المصاب، العالمة غير المُعلَّمة، والفهمة غير المُفهَّمة؛ راجياً أن تكون موضع رضاهم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أُهدي ثواب هذا العمل إلى روح والدي، وأسأله تعالى أن يتغمَّده بفاضل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إلى الطفوف</w:t>
      </w:r>
    </w:p>
    <w:p>
      <w:pPr>
        <w:pStyle w:val="BookText"/>
        <w:rPr/>
      </w:pPr>
      <w:r>
        <w:rPr>
          <w:rFonts w:ascii="Amiri" w:hAnsi="Amiri" w:eastAsia="Amiri" w:cs="Amiri"/>
          <w:color w:val="111111"/>
          <w:sz w:val="28"/>
          <w:sz w:val="28"/>
          <w:szCs w:val="28"/>
          <w:rtl w:val="true"/>
          <w:lang w:bidi="ar-SA"/>
        </w:rPr>
        <w:t>هذا حُسينٌ طعمة السيوف</w:t>
      </w:r>
    </w:p>
    <w:p>
      <w:pPr>
        <w:pStyle w:val="BookText"/>
        <w:rPr/>
      </w:pPr>
      <w:r>
        <w:rPr>
          <w:rFonts w:ascii="Amiri" w:hAnsi="Amiri" w:eastAsia="Amiri" w:cs="Amiri"/>
          <w:color w:val="111111"/>
          <w:sz w:val="28"/>
          <w:sz w:val="28"/>
          <w:szCs w:val="28"/>
          <w:rtl w:val="true"/>
          <w:lang w:bidi="ar-SA"/>
        </w:rPr>
        <w:t>علي حمود عناد العبادي</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994_19552"/>
      <w:bookmarkStart w:id="29" w:name="pg1994_19552"/>
      <w:bookmarkEnd w:id="29"/>
    </w:p>
    <w:p>
      <w:pPr>
        <w:pStyle w:val="Heading2"/>
        <w:numPr>
          <w:ilvl w:val="1"/>
          <w:numId w:val="1"/>
        </w:numPr>
        <w:rPr/>
      </w:pPr>
      <w:bookmarkStart w:id="30" w:name="pg1994_19552"/>
      <w:bookmarkStart w:id="31" w:name="__RefHeading___Toc3920500_3650668749"/>
      <w:bookmarkStart w:id="32" w:name="_Toc8"/>
      <w:bookmarkEnd w:id="30"/>
      <w:bookmarkEnd w:id="31"/>
      <w:r>
        <w:rPr>
          <w:rtl w:val="true"/>
        </w:rPr>
        <w:t>الفصل الأوّل</w:t>
      </w:r>
      <w:r>
        <w:rPr>
          <w:rtl w:val="true"/>
        </w:rPr>
        <w:t xml:space="preserve">: </w:t>
      </w:r>
      <w:r>
        <w:rPr>
          <w:rtl w:val="true"/>
        </w:rPr>
        <w:t>الشعائر الحسينية وما يتعلق بالجواب عن الشبهات فيها بنحو كلي</w:t>
      </w:r>
      <w:bookmarkEnd w:id="32"/>
    </w:p>
    <w:p>
      <w:pPr>
        <w:pStyle w:val="Heading3"/>
        <w:numPr>
          <w:ilvl w:val="2"/>
          <w:numId w:val="1"/>
        </w:numPr>
        <w:rPr/>
      </w:pPr>
      <w:bookmarkStart w:id="33" w:name="__RefHeading___Toc3920502_3650668749"/>
      <w:bookmarkStart w:id="34" w:name="_Toc9"/>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الحسينية بدعة</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تبدّل دين الله في المعنى العرفي للشعائر</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الفرح بشهادة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البكاء والجزع</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على الميّت تعذيب</w:t>
      </w:r>
    </w:p>
    <w:p>
      <w:pPr>
        <w:pStyle w:val="BookText"/>
        <w:rPr/>
      </w:pPr>
      <w:r>
        <w:rPr>
          <w:rFonts w:ascii="Amiri" w:hAnsi="Amiri" w:eastAsia="Amiri" w:cs="Amiri"/>
          <w:color w:val="111111"/>
          <w:sz w:val="28"/>
          <w:sz w:val="28"/>
          <w:szCs w:val="28"/>
          <w:rtl w:val="true"/>
          <w:lang w:bidi="ar-SA"/>
        </w:rPr>
        <w:t>وبدعة</w:t>
      </w:r>
    </w:p>
    <w:p>
      <w:pPr>
        <w:pStyle w:val="BookText"/>
        <w:rPr/>
      </w:pP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البكاء يرفضها العقل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لعدم معقوليّة ثوابها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994_19556"/>
      <w:bookmarkStart w:id="36" w:name="pg1994_19556"/>
      <w:bookmarkEnd w:id="36"/>
    </w:p>
    <w:p>
      <w:pPr>
        <w:pStyle w:val="Heading3"/>
        <w:numPr>
          <w:ilvl w:val="2"/>
          <w:numId w:val="1"/>
        </w:numPr>
        <w:rPr/>
      </w:pPr>
      <w:bookmarkStart w:id="37" w:name="pg1994_19556"/>
      <w:bookmarkStart w:id="38" w:name="__RefHeading___Toc3920504_3650668749"/>
      <w:bookmarkStart w:id="39" w:name="_Toc10"/>
      <w:bookmarkEnd w:id="37"/>
      <w:bookmarkEnd w:id="38"/>
      <w:r>
        <w:rPr>
          <w:rtl w:val="true"/>
        </w:rPr>
        <w:t>الشُبهة الاُولى</w:t>
      </w:r>
      <w:r>
        <w:rPr>
          <w:rtl w:val="true"/>
        </w:rPr>
        <w:t xml:space="preserve">: </w:t>
      </w:r>
      <w:r>
        <w:rPr>
          <w:rtl w:val="true"/>
        </w:rPr>
        <w:t>الشعائر الحسينية بِدعة</w:t>
      </w:r>
      <w:bookmarkEnd w:id="39"/>
    </w:p>
    <w:p>
      <w:pPr>
        <w:pStyle w:val="Heading4"/>
        <w:numPr>
          <w:ilvl w:val="3"/>
          <w:numId w:val="1"/>
        </w:numPr>
        <w:rPr/>
      </w:pPr>
      <w:bookmarkStart w:id="40" w:name="__RefHeading___Toc3920506_3650668749"/>
      <w:bookmarkStart w:id="41" w:name="_Toc11"/>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تفصيل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معتقدات المذهب الوهابي وأتباع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إقامة مجالس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سيما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بدعوى أنَّ ذلك من الشرك والبدعة، ومخالفة للشرع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بذل ابن تيمية قصارى جُهده للوقوف بوجه العقائد الشيعية وتفنيدها؛ وذلك عن طريق تفسير بعض الآيات ونقل جملة من الروايات، ثُمَّ جاء من بعده تلميذه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فنشر آراءه وزاد من الدفاع عنها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 في هدى خير العباد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حماقاتهم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المآتم والنياحة على مَن قُتل من سنين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المقتول وغيره من الموتى؛ إذا فعل مثل ذلك بهم عقب موتهم، كان ذلك ممّا حرَّمه الله ورسوله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وهؤلاء الشيعة يأتون من لطم الخدود وشقّ الجيوب، ودعوى الجاهلية وغير ذلك من المنكرات، بعد موت الميت بسنين كثيرة؛ ما لو فعلوه عقب موته لكان ذلك من أعظم المنكرات التي حرَّمها الله ورسوله، فكيف بعد هذه المدة الطويلة</w:t>
      </w:r>
      <w:r>
        <w:rPr>
          <w:rFonts w:eastAsia="Amiri" w:cs="Amiri" w:ascii="Amiri" w:hAnsi="Amiri"/>
          <w:color w:val="111111"/>
          <w:sz w:val="28"/>
          <w:szCs w:val="28"/>
          <w:rtl w:val="true"/>
          <w:lang w:bidi="ar-SA"/>
        </w:rPr>
        <w:t xml:space="preserve">. . . </w:t>
      </w:r>
      <w:bookmarkStart w:id="42" w:name="pg1994_19558"/>
    </w:p>
    <w:p>
      <w:pPr>
        <w:pStyle w:val="BookText"/>
        <w:rPr/>
      </w:pPr>
      <w:bookmarkEnd w:id="42"/>
      <w:r>
        <w:rPr>
          <w:rFonts w:ascii="Amiri" w:hAnsi="Amiri" w:eastAsia="Amiri" w:cs="Amiri"/>
          <w:color w:val="111111"/>
          <w:sz w:val="28"/>
          <w:sz w:val="28"/>
          <w:szCs w:val="28"/>
          <w:rtl w:val="true"/>
          <w:lang w:bidi="ar-SA"/>
        </w:rPr>
        <w:t>ومن المعلوم أنّه قد قُتل من الأنبياء وغير الأنبياء ظلماً وعدواناً مَن هو أفضل من الحسين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حديث عاشوراء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وأقبح من ذلك وأعظم ماتفعله الرافضة من اتّخاذه مأتماً يُقرأ فيه المصرع، وينشد فيه قصائد النياحة</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هؤلاء الشيعة وغيرهم يحكون عن فاطمة من حزنها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يُوصَف، وإنَّها بنت بيت الأحزان، ولا يجعلون ذلك ذمّاً لها، مع أنَّه حزن على أمرٍ فائت 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إنَّما حزن عليه في حياته خوف أن يُقتَل، وهو حزن يتضمَّن الاحتراس، ولهذا لمَّا مات لم يحزن هذا الحزن؛ لأنَّه لافائدة فيه</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 الشُبهة</w:t>
      </w:r>
    </w:p>
    <w:p>
      <w:pPr>
        <w:pStyle w:val="BookText"/>
        <w:rPr/>
      </w:pPr>
      <w:r>
        <w:rPr>
          <w:rFonts w:ascii="Amiri" w:hAnsi="Amiri" w:eastAsia="Amiri" w:cs="Amiri"/>
          <w:color w:val="111111"/>
          <w:sz w:val="28"/>
          <w:sz w:val="28"/>
          <w:szCs w:val="28"/>
          <w:rtl w:val="true"/>
          <w:lang w:bidi="ar-SA"/>
        </w:rPr>
        <w:t>قبل الورود في الإجابة على الشُبهة، ينبغي البحث في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معنى الشعائر لغة؛</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أنَّ الشعائر ليس لها حقيقة شرعية، وأنَّها باقية على المعنى اللغوي؛</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الاستدلال على أنَّ شعائر الله لها حقيقة شرعية؛</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البِدعة؛</w:t>
      </w:r>
    </w:p>
    <w:p>
      <w:pPr>
        <w:pStyle w:val="Heading4"/>
        <w:numPr>
          <w:ilvl w:val="3"/>
          <w:numId w:val="1"/>
        </w:numPr>
        <w:rPr/>
      </w:pPr>
      <w:bookmarkStart w:id="43" w:name="__RefHeading___Toc3920508_3650668749"/>
      <w:bookmarkStart w:id="44" w:name="_Toc12"/>
      <w:bookmarkEnd w:id="43"/>
      <w:r>
        <w:rPr>
          <w:rtl w:val="true"/>
        </w:rPr>
        <w:t>الأمر الأوَّل</w:t>
      </w:r>
      <w:r>
        <w:rPr>
          <w:rtl w:val="true"/>
        </w:rPr>
        <w:t xml:space="preserve">: </w:t>
      </w:r>
      <w:r>
        <w:rPr>
          <w:rtl w:val="true"/>
        </w:rPr>
        <w:t>البحث في معنى الشعائر لغة</w:t>
      </w:r>
      <w:bookmarkEnd w:id="4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عِلْم عَلَم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يتنادى به </w:t>
      </w:r>
    </w:p>
    <w:p>
      <w:pPr>
        <w:pStyle w:val="BookText"/>
        <w:rPr/>
      </w:pPr>
      <w:r>
        <w:rPr>
          <w:rFonts w:ascii="Amiri" w:hAnsi="Amiri" w:eastAsia="Amiri" w:cs="Amiri"/>
          <w:color w:val="111111"/>
          <w:sz w:val="28"/>
          <w:sz w:val="28"/>
          <w:szCs w:val="28"/>
          <w:rtl w:val="true"/>
          <w:lang w:bidi="ar-SA"/>
        </w:rPr>
        <w:t>القوم في الحرب ليعرف بعضهم بعضاً، والأصل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شعرت بالشيء، إذا علمته وفطنت له، وليت شعري،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علمت</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بن عبدالقادر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الحج وكل ما جُعل علماً لطاعة الله تعالى</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ابن منظور في لسانه عن الزجاج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بها جميع متعبّدات الله التي أشعرها الله، أي جعلها أعلاماً لنا، وهي كل ما كان من موقف أو مسعى أو 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قيل شعائر لكل عَلَم ممّا تعبّد به؛ لأنَّ قولهم شعرت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علمته، فلهذا سُمّيت الأعلام التي هي متعبدات الله تعالى شعائر</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الشعائر المعالم</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من كلمات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ممّا تقدَّم أنَّ المعاجم اللغوية تلتقي على معنى مشترك للشعائر، وهو العلامية، أي أنَّ معنى الشعيرة هو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استعمل هذا المعنى في الشعائر المنتسبة إلى الله تعالى، كما هو واضح ممّا تقدَّم من استعمال لفظ الشعيرة في كل ما اتُّخذ شعاراً للدين وعلامة ومَعْلماً من معالم الشريعة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يمكن تعميم عنوان الشعائر لتشمل كلّ من الملائكة والأنبياء والأئمّة، والكتب السماوية وكتب الأحاديث والمساجد، </w:t>
      </w:r>
      <w:bookmarkStart w:id="45" w:name="pg1994_19562"/>
    </w:p>
    <w:p>
      <w:pPr>
        <w:pStyle w:val="BookText"/>
        <w:rPr/>
      </w:pPr>
      <w:bookmarkEnd w:id="45"/>
      <w:r>
        <w:rPr>
          <w:rFonts w:ascii="Amiri" w:hAnsi="Amiri" w:eastAsia="Amiri" w:cs="Amiri"/>
          <w:color w:val="111111"/>
          <w:sz w:val="28"/>
          <w:sz w:val="28"/>
          <w:szCs w:val="28"/>
          <w:rtl w:val="true"/>
          <w:lang w:bidi="ar-SA"/>
        </w:rPr>
        <w:t>والأولياء الشهداء والعلماء والفقهاء الكبار ومشاهدهم؛ لأنَّها من أعلام الهُدى وعلامات دين الله ومتعبّدات أوامره وشرايعه</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3920510_3650668749"/>
      <w:bookmarkStart w:id="47" w:name="_Toc13"/>
      <w:bookmarkEnd w:id="46"/>
      <w:r>
        <w:rPr>
          <w:rtl w:val="true"/>
        </w:rPr>
        <w:t>الأمر الثاني</w:t>
      </w:r>
      <w:r>
        <w:rPr>
          <w:rtl w:val="true"/>
        </w:rPr>
        <w:t xml:space="preserve">: </w:t>
      </w:r>
      <w:r>
        <w:rPr>
          <w:rtl w:val="true"/>
        </w:rPr>
        <w:t>الاستدلال على أنَّ شعائر الله ليست لها حقيقة شرعية</w:t>
      </w:r>
      <w:bookmarkEnd w:id="47"/>
    </w:p>
    <w:p>
      <w:pPr>
        <w:pStyle w:val="Heading5"/>
        <w:numPr>
          <w:ilvl w:val="4"/>
          <w:numId w:val="1"/>
        </w:numPr>
        <w:rPr/>
      </w:pPr>
      <w:bookmarkStart w:id="48" w:name="__RefHeading___Toc3920512_3650668749"/>
      <w:bookmarkStart w:id="49" w:name="_Toc14"/>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لكي يتضح أنَّ شعائر الله تعالى ليست لها حقيقة شرعية، لابدّ من إعطاء لمحة إجمالية عن الحقيقة الشرعية</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3920514_3650668749"/>
      <w:bookmarkStart w:id="51" w:name="_Toc15"/>
      <w:bookmarkEnd w:id="50"/>
      <w:r>
        <w:rPr>
          <w:rtl w:val="true"/>
        </w:rPr>
        <w:t>لمحة إجمالية في معنى الحقيقة الشرعية</w:t>
      </w:r>
      <w:bookmarkEnd w:id="51"/>
    </w:p>
    <w:p>
      <w:pPr>
        <w:pStyle w:val="BookText"/>
        <w:rPr/>
      </w:pPr>
      <w:r>
        <w:rPr>
          <w:rFonts w:ascii="Amiri" w:hAnsi="Amiri" w:eastAsia="Amiri" w:cs="Amiri"/>
          <w:color w:val="111111"/>
          <w:sz w:val="28"/>
          <w:sz w:val="28"/>
          <w:szCs w:val="28"/>
          <w:rtl w:val="true"/>
          <w:lang w:bidi="ar-SA"/>
        </w:rPr>
        <w:t>هنالك معان شرعية مُستحدَثة من قِبل الشارع، بمعنى أنَّ الشارع قد نقل ألفاظاً كانت موضوعة لغة في معانٍ معيّنة ووضعها في معنى خاص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نقل الشارع تلك الألفاظ من معانيها اللغوية ووضعها للمعاني الشرعية، على نحو الوضع التعييني أو التعيُّني؛ عند ذلك تثبت الحقيقة الشرعية لذلك المعنى، وإلاَّ فلا تثبت الحقيقة الشرعية، نعم تثبت الحقيقة المُتَشَرّعة، كما حصل ذلك النقل بعد عصر الشارع على لسان أتباعه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قبيل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موضوع لغة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استعملت في لسان الشارع في الواجب الخاص والفعل المعهود المشتمل على أجزاء وشرائط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نقل لفظ الصلاة ووضعه الشارع إلى هذا الواجب المعيّن، أو أنَّه لم يضع اللفظ للفعل الخاص، بل استعمله فيه مجازاً وبالقرينة؟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والثمرة من هذا النزاع تظهر في الألفاظ الواردة في كلام الشارع مجرَّدة عن القرينة، سواء كانت في القرآن الكريم أم السنة، فعلى القول بثبوت الحقيقة الشرعية، وأنَّ الشارع وضع اللفظ لمعنى معيَّن، فهنا يجب </w:t>
      </w:r>
      <w:bookmarkStart w:id="52" w:name="pg1994_19564"/>
    </w:p>
    <w:p>
      <w:pPr>
        <w:pStyle w:val="BookText"/>
        <w:rPr/>
      </w:pPr>
      <w:bookmarkEnd w:id="52"/>
      <w:r>
        <w:rPr>
          <w:rFonts w:ascii="Amiri" w:hAnsi="Amiri" w:eastAsia="Amiri" w:cs="Amiri"/>
          <w:color w:val="111111"/>
          <w:sz w:val="28"/>
          <w:sz w:val="28"/>
          <w:szCs w:val="28"/>
          <w:rtl w:val="true"/>
          <w:lang w:bidi="ar-SA"/>
        </w:rPr>
        <w:t>حمل الألفاظ على المعاني الشرعية، أمَّا على القول بعدم ثبوت الحقيقة الشرعية، فسوف تحمل الألفاظ الواردة في كلام الشارع والمجرَّدة عن القرينة على المعاني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يتضح أنَّ شعائر الله ليست لها حقيقة شرعية، لِما تقدّم من الأدلة المتقدّمة من أنَّ استعمال لفظ الشعائر في مناسك الحج لا يدلّ على وضع اللفظ لذلك المعنى؛ لأنَّ الاستعمال أعمّ من الحقيقة، كما حُرّر في محلّه في علم الأُصول، ولِما يأتي من مناقشة ما استدلّ به من أنَّ للشعائر حقيقة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فالشعائر باقية على حقيقتها اللغوية، وكل ما يصدق عليه عُرفاً أنَّه من معالم الله تعالى يدخل في شعائر الله تعالى، ومن ثَمَّ يكون داخلاً في عموم قوله تعالى وَ مَنْ يُعَظِّمْ شَعائِرَ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وعلى هذا فتكون شاملة لجميع ما يصدق عليه أنَّه من معالم دين الله وعلاماته، وكل ما اتُّخذ شعاراً للدين وعلامة للشريعة، فيشمل كل من الملائكة والأنبياء والأئمّة، والكتب السماوية وكتب الأحاديث، والمساجد والأولياء والشهداء والعلماء والفقهاء الكبار ومشاهدهم؛ لأنَّها من أعلام الهدى وعلامات دين الله، ومتعبدات أوامره وشرايعه</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3920516_3650668749"/>
      <w:bookmarkStart w:id="54" w:name="_Toc16"/>
      <w:bookmarkEnd w:id="53"/>
      <w:r>
        <w:rPr>
          <w:rtl w:val="true"/>
        </w:rPr>
        <w:t>أقوال العلماء في معنى الشعائر</w:t>
      </w:r>
      <w:bookmarkEnd w:id="54"/>
    </w:p>
    <w:p>
      <w:pPr>
        <w:pStyle w:val="Heading6"/>
        <w:numPr>
          <w:ilvl w:val="5"/>
          <w:numId w:val="1"/>
        </w:numPr>
        <w:rPr/>
      </w:pPr>
      <w:bookmarkStart w:id="55" w:name="__RefHeading___Toc3920518_3650668749"/>
      <w:bookmarkStart w:id="56" w:name="_Toc17"/>
      <w:bookmarkEnd w:id="55"/>
      <w:r>
        <w:rPr/>
        <w:t>١</w:t>
      </w:r>
      <w:r>
        <w:rPr>
          <w:rtl w:val="true"/>
        </w:rPr>
        <w:t xml:space="preserve">- </w:t>
      </w:r>
      <w:r>
        <w:rPr>
          <w:rtl w:val="true"/>
        </w:rPr>
        <w:t>أقوال علماء الشيعة في معنى الشعائر</w:t>
      </w:r>
      <w:bookmarkEnd w:id="5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جملة الأدلة عندنا على أنَّ الشعائر ليست لها حقيقة شرعية هو فهم الفقهاء القدماء والمتأخّرين، لا سيما القدماء منهم؛ نظراً إلى قربهم من عصر النص وتبادر مرتكزات عهد الشارع إلى أذهانهم، حيث فهموا من معنى شعائر الله المعنى اللغوي لها، وهو العلامة، واليك جملة من كلماتهم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يتبعها من الأذكار والعبادات، من شعائر الإسلام،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الكلمة وما يتبعها من شعائر الإسلام</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أفضل شعائر الإسلام، وأظهر معالم الإيمان</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الفرائض المفروضة على جميع الخلق، إنّما فرضها الله على أضعف الخلق قوة، مع ما خص أهل القوة على أداء الفرائض في أفضل الأوقات وأكمل الفرض، كما قال الله عزوجل وَ مَنْ يُعَظِّمْ شَعائِرَ اللَّهِ فَإِنَّها مِنْ تَقْوَى الْقُلُوبِ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المهاجرة عن بلد الشرك على مَن يضعف عن إظهار شعائر الإسلام، مع المكنة، والهجرة باقية ما دام الكفر باقياً</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علامة الحلى في الاستدلال لإثبات وجوب صلاة العيد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ولأنَّها من شعائر الدين الظاهرة وأعلامه، فتكون واجبة على الأعيان، كالجمعة</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مشروعة في الصلوات المفروضة اليومية، بغير خلاف بين العلماء كافة، وهي من جملة شعائر الإسلام وعلاماته</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تعظيم المؤمن بما جرت به عادة الزمان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لدلالة العمومات عليه،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مَنْ يُعَظِّمْ شَعائِرَ اللَّهِ فَإِنَّها مِنْ تَقْوَى الْقُلُوبِ ،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مَنْ يُعَظِّمْ حُرُماتِ اللَّهِ فَهُوَ خَيْرٌ لَهُ عِنْدَ رَبِّهِ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المُفسّرون على أنَّ المراد بالنداء الأذان، والنداء إلى الصلاة مشروع بل مرغوب فيه ومن شعائر الإسلام</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التعدّي على التربة الحسينية وتربة الشهداء والعلماء، وكثير من المحترمات؛ في الحكم بِحرمة إهانتها، واستحباب تعظيمها، وبأنَّ تعظيمها من قبيل تعظيم شعائر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والحاصل كل ما ثبت فيه جهة احترام من الشرع، جرى عليه الحكم، وإن لم يكن مطعوماً بالفعل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أنَّه لا فرق في عدم جواز الاستنجاء به بين الإزالة للنجاسة أو التطهير الشرعي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يفهم من كثير من الأصحاب، بل لم أعثر فيه على مخالف؛ جريان الحكم في كل محترم، كالتربة الحسينية وغيرها، وما كُتب اسم الله والأنبياء والأئمّة أو شيء من كتاب الله عليه، بل قد يُلحق به كتب الفقه والحديث ونحوها، بل قد يتمشى الحكم في المأخوذ من قبور الأئمّة، من تراب أو صدوق أو غيره، بل قد يلحق بذلك المأخوذ من قبور الشهداء والعلماء بقصد التبرّك والاستشفاء، دون ما لا يُقصَد؛ إذ </w:t>
      </w:r>
    </w:p>
    <w:p>
      <w:pPr>
        <w:pStyle w:val="BookText"/>
        <w:rPr/>
      </w:pPr>
      <w:r>
        <w:rPr>
          <w:rFonts w:ascii="Amiri" w:hAnsi="Amiri" w:eastAsia="Amiri" w:cs="Amiri"/>
          <w:color w:val="111111"/>
          <w:sz w:val="28"/>
          <w:sz w:val="28"/>
          <w:szCs w:val="28"/>
          <w:rtl w:val="true"/>
          <w:lang w:bidi="ar-SA"/>
        </w:rPr>
        <w:t>الأشياء منها ما ثبت وجوب احترامها من غير دخل للقصد فيه، ومنها ما لا يثبت له جهة الاحترام إلاّ بقصد أخذه متبركاً به أو مستشفياً به، ومنها ما يُؤخَذ من الإناء من طين كربلاء وغيرها، فإنَّه لا يجري عليه الحكم إلاّ إذا أُخذ بقصد الاستشفاء والتعظيم والتبرّك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ارتباط ذلك بالشعائر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عليك أنَّه لا يليق بالفقيه المُمارس لطريقة الشرع العارف للسانه أن يتطلب الدليل على كل شيء بخصوصه، من رواية خاصة ونحوها، بل يكتفي بالاستدلال على جميع ذلك بما دلَّ على تعظيم شعائر الله، وبظاهر طريقة الشرع المعلومة لدى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أنَّه يليق به أن يتطلب رواية على عدم جواز الاستنجاء بشيء من كتاب الله؟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الطباطبائي،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يُعَظِّمْ شَعائِرَ اللَّهِ فَإِنَّها مِنْ تَقْوَى الْقُلُوبِ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الشعائر هي العلامات الدالة، ولم يقيَّد بشيء، مثل الصفا والمروة وغير ذلك، فكل ما هو من شعائر الله وآياته وعلاماته المذكورة له فتعظيمه من تقوى الله، ويشمله جميع الآيات الآمرة بالتقوى</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 في نفس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دين الله، والأعلام التي نصبها لطاعته</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يُقيّدها بشيء مثل الصفا أو المروة أو غير ذلك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يتَّضح أنَّ المعنى الاصطلاحي للشعائر هو عين المعنى اللغوي، </w:t>
      </w:r>
      <w:bookmarkStart w:id="57" w:name="pg1994_19571"/>
    </w:p>
    <w:p>
      <w:pPr>
        <w:pStyle w:val="BookText"/>
        <w:rPr/>
      </w:pPr>
      <w:bookmarkEnd w:id="57"/>
      <w:r>
        <w:rPr>
          <w:rFonts w:ascii="Amiri" w:hAnsi="Amiri" w:eastAsia="Amiri" w:cs="Amiri"/>
          <w:color w:val="111111"/>
          <w:sz w:val="28"/>
          <w:sz w:val="28"/>
          <w:szCs w:val="28"/>
          <w:rtl w:val="true"/>
          <w:lang w:bidi="ar-SA"/>
        </w:rPr>
        <w:t>الشامل لجميع ما يصدق عليه علامة الدين ومعالمه، وكل ما اتُّخذ شعاراً للدين وعلامة للشريعة</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3920520_3650668749"/>
      <w:bookmarkStart w:id="59" w:name="_Toc18"/>
      <w:bookmarkEnd w:id="58"/>
      <w:r>
        <w:rPr/>
        <w:t>٢</w:t>
      </w:r>
      <w:r>
        <w:rPr>
          <w:rtl w:val="true"/>
        </w:rPr>
        <w:t xml:space="preserve">- </w:t>
      </w:r>
      <w:r>
        <w:rPr>
          <w:rtl w:val="true"/>
        </w:rPr>
        <w:t>أقوال علماء السُنَّة في معنى الشعائر</w:t>
      </w:r>
      <w:bookmarkEnd w:id="59"/>
    </w:p>
    <w:p>
      <w:pPr>
        <w:pStyle w:val="BookText"/>
        <w:rPr/>
      </w:pPr>
      <w:r>
        <w:rPr>
          <w:rFonts w:ascii="Amiri" w:hAnsi="Amiri" w:eastAsia="Amiri" w:cs="Amiri"/>
          <w:color w:val="111111"/>
          <w:sz w:val="28"/>
          <w:sz w:val="28"/>
          <w:szCs w:val="28"/>
          <w:rtl w:val="true"/>
          <w:lang w:bidi="ar-SA"/>
        </w:rPr>
        <w:t>هنالك العديد من الشواهد في كلمات العلماء من الفقهاء والمُحدِّثين من أهل السُنَّة تشهد على فهمهم لعمومية مفهوم الشعيرة والشعائر، وشموله لجميع معالم 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الشواهد كثيرة جداً، لذا نقتصر على بعض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شَعائِرِ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معالمه ومواضع عبادته، وهي جمع شعيرة</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مَشعراً من الشعار، وهو العلامة</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عن عطاء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أمر ونهى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هو الراجح الذي يقدَّم على غيره لعمومه</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فشعائر الله أعلام دينه</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المباركفوري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تفسير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شعائر الله أعلام دينه، وأصلها من الإشعار، وهو الإعلام، واحدتها شعيرة، وكل ما كان مَعْلَماً لقربان يتقرّب به إلى </w:t>
      </w:r>
    </w:p>
    <w:p>
      <w:pPr>
        <w:pStyle w:val="BookText"/>
        <w:rPr/>
      </w:pPr>
      <w:r>
        <w:rPr>
          <w:rFonts w:ascii="Amiri" w:hAnsi="Amiri" w:eastAsia="Amiri" w:cs="Amiri"/>
          <w:color w:val="111111"/>
          <w:sz w:val="28"/>
          <w:sz w:val="28"/>
          <w:szCs w:val="28"/>
          <w:rtl w:val="true"/>
          <w:lang w:bidi="ar-SA"/>
        </w:rPr>
        <w:t>الله تعالى، من صلاة ودعاء وذبيحة، فهو شعيرة من شعائر الله، ومشاعر الحجِّ مَعالِمه</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النووي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 الإسلام هي جمع شعيرة بفتح الشين، قال أهل اللغة والمفسّرون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متعبدات الإسلام، ومعالمه الظاهرة، 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فهي ظاهرات معلومات</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الأمور التي عدّها علماء وفقهاء أهل السُنَّة بأنَّها من مصاديق شعائر الله ودين الإسلام، فهي كثيرة جداً، نستعرض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والزكاة، والحج، والصوم؛ لكونها أظهر شعائر الإسلام وأعظمها</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من شعائر الإسلام،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 والكسوف، والاستسقاء</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والرمي، والطواف، والسعي</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والإقامة من شعائر الإسلام، فتختص بالفرائض</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 الكاشاني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والأذان والإقامة، لأنَّهما من شعائر الإسلام، فتختص بالفرائض</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60" w:name="pg1994_19575"/>
    </w:p>
    <w:p>
      <w:pPr>
        <w:pStyle w:val="BookText"/>
        <w:rPr/>
      </w:pPr>
      <w:bookmarkEnd w:id="60"/>
      <w:r>
        <w:rPr>
          <w:rFonts w:ascii="Amiri" w:hAnsi="Amiri" w:eastAsia="Amiri" w:cs="Amiri"/>
          <w:color w:val="111111"/>
          <w:sz w:val="28"/>
          <w:sz w:val="28"/>
          <w:szCs w:val="28"/>
          <w:rtl w:val="true"/>
          <w:lang w:bidi="ar-SA"/>
        </w:rPr>
        <w:t>وقد عدَّ ابن قدامة الأذان من الشعائر،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من شعائر الإسلام الظاهرة، فكان فرضاً كالجهاد</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والمتفقّهين يجب إكرامهم وتعظيم حُرماتهم</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واستدلَّ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مَنْ يُعَظِّمْ شَعائِرَ اللَّهِ فَإِنَّها مِنْ تَقْوَى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Style w:val="FootnoteAnchor"/>
          <w:rtl w:val="true"/>
        </w:rPr>
        <w:footnoteReference w:id="36"/>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يُعَظِّمْ حُرُماتِ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يتَّضح أنَّ الشعائر بمفهومها الشرعي لا تختص بمناسك الحج، أو بخصوص العبادات، وإنَّما تشمل كل ما له دور في إظهار المعالم الأساسية والرئيسة في الشريعة، ونشر أحكام الدين، فلم يتصرَّف الشارع في كيفية تطبيقها وتحقيقها خارجاً، إلاَّ في بعض الموارد، كما في مناسك الحج، أمّا غير ذلك، فيبقى تابعاً للعُرف، كما هو الحال في البيع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اللَّهُ الْبَيْعَ وَ حَرَّمَ الرِّبا ، حيث ترك الشارع المقدَّس تعيين أفراد ومصاديق حقيقة وماهية البيع إلى ما عليه العُرف</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3920522_3650668749"/>
      <w:bookmarkStart w:id="62" w:name="_Toc19"/>
      <w:bookmarkEnd w:id="61"/>
      <w:r>
        <w:rPr>
          <w:rtl w:val="true"/>
        </w:rPr>
        <w:t>الأمر الثالث</w:t>
      </w:r>
      <w:r>
        <w:rPr>
          <w:rtl w:val="true"/>
        </w:rPr>
        <w:t xml:space="preserve">: </w:t>
      </w:r>
      <w:r>
        <w:rPr>
          <w:rtl w:val="true"/>
        </w:rPr>
        <w:t>مناقشة ما استُدلَّ به على أنَّ شعائر اللّه لها حقيقة شرعية</w:t>
      </w:r>
      <w:bookmarkEnd w:id="62"/>
    </w:p>
    <w:p>
      <w:pPr>
        <w:pStyle w:val="Heading5"/>
        <w:numPr>
          <w:ilvl w:val="4"/>
          <w:numId w:val="1"/>
        </w:numPr>
        <w:rPr/>
      </w:pPr>
      <w:bookmarkStart w:id="63" w:name="__RefHeading___Toc3920524_3650668749"/>
      <w:bookmarkStart w:id="64" w:name="_Toc20"/>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استدل على أنَّ شعائر الله لها حقيقة شرعية بما يلي</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3920526_3650668749"/>
      <w:bookmarkStart w:id="66" w:name="_Toc21"/>
      <w:bookmarkEnd w:id="65"/>
      <w:r>
        <w:rPr>
          <w:rtl w:val="true"/>
        </w:rPr>
        <w:t>الدليل الأوَّل</w:t>
      </w:r>
      <w:bookmarkEnd w:id="66"/>
    </w:p>
    <w:p>
      <w:pPr>
        <w:pStyle w:val="Heading6"/>
        <w:numPr>
          <w:ilvl w:val="5"/>
          <w:numId w:val="1"/>
        </w:numPr>
        <w:rPr/>
      </w:pPr>
      <w:bookmarkStart w:id="67" w:name="__RefHeading___Toc3920528_3650668749"/>
      <w:bookmarkStart w:id="68" w:name="_Toc22"/>
      <w:bookmarkEnd w:id="67"/>
      <w:r>
        <w:rPr>
          <w:rtl w:val="true"/>
        </w:rPr>
        <w:t>اشارة</w:t>
      </w:r>
      <w:bookmarkEnd w:id="6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كثرة استعمال الشارع لفظ الشعائر في خصوص مناسك الحج،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فَمَنْ حَجَّ الْبَيْتَ أَوِ اعْتَمَرَ فَلا جُناحَ عَلَيْهِ أَنْ يَطَّوَّفَ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Style w:val="FootnoteAnchor"/>
        </w:rPr>
        <w:footnoteReference w:id="37"/>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الْبُدْنَ جَعَلْناها لَكُمْ </w:t>
      </w:r>
      <w:bookmarkStart w:id="69" w:name="pg1994_19577"/>
    </w:p>
    <w:p>
      <w:pPr>
        <w:pStyle w:val="BookText"/>
        <w:rPr/>
      </w:pPr>
      <w:bookmarkEnd w:id="69"/>
      <w:r>
        <w:rPr>
          <w:rFonts w:ascii="Amiri" w:hAnsi="Amiri" w:eastAsia="Amiri" w:cs="Amiri"/>
          <w:color w:val="111111"/>
          <w:sz w:val="28"/>
          <w:sz w:val="28"/>
          <w:szCs w:val="28"/>
          <w:rtl w:val="true"/>
          <w:lang w:bidi="ar-SA"/>
        </w:rPr>
        <w:t xml:space="preserve">مِنْ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الواضح أنَّ كثرة الاستعمال تُوجب ثبوت الوضع التعيّني، بل أنَّنا لو أجرينا مسحاً ميدانياً للفظ شعائر الله فلا نجد أنَّه ورد في آية أو رواية في غير مناسك الحج</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3920530_3650668749"/>
      <w:bookmarkStart w:id="71" w:name="_Toc23"/>
      <w:bookmarkEnd w:id="70"/>
      <w:r>
        <w:rPr>
          <w:rtl w:val="true"/>
        </w:rPr>
        <w:t>مناقشة الدليل الأول</w:t>
      </w:r>
      <w:bookmarkEnd w:id="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الاستعمال أعمّ من الحقيقة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الجعل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الْبُدْنَ جَعَلْناها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يدل على وضع لفظ شَعائِرِ اللَّهِ لمناسك الحج تعييناً؛ وذلك لأنَّ الجعل المذكور بمعنى جعل وجوب ذبح البدن، المُعبَّر عنه بالهدي، لعدم قابلية البدن نفسها لجعلها من شعائر الله، كما هو واضح، وإن كان بخلقتها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المجعولة بالجعل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آيات الله، كسائر الحيوانات والمخلوقات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فالجعل في هذه الآية بمعنى جعل وجوب الهدي، لا بمعنى وضع اللفظ للمعنى، فلا دليل على وضع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لمناسك الحج تعييناً</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3920532_3650668749"/>
      <w:bookmarkStart w:id="73" w:name="_Toc24"/>
      <w:bookmarkEnd w:id="72"/>
      <w:r>
        <w:rPr>
          <w:rtl w:val="true"/>
        </w:rPr>
        <w:t>الدليل الثاني</w:t>
      </w:r>
      <w:bookmarkEnd w:id="73"/>
    </w:p>
    <w:p>
      <w:pPr>
        <w:pStyle w:val="Heading6"/>
        <w:numPr>
          <w:ilvl w:val="5"/>
          <w:numId w:val="1"/>
        </w:numPr>
        <w:rPr/>
      </w:pPr>
      <w:bookmarkStart w:id="74" w:name="__RefHeading___Toc3920534_3650668749"/>
      <w:bookmarkStart w:id="75" w:name="_Toc25"/>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بعدما علمنا أنَّ الشارع قد جعل مناسك الحج من شعائر الله تعالى، فيعلم منه اختصاص هذا اللفظ بالمناسك خاصة؛ وذلك لأنَّ الجعل التشريعي من أسباب الوضع التعييني</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3920536_3650668749"/>
      <w:bookmarkStart w:id="77" w:name="_Toc26"/>
      <w:bookmarkEnd w:id="76"/>
      <w:r>
        <w:rPr>
          <w:rtl w:val="true"/>
        </w:rPr>
        <w:t>مناقشة الدليل الثاني</w:t>
      </w:r>
      <w:bookmarkEnd w:id="7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آنفاً، من عدم الدليل على وضع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لمناسك الحج بالوضع التعييني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الوضع التعيّني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المناسك؛ وذلك لأنَّ</w:t>
      </w:r>
    </w:p>
    <w:p>
      <w:pPr>
        <w:pStyle w:val="BookText"/>
        <w:rPr/>
      </w:pPr>
      <w:r>
        <w:rPr>
          <w:rFonts w:ascii="Amiri" w:hAnsi="Amiri" w:eastAsia="Amiri" w:cs="Amiri"/>
          <w:color w:val="111111"/>
          <w:sz w:val="28"/>
          <w:sz w:val="28"/>
          <w:szCs w:val="28"/>
          <w:rtl w:val="true"/>
          <w:lang w:bidi="ar-SA"/>
        </w:rPr>
        <w:t xml:space="preserve">الوضع التعيّني تابع لكثرة استعمال اللفظ، ولا يخفى أنَّ كثرة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المناسك، إلى حد توجب تبادر خصوص لفظ الحج إلى أذهان المسلمين؛ غير ثابت، بل مقطوع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موارد تصرّف فيها الشارع وجعلها شعيرة وعلامة، إلاّ أنَّ هذا التصرّف هو تصرّف في مصاديق الشعائر، كما هو الحال في مناسك الحج؛ فالشارع جعل هذه المناسك من أفراد ومصاديق الشعائر، لا أنَّه تصرَّف في ماهية وحقيقة الشعائر، كما يأتي توضيحه في الجواب على الشبهة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لا دليل على وضع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لمناسك الحج، لاتعييناً ولا تعيناً، وليس من الحقيقة الشرعية ولا المتشرعة، وعليه لابد من الالتزام ببقائه على معناه اللغوي، وهو العلائم والمعالم والأمارة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استعمله الشارع في بعض مصاديق معناه الموضوع له، ولِما كانت من هذهِ المصاديق، وهي المناسك، لكنّ الاستعمال أعمّ من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القدماء والمتأخرين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الشعائر هو المعنى اللغوي، لا سيما القدماء منهم، نظراً إلى قربهم من عصر النص، وتبادر مرتكزات عهد الشارع إلى أذهانهم، كما تقدَّم في مطاوي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الشكّ في المعنى المتبادر منه في عصر الشارع، يثبت المعنى اللغوي للشعائر؛ لأصالة عدم النقل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تقدّم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شيء كان علامة على دين الله، ومظهراً للشريعة المحمدية، ودليلاً ومعرفاً للإسلام، ومنادياً إلى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78" w:name="pg1994_19581"/>
    </w:p>
    <w:p>
      <w:pPr>
        <w:pStyle w:val="BookText"/>
        <w:rPr/>
      </w:pPr>
      <w:bookmarkEnd w:id="78"/>
      <w:r>
        <w:rPr>
          <w:rFonts w:ascii="Amiri" w:hAnsi="Amiri" w:eastAsia="Amiri" w:cs="Amiri"/>
          <w:color w:val="111111"/>
          <w:sz w:val="28"/>
          <w:sz w:val="28"/>
          <w:szCs w:val="28"/>
          <w:rtl w:val="true"/>
          <w:lang w:bidi="ar-SA"/>
        </w:rPr>
        <w:t>، ومَعْلَماً لكتاب الله وسنة نبيه، سيماء الإسلام والقرآن؛ يكون في ارتكاز المتشرّعة من شعائر الله، بلا فرق بين عصر الشارع وبين عصرنا هذا</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3920538_3650668749"/>
      <w:bookmarkStart w:id="80" w:name="_Toc27"/>
      <w:bookmarkEnd w:id="79"/>
      <w:r>
        <w:rPr>
          <w:rtl w:val="true"/>
        </w:rPr>
        <w:t>الأمر الرابع</w:t>
      </w:r>
      <w:r>
        <w:rPr>
          <w:rtl w:val="true"/>
        </w:rPr>
        <w:t xml:space="preserve">: </w:t>
      </w:r>
      <w:r>
        <w:rPr>
          <w:rtl w:val="true"/>
        </w:rPr>
        <w:t>في معنى البدعة</w:t>
      </w:r>
      <w:bookmarkEnd w:id="80"/>
    </w:p>
    <w:p>
      <w:pPr>
        <w:pStyle w:val="BookText"/>
        <w:rPr/>
      </w:pPr>
      <w:r>
        <w:rPr>
          <w:rFonts w:ascii="Amiri" w:hAnsi="Amiri" w:eastAsia="Amiri" w:cs="Amiri"/>
          <w:color w:val="111111"/>
          <w:sz w:val="28"/>
          <w:sz w:val="28"/>
          <w:szCs w:val="28"/>
          <w:rtl w:val="true"/>
          <w:lang w:bidi="ar-SA"/>
        </w:rPr>
        <w:t>إنَّ الذي عليه أهل التحقيق والنظر أنَّ البدعة تتحقَّق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ما ليس من الدين في الدين فيكون من قبيل الافتراء على الله وعلى رسوله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أو إنكار أو جحود ما ثبت باالادلة الصحية أنّه من ديننا الذى يرتضيه الله ورسوله وآله الاطهار عقائدياً كان أو فقهياً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بيان هذه الأمور المتقدّمة؛ يتضح أنَّ الشعائر الحسينية من الشعائر الدينية، وهو ما نتعرّض له في البحث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الحسينية من الشعائر الدينية</w:t>
      </w:r>
    </w:p>
    <w:p>
      <w:pPr>
        <w:pStyle w:val="BookText"/>
        <w:rPr/>
      </w:pPr>
      <w:r>
        <w:rPr>
          <w:rFonts w:ascii="Amiri" w:hAnsi="Amiri" w:eastAsia="Amiri" w:cs="Amiri"/>
          <w:color w:val="111111"/>
          <w:sz w:val="28"/>
          <w:sz w:val="28"/>
          <w:szCs w:val="28"/>
          <w:rtl w:val="true"/>
          <w:lang w:bidi="ar-SA"/>
        </w:rPr>
        <w:t xml:space="preserve">بعدما بيَّنا الأمور المتقدمة، من أنّ الشعائر باقية على المعنى اللغوي، وأنَّ المقصود من الشعائر العلامة، وليس المراد منها علائم وجوده سبحانه؛ لأنَّ العالم برمَّته علائم وجوده، بل علائم دينه، ولذا يصف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 والمروة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من شعائر الله،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الْبُدْنَ جَعَلْناها لَكُمْ مِنْ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تُحِلُّوا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المراد إلاّ كونها علامات دينه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وجب تعظيم شعائر الله بتصريح القرآن، مُعلّلاً بأنَّها من تقوى القلوب؛ جاز تعظيم الأنبياء والأولياء، باعتبارهم أعظم آية لدين الله، وأعظم تعظيم وأفضل تكريم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الذين بلَّغوا دين الله إلى البشرية؛ فيكون </w:t>
      </w:r>
    </w:p>
    <w:p>
      <w:pPr>
        <w:pStyle w:val="BookText"/>
        <w:rPr/>
      </w:pPr>
      <w:r>
        <w:rPr>
          <w:rFonts w:ascii="Amiri" w:hAnsi="Amiri" w:eastAsia="Amiri" w:cs="Amiri"/>
          <w:color w:val="111111"/>
          <w:sz w:val="28"/>
          <w:sz w:val="28"/>
          <w:szCs w:val="28"/>
          <w:rtl w:val="true"/>
          <w:lang w:bidi="ar-SA"/>
        </w:rPr>
        <w:t>حفظ قبورهم وأضرحتهم وآثارهم عن الاندراس والاندثار خير تكريم وتعظيم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تعظيم كل شيء بحسبه، فتعظيم الكعبة يكون بسترها بالأستار، وتعظيم البدن الذي هو من شعائر الله بالمواظبة على إبلاغها إلى محلّها وترك الركوب عليها وتعليفها، وتعظيم الأنبياء والأولياء في حياتهم بنحوٍ وبعد وفاتهم بنحوٍ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يعدّ تعظيماً وتكريماً يجوز بنص هذه الآية من غير شكٍ ولا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ورود الآية في مشاعر الحج وشعائره لا يكون دليلاً على اختصاصها بها؛ فإنَّ قوله تعالى وَ مَنْ يُعَظِّمْ شَعائِرَ اللَّهِ ضابطة كلّية ومبدأ هام، ينطبق على مصاديقه وأفراده وجزئياته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يتَّضح أنَّ الشعائر الحسينية من الشعائر الدينية، وأنَّ تعظيمها من تعظيم الشعائر الإلهية، فكما أنَّ مثل الكعبة والصفا والمروة ومنى وعرفات جديرة بالتقديس والاحترام؛ لارتباطها بمفهوم شعائر الله، لمجرَّد انتسابها إليه وتعلّقها به، فمن باب أولى تعظيم أولياء الله تعالى؛ فتعظيم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خلال إقامة العزاء عليه، من مصاديق تلك الشعائر الإلهية، ولا يكون ذلك إدخال ما ليس من الدين في الدين، ليُقال أنَّه بِدعة كما يُدَّعى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إلى ذلك، أنَّ وصية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بالإحسان لذويه تُمثِّل دليلاً آخر على صدقه في مراسم العزاء، فقد جاء في القرآن الكريم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وخطاباً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فقد اقترن أجر الرسالة بمودَّة ذوي قربى الرسول، والمودَّة متجلّية في البكاء على مصائبهم وإقامة العزاء عليهم</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994_19587"/>
      <w:bookmarkStart w:id="82" w:name="pg1994_19587"/>
      <w:bookmarkEnd w:id="82"/>
    </w:p>
    <w:p>
      <w:pPr>
        <w:pStyle w:val="Heading3"/>
        <w:numPr>
          <w:ilvl w:val="2"/>
          <w:numId w:val="1"/>
        </w:numPr>
        <w:rPr/>
      </w:pPr>
      <w:bookmarkStart w:id="83" w:name="pg1994_19587"/>
      <w:bookmarkStart w:id="84" w:name="__RefHeading___Toc3920540_3650668749"/>
      <w:bookmarkStart w:id="85" w:name="_Toc28"/>
      <w:bookmarkEnd w:id="83"/>
      <w:bookmarkEnd w:id="84"/>
      <w:r>
        <w:rPr>
          <w:rtl w:val="true"/>
        </w:rPr>
        <w:t>الشبهة الثانية</w:t>
      </w:r>
      <w:r>
        <w:rPr>
          <w:rtl w:val="true"/>
        </w:rPr>
        <w:t xml:space="preserve">: </w:t>
      </w:r>
      <w:r>
        <w:rPr>
          <w:rtl w:val="true"/>
        </w:rPr>
        <w:t>لزوم تبدّل دين الله فى المعني العرفى للشعائر</w:t>
      </w:r>
      <w:bookmarkEnd w:id="85"/>
    </w:p>
    <w:p>
      <w:pPr>
        <w:pStyle w:val="Heading4"/>
        <w:numPr>
          <w:ilvl w:val="3"/>
          <w:numId w:val="1"/>
        </w:numPr>
        <w:rPr/>
      </w:pPr>
      <w:bookmarkStart w:id="86" w:name="__RefHeading___Toc3920542_3650668749"/>
      <w:bookmarkStart w:id="87" w:name="_Toc29"/>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تفصيل الشبهة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شعائر الله هي علائم عبادته ومعالم دينه، وعلى هذا فلابدّ أن يكون جعلها بيد الشارع، ولا يحق لغير الشارع، من عقلاءٍ أو عُرف، أن يجعلوا شعائر وعلائم، فشعائر الله تعالى ليست علائم عقلائية أو عُرفية مرتبطة بشؤون العرف والعقلاء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شعائر الحرب والثورات والنهضات والأحزاب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يكون جعلها واعتبارها بأيدي العرف والعقلاء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بدّ أن يكون جعلها ووضعها بيد الله، لذا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الْبُدْنَ جَعَلْناها لَكُمْ مِنْ شَعائِرِ اللَّهِ لَكُمْ فِيها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يكشف عن أنَّ الجعل بيد الشارع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جعل الشعائر الدينية بيد أهل العُرف؛ للزم تبدّل دين الله وتغيُّر شريعته، ولصارت أحكام الله تابعة لسلائق الناس وعاداتهم ورسومهم، بل لَيلزم أن تكون عادة كل إقليم ورسم كل قبيلة شعاراً من شعائر الله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ويترتَّب على ذلك تحليل الحرام وتحريم الحلال؛ إذ رُبَّ فعلٍ ممنوع في الشريعة لا قُبح فيه عند قوم؛ لِما جرت عادتهم على الإتيان به، بل التبرّك به، وبالعكس، رُبَّ فعل جائز في الشريعة جرت عادة قوم من الناس </w:t>
      </w:r>
      <w:bookmarkStart w:id="88" w:name="pg1994_19588"/>
    </w:p>
    <w:p>
      <w:pPr>
        <w:pStyle w:val="BookText"/>
        <w:rPr/>
      </w:pPr>
      <w:bookmarkEnd w:id="88"/>
      <w:r>
        <w:rPr>
          <w:rFonts w:ascii="Amiri" w:hAnsi="Amiri" w:eastAsia="Amiri" w:cs="Amiri"/>
          <w:color w:val="111111"/>
          <w:sz w:val="28"/>
          <w:sz w:val="28"/>
          <w:szCs w:val="28"/>
          <w:rtl w:val="true"/>
          <w:lang w:bidi="ar-SA"/>
        </w:rPr>
        <w:t>على تركه وتقبيح فاعله، بل يؤاخذون فاعله ويواجهونه بمواجهة عنيفة مُغضبة، كما نشاهد ذلك في كثيرٍ من الخرافات في أعرافنا، من مختلف الأقوام والقبائل، بل كثيراً مّا نشاهد إسنادهم ذلك إلى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يتَّضح الجواب بعد بيان عدد من المقدّمات المنهجية والمضمونية، التي تساهم في بناء إطار محدَّد واضح للموضوع، وتحول دون وقوع الالتباس، و هذه المقدمات هي</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3920544_3650668749"/>
      <w:bookmarkStart w:id="90" w:name="_Toc30"/>
      <w:bookmarkEnd w:id="89"/>
      <w:r>
        <w:rPr>
          <w:rtl w:val="true"/>
        </w:rPr>
        <w:t>المقدّمة الأُولى</w:t>
      </w:r>
      <w:r>
        <w:rPr>
          <w:rtl w:val="true"/>
        </w:rPr>
        <w:t xml:space="preserve">: </w:t>
      </w:r>
      <w:r>
        <w:rPr>
          <w:rtl w:val="true"/>
        </w:rPr>
        <w:t>في معنى العُرف</w:t>
      </w:r>
      <w:bookmarkEnd w:id="9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تعارف عليه الناس، من قول أو فعل </w:t>
      </w:r>
      <w:r>
        <w:rPr>
          <w:rStyle w:val="FootnoteAnchor"/>
          <w:rtl w:val="true"/>
        </w:rPr>
        <w:footnoteReference w:id="38"/>
      </w:r>
      <w:bookmarkStart w:id="91" w:name="pg1994_19590"/>
    </w:p>
    <w:p>
      <w:pPr>
        <w:pStyle w:val="Heading4"/>
        <w:numPr>
          <w:ilvl w:val="3"/>
          <w:numId w:val="1"/>
        </w:numPr>
        <w:rPr/>
      </w:pPr>
      <w:bookmarkStart w:id="92" w:name="__RefHeading___Toc3920546_3650668749"/>
      <w:bookmarkStart w:id="93" w:name="_Toc31"/>
      <w:bookmarkEnd w:id="91"/>
      <w:bookmarkEnd w:id="92"/>
      <w:r>
        <w:rPr>
          <w:rtl w:val="true"/>
        </w:rPr>
        <w:t>المقدّمة الثانية</w:t>
      </w:r>
      <w:r>
        <w:rPr>
          <w:rtl w:val="true"/>
        </w:rPr>
        <w:t xml:space="preserve">: </w:t>
      </w:r>
      <w:r>
        <w:rPr>
          <w:rtl w:val="true"/>
        </w:rPr>
        <w:t>مرجعية العُرف في استكشاف الحكم الشرعي</w:t>
      </w:r>
      <w:bookmarkEnd w:id="93"/>
    </w:p>
    <w:p>
      <w:pPr>
        <w:pStyle w:val="BookText"/>
        <w:rPr/>
      </w:pPr>
      <w:r>
        <w:rPr>
          <w:rFonts w:ascii="Amiri" w:hAnsi="Amiri" w:eastAsia="Amiri" w:cs="Amiri"/>
          <w:color w:val="111111"/>
          <w:sz w:val="28"/>
          <w:sz w:val="28"/>
          <w:szCs w:val="28"/>
          <w:rtl w:val="true"/>
          <w:lang w:bidi="ar-SA"/>
        </w:rPr>
        <w:t xml:space="preserve">هنالك موارد عديدة جُعل العرف فيها مرجعاً في استكشاف الحكم الشرعي، وهي جملة من الموارد التي لا يوجد فيها نص من الشارع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3920548_3650668749"/>
      <w:bookmarkStart w:id="95" w:name="_Toc32"/>
      <w:bookmarkEnd w:id="94"/>
      <w:r>
        <w:rPr>
          <w:rtl w:val="true"/>
        </w:rPr>
        <w:t>المقدّمة الثالثة</w:t>
      </w:r>
      <w:r>
        <w:rPr>
          <w:rtl w:val="true"/>
        </w:rPr>
        <w:t xml:space="preserve">: </w:t>
      </w:r>
      <w:r>
        <w:rPr>
          <w:rtl w:val="true"/>
        </w:rPr>
        <w:t>مرجعية العُرف في تشخيص مواضيع الأحكام الشرعية</w:t>
      </w:r>
      <w:bookmarkEnd w:id="95"/>
    </w:p>
    <w:p>
      <w:pPr>
        <w:pStyle w:val="Heading5"/>
        <w:numPr>
          <w:ilvl w:val="4"/>
          <w:numId w:val="1"/>
        </w:numPr>
        <w:rPr/>
      </w:pPr>
      <w:bookmarkStart w:id="96" w:name="__RefHeading___Toc3920550_3650668749"/>
      <w:bookmarkStart w:id="97" w:name="_Toc33"/>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لكي تتَّضح مرجعية العرف في تشخيص مواضيع الأحكام الشرعية، ينبغي بيان أقسام مواضيع الأحكام الشرعية</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3920552_3650668749"/>
      <w:bookmarkStart w:id="99" w:name="_Toc34"/>
      <w:bookmarkEnd w:id="98"/>
      <w:r>
        <w:rPr>
          <w:rtl w:val="true"/>
        </w:rPr>
        <w:t>أقسام مواضيع الأحكام الشرعية</w:t>
      </w:r>
      <w:bookmarkEnd w:id="99"/>
    </w:p>
    <w:p>
      <w:pPr>
        <w:pStyle w:val="BookText"/>
        <w:rPr/>
      </w:pPr>
      <w:r>
        <w:rPr>
          <w:rFonts w:ascii="Amiri" w:hAnsi="Amiri" w:eastAsia="Amiri" w:cs="Amiri"/>
          <w:color w:val="111111"/>
          <w:sz w:val="28"/>
          <w:sz w:val="28"/>
          <w:szCs w:val="28"/>
          <w:rtl w:val="true"/>
          <w:lang w:bidi="ar-SA"/>
        </w:rPr>
        <w:t>يُقسَّم الموضوع المأخوذ في الحكم الشرعي إلى أقسام متعدّدة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المواضيع التكوينية، كالحيض والنفاس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المواضيع الشرعية، كالصلاة والصوم والحج والزكاة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المواضيع العرفية، كالغناء مثلاً، أو المواضيع المُستحدَثة التي تدخل ضمن نطاق المواضيع العرفية، كالملكيَّة الفكرية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بيان هذه المقدّمة في أقسام العرف، يُطرح السؤال التالي، وهو أنَّ القول بأنَّ العرف حجّة في تشخيص المواضيع، هل هو حجة في جميع هذه المواضيع، أم في بعضها؟</w:t>
      </w:r>
    </w:p>
    <w:p>
      <w:pPr>
        <w:pStyle w:val="BookText"/>
        <w:rPr/>
      </w:pPr>
      <w:r>
        <w:rPr>
          <w:rFonts w:ascii="Amiri" w:hAnsi="Amiri" w:eastAsia="Amiri" w:cs="Amiri"/>
          <w:color w:val="111111"/>
          <w:sz w:val="28"/>
          <w:sz w:val="28"/>
          <w:szCs w:val="28"/>
          <w:rtl w:val="true"/>
          <w:lang w:bidi="ar-SA"/>
        </w:rPr>
        <w:t>وفي الجواب على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للمواضيع التكوينية، فقد اختلف الفقهاء في حكم العرف في تشخيصها، فمنهم مَن أنكر مدخلية العرف في تشخيصها، وجعل أهل الخبرة هم أصحاب الفصل في مثل هذه المواضيع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المواضيع الشرعية، كالصلاة والصوم والحج والزكاة، فمن الواضح أنَّ العُرف لا يمكن أن يتدخَّل فيها؛ لأنَّها من مخترعات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المواضيع العرفية، كالبيع وما شابه ذلك، فللعُرف مساحة واسعة ودور كبير في تشخيص هذه المواضيع، حيث فسح الشارع المجال أمام العرف في إبداء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أضاء القرآن الكريم هذه المسألة بشكل واضح في قوله تعالى أَحَلَّ اللَّهُ الْبَيْعَ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الذي يفيد الحكم بحلّية البيع وصحّته وجوازه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فالشارع لم‌يتصرّف بماهية البيع ولا بكيفية وجوده إلاَّ ما استثني </w:t>
      </w:r>
      <w:r>
        <w:rPr>
          <w:rStyle w:val="FootnoteAnchor"/>
          <w:rtl w:val="true"/>
        </w:rPr>
        <w:footnoteReference w:id="4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كيفية وجوده تابعة إلى العرف، فما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 العقلاء جُعل موضوعاً للحكم الشرعي، وهو الحلية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موارد فقهية كثيرة جداً أوكل الشارع أمر تشخيصها إلى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العرف، وبهذا تتفاوت الأحكام نتيجة اختلاف الأعراف المحدَّدة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النتائج المترتّبة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الأوَّلية في المعنى هو بقاؤه على معناه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يرد دليل على تصرف الشارع في معنى أو ماهية معيّنة، فإنَّ القاعدة الأوَّلية أنَّ ذلك المعنى يبقى على معناه اللغوي، كما في لفظ البيع في قوله تعالى 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القبيل لفظ الشعائر؛ فإنَّه لم يرد دليل على تصرّف الشارع فيها، وعليه فمقتضى القاعدة الأوَّلية أنْ يبقى على معناه اللغوي، كما تقدَّم مفصّلاً في الجواب على الشُبهة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موارد تصرَّف فيها الشارع وجعلها شعيرة وعلامة، إلاَّ أنَّ هذا التصرّف هو تصرّف في مصاديق الشعائر، كما هو الحال في مناسك الحج، فالشارع جعل هذه المناسك من أفراد ومصاديق الشعائر، لا أنّه تصرَّف في ماهية وحقيقة الشعائر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الموارد التي لم يتصرّف فيها الشارع ولم يتَّخذها بخصوصها شعيرة وعلامة، فالمرجع فيها إلى العُرف، فما اتَّخذها عُرف المسلمين شعيرة وعلامة على معنى من المعاني الإسلامية، فحينئذٍ تقع تحت عموم قوله تعالى ذلِكَ وَ مَنْ يُعَظِّمْ شَعائِرَ اللَّهِ فَإِنَّها مِنْ تَقْوَى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يتَّضح أنَّ كون معنى الشعائر هو المعنى اللغوي لا يلزم منه تبدّل دين الله وتغيّر شريعته، ولا يعني أنَّ أحكام الله تابعة لسلائق الناس </w:t>
      </w:r>
      <w:bookmarkStart w:id="100" w:name="pg1994_19597"/>
    </w:p>
    <w:p>
      <w:pPr>
        <w:pStyle w:val="BookText"/>
        <w:rPr/>
      </w:pPr>
      <w:bookmarkEnd w:id="100"/>
      <w:r>
        <w:rPr>
          <w:rFonts w:ascii="Amiri" w:hAnsi="Amiri" w:eastAsia="Amiri" w:cs="Amiri"/>
          <w:color w:val="111111"/>
          <w:sz w:val="28"/>
          <w:sz w:val="28"/>
          <w:szCs w:val="28"/>
          <w:rtl w:val="true"/>
          <w:lang w:bidi="ar-SA"/>
        </w:rPr>
        <w:t>وعاداتهم ورسومهم؛ لأنَّ العُرف لم يتصرّف في حُكم الشعيرة، وإنّما ما قام به العُرف هو تطبيق الحكم الشرعي، وهو الأمر بتعظيم الشعائر على ما يصدق عليه أنَّه علامة وشعيرة عرفاً، ومن الواضح أنَّ تطبيق الحكم الشرعي على الفرد الخارجي لايكون ذلك تعدّياً على مارسم الشارع، وليس إحداثاً في الدين ولا ابتداعاً، ولاغير ذلك من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العناوين المستجدّة للشعائر هو أدلّة عموم الشعائر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جملة من الأفراد والعناوين المُستجدّة للشعائر يمكن دخولها تحت عموم الشعائر؛ لانطباق العنوان العام على هذه العناوين، لأنَّ حكم هذه العناوين المُستجدَّة ثابت، والجديد فيها هو كون موضوعها حادث، كما هو الحال في العناوين المستجدّة في البيع، كالبيع بواسطة الهاتف ونحوها من الأساليب المُستحدثة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بعض الشواهد الفقهية على ذلك</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3920554_3650668749"/>
      <w:bookmarkStart w:id="102" w:name="_Toc35"/>
      <w:bookmarkEnd w:id="101"/>
      <w:r>
        <w:rPr>
          <w:rtl w:val="true"/>
        </w:rPr>
        <w:t>شواهد فقهية على عدم حاجة العنوان المُستجد لدليلٍ خاص</w:t>
      </w:r>
      <w:bookmarkEnd w:id="102"/>
    </w:p>
    <w:p>
      <w:pPr>
        <w:pStyle w:val="BookText"/>
        <w:rPr/>
      </w:pPr>
      <w:r>
        <w:rPr>
          <w:rFonts w:ascii="Amiri" w:hAnsi="Amiri" w:eastAsia="Amiri" w:cs="Amiri"/>
          <w:color w:val="111111"/>
          <w:sz w:val="28"/>
          <w:sz w:val="28"/>
          <w:szCs w:val="28"/>
          <w:rtl w:val="true"/>
          <w:lang w:bidi="ar-SA"/>
        </w:rPr>
        <w:t>هنالك العديد من الشواهد الفقهية تدلّ على أنَّ حكم العنوان المستجد في كثيرٍ من الأحكام هو عموم الأدلة، التي تشترك فيها بنفس الماهية، ومن هذه الشواهد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استحباب لبس السواد في مأتم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عموم إظهار شعائر الحزن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استحباب لبس السواد في مأتم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أدلة إظهار شعائر الحزن، على الرغم من كون لبس السواد مكروهاً بحدِّ ذاته،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يبعد استثناء لبس السواد في مأتم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الأخبار؛ لِما استفاضت به الأخبار من الأمر بإظهار </w:t>
      </w:r>
    </w:p>
    <w:p>
      <w:pPr>
        <w:pStyle w:val="BookText"/>
        <w:rPr/>
      </w:pPr>
      <w:r>
        <w:rPr>
          <w:rFonts w:ascii="Amiri" w:hAnsi="Amiri" w:eastAsia="Amiri" w:cs="Amiri"/>
          <w:color w:val="111111"/>
          <w:sz w:val="28"/>
          <w:sz w:val="28"/>
          <w:szCs w:val="28"/>
          <w:rtl w:val="true"/>
          <w:lang w:bidi="ar-SA"/>
        </w:rPr>
        <w:t xml:space="preserve">شعائر الأحزان، ويؤيّده ما رواه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البرقي في كتاب المحاسن، أنَّه روى عن عمر بن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قُتل جدّي الحسين المظلوم الشهيد، لبست نساء بني‌هاشم في مأتمه ثياب السواد، ولم‌يُغيِّرنها في حرٍّ أو برد، وكان الإمام زين‌العابدين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لهنّ الطعام في المأتم</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ذهب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أجوبته عن الشعائر الحسينية </w:t>
      </w:r>
      <w:r>
        <w:rPr>
          <w:rStyle w:val="FootnoteAnchor"/>
          <w:rtl w:val="true"/>
        </w:rPr>
        <w:footnoteReference w:id="43"/>
      </w:r>
      <w:r>
        <w:rPr>
          <w:rFonts w:ascii="Amiri" w:hAnsi="Amiri" w:eastAsia="Amiri" w:cs="Amiri"/>
          <w:color w:val="111111"/>
          <w:sz w:val="28"/>
          <w:sz w:val="28"/>
          <w:szCs w:val="28"/>
          <w:rtl w:val="true"/>
          <w:lang w:bidi="ar-SA"/>
        </w:rPr>
        <w:t xml:space="preserve">إلى ما ذهب إليه صاحب الحدائق، من رجحان لبس السواد على الكراهة، لإظهار الحزن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القمّي بعمومات البكاء على جواز التشبيه في الشعائر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الميرزا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التشبيه ضمن الشعائر الحسينية ورجحانه بعمومات البكاء والإبكاء؛ ذلك لإنَّ عمومات البكاء لها مصاديق مختلفة، وأحد المصاديق الموجبة للبكاء والإبكاء هو ما يكون في ضمنه التشبيه والتمثيل الذي يُثير عواطف الناس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الاستدلال على جواز التشبيه في الشعائر الحسينية، ولو مع فرض القول بحرمة تشبّه الرجل بالمرأة، أو المرأة بالرجل، حيث نقول بأنَّ هذا المصداق من التشبيه في الشعائر إمّا يتعارض مع حرمة تشبّه الرجل بالمرأة وبالعكس، أو يقع التزاحم، فإذا قلنا بالتعارض، فسوف يتساقطان؛ فيسقط عموم دليل الحرمة وعموم دليل الشعائر، فيبقى </w:t>
      </w:r>
    </w:p>
    <w:p>
      <w:pPr>
        <w:pStyle w:val="BookText"/>
        <w:rPr/>
      </w:pPr>
      <w:r>
        <w:rPr>
          <w:rFonts w:ascii="Amiri" w:hAnsi="Amiri" w:eastAsia="Amiri" w:cs="Amiri"/>
          <w:color w:val="111111"/>
          <w:sz w:val="28"/>
          <w:sz w:val="28"/>
          <w:szCs w:val="28"/>
          <w:rtl w:val="true"/>
          <w:lang w:bidi="ar-SA"/>
        </w:rPr>
        <w:t xml:space="preserve">المصداق من التشبيه في الشعائر على الجواز بإجراء أصالة البراءة، وإذ قلنا إنَّه يقع بينهما تزاحم، فلا شكَّ في تقدّم عمومات البكاء والإبكاء؛ لأرجحيتها وأهمّيتها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حسن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نصرة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شكَّ أنَّ إظهار الحزن ومظلومية سيدالشهداء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والإبكاء عليه وإحياء أمره، بسنخه عبادة المذهب، لا بشخص خاص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ضرورة أنَّه لم ترد في الشريعة كيفية خاصة للحزن والإبكاء وإحياء الذكر المأمور به، ليقتصر عليه الحزين في حزنه والمُحيي لأمرهم في إحيائه، والمبكي في إبكائه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سنخ الشيء عبادة ومندوباً إليه، سرت مشروعيته إلى جميع أفراده من جهة الفردية</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أفتى بعض كبار فقهائنا، كالسيد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المستمسك؛ بوجوب الشهادة الثالثة في الأذان، بلحاظ أنَّه شعار للمذهب، وتركه يضرّ بالمذهب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لأنَّ كل شيء أصبح شعاراً للمذهب فلابد وأن يحافظ عليه؛ لأنَّ المحافظة عليه محافظة على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ذلك في هذه الأعصار معدود من شعائر الإيمان ورمز التشيّع، فيكون من هذه الجهة راجحاً شرعاً، بل قد يكون واجباً، لكن لا بعنوان الجزئية من الأذان</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ينبغي الالتفات إليه هو أنَّ العنوان المُستجَد من الشعيرة يجب أن يكون حلالاً في نفسه قبل أن يتعنون بعنوان أنَّه شعيرة، أمّا إذا كان حراماً، فيكون مشمولاً لأدلّة عموم</w:t>
      </w:r>
      <w:r>
        <w:rPr>
          <w:rFonts w:eastAsia="Amiri" w:cs="Amiri" w:ascii="Amiri" w:hAnsi="Amiri"/>
          <w:color w:val="111111"/>
          <w:sz w:val="28"/>
          <w:szCs w:val="28"/>
          <w:rtl w:val="true"/>
          <w:lang w:bidi="ar-SA"/>
        </w:rPr>
        <w:t xml:space="preserve">. </w:t>
      </w:r>
      <w:bookmarkStart w:id="103" w:name="pg1994_19600"/>
    </w:p>
    <w:p>
      <w:pPr>
        <w:pStyle w:val="Heading5"/>
        <w:numPr>
          <w:ilvl w:val="4"/>
          <w:numId w:val="1"/>
        </w:numPr>
        <w:rPr/>
      </w:pPr>
      <w:bookmarkStart w:id="104" w:name="__RefHeading___Toc3920556_3650668749"/>
      <w:bookmarkStart w:id="105" w:name="_Toc36"/>
      <w:bookmarkEnd w:id="103"/>
      <w:bookmarkEnd w:id="104"/>
      <w:r>
        <w:rPr>
          <w:rtl w:val="true"/>
        </w:rPr>
        <w:t>حكم اختلاف الأعراف في ممارسة الشعائر</w:t>
      </w:r>
      <w:bookmarkEnd w:id="105"/>
    </w:p>
    <w:p>
      <w:pPr>
        <w:pStyle w:val="BookText"/>
        <w:rPr/>
      </w:pPr>
      <w:r>
        <w:rPr>
          <w:rFonts w:ascii="Amiri" w:hAnsi="Amiri" w:eastAsia="Amiri" w:cs="Amiri"/>
          <w:color w:val="111111"/>
          <w:sz w:val="28"/>
          <w:sz w:val="28"/>
          <w:szCs w:val="28"/>
          <w:rtl w:val="true"/>
          <w:lang w:bidi="ar-SA"/>
        </w:rPr>
        <w:t xml:space="preserve">إذا اختلفت عادات الأعراف في البلدان والأقطار، فوقع الكلام فيما هو المعتبر، كالاختلاف الحاصل في تعيين مفهوم المكيل والموزون في مباحث العِوضين ومسألة الربا، كما أشار إلى ذلك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بحث طويل،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فمحلّ الإشكال فيما يُجهَل حاله في زمنهم، من كون العرف العام لا انضباط له، فإنَّ لكلّ قطر عرفاً وعادة، والأحكام متَّحدة لااختلاف فيها، ولا تُناط بالأمور الغير المُنضبطة</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ذلك كلّه يُعرَف ما في شرح الأُستاذ؛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الرجوع إلى العادة مع اتّفاقها اتِّفاقي، ولو اختلفت، فلكلّ بلدٍ حكمه كما هو المشهور</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المشهور في المقام هو الرجوع إلى العرف الغالب، وإذا لم تكن الغلبة مع واحد من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أعراف المتعارضة، فلكلِّ شخصٍ الرجوع إلى عُرف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هذا، فلو اختلفت الأعراف في كيفية ممارسة الشعائر ومصاديقها التي توجب التعظيم والتجليل، أو التي توجب وهن المذهب، أو ما يُخاف به على النفس أو البدن، فحيث أنَّ عنوان التعظيم والإهانة والهتك من العناوين العُرفية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في إرجاع ذلك إلى عُرف كل مكان وزمان، وعادات ذلك البلد التي تُمارَس فيه تلك الشعيرة، فقد يكون شيء في بلدٍ تعظيماً وفي بلد آخر يُعدّ إهانة،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وضابطة ذلك هو الرجوع إلى العُرف الغالب في البلد، وإذا لم تكن الغلبة مع</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 من الأعراف المتعارضة، فلكلِّ شخصٍ الرجوع إلى عُرف بلده</w:t>
      </w:r>
      <w:r>
        <w:rPr>
          <w:rFonts w:eastAsia="Amiri" w:cs="Amiri" w:ascii="Amiri" w:hAnsi="Amiri"/>
          <w:color w:val="111111"/>
          <w:sz w:val="28"/>
          <w:szCs w:val="28"/>
          <w:rtl w:val="true"/>
          <w:lang w:bidi="ar-SA"/>
        </w:rPr>
        <w:t xml:space="preserve">. </w:t>
      </w:r>
      <w:bookmarkStart w:id="106" w:name="pg1994_19601"/>
    </w:p>
    <w:p>
      <w:pPr>
        <w:pStyle w:val="Heading3"/>
        <w:numPr>
          <w:ilvl w:val="2"/>
          <w:numId w:val="1"/>
        </w:numPr>
        <w:rPr/>
      </w:pPr>
      <w:bookmarkStart w:id="107" w:name="__RefHeading___Toc3920558_3650668749"/>
      <w:bookmarkStart w:id="108" w:name="_Toc37"/>
      <w:bookmarkEnd w:id="106"/>
      <w:bookmarkEnd w:id="107"/>
      <w:r>
        <w:rPr>
          <w:rtl w:val="true"/>
        </w:rPr>
        <w:t>الشبهة الثالثة</w:t>
      </w:r>
      <w:r>
        <w:rPr>
          <w:rtl w:val="true"/>
        </w:rPr>
        <w:t xml:space="preserve">: </w:t>
      </w:r>
      <w:r>
        <w:rPr>
          <w:rtl w:val="true"/>
        </w:rPr>
        <w:t xml:space="preserve">يجب الفرح بشهادة الحسين </w:t>
      </w:r>
      <w:r>
        <w:rPr>
          <w:rtl w:val="true"/>
        </w:rPr>
        <w:t>(</w:t>
      </w:r>
      <w:r>
        <w:rPr>
          <w:rtl w:val="true"/>
        </w:rPr>
        <w:t>ع</w:t>
      </w:r>
      <w:r>
        <w:rPr>
          <w:rtl w:val="true"/>
        </w:rPr>
        <w:t xml:space="preserve">) </w:t>
      </w:r>
      <w:r>
        <w:rPr>
          <w:rtl w:val="true"/>
        </w:rPr>
        <w:t>لا البكاء والجزع</w:t>
      </w:r>
      <w:r>
        <w:rPr>
          <w:rtl w:val="true"/>
        </w:rPr>
        <w:t>!</w:t>
      </w:r>
      <w:bookmarkEnd w:id="108"/>
    </w:p>
    <w:p>
      <w:pPr>
        <w:pStyle w:val="Heading4"/>
        <w:numPr>
          <w:ilvl w:val="3"/>
          <w:numId w:val="1"/>
        </w:numPr>
        <w:rPr/>
      </w:pPr>
      <w:bookmarkStart w:id="109" w:name="__RefHeading___Toc3920560_3650668749"/>
      <w:bookmarkStart w:id="110" w:name="_Toc38"/>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تفصيل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صاحب الشبهة إنَّه يجب الفرح على الشهيد؛ لأنَّ استذكار الشهادة يكون يوم سرور وسعادة؛ إذ أنَّ الشهيد يحقّق بشهادته المراتب والدرجات، ويصل إلى ذروة الحياة في الخُلد، فيوم شهادة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وصحبه هو يوم بَهجة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وسرورهم، وعليه يكون 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لا دليل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في الإجابة على الشبهة اللاحقة من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وسيرته العملية البكاء على الشهداء، من قبيل بكائه على حمزة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فضلاً عن بكائه لفقد الأعزاء من بنيه وصحبه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يكون البكاء على الشهيد بدعة وبلا دليل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الشهادة هي فرحة اللقاء بالله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لكنَّ الأمر الإلهي جاء من خلال سُنَّة نبيّه وسيرته العملية بلزوم 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ما ورد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بإحياء هذه الذكرى بالحزن والبكاء والجزع، كما في رواياتٍ متضافرة تأمر بلزوم إظهار الجزع والحزن، وإقامة المآتم والبكاء لفقد سيد الشهداء وأهل بيته وصحبه الأوفياء في تلك </w:t>
      </w:r>
      <w:bookmarkStart w:id="111" w:name="pg1994_19602"/>
    </w:p>
    <w:p>
      <w:pPr>
        <w:pStyle w:val="BookText"/>
        <w:rPr/>
      </w:pPr>
      <w:bookmarkEnd w:id="111"/>
      <w:r>
        <w:rPr>
          <w:rFonts w:ascii="Amiri" w:hAnsi="Amiri" w:eastAsia="Amiri" w:cs="Amiri"/>
          <w:color w:val="111111"/>
          <w:sz w:val="28"/>
          <w:sz w:val="28"/>
          <w:szCs w:val="28"/>
          <w:rtl w:val="true"/>
          <w:lang w:bidi="ar-SA"/>
        </w:rPr>
        <w:t>الفاجعة الأليمة؛ لذلك نقرأ في زيارة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 لقد عَظُم مصابي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وكما عبَّر عن هذه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قال في شهادة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لفقدك مُظلمة، والآخرة بنورك مُشرقة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نبكي هذا الفقدان، ويزيدنا ألماً ومرارة وحشية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فالبكاء على المظلوم، لاسيما الإمام الحسين وصحبه المُضرَّجين بالدماء، حسن ولازم في كل الأوقات إلى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فحينما نُلقي نظره عابرة على كلام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الناحية، فإنَّها كفيلة بإظهار حقيقة الأمر؛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فلأندُبَّنك صباحاً ومساءً، ولأبكينَّ عليك بدل الدموع دماً، حسرة عليك وتأسّفاً على ما دهاك وتلهّفاً، حتى أموت بلوعة المصاب وغصّة الاكتئاب</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عدداً من هذه الروايات التي أمرتنا بالبكاء والجزع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Heading4"/>
        <w:numPr>
          <w:ilvl w:val="3"/>
          <w:numId w:val="1"/>
        </w:numPr>
        <w:rPr/>
      </w:pPr>
      <w:bookmarkStart w:id="112" w:name="__RefHeading___Toc3920562_3650668749"/>
      <w:bookmarkStart w:id="113" w:name="_Toc39"/>
      <w:bookmarkEnd w:id="112"/>
      <w:r>
        <w:rPr>
          <w:rtl w:val="true"/>
        </w:rPr>
        <w:t xml:space="preserve">البكاء على الحسين </w:t>
      </w:r>
      <w:r>
        <w:rPr>
          <w:rtl w:val="true"/>
        </w:rPr>
        <w:t>(</w:t>
      </w:r>
      <w:r>
        <w:rPr>
          <w:rtl w:val="true"/>
        </w:rPr>
        <w:t>ع</w:t>
      </w:r>
      <w:r>
        <w:rPr>
          <w:rtl w:val="true"/>
        </w:rPr>
        <w:t xml:space="preserve">) </w:t>
      </w:r>
      <w:r>
        <w:rPr>
          <w:rtl w:val="true"/>
        </w:rPr>
        <w:t>أهمّ العبادات</w:t>
      </w:r>
      <w:bookmarkEnd w:id="113"/>
    </w:p>
    <w:p>
      <w:pPr>
        <w:pStyle w:val="BookText"/>
        <w:rPr/>
      </w:pPr>
      <w:r>
        <w:rPr>
          <w:rFonts w:ascii="Amiri" w:hAnsi="Amiri" w:eastAsia="Amiri" w:cs="Amiri"/>
          <w:color w:val="111111"/>
          <w:sz w:val="28"/>
          <w:sz w:val="28"/>
          <w:szCs w:val="28"/>
          <w:rtl w:val="true"/>
          <w:lang w:bidi="ar-SA"/>
        </w:rPr>
        <w:t xml:space="preserve">أمر أهل البيت أتباعهم في رواياتٍ عديدة بإقامة المآتم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والبكاء عليه، وقد عُدّ هذا الأمر من أهمّ العبادات، وموجباً للتقرّب إلى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بعضاً من هذه الروايات التي تلقّاها العلماء بالقبول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الحسن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تذكّر مصابنا وبكى لِما ارتكب منّا، كان معنا في درجاتنا يوم القيامة، ومَن ذكّر بمصابنا فبكى وأبكى، لم تبكِ عينه يوم تبكي العيون</w:t>
      </w:r>
      <w:r>
        <w:rPr>
          <w:rFonts w:eastAsia="Amiri" w:cs="Amiri" w:ascii="Amiri" w:hAnsi="Amiri"/>
          <w:color w:val="111111"/>
          <w:sz w:val="28"/>
          <w:szCs w:val="28"/>
          <w:rtl w:val="true"/>
          <w:lang w:bidi="ar-SA"/>
        </w:rPr>
        <w:t xml:space="preserve">. .»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بكى وأبكى خمسين فله الجنّة، ومَن بكى وأبكى ثلاثين فله الجنة، ومَن بكى وأبكى عشرين فله الجنة، ومَن بكى وأبكى عشرة فله الجنة، ومَن بكى وأبكى واحداً فله الجنة، ومَن تباكى فله الجنّة</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أبي‌هارون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هارون، أنشدني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فبكى،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كما تنشدون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امرِرْ على جَدَثِ الحُسَين</w:t>
      </w:r>
    </w:p>
    <w:p>
      <w:pPr>
        <w:pStyle w:val="BookText"/>
        <w:rPr/>
      </w:pPr>
      <w:r>
        <w:rPr>
          <w:rFonts w:ascii="Amiri" w:hAnsi="Amiri" w:eastAsia="Amiri" w:cs="Amiri"/>
          <w:color w:val="111111"/>
          <w:sz w:val="28"/>
          <w:sz w:val="28"/>
          <w:szCs w:val="28"/>
          <w:rtl w:val="true"/>
          <w:lang w:bidi="ar-SA"/>
        </w:rPr>
        <w:t>فقُلْ لأَعْظمهِ الزَّكيَّة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القصيدة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وسمعت البكاء من خلف الستر،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هارون، مَن أنشد في الحسين شعراً فبكى وأبكى عشراً كُتبت لهم الجنة، ومَن أنشد في الحسين شعراً فبكى وأبكى خمسةً كُتبت لهم الجنة، ومَن أنشد في الحسين شعراً فبكى وأبكى واحداً كُتبت لهما الجنة، ومَن 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فخرج من عينه من الدموع مقدار جناح ذباب كان ثوابه على الله، ولم يرضَ له بدون الجنّة</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أبي‌عمارة المنشد،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عمارة، أنشدني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فبكى، ثُمَّ أنشدته فبكى، ثُمَّ أنشدته فبكى،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زلت أنشده ويبكي حتى سمعت البكاء من الدار،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أباعمارة، مَن انشد في الحسين شعراً فأبكى خمسين فله الجنة، ومَن أنشد في </w:t>
      </w:r>
    </w:p>
    <w:p>
      <w:pPr>
        <w:pStyle w:val="BookText"/>
        <w:rPr/>
      </w:pPr>
      <w:r>
        <w:rPr>
          <w:rFonts w:ascii="Amiri" w:hAnsi="Amiri" w:eastAsia="Amiri" w:cs="Amiri"/>
          <w:color w:val="111111"/>
          <w:sz w:val="28"/>
          <w:sz w:val="28"/>
          <w:szCs w:val="28"/>
          <w:rtl w:val="true"/>
          <w:lang w:bidi="ar-SA"/>
        </w:rPr>
        <w:t>الحسين شعراً فأبكى أربعين فله الجنة، ومَن أنشد في الحسين شعراً فأبكى ثلاثين فله الجنة، ومَن أنشد في الحسين شعراً فأبكى عشرين فله الجنة، ومَن أنشد في الحسين شعراً فأبكى عشرة فله الجنة، ومَن أنشد في الحسين شعراً فبكى فله الجنة، ومَن أنشد في الحسين شعراً فتباكى فله الجنة</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صالح بن عقبة،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أنشد في الحسين بيت شعرٍ فبكى وأبكى تسعةً فله ولهم الجنة، فلم يزل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أنشد في الحسين بيتاً فبكى، وأظنّه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تباكى، فله الجنة</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أن عدَّ مصائب عاشوراء، من القتل، وهتك الحرمات، وأسر النساء والأطفال، وحرق الخيام، ونهب أموال آل الله، وهتك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يوم الحسين أقرح جفوننا، وأسبل دموعنا، وأذلَّ عزيزنا بأرض كرب وبلاء، وأورثنا الكرب والبلاء إلى يوم الانقضاء، فعلى مثل الحسين فليبك الباكون</w:t>
      </w:r>
      <w:r>
        <w:rPr>
          <w:rFonts w:eastAsia="Amiri" w:cs="Amiri" w:ascii="Amiri" w:hAnsi="Amiri"/>
          <w:color w:val="111111"/>
          <w:sz w:val="28"/>
          <w:szCs w:val="28"/>
          <w:rtl w:val="true"/>
          <w:lang w:bidi="ar-SA"/>
        </w:rPr>
        <w:t xml:space="preserve">. . .»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معاوية بن وهب،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الجزع والبكاء مكروه سوى الجزع والبكاء على الحسين</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صاحب البحار، في ذيل هذه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تأليفات بعض الثقات من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لمَّا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 فاطمة</w:t>
      </w:r>
      <w:r>
        <w:rPr>
          <w:rStyle w:val="FootnoteAnchor"/>
          <w:rtl w:val="true"/>
        </w:rPr>
        <w:footnoteReference w:id="58"/>
      </w:r>
      <w:r>
        <w:rPr>
          <w:rFonts w:ascii="Amiri" w:hAnsi="Amiri" w:eastAsia="Amiri" w:cs="Amiri"/>
          <w:color w:val="111111"/>
          <w:sz w:val="28"/>
          <w:sz w:val="28"/>
          <w:szCs w:val="28"/>
          <w:rtl w:val="true"/>
          <w:lang w:bidi="ar-SA"/>
        </w:rPr>
        <w:t>بقتل ولدها الحسين، وما يجري عليه من المحن؛ بكت فاطمة بكاءً شديداً،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متى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خال منّي ومنك ومن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فاشتدَّ بكاؤها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فمَن يبكي </w:t>
      </w:r>
    </w:p>
    <w:p>
      <w:pPr>
        <w:pStyle w:val="BookText"/>
        <w:rPr/>
      </w:pPr>
      <w:r>
        <w:rPr>
          <w:rFonts w:ascii="Amiri" w:hAnsi="Amiri" w:eastAsia="Amiri" w:cs="Amiri"/>
          <w:color w:val="111111"/>
          <w:sz w:val="28"/>
          <w:sz w:val="28"/>
          <w:szCs w:val="28"/>
          <w:rtl w:val="true"/>
          <w:lang w:bidi="ar-SA"/>
        </w:rPr>
        <w:t>عليه؟ ومَن يلتزم بإقامة العزاء له؟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نساء أُمّتي يبكون على نساء أهل بيتي، ورجالهم يبكون على رجال أهل بيتي، ويجدّدون العزاء جيلاً بعد جيل، في كل سنة، فإذا كان القيامة، تشفعين أنت للنساء وأنا أشفع للرجال، وكل مَن بكى منهم على مصاب الحسين أخذنا بيده وأدخلناه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كل عين باكية يوم القيامة إلاّ عين بكت على مصاب الحسين، فإنّها ضاحكة مستبشرة بنعيم الجنة</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رواها الصدوق في الخصال، عن حمران بن أعين عن أبيه،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قد بكى على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سنة، وما وُضع بين يديه طعام إلاّ بكى، حتى 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أما آن لحُزنك أن ينقضي؟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يعقوب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اثنا عشر ابناً فغيَّب الله عنه واحداً منهم فابيضَّت عيناه من كثرة بكائه عليه، وشاب رأسه من الحزن، واحدودب ظهره من الغم، وكان ابنه حياً في الدنيا، وأنا نظرت إلى أبي وأخي وعمّي وسبعة عشر من أهل بيتي مقتولين حولي، فكيف ينقضي حزني؟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دعاء الندبة الشريف، الذي يرويه سيدنا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إقبال الأعمال ومصباح الزائر وجمال الأُسبوع، والشيخ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الأطائب من أهل بيت محمّد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فليبك الباكون، وإيّاهم فليندب النادبون، ولمثلهم فلتُذرف الدموع، وليصرخ الصارخون، ويضجّ الضاجّون،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ويعجّ العاجّون، أين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أبناء الحسين؟ </w:t>
      </w:r>
      <w:r>
        <w:rPr>
          <w:rFonts w:eastAsia="Amiri" w:cs="Amiri" w:ascii="Amiri" w:hAnsi="Amiri"/>
          <w:color w:val="111111"/>
          <w:sz w:val="28"/>
          <w:szCs w:val="28"/>
          <w:rtl w:val="true"/>
          <w:lang w:bidi="ar-SA"/>
        </w:rPr>
        <w:t xml:space="preserve">!» </w:t>
      </w:r>
      <w:bookmarkStart w:id="114" w:name="pg1994_19606"/>
    </w:p>
    <w:p>
      <w:pPr>
        <w:pStyle w:val="BookText"/>
        <w:rPr/>
      </w:pPr>
      <w:bookmarkEnd w:id="114"/>
      <w:r>
        <w:rPr>
          <w:rFonts w:ascii="Amiri" w:hAnsi="Amiri" w:eastAsia="Amiri" w:cs="Amiri"/>
          <w:color w:val="111111"/>
          <w:sz w:val="28"/>
          <w:sz w:val="28"/>
          <w:szCs w:val="28"/>
          <w:rtl w:val="true"/>
          <w:lang w:bidi="ar-SA"/>
        </w:rPr>
        <w:t xml:space="preserve">وغير ذلك من الروايات التي لا يسع المقام لذكرها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فبالتأمّل في هذه الروايات ونحوها، ممّا يشاركها في المضمون ذاته، يُكشَف لنا بوضوح عن لزوم البكاء وإقامة المأتم والجزع والنواح على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يكون 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العبادات لانها مأمور به من قبل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4"/>
        <w:numPr>
          <w:ilvl w:val="3"/>
          <w:numId w:val="1"/>
        </w:numPr>
        <w:rPr/>
      </w:pPr>
      <w:bookmarkStart w:id="115" w:name="__RefHeading___Toc3920564_3650668749"/>
      <w:bookmarkStart w:id="116" w:name="_Toc40"/>
      <w:bookmarkEnd w:id="115"/>
      <w:r>
        <w:rPr>
          <w:rtl w:val="true"/>
        </w:rPr>
        <w:t>الاستدلال القرآني على جواز البكاء</w:t>
      </w:r>
      <w:bookmarkEnd w:id="116"/>
    </w:p>
    <w:p>
      <w:pPr>
        <w:pStyle w:val="BookText"/>
        <w:rPr/>
      </w:pPr>
      <w:r>
        <w:rPr>
          <w:rFonts w:ascii="Amiri" w:hAnsi="Amiri" w:eastAsia="Amiri" w:cs="Amiri"/>
          <w:color w:val="111111"/>
          <w:sz w:val="28"/>
          <w:sz w:val="28"/>
          <w:szCs w:val="28"/>
          <w:rtl w:val="true"/>
          <w:lang w:bidi="ar-SA"/>
        </w:rPr>
        <w:t>حكى القرآن الكريم حُزن نبيّ الله يعقوب وما ألمَّ به من ضرر جرّاء هذا الحزن،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تَوَلَّى عَنْهُمْ وَ قالَ يا أَسَفى عَلى يُوسُفَ وَ ابْيَضَّتْ عَيْناهُ مِنَ الْحُزْنِ فَهُوَ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تَفْتَؤُا تَذْكُرُ يُوسُفَ حَتَّى تَكُونَ حَرَضاً أَوْ تَكُونَ مِنَ الْهالِكِينَ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ويتضح هذا الاستدلال في كلام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حينما سُئل عن طول حزنه وبكائه وجزعه على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الرواية المعتبرة التي رواها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أشرف مولى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سقيفة له ساجد يبكي،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يا علي بن الحسين، أما آن لحزنك أن ينقضي؟ فرفع رأسه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والله لقد شكى يعقوب إلى ربّه في أقلّ ممّا رأيت،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أَسَفى عَلى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فقد ابناً واحداً، وأنا رأيت أبي وجماعة أهل بيتي يذبّحون حولي</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بحار الأنوار رواية أُخرى، أنَّه حين قال له أحد مواليه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آن لحزنك أن ينقضي؟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يعقوب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اثنا عشر </w:t>
      </w:r>
    </w:p>
    <w:p>
      <w:pPr>
        <w:pStyle w:val="BookText"/>
        <w:rPr/>
      </w:pPr>
      <w:r>
        <w:rPr>
          <w:rFonts w:ascii="Amiri" w:hAnsi="Amiri" w:eastAsia="Amiri" w:cs="Amiri"/>
          <w:color w:val="111111"/>
          <w:sz w:val="28"/>
          <w:sz w:val="28"/>
          <w:szCs w:val="28"/>
          <w:rtl w:val="true"/>
          <w:lang w:bidi="ar-SA"/>
        </w:rPr>
        <w:t xml:space="preserve">ابناً، فغيّب الله واحداً منهم فابيضّت عيناه من كثرة بكائه عليه، واحدودب ظهره من الغمّ، وكان ابنه حيّاً في الدنيا، وأنا نظرت إلى أبي وأخي وعمّي وسبعة عشر من أهل بيتي مقتولين حولي، فكيف ينقضي حزني؟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ولكي يتبيّن الاستدلال بشكلٍ واضح، ينبغي إعطاء لمحة إجمالية عن ألفاظ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ابيضّت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أصابها البياض، وهو فقدان البصر، وهو ما يؤكده لنا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البكَّاؤون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ويعقوب، ويوسف، وفاطمة بنت محمد، وعلي بن الحسين، فأمّا يعقوب فبكى على يوسف حتى ذهب بصره</w:t>
      </w:r>
      <w:r>
        <w:rPr>
          <w:rFonts w:eastAsia="Amiri" w:cs="Amiri" w:ascii="Amiri" w:hAnsi="Amiri"/>
          <w:color w:val="111111"/>
          <w:sz w:val="28"/>
          <w:szCs w:val="28"/>
          <w:rtl w:val="true"/>
          <w:lang w:bidi="ar-SA"/>
        </w:rPr>
        <w:t xml:space="preserve">. . .»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أشار صريح القرآن الكريم بأنَّ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إليه بصره إلى أن شمّ قميص ولده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الْبَشِيرُ أَلْقاهُ عَلى وَجْهِهِ فَارْتَدَّ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والمراد من قوله تعالى تَاللَّهِ تَفْتَؤُا تَذْكُرُ يُوسُفَ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تفتر عن ذكر يوسف ولا تنقطع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حرضاً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مُشرفاً على الهلاك أو ميتاً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تقدّم يتَّضح جواز بل رجحان إظهار الحزن والجزع والبكاء على أولياءالله، حزناً على مصابهم أو شوقاً إليهم، وإن عُلم أنَّه يؤدِّي إلى الضرر الشديد، كفقدان البصر وانطفاء نور العينين وغير ذلك، بسبب الحزن والغمّ والبكاء والنحيب والجزع لأجل أولياء الله، كما هو واضح من أنَّ ما تعرّض له النبي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الأضرار الكبيرة كان بعلمه، وبعلم الآخرين من </w:t>
      </w:r>
    </w:p>
    <w:p>
      <w:pPr>
        <w:pStyle w:val="BookText"/>
        <w:rPr/>
      </w:pPr>
      <w:r>
        <w:rPr>
          <w:rFonts w:ascii="Amiri" w:hAnsi="Amiri" w:eastAsia="Amiri" w:cs="Amiri"/>
          <w:color w:val="111111"/>
          <w:sz w:val="28"/>
          <w:sz w:val="28"/>
          <w:szCs w:val="28"/>
          <w:rtl w:val="true"/>
          <w:lang w:bidi="ar-SA"/>
        </w:rPr>
        <w:t>حوله، كما يشير إلى ذلك القرآن الكريم عن قول أبنائه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تَكُونَ حَرَضاً أَوْ تَكُونَ مِنَ الْهالِكِينَ لأنَّهم كانوا يرون بأُمّ أعينهم أيّ ضررٍ وألمٍ يلحقه بنفسه بسبب شوقه وحزنه وجزعه على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بحياة ولده، كما يحكي القرآن الكريم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جَمِيلٌ عَسَى اللهُ أَنْ يَأْتِيَنِي بِهِمْ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أَشْكُوا بَثِّي وَ حُزْنِي إِلَى اللهِ وَ أَعْلَمُ مِنَ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اذْهَبُوا فَتَحَسَّسُوا مِنْ يُوسُفَ وَ أَخِيهِ وَ لا تَيْأَسُوا مِنْ رَوْحِ اللهِ إِنَّهُ لا يَيْأَسُ مِنْ رَوْحِ اللهِ إِلاَّ الْقَوْمُ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وكذلك ما ورد في الروايات الكثيرة التي تؤكّد ذلك، من قبيل ما رواه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يعقوب حين قال لولده اذْهَبُوا فَتَحَسَّسُوا مِنْ يُوسُفَ وَ أَخِيهِ ، كان يعلم أنَّه حيّ وقد فارقه منذ عشرين سنة وذهبت عيناه من الحزن والبكاء؟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علم أنّه حي؛ إنّه دعى ربّه في السحر أن يهبط عليه ملك الموت، فهبط عليه ملك الموت في أطيب رائحة وأحسن صورة،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الموت، أليس سألت الله أن يُنزلني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يا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الأرواح تقبضها جملة أو تفاريق؟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يقبضها أعواني متفرّقة وتُعرض عليّ مجتمعة،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 بإله إبراهيم وإسحاق ويعقوب، هل عُرض عليك في الأرواح روح يوسف؟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علم أنَّه حي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فَتَحَسَّسُوا مِنْ يُوسُفَ وَ أَخِيهِ وَ لا تَيْأَسُوا مِنْ رَوْحِ اللَّهِ إِنَّهُ لا يَيْأَسُ مِنْ رَوْحِ اللَّهِ إِلاَّ الْقَوْمُ الْكافِرُونَ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117" w:name="pg1994_19609"/>
    </w:p>
    <w:p>
      <w:pPr>
        <w:pStyle w:val="BookText"/>
        <w:rPr/>
      </w:pPr>
      <w:bookmarkEnd w:id="117"/>
      <w:r>
        <w:rPr>
          <w:rFonts w:ascii="Amiri" w:hAnsi="Amiri" w:eastAsia="Amiri" w:cs="Amiri"/>
          <w:color w:val="111111"/>
          <w:sz w:val="28"/>
          <w:sz w:val="28"/>
          <w:szCs w:val="28"/>
          <w:rtl w:val="true"/>
          <w:lang w:bidi="ar-SA"/>
        </w:rPr>
        <w:t xml:space="preserve">فبلغ من حزن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أنّه فقد بصره وابيضّ شعره واحدودب ظهره، وأسرع إليه الهرم، وبتعبير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سُئل عن حزن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حُزن سبعين ثكلى حرّى</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ذلك من أعظم القربات إلى الله سبحانه وتَعالى لما فعله هذا النبيّ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ولما قرّره الباري جلّ شأنه في كتابه العزيز</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3920566_3650668749"/>
      <w:bookmarkStart w:id="119" w:name="_Toc41"/>
      <w:bookmarkEnd w:id="118"/>
      <w:r>
        <w:rPr>
          <w:rtl w:val="true"/>
        </w:rPr>
        <w:t>تقريب الاستدلال</w:t>
      </w:r>
      <w:bookmarkEnd w:id="119"/>
    </w:p>
    <w:p>
      <w:pPr>
        <w:pStyle w:val="BookText"/>
        <w:rPr/>
      </w:pPr>
      <w:r>
        <w:rPr>
          <w:rFonts w:ascii="Amiri" w:hAnsi="Amiri" w:eastAsia="Amiri" w:cs="Amiri"/>
          <w:color w:val="111111"/>
          <w:sz w:val="28"/>
          <w:sz w:val="28"/>
          <w:szCs w:val="28"/>
          <w:rtl w:val="true"/>
          <w:lang w:bidi="ar-SA"/>
        </w:rPr>
        <w:t xml:space="preserve">بناءً على ما تقدَّم يمكن الاستدلال على جواز البكاء وإلحاق الضرر والجزع على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بالأولويَّة، من جهات متعدّدة،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منزلة ومقام سيد الشهداء على نبي الله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عظمة مصيبة سيد الشهداء بالقياس مع مصيبة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أنَّ مصيبة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قياسها مع ما جرى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وبهذا يتبيّن لنا من قصة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بل رجحان الإضرار بالنفس، حتى درجة فقدان البصر، شوقاً وحزناً على أولياء الله وما جرى عليهم</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3920568_3650668749"/>
      <w:bookmarkStart w:id="121" w:name="_Toc42"/>
      <w:bookmarkEnd w:id="120"/>
      <w:r>
        <w:rPr>
          <w:rtl w:val="true"/>
        </w:rPr>
        <w:t>التأييد الروائي</w:t>
      </w:r>
      <w:bookmarkEnd w:id="1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أبي‌محمود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المحرّم شهر كان أهل الجاهلية يحرّمون فيه القتال، فاستحلّت فيه دماؤنا، وهتكت فيه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حرمتنا، وسُبي فيه ذرارينا ونساؤنا، وأُضرمت النيران في مضاربنا، وانتهب ما فيها من ثقلنا، ولم ترع لرسول الله حرمة في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الحسين أقرح جفوننا، وأسبل دموعنا، وأذلّ عزيزنا بأرض كرب </w:t>
      </w:r>
      <w:bookmarkStart w:id="122" w:name="pg1994_19610"/>
    </w:p>
    <w:p>
      <w:pPr>
        <w:pStyle w:val="BookText"/>
        <w:rPr/>
      </w:pPr>
      <w:bookmarkEnd w:id="122"/>
      <w:r>
        <w:rPr>
          <w:rFonts w:ascii="Amiri" w:hAnsi="Amiri" w:eastAsia="Amiri" w:cs="Amiri"/>
          <w:color w:val="111111"/>
          <w:sz w:val="28"/>
          <w:sz w:val="28"/>
          <w:szCs w:val="28"/>
          <w:rtl w:val="true"/>
          <w:lang w:bidi="ar-SA"/>
        </w:rPr>
        <w:t>وبلاء، أورثتنا الكرب والبلاء إلى يوم الانقضاء، فعلى مثل الحسين فليبك الباكون، فإنّ البكاء عليه يحطّ الذنوب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أبي إذا دخل شهر المحرّم لا يُرى ضاحكاً، وكانت الكآبة تغلب عليه حتّى يمضي منه عشرة أيام، فإذا كان يوم العاشر، كان ذلك اليوم يوم مصيبته وحزنه وبكائه،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اليوم الذي قُتل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زيارة الناحية المقدّسة، حيث يقول إمام زماننا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فلئن أخّرتني الدّهور، وعاقني عن نصرك المقدور، ولم أكن لمَن حاربك محارباً، ولمَن نصب لك العداوة مناصباً، فلأندبنَّك صباحاً ومساءً، ولأبكينَّ لك بدل الدموع دماً، حسرةً عليك، وتأسّفاً على ما دهاك، وتلهّفاً حتّى أموت بلوعة المصاب وغصّة الاكتئاب</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وغير ذلك ممّا لا يسع المقام لذكرها</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3920570_3650668749"/>
      <w:bookmarkStart w:id="124" w:name="_Toc43"/>
      <w:bookmarkEnd w:id="123"/>
      <w:r>
        <w:rPr>
          <w:rtl w:val="true"/>
        </w:rPr>
        <w:t xml:space="preserve">الروايات الدالّة على استحباب الجزع على سيد الشهداء </w:t>
      </w:r>
      <w:r>
        <w:rPr>
          <w:rtl w:val="true"/>
        </w:rPr>
        <w:t>(</w:t>
      </w:r>
      <w:r>
        <w:rPr>
          <w:rtl w:val="true"/>
        </w:rPr>
        <w:t>ع</w:t>
      </w:r>
      <w:r>
        <w:rPr>
          <w:rtl w:val="true"/>
        </w:rPr>
        <w:t>)</w:t>
      </w:r>
      <w:bookmarkEnd w:id="124"/>
    </w:p>
    <w:p>
      <w:pPr>
        <w:pStyle w:val="BookText"/>
        <w:rPr/>
      </w:pPr>
      <w:r>
        <w:rPr>
          <w:rFonts w:ascii="Amiri" w:hAnsi="Amiri" w:eastAsia="Amiri" w:cs="Amiri"/>
          <w:color w:val="111111"/>
          <w:sz w:val="28"/>
          <w:sz w:val="28"/>
          <w:szCs w:val="28"/>
          <w:rtl w:val="true"/>
          <w:lang w:bidi="ar-SA"/>
        </w:rPr>
        <w:t>المراد من الجزع في لغة العرب هو نقيض الصبر، قال أبو هلال العسكري في الفروق اللغوية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 الرجل، حبس نفسه عن إظهار الجزع،</w:t>
      </w:r>
    </w:p>
    <w:p>
      <w:pPr>
        <w:pStyle w:val="BookText"/>
        <w:rPr/>
      </w:pPr>
      <w:r>
        <w:rPr>
          <w:rFonts w:ascii="Amiri" w:hAnsi="Amiri" w:eastAsia="Amiri" w:cs="Amiri"/>
          <w:color w:val="111111"/>
          <w:sz w:val="28"/>
          <w:sz w:val="28"/>
          <w:szCs w:val="28"/>
          <w:rtl w:val="true"/>
          <w:lang w:bidi="ar-SA"/>
        </w:rPr>
        <w:t>والجزع إظهار ما يلحق المصاب من المَضَضِ والغَمّ</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عليه جميع المعاجم اللغوية، لذا فإنَّ كلّ فعلٍ يفعله صاحب المصيبة يُعبِّر به عن عدم صبره، وعن تأثّره الشديد، فهو مصداق من مصاديق الجزع؛ إذ لايوجد في لغة العرب تحديد معيّن لمعنى الجزع؛ </w:t>
      </w:r>
    </w:p>
    <w:p>
      <w:pPr>
        <w:pStyle w:val="BookText"/>
        <w:rPr/>
      </w:pPr>
      <w:r>
        <w:rPr>
          <w:rFonts w:ascii="Amiri" w:hAnsi="Amiri" w:eastAsia="Amiri" w:cs="Amiri"/>
          <w:color w:val="111111"/>
          <w:sz w:val="28"/>
          <w:sz w:val="28"/>
          <w:szCs w:val="28"/>
          <w:rtl w:val="true"/>
          <w:lang w:bidi="ar-SA"/>
        </w:rPr>
        <w:t>وذلك لأنَّ حقيقة الجزع هو الحزن بلا حدود، وعليه فلا يكون له حدّ معيّن وخاص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 مراتب الجزع عُرفاً هو العويل والضجيج والصراخ، والبكاء الذي لاينقطع، مصحوباً بلطم الوجه وضرب الرأس ولدم الصدر، إلى غير ذلك ممّا يقع في هذه المرتبة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المرتبة الأشدّ عُرفاً، فهي ما يكون فيها هلاك النفس، كما هو ظاهر الحديث المتقدّم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فكادت نفسي تخرج، وتبيّنت ذلك منّي عمَّتي زينب الكبرى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أراك تجود بنفسك يا بقيَّة جدّي وأبي وإخوتي؟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أجزع وأهلع؟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ولايخفى أنَّ معنى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كادت نفسي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أنَّها قد أوشكت على الموت أو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تجود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لغة العرب ولسانهم، التي لا تقال إلاّ لمَن يكون الموت وشيكاً وقريباً جداً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وكيف لا أجزع وأهلع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فهو واضح الدلالة على استحباب الجزع، والهلع أفضليته، الذي هو أفحش من الجزع في لغة</w:t>
      </w:r>
    </w:p>
    <w:p>
      <w:pPr>
        <w:pStyle w:val="BookText"/>
        <w:rPr/>
      </w:pPr>
      <w:r>
        <w:rPr>
          <w:rFonts w:ascii="IRNazanin" w:hAnsi="IRNazanin" w:eastAsia="IRNazanin"/>
          <w:color w:val="111111"/>
          <w:sz w:val="28"/>
          <w:sz w:val="28"/>
          <w:szCs w:val="28"/>
          <w:rtl w:val="true"/>
          <w:lang w:bidi="fa-IR"/>
        </w:rPr>
        <w:t xml:space="preserve">العرب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لم‌يكن محبوباً عند الله سبحانه وتعالى لما فعله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دعاء الندبة الشريف، الذي يرويه سيدنا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إقبال الأعمال، ومصباح الزائر، وجمال الأسبوع، والشيخ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بحارالأنوار؛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مناجياً نادباً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من معين فأُطيل معه العويل والبكاء؟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جزوع فأساعد جزعه إذا خلا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الواضح أنّ معنى الجزوع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هو صيغة مبالغة للجازع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الروايات الدالة على استحباب الجزع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الجزع والبكاء مكروه، سوى الجزع والبكاء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بن أبي حمزة، عن أبيه،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البكاء والجزع مكروه للعبد في كلّ ما جزع، ما خلا البكاء والجزع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فيه مأجور</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مسمع بن عبدالملك البصري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مسمع، أنت من أهل العراق؛ أما تأتي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تذكر ما صنع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فتجزع؟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واستعبر لذلك حتى يرى أهلي أثر ذلك عليّ، فأمتنع من الطعام حتى يستبين ذلك في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دمعتك، أما إنّك من الذين يعدّون من أهل الجزع لنا</w:t>
      </w:r>
      <w:r>
        <w:rPr>
          <w:rFonts w:eastAsia="Amiri" w:cs="Amiri" w:ascii="Amiri" w:hAnsi="Amiri"/>
          <w:color w:val="111111"/>
          <w:sz w:val="28"/>
          <w:szCs w:val="28"/>
          <w:rtl w:val="true"/>
          <w:lang w:bidi="ar-SA"/>
        </w:rPr>
        <w:t xml:space="preserve">. . .»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مالك الجهني، عن أبي‌جعفر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مراسم يوم عاشوراء</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ليندب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ويبكيه، ويأمر مَن في داره بالبكاء عليه، ويقيم في داره مصيبته بإظهار الجزع عليه</w:t>
      </w:r>
      <w:r>
        <w:rPr>
          <w:rFonts w:eastAsia="Amiri" w:cs="Amiri" w:ascii="Amiri" w:hAnsi="Amiri"/>
          <w:color w:val="111111"/>
          <w:sz w:val="28"/>
          <w:szCs w:val="28"/>
          <w:rtl w:val="true"/>
          <w:lang w:bidi="ar-SA"/>
        </w:rPr>
        <w:t xml:space="preserve">. . .»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قدامة بن زائدة عن أبيه، عن إمامنا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لمّا أصابنا بالطفّ ما أصابنا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فكادت نفسي تخرج، وتبيَّنت ذلك منّي </w:t>
      </w:r>
      <w:bookmarkStart w:id="125" w:name="pg1994_19613"/>
    </w:p>
    <w:p>
      <w:pPr>
        <w:pStyle w:val="BookText"/>
        <w:rPr/>
      </w:pPr>
      <w:bookmarkEnd w:id="125"/>
      <w:r>
        <w:rPr>
          <w:rFonts w:ascii="Amiri" w:hAnsi="Amiri" w:eastAsia="Amiri" w:cs="Amiri"/>
          <w:color w:val="111111"/>
          <w:sz w:val="28"/>
          <w:sz w:val="28"/>
          <w:szCs w:val="28"/>
          <w:rtl w:val="true"/>
          <w:lang w:bidi="ar-SA"/>
        </w:rPr>
        <w:t xml:space="preserve">عمّتي زينب الكبرى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أراك تجود بنفسك يا بقية جدّي وأبي وإخوتي؟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أجزع وأهلع وقد أرى سيدي وإخوتي وعمومتي وولد عمّي وأهلي مصرّعين بدمائهم، مرمّلين بالعرى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3920572_3650668749"/>
      <w:bookmarkStart w:id="127" w:name="_Toc44"/>
      <w:bookmarkEnd w:id="126"/>
      <w:r>
        <w:rPr>
          <w:rtl w:val="true"/>
        </w:rPr>
        <w:t>الحاصل من روايات الجزع</w:t>
      </w:r>
      <w:bookmarkEnd w:id="1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سند هذه الروايات، بل إنَّها في غاية الاعتبار والقبول، كما هو واضح لمَن نظر إلى مسانيدها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الروايات واضحة وصريحة الدلالة على أنَّ الجزع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مؤكَّد، لاسيما في يوم عاشوراء</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3920574_3650668749"/>
      <w:bookmarkStart w:id="129" w:name="_Toc45"/>
      <w:bookmarkEnd w:id="128"/>
      <w:r>
        <w:rPr>
          <w:rtl w:val="true"/>
        </w:rPr>
        <w:t xml:space="preserve">البكاء على الحسين </w:t>
      </w:r>
      <w:r>
        <w:rPr>
          <w:rtl w:val="true"/>
        </w:rPr>
        <w:t>(</w:t>
      </w:r>
      <w:r>
        <w:rPr>
          <w:rtl w:val="true"/>
        </w:rPr>
        <w:t>ع</w:t>
      </w:r>
      <w:r>
        <w:rPr>
          <w:rtl w:val="true"/>
        </w:rPr>
        <w:t xml:space="preserve">) </w:t>
      </w:r>
      <w:r>
        <w:rPr>
          <w:rtl w:val="true"/>
        </w:rPr>
        <w:t>في مصادر أهل السُنَّة</w:t>
      </w:r>
      <w:bookmarkEnd w:id="129"/>
    </w:p>
    <w:p>
      <w:pPr>
        <w:pStyle w:val="Heading5"/>
        <w:numPr>
          <w:ilvl w:val="4"/>
          <w:numId w:val="1"/>
        </w:numPr>
        <w:rPr/>
      </w:pPr>
      <w:bookmarkStart w:id="130" w:name="__RefHeading___Toc3920576_3650668749"/>
      <w:bookmarkStart w:id="131" w:name="_Toc46"/>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 xml:space="preserve">لم يكن الأمر مقتصراً على التراث المروي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بل يتخطَّاه إلى احاديث الفريق الآخر، التي تسجل التقاء في التأكيد على المضمون ذاته، وإليك إضمامة من هذه الاحاديث</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و غيره، عن عبدالله بن نجى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سار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صاحب مطهرته، فلمّا حاذى نينوى وهو منطلق إلى صفين، فنادى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اصبر أبا عبدالله، اصبر أبا عبدالله بشط الفرات،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وعيناه تفيضان، قلت يا نبي الله، أغضبك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 عينيك تفيضان؟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قام من عندي جبريل قبل فحدَّثني أنّ الحسين يُقتَل بشط الفرات،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إلى أن أشمّك </w:t>
      </w:r>
    </w:p>
    <w:p>
      <w:pPr>
        <w:pStyle w:val="BookText"/>
        <w:rPr/>
      </w:pPr>
      <w:r>
        <w:rPr>
          <w:rFonts w:ascii="Amiri" w:hAnsi="Amiri" w:eastAsia="Amiri" w:cs="Amiri"/>
          <w:color w:val="111111"/>
          <w:sz w:val="28"/>
          <w:sz w:val="28"/>
          <w:szCs w:val="28"/>
          <w:rtl w:val="true"/>
          <w:lang w:bidi="ar-SA"/>
        </w:rPr>
        <w:t xml:space="preserve">من تربته؟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فمدَّ يده فقبض قبضة من تراب فأعطانيها، فلم أملك عيني أن فاضتا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الهيثمي في مجمع الزوائد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ذات يوم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عليّ أحد، فانتظرت، فدخل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فسمعت نشيج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فاطّلعت فإذا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حجره،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جبينه وهو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علمت حين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 في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الدنيا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أُمّتك ستقتل هذا بأرضٍ يُقال لها كربلاء، فتناول جبريل من تربتها فأراها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أُحيط بحسين</w:t>
      </w:r>
      <w:r>
        <w:rPr>
          <w:rStyle w:val="FootnoteAnchor"/>
          <w:rtl w:val="true"/>
        </w:rPr>
        <w:footnoteReference w:id="77"/>
      </w:r>
      <w:r>
        <w:rPr>
          <w:rFonts w:ascii="Amiri" w:hAnsi="Amiri" w:eastAsia="Amiri" w:cs="Amiri"/>
          <w:color w:val="111111"/>
          <w:sz w:val="28"/>
          <w:sz w:val="28"/>
          <w:szCs w:val="28"/>
          <w:rtl w:val="true"/>
          <w:lang w:bidi="ar-SA"/>
        </w:rPr>
        <w:t>حين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هذه 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 وبلاء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وأبو يعلى والبزار</w:t>
      </w:r>
    </w:p>
    <w:p>
      <w:pPr>
        <w:pStyle w:val="BookText"/>
        <w:rPr/>
      </w:pPr>
      <w:r>
        <w:rPr>
          <w:rFonts w:ascii="Amiri" w:hAnsi="Amiri" w:eastAsia="Amiri" w:cs="Amiri"/>
          <w:color w:val="111111"/>
          <w:sz w:val="28"/>
          <w:sz w:val="28"/>
          <w:szCs w:val="28"/>
          <w:rtl w:val="true"/>
          <w:lang w:bidi="ar-SA"/>
        </w:rPr>
        <w:t xml:space="preserve">والطبراني، ورجاله ثقات، ولم ينفرد نجي بهذا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تنص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على مصاب ولده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جاء جبرئيل بتربة كربلاء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الإمام أحمد في مسنده،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أبى، ثنا عفان، ثنا حماد، هو ابن سلمة، أنا عمار،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يرى النائم بنصف النهار، وهو قائم أشعث أغبر، بيده قارورة فيها دم،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دم الحسين </w:t>
      </w:r>
      <w:bookmarkStart w:id="132" w:name="pg1994_19615"/>
    </w:p>
    <w:p>
      <w:pPr>
        <w:pStyle w:val="BookText"/>
        <w:rPr/>
      </w:pPr>
      <w:bookmarkEnd w:id="132"/>
      <w:r>
        <w:rPr>
          <w:rFonts w:ascii="Amiri" w:hAnsi="Amiri" w:eastAsia="Amiri" w:cs="Amiri"/>
          <w:color w:val="111111"/>
          <w:sz w:val="28"/>
          <w:sz w:val="28"/>
          <w:szCs w:val="28"/>
          <w:rtl w:val="true"/>
          <w:lang w:bidi="ar-SA"/>
        </w:rPr>
        <w:t>وأصحابه، لم أزل ألتقطه منذ اليوم، فأحصينا ذلك اليوم فوجدوه قتل في ذلك اليوم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وعلَّق شعيب الأرنؤوط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قوي على شرط مسلم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محمد بن علي الجوهري ببغداد، ثنا أبو الأحوص محمد بن الهيثم القاضي، ثنا محمد بن مصعب، ثنا الأوزاعي، عن أبي‌عمار شداد بن عبدالله، عن أُمّ الفضل بنت الحارث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دخلت على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رأيت حلماًٍ منكَراً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 قطعة من جسدك قطعت في حجري،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خيراً؛ تلد فاطمة إن شاء الله غلاماً فيكون في حجرك، فولدت فاطمة الحسين فكان في حجري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فدخلت يوماً إلى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فوضعته في حجره ثُمَّ حانت منّي التفاتة، فإذا 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تهريقان من الدموع، قالت،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بأبي أنت و أُمّي،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w:t>
      </w:r>
    </w:p>
    <w:p>
      <w:pPr>
        <w:pStyle w:val="BookText"/>
        <w:rPr/>
      </w:pPr>
      <w:r>
        <w:rPr>
          <w:rFonts w:ascii="Amiri" w:hAnsi="Amiri" w:eastAsia="Amiri" w:cs="Amiri"/>
          <w:color w:val="111111"/>
          <w:sz w:val="28"/>
          <w:sz w:val="28"/>
          <w:szCs w:val="28"/>
          <w:rtl w:val="true"/>
          <w:lang w:bidi="ar-SA"/>
        </w:rPr>
        <w:t>أنّ أُمّتي ستقتل ابني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أتاني بتربة من تربته حمراء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صحيح على شرط الشيخين و لم يخرجاه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الروايات الكثيرة</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3920578_3650668749"/>
      <w:bookmarkStart w:id="134" w:name="_Toc47"/>
      <w:bookmarkEnd w:id="133"/>
      <w:r>
        <w:rPr>
          <w:rtl w:val="true"/>
        </w:rPr>
        <w:t xml:space="preserve">بكاء السماء دماً حزناً على الحسين </w:t>
      </w:r>
      <w:r>
        <w:rPr>
          <w:rtl w:val="true"/>
        </w:rPr>
        <w:t>(</w:t>
      </w:r>
      <w:r>
        <w:rPr>
          <w:rtl w:val="true"/>
        </w:rPr>
        <w:t>ع</w:t>
      </w:r>
      <w:r>
        <w:rPr>
          <w:rtl w:val="true"/>
        </w:rPr>
        <w:t xml:space="preserve">) </w:t>
      </w:r>
      <w:r>
        <w:rPr>
          <w:rtl w:val="true"/>
        </w:rPr>
        <w:t>في مصادر أهل السُنَّة</w:t>
      </w:r>
      <w:bookmarkEnd w:id="13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مرَّ بكربلاء، موضع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فتية من آل محمد يُقتلون بهذه العرصة، تبكي عليهم السماء والأرض</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يوم قتل الحسين بن علي مطرت السماء دماً، فأصبح جرارنا وكل شيء لنا ملأى دماً</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يوم قتل الحسين قطرت السماء دماً، وإنَّ هذا الحمرة التي تُرى في السماء ظهرت يوم قتله ولم تُرَ قبله، وإنَّ أيّام قتله لم‌يُرفَع حجر في الدنيا إلاّ وُجد تحته دم</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قرة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بكت السماء على أحد إلاّ على يحيى بن زكريا والحسين بن علي، وحمرتها بكاؤها</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مطرنا دماً يوم قتل الحسين</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حدثت هذه الحمرة التي في السماء حين قُتل الحسين</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بسنده عن علي بن مسهر، حدَّثتني أُمّ حكيم،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يومئذٍ جويرية، فمكثت السماء أيَّاماً مثل العلقة</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البيهقي عن نظرة الأزدية،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بن علي مطرت السماء دماً، فأصبحت جرارنا وكل شيء لنا ملأى دماً</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بكت السماء، وبكاؤها حمرتها</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هلال بن ذكوان،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مكث الناس شهرين أو ثلاثة، كأنّما لطخت الحيطان بالدم من صلاة الفجر إلى غروب الشمس</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مكث الناس شهرين أو ثلاثة، كأنّها تلطخ الحوائط بالدماء ساعة تطلع الشمس حتى ترتفع</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أبي‌جرادة بسندٍ متّصل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مطرنا مطراً بقي أثره في ثيابنا مثل الدم</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خالتي أُمّ سالم،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بن علي، مطرناً مطراً كالدم على البيوت والجرد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وبلغني أنه</w:t>
      </w:r>
    </w:p>
    <w:p>
      <w:pPr>
        <w:pStyle w:val="BookText"/>
        <w:rPr/>
      </w:pPr>
      <w:r>
        <w:rPr>
          <w:rFonts w:ascii="Amiri" w:hAnsi="Amiri" w:eastAsia="Amiri" w:cs="Amiri"/>
          <w:color w:val="111111"/>
          <w:sz w:val="28"/>
          <w:sz w:val="28"/>
          <w:szCs w:val="28"/>
          <w:rtl w:val="true"/>
          <w:lang w:bidi="ar-SA"/>
        </w:rPr>
        <w:t>كان بخراسان والشام والكوفة</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بن علي احمرَّت آفاق السماء أربعة أشهر</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جرادة، بسندٍ متّصل عن إبراهيم النخعي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احمرَّت السماء من أقطارها، ثُمَّ لم تزل حتى تفطرت وقطرت دماً</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135" w:name="pg1994_19618"/>
    </w:p>
    <w:p>
      <w:pPr>
        <w:pStyle w:val="BookText"/>
        <w:rPr/>
      </w:pPr>
      <w:bookmarkEnd w:id="135"/>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أيضاً بسندٍ متصل عن مسعدة، عن جابر، عن قرط بن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مطرت ذات يوم بنصف النهار، فأصابت ثوبي، فإذا دم، فذهبت بالإبل إلى الوادي فإذا دم، فلم تشرب، وإذا هو يوم قُتل الحسين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 عن حماد بن سلمة وابن علية، عن سليم القاص أبي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مطرنا يوم قُتل الحسين دماً</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الصواعق عن أبي نعيم الحافظ، عن نصرة الأزدية،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بن علي أمطرت السماء دماً، فأصبحنا وجبابنا وجرارنا مملوءة دماً</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الصواعق أيضاً، قال أبو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مطرت السماء دماً بقي أثره في الثياب مدّة حتى تقطعت</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 الناس أنَّ القيامة قد قامت</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خطط المقريزي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السماء أمطرت دماً، فأصبح كل شيء لهم ملآن دماً</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 أي يوم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Heading5"/>
        <w:numPr>
          <w:ilvl w:val="4"/>
          <w:numId w:val="1"/>
        </w:numPr>
        <w:rPr/>
      </w:pPr>
      <w:bookmarkStart w:id="136" w:name="__RefHeading___Toc3920580_3650668749"/>
      <w:bookmarkStart w:id="137" w:name="_Toc48"/>
      <w:bookmarkEnd w:id="136"/>
      <w:r>
        <w:rPr>
          <w:rtl w:val="true"/>
        </w:rPr>
        <w:t xml:space="preserve">بكاء الأرض دماً عبيطاً على الحسين </w:t>
      </w:r>
      <w:r>
        <w:rPr>
          <w:rtl w:val="true"/>
        </w:rPr>
        <w:t>(</w:t>
      </w:r>
      <w:r>
        <w:rPr>
          <w:rtl w:val="true"/>
        </w:rPr>
        <w:t>ع</w:t>
      </w:r>
      <w:r>
        <w:rPr>
          <w:rtl w:val="true"/>
        </w:rPr>
        <w:t xml:space="preserve">) </w:t>
      </w:r>
      <w:r>
        <w:rPr>
          <w:rtl w:val="true"/>
        </w:rPr>
        <w:t>في مصادر أهل السُنَّة</w:t>
      </w:r>
      <w:bookmarkEnd w:id="13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الهيثمي عن الزهري،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تُرفع حصاة ببيت المقدس إلّا وجد تحتها دم عبيط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ورجاله ثقات</w:t>
      </w:r>
      <w:r>
        <w:rPr>
          <w:rFonts w:eastAsia="Amiri" w:cs="Amiri" w:ascii="Amiri" w:hAnsi="Amiri"/>
          <w:color w:val="111111"/>
          <w:sz w:val="28"/>
          <w:szCs w:val="28"/>
          <w:rtl w:val="true"/>
          <w:lang w:bidi="ar-SA"/>
        </w:rPr>
        <w:t xml:space="preserve">. </w:t>
      </w:r>
      <w:r>
        <w:rPr>
          <w:rStyle w:val="FootnoteAnchor"/>
          <w:rtl w:val="true"/>
        </w:rPr>
        <w:footnoteReference w:id="102"/>
      </w:r>
      <w:bookmarkStart w:id="138" w:name="pg1994_19619"/>
    </w:p>
    <w:p>
      <w:pPr>
        <w:pStyle w:val="BookText"/>
        <w:rPr/>
      </w:pPr>
      <w:bookmarkEnd w:id="13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خطط المقريزي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يُقلَب حجر من أحجار بيت المقدس، يوم قتل الحسين، إلاّ وجد تحته دم عبيط</w:t>
      </w:r>
      <w:r>
        <w:rPr>
          <w:rFonts w:eastAsia="Amiri" w:cs="Amiri" w:ascii="Amiri" w:hAnsi="Amiri"/>
          <w:color w:val="111111"/>
          <w:sz w:val="28"/>
          <w:szCs w:val="28"/>
          <w:rtl w:val="true"/>
          <w:lang w:bidi="ar-SA"/>
        </w:rPr>
        <w:t xml:space="preserve">» (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رُفع بالشام حجر يوم قتل الحسين إلاّ عن 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ورجاله رجال الصحيح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رُفع حجر في الدنيا لمّا قُتل الحسين إلاّ وتحته دماً عبيطاً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مطرت السماء دماً بقي أثره في الثياب مدَّة حتى تقطعت</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خلاد صاحب السمسم،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حدَّثتني أُمّي،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زمناً بعد مقتل الحسين وأنّ الشمس تطلع مُحمرة على الحيطان والجدر بالغداة والعشي،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لا يرفعون حجراً إلاّ وُجد تحته دم</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 w:name="__RefHeading___Toc3920582_3650668749"/>
      <w:bookmarkStart w:id="140" w:name="_Toc49"/>
      <w:bookmarkEnd w:id="139"/>
      <w:r>
        <w:rPr>
          <w:rtl w:val="true"/>
        </w:rPr>
        <w:t>كسوف الشمس واضطراب الكواكب بعد عاشوراء في مصادر أهل السُنَّة</w:t>
      </w:r>
      <w:bookmarkEnd w:id="1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حارث الكندي،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مكثنا سبعة أيّام إذا صلّينا العصر نظرنا إلى الشمس على أطراف الحيطان كأنّها الملاحف المعصفرة، ونظرنا الكواكب يضرب بعضها بعضاً</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خلف بن خليفة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اسودَّت السماء وظهرت الكواكب نهاراً، حتى رأيت الجوزاء عند العصر، وسقط التراب الأحمر</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141" w:name="pg1994_19620"/>
    </w:p>
    <w:p>
      <w:pPr>
        <w:pStyle w:val="BookText"/>
        <w:rPr/>
      </w:pPr>
      <w:bookmarkEnd w:id="14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قبيل،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بن علي كسفت الشمس كسفة، بدت الكواكب نصف النهار، حتى ظننا أنَّها هي</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وإسناده حسن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3920584_3650668749"/>
      <w:bookmarkStart w:id="143" w:name="_Toc50"/>
      <w:bookmarkEnd w:id="142"/>
      <w:r>
        <w:rPr>
          <w:rtl w:val="true"/>
        </w:rPr>
        <w:t xml:space="preserve">بكاء ملائكة السماء على الحسين </w:t>
      </w:r>
      <w:r>
        <w:rPr>
          <w:rtl w:val="true"/>
        </w:rPr>
        <w:t>(</w:t>
      </w:r>
      <w:r>
        <w:rPr>
          <w:rtl w:val="true"/>
        </w:rPr>
        <w:t>ع</w:t>
      </w:r>
      <w:r>
        <w:rPr>
          <w:rtl w:val="true"/>
        </w:rPr>
        <w:t xml:space="preserve">) </w:t>
      </w:r>
      <w:r>
        <w:rPr>
          <w:rtl w:val="true"/>
        </w:rPr>
        <w:t>في مصادر أهل السُنَّة</w:t>
      </w:r>
      <w:bookmarkEnd w:id="143"/>
    </w:p>
    <w:p>
      <w:pPr>
        <w:pStyle w:val="BookText"/>
        <w:rPr/>
      </w:pPr>
      <w:r>
        <w:rPr>
          <w:rFonts w:ascii="Amiri" w:hAnsi="Amiri" w:eastAsia="Amiri" w:cs="Amiri"/>
          <w:color w:val="111111"/>
          <w:sz w:val="28"/>
          <w:sz w:val="28"/>
          <w:szCs w:val="28"/>
          <w:rtl w:val="true"/>
          <w:lang w:bidi="ar-SA"/>
        </w:rPr>
        <w:t xml:space="preserve">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مسلوب العمامة والرداء، أنا ابن من بكت عليه ملائكة السماء</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3920586_3650668749"/>
      <w:bookmarkStart w:id="145" w:name="_Toc51"/>
      <w:bookmarkEnd w:id="144"/>
      <w:r>
        <w:rPr>
          <w:rtl w:val="true"/>
        </w:rPr>
        <w:t xml:space="preserve">ومن حوادث غريبة بعد واقعة عاشوراء في مصادر أهل السُنَّة هي نوح الجنّ على الحسين </w:t>
      </w:r>
      <w:r>
        <w:rPr>
          <w:rtl w:val="true"/>
        </w:rPr>
        <w:t>(</w:t>
      </w:r>
      <w:r>
        <w:rPr>
          <w:rtl w:val="true"/>
        </w:rPr>
        <w:t>ع</w:t>
      </w:r>
      <w:r>
        <w:rPr>
          <w:rtl w:val="true"/>
        </w:rPr>
        <w:t>)</w:t>
      </w:r>
      <w:bookmarkEnd w:id="145"/>
    </w:p>
    <w:p>
      <w:pPr>
        <w:pStyle w:val="BookText"/>
        <w:rPr/>
      </w:pPr>
      <w:r>
        <w:rPr>
          <w:rFonts w:ascii="Amiri" w:hAnsi="Amiri" w:eastAsia="Amiri" w:cs="Amiri"/>
          <w:color w:val="111111"/>
          <w:sz w:val="28"/>
          <w:sz w:val="28"/>
          <w:szCs w:val="28"/>
          <w:rtl w:val="true"/>
          <w:lang w:bidi="ar-SA"/>
        </w:rPr>
        <w:t>فعن أُمَّ سلمة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الجن تنوح على الحسين بن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ورجاله رجال الصحيح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وعنها أيضاً،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سمعت نوح الجن منذ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الليلة، وما أرى مشهور إلاّ قد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فقالت لجاريتها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فسَلي، فأخبرت أنّه قد قُتل، وإذا جنية تنوح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عين فاحتفلي بجهد</w:t>
      </w:r>
    </w:p>
    <w:p>
      <w:pPr>
        <w:pStyle w:val="BookText"/>
        <w:rPr/>
      </w:pPr>
      <w:r>
        <w:rPr>
          <w:rFonts w:ascii="Amiri" w:hAnsi="Amiri" w:eastAsia="Amiri" w:cs="Amiri"/>
          <w:color w:val="111111"/>
          <w:sz w:val="28"/>
          <w:sz w:val="28"/>
          <w:szCs w:val="28"/>
          <w:rtl w:val="true"/>
          <w:lang w:bidi="ar-SA"/>
        </w:rPr>
        <w:t>ومن يبكي على الشهداء بعدي</w:t>
      </w:r>
    </w:p>
    <w:p>
      <w:pPr>
        <w:pStyle w:val="BookText"/>
        <w:rPr/>
      </w:pPr>
      <w:r>
        <w:rPr>
          <w:rFonts w:ascii="Amiri" w:hAnsi="Amiri" w:eastAsia="Amiri" w:cs="Amiri"/>
          <w:color w:val="111111"/>
          <w:sz w:val="28"/>
          <w:sz w:val="28"/>
          <w:szCs w:val="28"/>
          <w:rtl w:val="true"/>
          <w:lang w:bidi="ar-SA"/>
        </w:rPr>
        <w:t>على رهطٍ تقودهم المنايا</w:t>
      </w:r>
    </w:p>
    <w:p>
      <w:pPr>
        <w:pStyle w:val="BookText"/>
        <w:rPr/>
      </w:pPr>
      <w:r>
        <w:rPr>
          <w:rFonts w:ascii="Amiri" w:hAnsi="Amiri" w:eastAsia="Amiri" w:cs="Amiri"/>
          <w:color w:val="111111"/>
          <w:sz w:val="28"/>
          <w:sz w:val="28"/>
          <w:szCs w:val="28"/>
          <w:rtl w:val="true"/>
          <w:lang w:bidi="ar-SA"/>
        </w:rPr>
        <w:t>إلى متحير في ملك عبدي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ميمونة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الجن تنوح على الحسين بن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ورجاله رجال الصحيح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146" w:name="pg1994_19621"/>
    </w:p>
    <w:p>
      <w:pPr>
        <w:pStyle w:val="BookText"/>
        <w:rPr/>
      </w:pPr>
      <w:bookmarkEnd w:id="146"/>
      <w:r>
        <w:rPr>
          <w:rFonts w:ascii="Amiri" w:hAnsi="Amiri" w:eastAsia="Amiri" w:cs="Amiri"/>
          <w:color w:val="111111"/>
          <w:sz w:val="28"/>
          <w:sz w:val="28"/>
          <w:szCs w:val="28"/>
          <w:rtl w:val="true"/>
          <w:lang w:bidi="ar-SA"/>
        </w:rPr>
        <w:t>وعن أبي جناب الكعبي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الجصاصون،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خرجنا إلى الجبان، بالليل عند مقتل الحسين، سمعنا الجن ينوحون عليه ويقولون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الرسولُ جبينَه</w:t>
      </w:r>
    </w:p>
    <w:p>
      <w:pPr>
        <w:pStyle w:val="BookText"/>
        <w:rPr/>
      </w:pPr>
      <w:r>
        <w:rPr>
          <w:rFonts w:ascii="Amiri" w:hAnsi="Amiri" w:eastAsia="Amiri" w:cs="Amiri"/>
          <w:color w:val="111111"/>
          <w:sz w:val="28"/>
          <w:sz w:val="28"/>
          <w:szCs w:val="28"/>
          <w:rtl w:val="true"/>
          <w:lang w:bidi="ar-SA"/>
        </w:rPr>
        <w:t>فله بريق في الخدود</w:t>
      </w:r>
    </w:p>
    <w:p>
      <w:pPr>
        <w:pStyle w:val="BookText"/>
        <w:rPr/>
      </w:pPr>
      <w:r>
        <w:rPr>
          <w:rFonts w:ascii="Amiri" w:hAnsi="Amiri" w:eastAsia="Amiri" w:cs="Amiri"/>
          <w:color w:val="111111"/>
          <w:sz w:val="28"/>
          <w:sz w:val="28"/>
          <w:szCs w:val="28"/>
          <w:rtl w:val="true"/>
          <w:lang w:bidi="ar-SA"/>
        </w:rPr>
        <w:t>أبواه من عليا قريش</w:t>
      </w:r>
    </w:p>
    <w:p>
      <w:pPr>
        <w:pStyle w:val="BookText"/>
        <w:rPr/>
      </w:pPr>
      <w:r>
        <w:rPr>
          <w:rFonts w:ascii="Amiri" w:hAnsi="Amiri" w:eastAsia="Amiri" w:cs="Amiri"/>
          <w:color w:val="111111"/>
          <w:sz w:val="28"/>
          <w:sz w:val="28"/>
          <w:szCs w:val="28"/>
          <w:rtl w:val="true"/>
          <w:lang w:bidi="ar-SA"/>
        </w:rPr>
        <w:t>وجدّه خير الجدود</w:t>
      </w:r>
    </w:p>
    <w:p>
      <w:pPr>
        <w:pStyle w:val="BookText"/>
        <w:rPr/>
      </w:pPr>
      <w:r>
        <w:rPr>
          <w:rStyle w:val="FootnoteAnchor"/>
          <w:rtl w:val="true"/>
        </w:rPr>
        <w:footnoteReference w:id="114"/>
      </w:r>
    </w:p>
    <w:p>
      <w:pPr>
        <w:pStyle w:val="Heading5"/>
        <w:numPr>
          <w:ilvl w:val="4"/>
          <w:numId w:val="1"/>
        </w:numPr>
        <w:rPr/>
      </w:pPr>
      <w:bookmarkStart w:id="147" w:name="__RefHeading___Toc3920588_3650668749"/>
      <w:bookmarkStart w:id="148" w:name="_Toc52"/>
      <w:bookmarkEnd w:id="147"/>
      <w:r>
        <w:rPr>
          <w:rtl w:val="true"/>
        </w:rPr>
        <w:t xml:space="preserve">المآتم التي أقامها الرسول </w:t>
      </w:r>
      <w:r>
        <w:rPr>
          <w:rtl w:val="true"/>
        </w:rPr>
        <w:t>(</w:t>
      </w:r>
      <w:r>
        <w:rPr>
          <w:rtl w:val="true"/>
        </w:rPr>
        <w:t>ص</w:t>
      </w:r>
      <w:r>
        <w:rPr>
          <w:rtl w:val="true"/>
        </w:rPr>
        <w:t xml:space="preserve">) </w:t>
      </w:r>
      <w:r>
        <w:rPr>
          <w:rtl w:val="true"/>
        </w:rPr>
        <w:t xml:space="preserve">على الحسين </w:t>
      </w:r>
      <w:r>
        <w:rPr>
          <w:rtl w:val="true"/>
        </w:rPr>
        <w:t>(</w:t>
      </w:r>
      <w:r>
        <w:rPr>
          <w:rtl w:val="true"/>
        </w:rPr>
        <w:t>ع</w:t>
      </w:r>
      <w:r>
        <w:rPr>
          <w:rtl w:val="true"/>
        </w:rPr>
        <w:t xml:space="preserve">) </w:t>
      </w:r>
      <w:r>
        <w:rPr>
          <w:rtl w:val="true"/>
        </w:rPr>
        <w:t>في مصادر السُنَّة</w:t>
      </w:r>
      <w:bookmarkEnd w:id="148"/>
    </w:p>
    <w:p>
      <w:pPr>
        <w:pStyle w:val="Heading6"/>
        <w:numPr>
          <w:ilvl w:val="5"/>
          <w:numId w:val="1"/>
        </w:numPr>
        <w:rPr/>
      </w:pPr>
      <w:bookmarkStart w:id="149" w:name="__RefHeading___Toc3920590_3650668749"/>
      <w:bookmarkStart w:id="150" w:name="_Toc53"/>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 xml:space="preserve">إنَّ إقامة المآتم والبكاء والنوح على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قضية مُستجدّة، بل لها وجود حتى قبل ولادة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وفيما يلي إليك عدداً من هذه المآتم</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3920592_3650668749"/>
      <w:bookmarkStart w:id="152" w:name="_Toc54"/>
      <w:bookmarkEnd w:id="151"/>
      <w:r>
        <w:rPr/>
        <w:t>١</w:t>
      </w:r>
      <w:r>
        <w:rPr>
          <w:rtl w:val="true"/>
        </w:rPr>
        <w:t xml:space="preserve">- </w:t>
      </w:r>
      <w:r>
        <w:rPr>
          <w:rtl w:val="true"/>
        </w:rPr>
        <w:t xml:space="preserve">مأتم يوم ولادة الحسين </w:t>
      </w:r>
      <w:r>
        <w:rPr>
          <w:rtl w:val="true"/>
        </w:rPr>
        <w:t>(</w:t>
      </w:r>
      <w:r>
        <w:rPr>
          <w:rtl w:val="true"/>
        </w:rPr>
        <w:t>ع</w:t>
      </w:r>
      <w:r>
        <w:rPr>
          <w:rtl w:val="true"/>
        </w:rPr>
        <w:t>)</w:t>
      </w:r>
      <w:bookmarkEnd w:id="152"/>
    </w:p>
    <w:p>
      <w:pPr>
        <w:pStyle w:val="BookText"/>
        <w:rPr/>
      </w:pPr>
      <w:r>
        <w:rPr>
          <w:rFonts w:ascii="Amiri" w:hAnsi="Amiri" w:eastAsia="Amiri" w:cs="Amiri"/>
          <w:color w:val="111111"/>
          <w:sz w:val="28"/>
          <w:sz w:val="28"/>
          <w:szCs w:val="28"/>
          <w:rtl w:val="true"/>
          <w:lang w:bidi="ar-SA"/>
        </w:rPr>
        <w:t xml:space="preserve">لمّا وُلد الحسين أتت به أسماء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فأذَّن في أُذنه اليمنى وأقام في اليسرى، ثُمَّ وضعه في حجره وبكى، فلما سألته أسماء عن سبب بكائه،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ابني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الفئة الباغية، لا أنالهم الله شفاعتي، ثُمَّ أمرها أن لا تخبر فاطمة الزهراء، فإنّها قريبة عهد بولادته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أوّل مأتم يُقام على الحسين، وهو ساعة ولادته، فرسول الله يبكي عليه ويقيم مراسم العزاء</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3920594_3650668749"/>
      <w:bookmarkStart w:id="154" w:name="_Toc55"/>
      <w:bookmarkEnd w:id="153"/>
      <w:r>
        <w:rPr/>
        <w:t>٢</w:t>
      </w:r>
      <w:r>
        <w:rPr>
          <w:rtl w:val="true"/>
        </w:rPr>
        <w:t xml:space="preserve">- </w:t>
      </w:r>
      <w:r>
        <w:rPr>
          <w:rtl w:val="true"/>
        </w:rPr>
        <w:t>مأتم الرَضوعة</w:t>
      </w:r>
      <w:bookmarkEnd w:id="15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أُمّ الفضل، مرضعة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دخلت يوماً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55" w:name="pg1994_19622"/>
    </w:p>
    <w:p>
      <w:pPr>
        <w:pStyle w:val="BookText"/>
        <w:rPr/>
      </w:pPr>
      <w:bookmarkEnd w:id="155"/>
      <w:r>
        <w:rPr>
          <w:rFonts w:ascii="Amiri" w:hAnsi="Amiri" w:eastAsia="Amiri" w:cs="Amiri"/>
          <w:color w:val="111111"/>
          <w:sz w:val="28"/>
          <w:sz w:val="28"/>
          <w:szCs w:val="28"/>
          <w:rtl w:val="true"/>
          <w:lang w:bidi="ar-SA"/>
        </w:rPr>
        <w:t>فوضعت الحسين في حجره، فرأت عينا رسول الله تهريقان من الدموع، فلمّا سألته عن السبب،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جبرائيل فأخبرني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أُمّتي ستقتل ابني هذا، فقالت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يبكي على الحسين، والحسين في السنة الأُولى من عمره لم يتم الرضاعة، فَحَريٌّ بنا أن نسمّيه مأتم الرضوعة</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3920596_3650668749"/>
      <w:bookmarkStart w:id="157" w:name="_Toc56"/>
      <w:bookmarkEnd w:id="156"/>
      <w:r>
        <w:rPr/>
        <w:t>٣</w:t>
      </w:r>
      <w:r>
        <w:rPr>
          <w:rtl w:val="true"/>
        </w:rPr>
        <w:t xml:space="preserve">- </w:t>
      </w:r>
      <w:r>
        <w:rPr>
          <w:rtl w:val="true"/>
        </w:rPr>
        <w:t xml:space="preserve">مأتم أقامه الرسول </w:t>
      </w:r>
      <w:r>
        <w:rPr>
          <w:rtl w:val="true"/>
        </w:rPr>
        <w:t>(</w:t>
      </w:r>
      <w:r>
        <w:rPr>
          <w:rtl w:val="true"/>
        </w:rPr>
        <w:t>ص</w:t>
      </w:r>
      <w:r>
        <w:rPr>
          <w:rtl w:val="true"/>
        </w:rPr>
        <w:t xml:space="preserve">) </w:t>
      </w:r>
      <w:r>
        <w:rPr>
          <w:rtl w:val="true"/>
        </w:rPr>
        <w:t xml:space="preserve">عند إخبار الملائكة بمقتل الحسين </w:t>
      </w:r>
      <w:r>
        <w:rPr>
          <w:rtl w:val="true"/>
        </w:rPr>
        <w:t>(</w:t>
      </w:r>
      <w:r>
        <w:rPr>
          <w:rtl w:val="true"/>
        </w:rPr>
        <w:t>ع</w:t>
      </w:r>
      <w:r>
        <w:rPr>
          <w:rtl w:val="true"/>
        </w:rPr>
        <w:t>)</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أتى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كاملة هبط على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ملكاً، محمرّة وجوههم، قد نشروا أجنحتهم، وهم يخبرون النبي بما سينزل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8" w:name="__RefHeading___Toc3920598_3650668749"/>
      <w:bookmarkStart w:id="159" w:name="_Toc57"/>
      <w:bookmarkEnd w:id="158"/>
      <w:r>
        <w:rPr/>
        <w:t>۴</w:t>
      </w:r>
      <w:r>
        <w:rPr>
          <w:rtl w:val="true"/>
        </w:rPr>
        <w:t xml:space="preserve">- </w:t>
      </w:r>
      <w:r>
        <w:rPr>
          <w:rtl w:val="true"/>
        </w:rPr>
        <w:t xml:space="preserve">مأتم أقامه الرسول </w:t>
      </w:r>
      <w:r>
        <w:rPr>
          <w:rtl w:val="true"/>
        </w:rPr>
        <w:t>(</w:t>
      </w:r>
      <w:r>
        <w:rPr>
          <w:rtl w:val="true"/>
        </w:rPr>
        <w:t>ص</w:t>
      </w:r>
      <w:r>
        <w:rPr>
          <w:rtl w:val="true"/>
        </w:rPr>
        <w:t xml:space="preserve">) </w:t>
      </w:r>
      <w:r>
        <w:rPr>
          <w:rtl w:val="true"/>
        </w:rPr>
        <w:t xml:space="preserve">عند إخبار جبرائيل بمقتل الحسين </w:t>
      </w:r>
      <w:r>
        <w:rPr>
          <w:rtl w:val="true"/>
        </w:rPr>
        <w:t>(</w:t>
      </w:r>
      <w:r>
        <w:rPr>
          <w:rtl w:val="true"/>
        </w:rPr>
        <w:t>ع</w:t>
      </w:r>
      <w:r>
        <w:rPr>
          <w:rtl w:val="true"/>
        </w:rPr>
        <w:t>)</w:t>
      </w:r>
      <w:bookmarkEnd w:id="15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أتت على الحسين من مولده سنتان كاملتان، خرج النبي في سفر، فلمّا كان في بعض الطريق وقف فاسترجع ودمعت عيناه،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جبرائيل يخبرني عن أرضٍ بشاطئ الفرات،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يُقتَل فيها ولدي الحسين</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ثُمَّ رجع من سفره مغموماً، فصعد المنبر فخطب ووعظ، والحسين بين يديه مع الحسن، ثُمَّ أخبر أصحابه بأنَّ جبرائيل أخبره بأنَّ الحسين مقتول مخذول، فضجَّ الناس في المسجد بالبكاء</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160" w:name="pg1994_19623"/>
    </w:p>
    <w:p>
      <w:pPr>
        <w:pStyle w:val="BookText"/>
        <w:rPr/>
      </w:pPr>
      <w:bookmarkEnd w:id="160"/>
      <w:r>
        <w:rPr>
          <w:rFonts w:ascii="Amiri" w:hAnsi="Amiri" w:eastAsia="Amiri" w:cs="Amiri"/>
          <w:color w:val="111111"/>
          <w:sz w:val="28"/>
          <w:sz w:val="28"/>
          <w:szCs w:val="28"/>
          <w:rtl w:val="true"/>
          <w:lang w:bidi="ar-SA"/>
        </w:rPr>
        <w:t>وهذه المرّة رسول الله يقيم المأتم في مسجده أمام الصحابة، ورسول‌الله يقرأ المأتم، والناس يبكون</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3920600_3650668749"/>
      <w:bookmarkStart w:id="162" w:name="_Toc58"/>
      <w:bookmarkEnd w:id="161"/>
      <w:r>
        <w:rPr/>
        <w:t>۵</w:t>
      </w:r>
      <w:r>
        <w:rPr>
          <w:rtl w:val="true"/>
        </w:rPr>
        <w:t xml:space="preserve">- </w:t>
      </w:r>
      <w:r>
        <w:rPr>
          <w:rtl w:val="true"/>
        </w:rPr>
        <w:t xml:space="preserve">مأتم آخر حينما تكرَّر إخبار جبرائيل والملائكة بمقتل الحسين </w:t>
      </w:r>
      <w:r>
        <w:rPr>
          <w:rtl w:val="true"/>
        </w:rPr>
        <w:t>(</w:t>
      </w:r>
      <w:r>
        <w:rPr>
          <w:rtl w:val="true"/>
        </w:rPr>
        <w:t>ع</w:t>
      </w:r>
      <w:r>
        <w:rPr>
          <w:rtl w:val="true"/>
        </w:rPr>
        <w:t>)</w:t>
      </w:r>
      <w:bookmarkEnd w:id="162"/>
    </w:p>
    <w:p>
      <w:pPr>
        <w:pStyle w:val="BookText"/>
        <w:rPr/>
      </w:pPr>
      <w:r>
        <w:rPr>
          <w:rFonts w:ascii="Amiri" w:hAnsi="Amiri" w:eastAsia="Amiri" w:cs="Amiri"/>
          <w:color w:val="111111"/>
          <w:sz w:val="28"/>
          <w:sz w:val="28"/>
          <w:szCs w:val="28"/>
          <w:rtl w:val="true"/>
          <w:lang w:bidi="ar-SA"/>
        </w:rPr>
        <w:t xml:space="preserve">مأتم آخر أقامه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حينما تكرّر إخبار جبرائيل والملائكة النبي بما يجري على الحسين، وفي أزمنةٍ مختلفة وفي أماكن متفرقة،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مَن حوله بما يجري على الحسين، ويبكي ويقيم مأتماً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بيت أُمّسلمة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وعائشة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وزينب بنت جحش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دار أميرالمؤمنين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وفي مجمع من الصحابة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وفي داره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أماكن أُخرى كثيرة؛ أقام النبي المأتم، وأخرج ما أعطاه جبرائيل من تربة كربلاء، وشاهدها كثيرون، وهم يبكون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3" w:name="__RefHeading___Toc3920602_3650668749"/>
      <w:bookmarkStart w:id="164" w:name="_Toc59"/>
      <w:bookmarkEnd w:id="163"/>
      <w:r>
        <w:rPr/>
        <w:t>۶</w:t>
      </w:r>
      <w:r>
        <w:rPr>
          <w:rtl w:val="true"/>
        </w:rPr>
        <w:t xml:space="preserve">- </w:t>
      </w:r>
      <w:r>
        <w:rPr>
          <w:rtl w:val="true"/>
        </w:rPr>
        <w:t>مأتم في بيت عائشة</w:t>
      </w:r>
      <w:bookmarkEnd w:id="164"/>
    </w:p>
    <w:p>
      <w:pPr>
        <w:pStyle w:val="BookText"/>
        <w:rPr/>
      </w:pPr>
      <w:r>
        <w:rPr>
          <w:rFonts w:ascii="Amiri" w:hAnsi="Amiri" w:eastAsia="Amiri" w:cs="Amiri"/>
          <w:color w:val="111111"/>
          <w:sz w:val="28"/>
          <w:sz w:val="28"/>
          <w:szCs w:val="28"/>
          <w:rtl w:val="true"/>
          <w:lang w:bidi="ar-SA"/>
        </w:rPr>
        <w:t xml:space="preserve">لما أخبر جبرائيل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سيجري على الحسين وأعطاه من تربة كربلاء شيئاً، خرج والتربة بيده وهو يبكي، وأخبر عائشة بما يجري على الحسين، ثُمَّ خرج إلى الصحابة وأخبرهم أيضاً وهو يبكي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5" w:name="__RefHeading___Toc3920604_3650668749"/>
      <w:bookmarkStart w:id="166" w:name="_Toc60"/>
      <w:bookmarkEnd w:id="165"/>
      <w:r>
        <w:rPr/>
        <w:t>٧</w:t>
      </w:r>
      <w:r>
        <w:rPr>
          <w:rtl w:val="true"/>
        </w:rPr>
        <w:t xml:space="preserve">- </w:t>
      </w:r>
      <w:r>
        <w:rPr>
          <w:rtl w:val="true"/>
        </w:rPr>
        <w:t xml:space="preserve">مأتم يقيمه الرسول </w:t>
      </w:r>
      <w:r>
        <w:rPr>
          <w:rtl w:val="true"/>
        </w:rPr>
        <w:t>(</w:t>
      </w:r>
      <w:r>
        <w:rPr>
          <w:rtl w:val="true"/>
        </w:rPr>
        <w:t>ص</w:t>
      </w:r>
      <w:r>
        <w:rPr>
          <w:rtl w:val="true"/>
        </w:rPr>
        <w:t xml:space="preserve">) </w:t>
      </w:r>
      <w:r>
        <w:rPr>
          <w:rtl w:val="true"/>
        </w:rPr>
        <w:t>في اللحظات الأخيرة من حياته</w:t>
      </w:r>
      <w:bookmarkEnd w:id="16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اللحظات الأخيرة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موته، ضمَّ الحسين إلى صدره، وقال في حقّه كلمات طيبة، ثُمَّ أُغمي عليه،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ولقاتلك يوم القيامة مقاماً بين يدي ربّي وخصومة</w:t>
      </w:r>
      <w:r>
        <w:rPr>
          <w:rFonts w:eastAsia="Amiri" w:cs="Amiri" w:ascii="Amiri" w:hAnsi="Amiri"/>
          <w:color w:val="111111"/>
          <w:sz w:val="28"/>
          <w:szCs w:val="28"/>
          <w:rtl w:val="true"/>
          <w:lang w:bidi="ar-SA"/>
        </w:rPr>
        <w:t xml:space="preserve">. . .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167" w:name="pg1994_19624"/>
    </w:p>
    <w:p>
      <w:pPr>
        <w:pStyle w:val="Heading6"/>
        <w:numPr>
          <w:ilvl w:val="5"/>
          <w:numId w:val="1"/>
        </w:numPr>
        <w:rPr/>
      </w:pPr>
      <w:bookmarkStart w:id="168" w:name="__RefHeading___Toc3920606_3650668749"/>
      <w:bookmarkStart w:id="169" w:name="_Toc61"/>
      <w:bookmarkEnd w:id="167"/>
      <w:bookmarkEnd w:id="168"/>
      <w:r>
        <w:rPr/>
        <w:t>8</w:t>
      </w:r>
      <w:r>
        <w:rPr>
          <w:rtl w:val="true"/>
        </w:rPr>
        <w:t xml:space="preserve">- </w:t>
      </w:r>
      <w:r>
        <w:rPr>
          <w:rtl w:val="true"/>
        </w:rPr>
        <w:t xml:space="preserve">مأتم لرسول الله </w:t>
      </w:r>
      <w:r>
        <w:rPr>
          <w:rtl w:val="true"/>
        </w:rPr>
        <w:t>(</w:t>
      </w:r>
      <w:r>
        <w:rPr>
          <w:rtl w:val="true"/>
        </w:rPr>
        <w:t>ص</w:t>
      </w:r>
      <w:r>
        <w:rPr>
          <w:rtl w:val="true"/>
        </w:rPr>
        <w:t xml:space="preserve">) </w:t>
      </w:r>
      <w:r>
        <w:rPr>
          <w:rtl w:val="true"/>
        </w:rPr>
        <w:t>رأته أم سلمة في منامها</w:t>
      </w:r>
      <w:bookmarkEnd w:id="169"/>
    </w:p>
    <w:p>
      <w:pPr>
        <w:pStyle w:val="BookText"/>
        <w:rPr/>
      </w:pPr>
      <w:r>
        <w:rPr>
          <w:rFonts w:ascii="Amiri" w:hAnsi="Amiri" w:eastAsia="Amiri" w:cs="Amiri"/>
          <w:color w:val="111111"/>
          <w:sz w:val="28"/>
          <w:sz w:val="28"/>
          <w:szCs w:val="28"/>
          <w:rtl w:val="true"/>
          <w:lang w:bidi="ar-SA"/>
        </w:rPr>
        <w:t xml:space="preserve">شهد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كما رأته أُمّ سلمة في المنام، وعلى رأسه ولحيته التراب، فلمّا سألته عن حالته،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قتل الحسين آنفا</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ورأى ابن عباس النبي في المنام وهو قائم أشعث أغبر، بيده قارورة فيها دم، فلمّا سأله عن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دم الحسين وأصحابه، لم أزل التقطه منذ اليوم، فاستيقظ ابن عباس من نومه واسترجع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فلمّا أُحصي ذلك اليوم وجدوه قُتل فيه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0" w:name="__RefHeading___Toc3920608_3650668749"/>
      <w:bookmarkStart w:id="171" w:name="_Toc62"/>
      <w:bookmarkEnd w:id="170"/>
      <w:r>
        <w:rPr/>
        <w:t>٩</w:t>
      </w:r>
      <w:r>
        <w:rPr>
          <w:rtl w:val="true"/>
        </w:rPr>
        <w:t xml:space="preserve">- </w:t>
      </w:r>
      <w:r>
        <w:rPr>
          <w:rtl w:val="true"/>
        </w:rPr>
        <w:t xml:space="preserve">مأتم عزاء الأنبياء لرسول الله </w:t>
      </w:r>
      <w:r>
        <w:rPr>
          <w:rtl w:val="true"/>
        </w:rPr>
        <w:t>(</w:t>
      </w:r>
      <w:r>
        <w:rPr>
          <w:rtl w:val="true"/>
        </w:rPr>
        <w:t>ص</w:t>
      </w:r>
      <w:r>
        <w:rPr>
          <w:rtl w:val="true"/>
        </w:rPr>
        <w:t>)</w:t>
      </w:r>
      <w:bookmarkEnd w:id="171"/>
    </w:p>
    <w:p>
      <w:pPr>
        <w:pStyle w:val="BookText"/>
        <w:rPr/>
      </w:pPr>
      <w:r>
        <w:rPr>
          <w:rFonts w:ascii="Amiri" w:hAnsi="Amiri" w:eastAsia="Amiri" w:cs="Amiri"/>
          <w:color w:val="111111"/>
          <w:sz w:val="28"/>
          <w:sz w:val="28"/>
          <w:szCs w:val="28"/>
          <w:rtl w:val="true"/>
          <w:lang w:bidi="ar-SA"/>
        </w:rPr>
        <w:t xml:space="preserve">بعد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الأنبياء عند مقتله وهم يعزون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بولده، وكثر البكاء والنحيب عنده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المآتم العديدة التي أقامها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أحصاها العلامة الأميني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سيرتنا وسنّتنا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يقرب من عشرين مأتماً على ولده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172" w:name="pg1994_19625"/>
    </w:p>
    <w:p>
      <w:pPr>
        <w:pStyle w:val="Heading3"/>
        <w:numPr>
          <w:ilvl w:val="2"/>
          <w:numId w:val="1"/>
        </w:numPr>
        <w:rPr/>
      </w:pPr>
      <w:bookmarkStart w:id="173" w:name="__RefHeading___Toc3920610_3650668749"/>
      <w:bookmarkStart w:id="174" w:name="_Toc63"/>
      <w:bookmarkEnd w:id="172"/>
      <w:bookmarkEnd w:id="173"/>
      <w:r>
        <w:rPr>
          <w:rtl w:val="true"/>
        </w:rPr>
        <w:t>الشبهة الرابعة</w:t>
      </w:r>
      <w:r>
        <w:rPr>
          <w:rtl w:val="true"/>
        </w:rPr>
        <w:t xml:space="preserve">: </w:t>
      </w:r>
      <w:r>
        <w:rPr>
          <w:rtl w:val="true"/>
        </w:rPr>
        <w:t>البكاء على الميّت تعذيب و بدعة</w:t>
      </w:r>
      <w:bookmarkEnd w:id="174"/>
    </w:p>
    <w:p>
      <w:pPr>
        <w:pStyle w:val="BookText"/>
        <w:rPr/>
      </w:pPr>
      <w:r>
        <w:rPr>
          <w:rFonts w:ascii="Amiri" w:hAnsi="Amiri" w:eastAsia="Amiri" w:cs="Amiri"/>
          <w:color w:val="111111"/>
          <w:sz w:val="28"/>
          <w:sz w:val="28"/>
          <w:szCs w:val="28"/>
          <w:rtl w:val="true"/>
          <w:lang w:bidi="ar-SA"/>
        </w:rPr>
        <w:t>تفصيل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البخاري في صحيحة أحاديث تدلّ على أنّ بكاء أهل الميت سبب في عذابه، حيث روى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الميت ليعذَّب ببكاء الحي</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مسلم في صحيحة، عن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حفصة بكت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يابنيتي، ألم تعلمي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الميت يعذَّب ببكاء أهله عليه</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تنسب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فيها إلى تعرّض الميت للعذاب نتيجة النوح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يعذَّب في قبره بالنياحة عليه</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حماقاتهم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المأتم والنياحة على مَن قُتل من سنين عديدة، ومن المعلوم أنَّ المقتول وغيره من الموتى، إذا فعل مثل ذلك بهم عقب موتهم كان ذلك ممّا حرَّمه الله ورسوله</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يكون 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الأحاديث، وإن نقلتها صحاحهم وغيرها، لكنّها مناف لِروايات تفسرها، حيث رُوي أنَّ هذه الأحاديث وردت في موت يهودي، أي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بكاءهم على اليهودي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تبكون عليه وأنَّه ليعذب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الحديث كما رواه مسلم في صحيحه بسنده عن عائشة؛ فعن هشام‌بن عروة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عند عائشة قول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 يعذّب ببكاء أهله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أباعبد الله الرحمن، سمع شيئاً فلم يحفظه، إنّما مرَّت على رسول الله جنازة يهودي وهم يبكون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تبكون وأنَّه ليعذّب</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فلاشكّ في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 هذا اليهودي من أهل النار، ويعذّب في قبره بسبب عمله وكفره بنبوة خاتم الأنبياء، وهذا لاربط له بعذاب المؤمن بسبب بكاء أهله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عنها أيضاً، لمّا سمعت قول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يعذّب ببكاء أهله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ليعذَّب بخطيئته أو بذنبه</w:t>
      </w:r>
      <w:r>
        <w:rPr>
          <w:rFonts w:eastAsia="Amiri" w:cs="Amiri" w:ascii="Amiri" w:hAnsi="Amiri"/>
          <w:color w:val="111111"/>
          <w:sz w:val="28"/>
          <w:szCs w:val="28"/>
          <w:rtl w:val="true"/>
          <w:lang w:bidi="ar-SA"/>
        </w:rPr>
        <w:t xml:space="preserve">. . .»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أنَّ عائشة أنكرت ما سمعت به من مقالة ابن عمر، وأقسمت بالله أنَّه 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سمعت مقالته من ابن عباس، وإليك الرواية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صهيب يبكى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 واصاحبا،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صهيب، اتبكى عليَّ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الميت يعذّب ببعض </w:t>
      </w:r>
    </w:p>
    <w:p>
      <w:pPr>
        <w:pStyle w:val="BookText"/>
        <w:rPr/>
      </w:pPr>
      <w:r>
        <w:rPr>
          <w:rFonts w:ascii="Amiri" w:hAnsi="Amiri" w:eastAsia="Amiri" w:cs="Amiri"/>
          <w:color w:val="111111"/>
          <w:sz w:val="28"/>
          <w:sz w:val="28"/>
          <w:szCs w:val="28"/>
          <w:rtl w:val="true"/>
          <w:lang w:bidi="ar-SA"/>
        </w:rPr>
        <w:t>بكاء أهله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عمر ذكرت ذلك لعائشة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عمر، لا والله ماحدَّث رسول الله أنَّ الله يعذّب المؤمن ببكاء أحد، ولكن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يزيد الكافر عذاباً ببكاء أهله عليه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الأحاديث، على فرضِ صدورها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تتعارض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استشهدت عائشة بالآية ردّاً على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الميت ليعذّب ببكاء أهله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حسبكم القرآن، وَ لا تَزِرُ وازِرَةٌ وِزْرَ أُخْرى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ظاهر هذا الحديث</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مشكل؛ لأنَّه يتعارض مع بعض أُصول الشريعة وقواعدها المقرَّرة، 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 على هذه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الروايات كلّها من رواية عمر بن الخطاب وابنه عبد الله، وأنكرت عائشة عليهما ونَسبَتْهما إلى النسيان والاشتباه، واحتجَّت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الحاكم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اتفقَّ الشيخان على إخراج حديث أيوب السختياني عن عبد الله بن أبي مليكة، مناظرة عبد الله بن عمر وعبد الله بن العباس في البكاء على الميت، ورجوعهما فيه إلى أُمّ المؤمنين عايشة، </w:t>
      </w:r>
    </w:p>
    <w:p>
      <w:pPr>
        <w:pStyle w:val="BookText"/>
        <w:rPr/>
      </w:pPr>
      <w:r>
        <w:rPr>
          <w:rFonts w:ascii="Amiri" w:hAnsi="Amiri" w:eastAsia="Amiri" w:cs="Amiri"/>
          <w:color w:val="111111"/>
          <w:sz w:val="28"/>
          <w:sz w:val="28"/>
          <w:szCs w:val="28"/>
          <w:rtl w:val="true"/>
          <w:lang w:bidi="ar-SA"/>
        </w:rPr>
        <w:t>وقولها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 يعذَّب ببكاء أحد، ولكنّ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 يزيده عند الله بكاء أهله عليه عذاباً شديداً، وإنّ الله هو أضحك وأبكى، ولا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علّة نهي النبي عن البكاء على الأموات هو لأجل النياحة الباطلة، أو الجزع والفزع الخارج عن الحدّ، أو الأفعال المنهيَّة حين البكاء، كإدماء الوجه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الاحتمال باطل؛ لأنَّ الآية المباركة تصرّح أنَّ الميت لا يتحمّل أوزار غيره، فلا مُسوِّغ أن يتحمَّل الميت أوزار النائحة والقائلة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يتناقض مع إقرار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نساء الأنصار في البكاء على موتاهنّ في موارد كثيرة، من قبيل اقراره ببكاء صفية، عمَّة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أخيها حمزة، كما ذكر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يومئذ، إذا بكت صفية، يبكي، وإذا نشجت ينشج،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وجعلت فاطمة تبكي، فلمّا بكت بكى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الغريب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لساناً ويبكي عيناً ويحزن قلباً</w:t>
      </w:r>
      <w:r>
        <w:rPr>
          <w:rFonts w:eastAsia="Amiri" w:cs="Amiri" w:ascii="Amiri" w:hAnsi="Amiri"/>
          <w:color w:val="111111"/>
          <w:sz w:val="28"/>
          <w:szCs w:val="28"/>
          <w:rtl w:val="true"/>
          <w:lang w:bidi="ar-SA"/>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يتناقض مع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وبكائه في موارد كثيرة، بل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أُغمي عليه من شدّة على حمزة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بكى أيضاً على جنازة ولده إبراهيم فسأله عبد الرحمن بن عوف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 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العين تدمع، والقلب يحزن، ولا نقول إلاّ ما يرضي ربّنا</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على قبر أُمّه آمنة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بكاؤه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توفّي عمّه أبو طالب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استشهاد جعفر </w:t>
      </w:r>
      <w:r>
        <w:rPr>
          <w:rStyle w:val="FootnoteAnchor"/>
          <w:rtl w:val="true"/>
        </w:rPr>
        <w:footnoteReference w:id="142"/>
      </w:r>
      <w:r>
        <w:rPr>
          <w:rFonts w:ascii="Amiri" w:hAnsi="Amiri" w:eastAsia="Amiri" w:cs="Amiri"/>
          <w:color w:val="111111"/>
          <w:sz w:val="28"/>
          <w:sz w:val="28"/>
          <w:szCs w:val="28"/>
          <w:rtl w:val="true"/>
          <w:lang w:bidi="ar-SA"/>
        </w:rPr>
        <w:t xml:space="preserve">، وزيد بن الحارثة </w:t>
      </w:r>
      <w:r>
        <w:rPr>
          <w:rStyle w:val="FootnoteAnchor"/>
          <w:rtl w:val="true"/>
        </w:rPr>
        <w:footnoteReference w:id="143"/>
      </w:r>
      <w:r>
        <w:rPr>
          <w:rFonts w:ascii="Amiri" w:hAnsi="Amiri" w:eastAsia="Amiri" w:cs="Amiri"/>
          <w:color w:val="111111"/>
          <w:sz w:val="28"/>
          <w:sz w:val="28"/>
          <w:szCs w:val="28"/>
          <w:rtl w:val="true"/>
          <w:lang w:bidi="ar-SA"/>
        </w:rPr>
        <w:t xml:space="preserve">، وعبدالله بن رواحة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ويذكر الحاكم النيسابوري في مستدركه بكاء فاطمة على قبر الحمزة كل يوم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فاطمة تبكي وتصلّي عند قبر عمّها الحمزة كل يوم جمعة</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يتَّضح أنَّ البكاء أصبح من السُنن الإنسانية والدينية المتعارفة في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بحيث وصل إلى الحدّ الذي لا يستطيع أحد أن يشكِّك في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بكى يعقوب، إذ غيّب الله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يا أَسَفى عَلى يُوسُفَ وَ ابْيَضَّتْ عَيْناهُ مِنَ الْحُزْنِ فَهُوَ كَظِيمٌ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تفسير هذه الآية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جفت عيناه من وقت فراق يوسف إلى حين لقائه ثمانين عاماً، وما على وجه الأرض أكرم على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تفسير هذه الآية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بلغ</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وَجدِ يعقوب على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سبعين ثكلى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له من الأجر؟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مائة شهيد، وما ساء ظنه بالله ساعةقط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1994_19631"/>
      <w:bookmarkStart w:id="176" w:name="pg1994_19631"/>
      <w:bookmarkEnd w:id="176"/>
    </w:p>
    <w:p>
      <w:pPr>
        <w:pStyle w:val="Heading3"/>
        <w:numPr>
          <w:ilvl w:val="2"/>
          <w:numId w:val="1"/>
        </w:numPr>
        <w:rPr/>
      </w:pPr>
      <w:bookmarkStart w:id="177" w:name="pg1994_19631"/>
      <w:bookmarkStart w:id="178" w:name="__RefHeading___Toc3920612_3650668749"/>
      <w:bookmarkStart w:id="179" w:name="_Toc64"/>
      <w:bookmarkEnd w:id="177"/>
      <w:bookmarkEnd w:id="178"/>
      <w:r>
        <w:rPr>
          <w:rtl w:val="true"/>
        </w:rPr>
        <w:t>الشبهة الخامسة</w:t>
      </w:r>
      <w:r>
        <w:rPr>
          <w:rtl w:val="true"/>
        </w:rPr>
        <w:t xml:space="preserve">: </w:t>
      </w:r>
      <w:r>
        <w:rPr>
          <w:rtl w:val="true"/>
        </w:rPr>
        <w:t>روايات البكاء يرفضها العقل لعدم معقولية ثوابها</w:t>
      </w:r>
      <w:r>
        <w:rPr>
          <w:rtl w:val="true"/>
        </w:rPr>
        <w:t>!</w:t>
      </w:r>
      <w:bookmarkEnd w:id="179"/>
    </w:p>
    <w:p>
      <w:pPr>
        <w:pStyle w:val="Heading4"/>
        <w:numPr>
          <w:ilvl w:val="3"/>
          <w:numId w:val="1"/>
        </w:numPr>
        <w:rPr/>
      </w:pPr>
      <w:bookmarkStart w:id="180" w:name="__RefHeading___Toc3920614_3650668749"/>
      <w:bookmarkStart w:id="181" w:name="_Toc65"/>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تفصيل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يذهب أصحاب هذه الشبهة إلى رفض الروايات التي تشير إلى الأجر الوافر على 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يرفضها العقل، وأنَّها روايات مجعولة </w:t>
      </w:r>
      <w:r>
        <w:rPr>
          <w:rStyle w:val="FootnoteAnchor"/>
          <w:rtl w:val="true"/>
        </w:rPr>
        <w:footnoteReference w:id="147"/>
      </w:r>
      <w:r>
        <w:rPr>
          <w:rFonts w:ascii="Amiri" w:hAnsi="Amiri" w:eastAsia="Amiri" w:cs="Amiri"/>
          <w:color w:val="111111"/>
          <w:sz w:val="28"/>
          <w:sz w:val="28"/>
          <w:szCs w:val="28"/>
          <w:rtl w:val="true"/>
          <w:lang w:bidi="ar-SA"/>
        </w:rPr>
        <w:t>، مستدلّين على ذلك باستبعاد أن يكون ذلك الأجر الوافر الذي ورد فيها لمجرّد دمعة تُسكب، أو أنَّ العين اغرورقت بالدمع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ذهب البعض إلى القول بأنَّ هذه الروايات، لو سلّمنا بصدورها، فهي صدرت حينما كان 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والبكاء عليه، وزيارته ورثاؤه وإنشاد الشعر، بمثابة إنكار للمُنكَر وجهاد ضدّ أعداء الله، من بني أُميَّة الظالمة، وهدماً لأساسهم وتقبيحاً وتنفيراً من سيرتهم الكافرة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زمان لا حرب فيه بين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وأعدائهم، كزماننا هذا، فلا يصدق على ذكر الحسين والبكاء عليه عنوان الجهاد، فلا وعد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الباكي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يشرَّف ويكرَّم، لكن لا يكون أجره الجنة مقابل دمعة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أصحاب هذا القول بأنَّ هذه الأحاديث لو كانت مُطلَقة </w:t>
      </w:r>
      <w:bookmarkStart w:id="182" w:name="pg1994_19632"/>
    </w:p>
    <w:p>
      <w:pPr>
        <w:pStyle w:val="BookText"/>
        <w:rPr/>
      </w:pPr>
      <w:bookmarkEnd w:id="182"/>
      <w:r>
        <w:rPr>
          <w:rFonts w:ascii="Amiri" w:hAnsi="Amiri" w:eastAsia="Amiri" w:cs="Amiri"/>
          <w:color w:val="111111"/>
          <w:sz w:val="28"/>
          <w:sz w:val="28"/>
          <w:szCs w:val="28"/>
          <w:rtl w:val="true"/>
          <w:lang w:bidi="ar-SA"/>
        </w:rPr>
        <w:t xml:space="preserve">لكلِّ ظرف وزمان، لأفضى إلى اتّكاء الفسّاق والفجّار على 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الفرائض والأحكام، من الصلاة والصيام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Heading4"/>
        <w:numPr>
          <w:ilvl w:val="3"/>
          <w:numId w:val="1"/>
        </w:numPr>
        <w:rPr/>
      </w:pPr>
      <w:bookmarkStart w:id="183" w:name="__RefHeading___Toc3920616_3650668749"/>
      <w:bookmarkStart w:id="184" w:name="_Toc66"/>
      <w:bookmarkEnd w:id="183"/>
      <w:r>
        <w:rPr/>
        <w:t>١</w:t>
      </w:r>
      <w:r>
        <w:rPr>
          <w:rtl w:val="true"/>
        </w:rPr>
        <w:t xml:space="preserve">- </w:t>
      </w:r>
      <w:r>
        <w:rPr>
          <w:rtl w:val="true"/>
        </w:rPr>
        <w:t xml:space="preserve">روايات البكاء على الحسين </w:t>
      </w:r>
      <w:r>
        <w:rPr>
          <w:rtl w:val="true"/>
        </w:rPr>
        <w:t>(</w:t>
      </w:r>
      <w:r>
        <w:rPr>
          <w:rtl w:val="true"/>
        </w:rPr>
        <w:t>ع</w:t>
      </w:r>
      <w:r>
        <w:rPr>
          <w:rtl w:val="true"/>
        </w:rPr>
        <w:t xml:space="preserve">) </w:t>
      </w:r>
      <w:r>
        <w:rPr>
          <w:rtl w:val="true"/>
        </w:rPr>
        <w:t>متواترة</w:t>
      </w:r>
      <w:bookmarkEnd w:id="184"/>
    </w:p>
    <w:p>
      <w:pPr>
        <w:pStyle w:val="BookText"/>
        <w:rPr/>
      </w:pPr>
      <w:r>
        <w:rPr>
          <w:rFonts w:ascii="Amiri" w:hAnsi="Amiri" w:eastAsia="Amiri" w:cs="Amiri"/>
          <w:color w:val="111111"/>
          <w:sz w:val="28"/>
          <w:sz w:val="28"/>
          <w:szCs w:val="28"/>
          <w:rtl w:val="true"/>
          <w:lang w:bidi="ar-SA"/>
        </w:rPr>
        <w:t xml:space="preserve">إنَّ نظرة عابرة لمَن عرف بفنون علم الحديث، يجد أنَّ هذه الأحاديث مشتملة على صحاح وحسان، بل تجاوزت حدّ التواتر، فقلّما يوجد موضوع وردت فيه الروايات بالحثِّ والترغيب إليه كموضوع البكاء وإظهار الحزن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مصائبه وإنشاد الشعر فيه، وإليك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أحمد بن محمد البرقي، بسندٍ صحيح عن يعقوب بن يزيد، عن محمد بن أبي عمير، عن بكر بن محمد، عن 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ذكرنا عنده، ففاضت عيناه ولو مثل جناح الذباب، غفر الله ذنوبه ولو كانت مثل زبد البحر</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بسندٍ صحيح عن محمد بن الحسن الصفار عن أحمد بن إسحاق بن سعيد عن بكر بن محمد الأزدي،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تجلسون وتتحدّثون؟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المجالس أُحبّها، فأحيوا أمرنا، إنّه مَن ذكرنا وذكرنا عنده فخرج من عينه مثل جناح الذبابة غفر الله ذنوبه ولو كانت أكثر من زبد البحر</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التي رواها علي بن إبراهيم، عن أبيه </w:t>
      </w:r>
    </w:p>
    <w:p>
      <w:pPr>
        <w:pStyle w:val="BookText"/>
        <w:rPr/>
      </w:pPr>
      <w:r>
        <w:rPr>
          <w:rFonts w:ascii="Amiri" w:hAnsi="Amiri" w:eastAsia="Amiri" w:cs="Amiri"/>
          <w:color w:val="111111"/>
          <w:sz w:val="28"/>
          <w:sz w:val="28"/>
          <w:szCs w:val="28"/>
          <w:rtl w:val="true"/>
          <w:lang w:bidi="ar-SA"/>
        </w:rPr>
        <w:t xml:space="preserve">إبراهيم بن هاشم، عن الحسن بن محبوب عن العلاء بن رزين عن محمدبن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دمعت عيناه لقتل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دمعة، حتى تسيل على خدِّه؛ بوّأه الله بها في الجنّة غرفاً يسكنها أحقاباً، وأيما مؤمن دمعت عيناه دمعة حتى تسيل على خدّه؛ لأذى مسّنا من عدوّنا في الدنيا، بوّأه الله مبوء صدق في الجنة، وأيما مؤمن مسَّه أذى فينا، فدمعت عيناه حتى تسيل دمعة على خدّيه، من مضاضة ما أوذي فينا؛ صرف الله عن وجهه الأذى، وآمنه يوم القيامة من سخطه والنار</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عن محمد بن علي ما جيلويه </w:t>
      </w:r>
      <w:r>
        <w:rPr>
          <w:rStyle w:val="FootnoteAnchor"/>
          <w:rtl w:val="true"/>
        </w:rPr>
        <w:footnoteReference w:id="151"/>
      </w:r>
      <w:r>
        <w:rPr>
          <w:rFonts w:ascii="Amiri" w:hAnsi="Amiri" w:eastAsia="Amiri" w:cs="Amiri"/>
          <w:color w:val="111111"/>
          <w:sz w:val="28"/>
          <w:sz w:val="28"/>
          <w:szCs w:val="28"/>
          <w:rtl w:val="true"/>
          <w:lang w:bidi="ar-SA"/>
        </w:rPr>
        <w:t xml:space="preserve">عن علي بن 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التفسير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الريان بن شبيب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ثقة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شبيب، إن كنت باكياً لشيءٍ فابك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ذُبح كما يذبح الكبش، وقتل معه من أهل بيته ثمانية عشر رجلاً، ما لهم في الأرض شبيه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ولقد بكت السماوات السبع والأرضون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ابن شبيب، إن بكيت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تسيل دموعك على خدّيك، غفر الله لك كل ذنب أذنبته، صغيراً كان أو كبيراً، قليلاً كان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شبيب، إن سرَّك أن تلقى الله عز وجل ولا ذنب عليك فزُر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ابن شبيب، إن سرّك أن تسكن الغرف المبنية بالجنّة مع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فالعَنْ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 . </w:t>
      </w:r>
      <w:bookmarkStart w:id="185" w:name="pg1994_19634"/>
    </w:p>
    <w:p>
      <w:pPr>
        <w:pStyle w:val="BookText"/>
        <w:rPr/>
      </w:pPr>
      <w:bookmarkEnd w:id="185"/>
      <w:r>
        <w:rPr>
          <w:rFonts w:ascii="Amiri" w:hAnsi="Amiri" w:eastAsia="Amiri" w:cs="Amiri"/>
          <w:color w:val="111111"/>
          <w:sz w:val="28"/>
          <w:sz w:val="28"/>
          <w:szCs w:val="28"/>
          <w:rtl w:val="true"/>
          <w:lang w:bidi="ar-SA"/>
        </w:rPr>
        <w:t xml:space="preserve">يا ابن شبيب، إنْ سرَّك أن يكون لك من الثواب مثل ما لمَن استشهد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متى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معهم فأفوز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شبيب، إن سرَّك أن تكون معنا في الدرجات العُلى من الجنان، فاحزن لحزننا وافرح لفرحنا، وعليك بولايتنا، فلو أنَّ رجلاً أحبَّ حجراً لحشره الله معه يوم القيامة</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 ذلك من الروايات التي ذكرها صاحب الوسائل في أبواب المزار، التي تصل إلى أكثر من أربعين باباً في الزيارات والبكاء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ذكرها أيضاً صاحب البحار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ضوء هذا، فالروايات بهذا المضمون تصل إلى حدّ التواتر، فالقول بأنّها مجعولة غير صحيح</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3920618_3650668749"/>
      <w:bookmarkStart w:id="187" w:name="_Toc67"/>
      <w:bookmarkEnd w:id="186"/>
      <w:r>
        <w:rPr/>
        <w:t>٢</w:t>
      </w:r>
      <w:r>
        <w:rPr>
          <w:rtl w:val="true"/>
        </w:rPr>
        <w:t xml:space="preserve">- </w:t>
      </w:r>
      <w:r>
        <w:rPr>
          <w:rtl w:val="true"/>
        </w:rPr>
        <w:t>الاستبعاد لا يصلح للدليلية</w:t>
      </w:r>
      <w:bookmarkEnd w:id="187"/>
    </w:p>
    <w:p>
      <w:pPr>
        <w:pStyle w:val="BookText"/>
        <w:rPr/>
      </w:pPr>
      <w:r>
        <w:rPr>
          <w:rFonts w:ascii="Amiri" w:hAnsi="Amiri" w:eastAsia="Amiri" w:cs="Amiri"/>
          <w:color w:val="111111"/>
          <w:sz w:val="28"/>
          <w:sz w:val="28"/>
          <w:szCs w:val="28"/>
          <w:rtl w:val="true"/>
          <w:lang w:bidi="ar-SA"/>
        </w:rPr>
        <w:t xml:space="preserve">إنَّ مجرّد الاستبعاد لا يصلح أن يكون دليلاً؛ فاستبعاد ذلك الأجر للباكي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بلا دليل</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3920620_3650668749"/>
      <w:bookmarkStart w:id="189" w:name="_Toc68"/>
      <w:bookmarkEnd w:id="188"/>
      <w:r>
        <w:rPr/>
        <w:t>٣</w:t>
      </w:r>
      <w:r>
        <w:rPr>
          <w:rtl w:val="true"/>
        </w:rPr>
        <w:t xml:space="preserve">- </w:t>
      </w:r>
      <w:r>
        <w:rPr>
          <w:rtl w:val="true"/>
        </w:rPr>
        <w:t xml:space="preserve">وفرة الثواب لا يختصّ بالبكاء على الحسين </w:t>
      </w:r>
      <w:r>
        <w:rPr>
          <w:rtl w:val="true"/>
        </w:rPr>
        <w:t>(</w:t>
      </w:r>
      <w:r>
        <w:rPr>
          <w:rtl w:val="true"/>
        </w:rPr>
        <w:t>ع</w:t>
      </w:r>
      <w:r>
        <w:rPr>
          <w:rtl w:val="true"/>
        </w:rPr>
        <w:t>)</w:t>
      </w:r>
      <w:bookmarkEnd w:id="18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وفرة الثواب لا يختصّ بالبكاء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يعمّ الكثير من الأعمال الضئيلة في الظاهر التي تتمتَّع بأجرٍ عظيم في الدين؛ فمثلاً البكاء من خشية الله عن صدق وإخلاص يجني الآثار العظيمة، كما تشير إلى ذلك الروايات المتضافرة، فعن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عين باكية يوم القيامة غير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سهرت في سبيل الله، وعين فاضت من خشية الله، وعين غضّت عن محارم الله</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190" w:name="pg1994_19635"/>
    </w:p>
    <w:p>
      <w:pPr>
        <w:pStyle w:val="BookText"/>
        <w:rPr/>
      </w:pPr>
      <w:bookmarkEnd w:id="190"/>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عين إلاّ وهي باكية يوم القيامة، إلاّ عيناً بكت من خوف الله، وما اغرورقت عين بمائها من خشية الله عز وجل إلاّ حرَّم الله عز وجل سائر جسده على النار، ولا فاضت على خدّه فرهق ذلك الوجه قتر ولا ذلة، وما من شيء إلاّ وله كيل ووزن، إلاّ الدمعة، فإنَّ الله عز وجل يطفئ باليسير منها البحار من النار، فلو أنَّ عبداً بكى في أمّة لرحم الله عز وجل تلك الأُمّة ببكاء ذلك العبد</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العشرات بل المئات من الروايات التي تشاركها في المضمون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الأمر كذلك، فلمَ الاستغراب من الأجر على البكاء على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يصح ردّ هذه الروايات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لكم ردود على تلك الروايات، فلدينا ما نقوله عن ثواب البكاء وإقامة المأتم</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3920622_3650668749"/>
      <w:bookmarkStart w:id="192" w:name="_Toc69"/>
      <w:bookmarkEnd w:id="191"/>
      <w:r>
        <w:rPr/>
        <w:t>۴</w:t>
      </w:r>
      <w:r>
        <w:rPr>
          <w:rtl w:val="true"/>
        </w:rPr>
        <w:t xml:space="preserve">- </w:t>
      </w:r>
      <w:r>
        <w:rPr>
          <w:rtl w:val="true"/>
        </w:rPr>
        <w:t>قيمة العمل لا تقاس بحجمه المادّي</w:t>
      </w:r>
      <w:bookmarkEnd w:id="192"/>
    </w:p>
    <w:p>
      <w:pPr>
        <w:pStyle w:val="BookText"/>
        <w:rPr/>
      </w:pPr>
      <w:r>
        <w:rPr>
          <w:rFonts w:ascii="Amiri" w:hAnsi="Amiri" w:eastAsia="Amiri" w:cs="Amiri"/>
          <w:color w:val="111111"/>
          <w:sz w:val="28"/>
          <w:sz w:val="28"/>
          <w:szCs w:val="28"/>
          <w:rtl w:val="true"/>
          <w:lang w:bidi="ar-SA"/>
        </w:rPr>
        <w:t>يظنّ بعضهم أنَّ دمعةً واحدة ليست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فأحياناً يكون حجم العمل صغيراً، لكن له قيمة كبيرة وشأن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التي هي أهمّ الواجبات، ليست إلاّ قياماً وقعوداً وعدّة من أذكارٍ وسُور وأدعية، وكذا الذنب الذي ارتكبه إبليس، لم يكن إلاّ معصية لله في سجدةٍ واحدة؛ إذ لم‌يلحظ حجم العمل؛ فما يعطي العمل قيمته إنّما هي روحه وحقيقته والآثار المترتّبة عليه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فانَّنا إذا نظرنا إلى الدمعة التي تُسكَب بإخلاص في مأتم سيد الشهداء من زوايا مختلفة، وبحثناها من حيثيّات متعدّدة، لوجدنا أنَّها ليست بالأمر </w:t>
      </w:r>
      <w:bookmarkStart w:id="193" w:name="pg1994_19636"/>
    </w:p>
    <w:p>
      <w:pPr>
        <w:pStyle w:val="BookText"/>
        <w:rPr/>
      </w:pPr>
      <w:bookmarkEnd w:id="193"/>
      <w:r>
        <w:rPr>
          <w:rFonts w:ascii="Amiri" w:hAnsi="Amiri" w:eastAsia="Amiri" w:cs="Amiri"/>
          <w:color w:val="111111"/>
          <w:sz w:val="28"/>
          <w:sz w:val="28"/>
          <w:szCs w:val="28"/>
          <w:rtl w:val="true"/>
          <w:lang w:bidi="ar-SA"/>
        </w:rPr>
        <w:t>الهيّن؛ فهناك عالم من الحبّ والعشق وراء هذه الدمعة، يعجز الحديث عن بيانه مهما طال؛ حيث تنمّ هذه الدمعة عن عالم من الفهم والاستيعاب خلفها، يعجز أحياناً كل الناس عن خلقها، فيترتَّب عالم من الآثار والبركات عليها لا يساويها شيء في الأثر والبركة، فهي دمعة، لكنّها تربط الإنسان بالأنبياء والأولياء والصلحاء</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3920624_3650668749"/>
      <w:bookmarkStart w:id="195" w:name="_Toc70"/>
      <w:bookmarkEnd w:id="194"/>
      <w:r>
        <w:rPr/>
        <w:t>۵</w:t>
      </w:r>
      <w:r>
        <w:rPr>
          <w:rtl w:val="true"/>
        </w:rPr>
        <w:t xml:space="preserve">- </w:t>
      </w:r>
      <w:r>
        <w:rPr>
          <w:rtl w:val="true"/>
        </w:rPr>
        <w:t xml:space="preserve">البكاء على الحسين </w:t>
      </w:r>
      <w:r>
        <w:rPr>
          <w:rtl w:val="true"/>
        </w:rPr>
        <w:t>(</w:t>
      </w:r>
      <w:r>
        <w:rPr>
          <w:rtl w:val="true"/>
        </w:rPr>
        <w:t>ع</w:t>
      </w:r>
      <w:r>
        <w:rPr>
          <w:rtl w:val="true"/>
        </w:rPr>
        <w:t xml:space="preserve">) </w:t>
      </w:r>
      <w:r>
        <w:rPr>
          <w:rtl w:val="true"/>
        </w:rPr>
        <w:t>يلتقي مع التوبة والشفاعة في عدم الجرأة على الذنوب</w:t>
      </w:r>
      <w:bookmarkEnd w:id="195"/>
    </w:p>
    <w:p>
      <w:pPr>
        <w:pStyle w:val="BookText"/>
        <w:rPr/>
      </w:pPr>
      <w:r>
        <w:rPr>
          <w:rFonts w:ascii="Amiri" w:hAnsi="Amiri" w:eastAsia="Amiri" w:cs="Amiri"/>
          <w:color w:val="111111"/>
          <w:sz w:val="28"/>
          <w:sz w:val="28"/>
          <w:szCs w:val="28"/>
          <w:rtl w:val="true"/>
          <w:lang w:bidi="ar-SA"/>
        </w:rPr>
        <w:t>من الواضح أنَّ الله تعالى فتح باب التوبة والشفاعة للمؤمنين الى يوم القيامة، ومع ذلك لم يقل أحد أنّهما يؤدّيان إلى جرأة المُذنب وتماديه في معصيته، فالتوبة توجب محو الذنوب، لكن من دون أن تؤدّي التوبة إلى الإغراء في الوقوع في المعاصي، بل يكون باب التوبة مفتوحاً حتى تبلع النفس التراقي، من دون استلزامها للإغراء</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3920626_3650668749"/>
      <w:bookmarkStart w:id="197" w:name="_Toc71"/>
      <w:bookmarkEnd w:id="196"/>
      <w:r>
        <w:rPr/>
        <w:t>۶</w:t>
      </w:r>
      <w:r>
        <w:rPr>
          <w:rtl w:val="true"/>
        </w:rPr>
        <w:t xml:space="preserve">- </w:t>
      </w:r>
      <w:r>
        <w:rPr>
          <w:rtl w:val="true"/>
        </w:rPr>
        <w:t>إن البكاء مقتضي وليس علة تامة</w:t>
      </w:r>
      <w:bookmarkEnd w:id="197"/>
    </w:p>
    <w:p>
      <w:pPr>
        <w:pStyle w:val="BookText"/>
        <w:rPr/>
      </w:pPr>
      <w:r>
        <w:rPr>
          <w:rFonts w:ascii="Amiri" w:hAnsi="Amiri" w:eastAsia="Amiri" w:cs="Amiri"/>
          <w:color w:val="111111"/>
          <w:sz w:val="28"/>
          <w:sz w:val="28"/>
          <w:szCs w:val="28"/>
          <w:rtl w:val="true"/>
          <w:lang w:bidi="ar-SA"/>
        </w:rPr>
        <w:t xml:space="preserve">إنَّ الثواب المترتّب على 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على نحو الاقتضاء لا على نحو العلّة التامة، بمعنى أنَّ ذلك الثواب يُعطى إلى الباكي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يوجد مانع يمنع من تأثير الدمعة أو يلغي أثرها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تقريب ذلك بمثال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كالإنسان الذي يذهب إلى الطبيب ويصف له دواءً رافعاً للمرض المعيَّن، فمن الواضح أنَّ ذلك الدواء يمكن أن يرفع المرض، لكن بشرط أن لايوجد مانع عن تأثيره، كتناول أدوية مضادة لتأثير الأول، أو التعرّض لمسبّبات جديدة تزيد من آثار المرض، وهكذا</w:t>
      </w:r>
      <w:r>
        <w:rPr>
          <w:rFonts w:eastAsia="Amiri" w:cs="Amiri" w:ascii="Amiri" w:hAnsi="Amiri"/>
          <w:color w:val="111111"/>
          <w:sz w:val="28"/>
          <w:szCs w:val="28"/>
          <w:rtl w:val="true"/>
          <w:lang w:bidi="ar-SA"/>
        </w:rPr>
        <w:t xml:space="preserve">. . . </w:t>
      </w:r>
      <w:bookmarkStart w:id="198" w:name="pg1994_19637"/>
    </w:p>
    <w:p>
      <w:pPr>
        <w:pStyle w:val="BookText"/>
        <w:rPr/>
      </w:pPr>
      <w:bookmarkEnd w:id="198"/>
      <w:r>
        <w:rPr>
          <w:rFonts w:ascii="Amiri" w:hAnsi="Amiri" w:eastAsia="Amiri" w:cs="Amiri"/>
          <w:color w:val="111111"/>
          <w:sz w:val="28"/>
          <w:sz w:val="28"/>
          <w:szCs w:val="28"/>
          <w:rtl w:val="true"/>
          <w:lang w:bidi="ar-SA"/>
        </w:rPr>
        <w:t xml:space="preserve">وهذا المعنى يشير إليه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سبحان‌الله غرس الله له بها شجرة في الجنة، ومَن قال الحمد لله غرس الله له بها شجرة في الجنة، ومَن قال لا إله إلاّ الله غرس الله له بها شجرة في الجنة، ومَن قال الله أكبر غرس الله له بها شجرة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شجرنا في الجنة لكثير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إيّاكم أن ترسلوا عليها نيراناً فتحرقوها، وذلك 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ولا تبطلوا أعمالكم</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الآثار تترتَّب ما لم يأتِ مانع فيمنعها أو رافع يرفعها</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3920628_3650668749"/>
      <w:bookmarkStart w:id="200" w:name="_Toc72"/>
      <w:bookmarkEnd w:id="199"/>
      <w:r>
        <w:rPr/>
        <w:t>٧</w:t>
      </w:r>
      <w:r>
        <w:rPr>
          <w:rtl w:val="true"/>
        </w:rPr>
        <w:t xml:space="preserve">- </w:t>
      </w:r>
      <w:r>
        <w:rPr>
          <w:rtl w:val="true"/>
        </w:rPr>
        <w:t>الثواب من الله تعالى من باب التفضّل</w:t>
      </w:r>
      <w:bookmarkEnd w:id="200"/>
    </w:p>
    <w:p>
      <w:pPr>
        <w:pStyle w:val="BookText"/>
        <w:rPr/>
      </w:pPr>
      <w:r>
        <w:rPr>
          <w:rFonts w:ascii="Amiri" w:hAnsi="Amiri" w:eastAsia="Amiri" w:cs="Amiri"/>
          <w:color w:val="111111"/>
          <w:sz w:val="28"/>
          <w:sz w:val="28"/>
          <w:szCs w:val="28"/>
          <w:rtl w:val="true"/>
          <w:lang w:bidi="ar-SA"/>
        </w:rPr>
        <w:t>إنَّ ثواب الله تعالى لعباده على أعمالهم من باب التفضّل، كالجوائز التي تُعطى أحياناً لأعمالٍ بسيطة، فلا يجوز لنا أن نستبعد ثواباً عظيماً على عمل بسيط؛ لأنَّه ليس مقابل ذلك العمل، وإنَّما هو من باب التفضّل منه تعالى، وهو مالك لكل شيء</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3920630_3650668749"/>
      <w:bookmarkStart w:id="202" w:name="_Toc73"/>
      <w:bookmarkEnd w:id="201"/>
      <w:r>
        <w:rPr/>
        <w:t>٨</w:t>
      </w:r>
      <w:r>
        <w:rPr>
          <w:rtl w:val="true"/>
        </w:rPr>
        <w:t xml:space="preserve">- </w:t>
      </w:r>
      <w:r>
        <w:rPr>
          <w:rtl w:val="true"/>
        </w:rPr>
        <w:t>مقدار الثواب على حسب درجة الاعتقاد</w:t>
      </w:r>
      <w:bookmarkEnd w:id="202"/>
    </w:p>
    <w:p>
      <w:pPr>
        <w:pStyle w:val="BookText"/>
        <w:rPr/>
      </w:pPr>
      <w:r>
        <w:rPr>
          <w:rFonts w:ascii="Amiri" w:hAnsi="Amiri" w:eastAsia="Amiri" w:cs="Amiri"/>
          <w:color w:val="111111"/>
          <w:sz w:val="28"/>
          <w:sz w:val="28"/>
          <w:szCs w:val="28"/>
          <w:rtl w:val="true"/>
          <w:lang w:bidi="ar-SA"/>
        </w:rPr>
        <w:t xml:space="preserve">أجيب عن هذه الروايات التي تعطي الأجر الوافر على 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مقيدة، بمعنى أنَّ مقدار الثواب في البكاء على</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حسب درجة الاعتقاد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هذا الجواب بعد بيان مقدّمة مدى بيان العلاقة بين العمل والثواب المترتّب على ذلك العمل</w:t>
      </w:r>
      <w:r>
        <w:rPr>
          <w:rFonts w:eastAsia="Amiri" w:cs="Amiri" w:ascii="Amiri" w:hAnsi="Amiri"/>
          <w:color w:val="111111"/>
          <w:sz w:val="28"/>
          <w:szCs w:val="28"/>
          <w:rtl w:val="true"/>
          <w:lang w:bidi="ar-SA"/>
        </w:rPr>
        <w:t xml:space="preserve">. </w:t>
      </w:r>
      <w:bookmarkStart w:id="203" w:name="pg1994_19638"/>
    </w:p>
    <w:p>
      <w:pPr>
        <w:pStyle w:val="Heading4"/>
        <w:numPr>
          <w:ilvl w:val="3"/>
          <w:numId w:val="1"/>
        </w:numPr>
        <w:rPr/>
      </w:pPr>
      <w:bookmarkStart w:id="204" w:name="__RefHeading___Toc3920632_3650668749"/>
      <w:bookmarkStart w:id="205" w:name="_Toc74"/>
      <w:bookmarkEnd w:id="203"/>
      <w:bookmarkEnd w:id="204"/>
      <w:r>
        <w:rPr>
          <w:rtl w:val="true"/>
        </w:rPr>
        <w:t>مقدمة</w:t>
      </w:r>
      <w:r>
        <w:rPr>
          <w:rtl w:val="true"/>
        </w:rPr>
        <w:t xml:space="preserve">: </w:t>
      </w:r>
      <w:r>
        <w:rPr>
          <w:rtl w:val="true"/>
        </w:rPr>
        <w:t>العلاقة بين العمل والأجر والثواب</w:t>
      </w:r>
      <w:bookmarkEnd w:id="205"/>
    </w:p>
    <w:p>
      <w:pPr>
        <w:pStyle w:val="BookText"/>
        <w:rPr/>
      </w:pPr>
      <w:r>
        <w:rPr>
          <w:rFonts w:ascii="Amiri" w:hAnsi="Amiri" w:eastAsia="Amiri" w:cs="Amiri"/>
          <w:color w:val="111111"/>
          <w:sz w:val="28"/>
          <w:sz w:val="28"/>
          <w:szCs w:val="28"/>
          <w:rtl w:val="true"/>
          <w:lang w:bidi="ar-SA"/>
        </w:rPr>
        <w:t>من الواضح أنَّ الاعتقاد أو الإيمان على درجات، ففي الحديث عن عبد العزيز القراطيسي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العزيز، إنَّ الإيمان عشر درجات، بمنزلة السلّم، يُصعَد منه مرقاة بعد مرقاة، فلا يقولن صاحب الاثنين لصاحب الواحد لست على شيء حتى ينتهي إلى العاشر، فلا تُسقط مَن هو دونك فيُسقطك مَن هو فوقك، وإذا رأيت مَن هو أسفل منك بدرجة فارفعه إليك برفق، ولا تحملن عليه ما لا يطيق فتكسره، فإنَّ مَن كسر مؤمناً فعليه جبره</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يحيى بن أبان، عن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الناس كيف خلق الله تبارك وتعالى هذا الخلق، لم يَلُم أحدٌ أحداً،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فكيف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خلق أجزاء بلغ بها تسعة وأربعين جزءاً، ثُمَّ جعل الأجزاء أعشاراً، فجعل الجزء عشرة أعشار، ثُمَّ قسَّمه بين الخلق، فجعل في رجل عُشر جزء وفي آخر عشري جزء، حتى بلغ به جزءاً تاماً وفي آخر جزءاً وعشر جزء، وآخر جزءاً وعشرَي جزء، وآخر جزءاً وثلاثة أعشار جزء، حتى بلغ به جزئين تامين، ثُمَّ بحساب ذلك حتى بلغ بأرفعهم تسعة وأربعين جزءاً، فمَن لم يجعل فيه إلاّ عشر جزء لم يقدر على أن يكون مثل صاحب العشرين، وكذلك صاحب العشرين لا يكون مثل صاحب الثلاثة الأعشار، وكذلك مَن تمَّ له جزء لا يقدر على أن يكون مثل صاحب الجزأين؛ ولو علم الناس أنَّ الله عز وجل خلق هذا الخلق على هذا لم يَلُم أحدٌ أحداً</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أساس الدرجات الإيمانية الاعتقادية يختلف العطاء الإلهي والأجر والثواب، وإن كان العمل بحسب الظاهر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الشواهد التي تشير إلى هذه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باب الصلاة أو باب الصوم أو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فالبعض يصوم وليس له من صومه إلاّ الجوع والعطش، كما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صائم ليس له من صيامه إلاّ الجوع والعطش</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وبعض يصوم وأجره لا يعرفه إلاّ الله تعالى، وإن كان الصوم بحسب الظاهر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فالقراءة بحسب الظاهر واحدة، إلاَّ أنَّ البعض يقرأ القرآن فتكون بيوتهم كمصابيح زاهرة لأهل السماء، وبعض آخر يقرأ القرآن والقرآن يلعنه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قارئ للقرآن والقرآن يلعنه</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القرآن الكريم إلى هذه الحقيقة في تمايز العطاء والثواب، فتارة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 مَنْ جاءَ بِالسَّيِّئَةِ فَلا يُجْزى إِلاَّ مِثْلَها وَ هُمْ لا 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سبعمائة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 اللَّهُ يُضاعِفُ لِمَنْ يَشاءُ وَ اللَّهُ واسِعٌ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هذه الآية الأُولى نجد أنّه تعالى يعطي للحسنة أوَّلاً أجر بقدر عشر حسنات، وفي الآية الثانية يرتقي بالثواب إلى سبعمائة، ثُمَّ يضاعف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يُضاعِفُ لِمَنْ يَشاءُ ،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واسِعٌ عَلِيمٌ ، والوسعة الإلهية </w:t>
      </w:r>
    </w:p>
    <w:p>
      <w:pPr>
        <w:pStyle w:val="BookText"/>
        <w:rPr/>
      </w:pPr>
      <w:r>
        <w:rPr>
          <w:rFonts w:ascii="Amiri" w:hAnsi="Amiri" w:eastAsia="Amiri" w:cs="Amiri"/>
          <w:color w:val="111111"/>
          <w:sz w:val="28"/>
          <w:sz w:val="28"/>
          <w:szCs w:val="28"/>
          <w:rtl w:val="true"/>
          <w:lang w:bidi="ar-SA"/>
        </w:rPr>
        <w:t xml:space="preserve">لا حدّ لها، وَ إِنْ تَعُدُّوا نِعْمَتَ اللَّهِ لا تُحْصُوها إِنَّ الإِنْسانَ لَظَلُومٌ 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ذلك إنّما هو قائم على أساس الاستحقاق، فبعض يستحقّ عشرة، ومنهم يستحقّ سبعمائة، ومنهم مَن يستحقّ أكثر، على أساس الاعتقاد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المعلوم أنَّ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نوع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رشحات العلم، يترشّح من اعتقاد قلبي يناسبه</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حقيقة يؤكّدها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حَقَّ تُقاتِهِ وَ لا تَمُوتُنَّ إِلاَّ وَ أَنْتُمْ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واضحة الدلالة على أن التقوى على مراتب ودرجات متعدّدة، وإلاّ لو كانت للتقوى درجة واحدة؛ فلا معنى لأنْ 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حَقَّ تُقاتِهِ ، وهذة مفردة مهمّة سجلها العلامة الطباطبائي في تفسيره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فأنبأ أنَّ للتقوى، الذي هو الانتهاء عمّا نهى الله عنه والايتمار بما أمر الله به؛ مرتبة هي حق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بذلك أنَّ هناك من التقوى ما هو دون هذه المرتبة الحقّة، فللتقوى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هو بوجه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ودرجات 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اتَّبَعَ رِضْوانَ اللَّهِ كَمَنْ باءَ بِسَخَطٍ مِنَ اللَّهِ وَ مَأْواهُ جَهَنَّمُ وَ 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دَرَجاتٌ عِنْدَ اللَّهِ وَ اللَّهُ بَصِيرٌ بِما يَعْمَلُونَ ، فبيَّن أنَّ العمل مطلقاً سواء كان صالحاً أو طالحاً درجاتٌ ومراتب، والدليل على أنَّ المراد بها درجات العمل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بَصِيرٌ بِما يَعْمَلُونَ ونظير الآية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لِكُلٍّ دَرَجاتٌ مِمَّا عَمِلُوا وَ لِيُوَفِّيَهُمْ أَعْمالَهُمْ وَ هُمْ لا يُظْلَمُونَ ،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دَرَجاتٌ مِمَّا عَمِلُوا وَ ما رَبُّكَ بِغافِلٍ عَمَّا يَعْمَلُونَ ، والآيات في هذا المعنى كثيرة، وفيها ما يدلّ على أنَّ درجات الجنة ودركات النار بحسب مراتب الأعمال ودرجاتها</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ضوء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نفهم السرّ في تمايز الناس يوم القيامة في درجاتهم في الجنة، مع أنَّ عملهم في دار الدنيا واحد بحسب الظاهر، فصلاة الليل التي يصلّيها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توصله إلى المقام المحمود، أمّا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عامة الناس فهو، وإنْ كان يصلّي صلاة الليل، إلاّ أنّها لا توصله إلى ما وصل إليه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ذلك إلاّ لأجل التفاوت في الدرجات الإيمانية الاعتقادية، فالعمل وإن كان بحسب الظاهر واحداً، إلاّ أنَّ التمايز على أساس الإيمان والاعتقاد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اتّضحت هذه المقدّمة،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الأجر والثواب على البكاء يتناسب طردياً مع درجة الاعتقاد، فالبعض يوجب له الثواب الجزيل ويدخله الجنة، والبعض الآخر له مقدار من الثواب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يشهد لهذه الحقيقة هو الروايات الواردة في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فبعض الروايات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الحسين كتب الله له حجّة مبرورة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وبعضها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تعدل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سبعين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وبعضها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في الرزق ويمدّ في العمرُ مدافع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 الزائر يصافح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وأَُخرى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كمَن زار الله فوق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له ما تقدّم من ذنبه وما تأخّر</w:t>
      </w:r>
      <w:r>
        <w:rPr>
          <w:rFonts w:eastAsia="Amiri" w:cs="Amiri" w:ascii="Amiri" w:hAnsi="Amiri"/>
          <w:color w:val="111111"/>
          <w:sz w:val="28"/>
          <w:szCs w:val="28"/>
          <w:rtl w:val="true"/>
          <w:lang w:bidi="ar-SA"/>
        </w:rPr>
        <w:t xml:space="preserve">) . . . </w:t>
      </w:r>
      <w:r>
        <w:rPr>
          <w:rStyle w:val="FootnoteAnchor"/>
          <w:rtl w:val="true"/>
        </w:rPr>
        <w:footnoteReference w:id="163"/>
      </w:r>
      <w:r>
        <w:rPr>
          <w:rFonts w:ascii="Amiri" w:hAnsi="Amiri" w:eastAsia="Amiri" w:cs="Amiri"/>
          <w:color w:val="111111"/>
          <w:sz w:val="28"/>
          <w:sz w:val="28"/>
          <w:szCs w:val="28"/>
          <w:rtl w:val="true"/>
          <w:lang w:bidi="ar-SA"/>
        </w:rPr>
        <w:t>وما ذلك إلاّ لاختلاف درجات الإيمان والاعتقاد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معرفة الناس للإمام، ودرجة إيمانهم واعتقادهم </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متفاوتة ومختلفة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تبيّن ذلك، يتَّضح أنَّ مقدار الثواب المُعطى للباكي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على أساس الاعتقاد والمعرفة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bookmarkStart w:id="206" w:name="pg1994_19643"/>
    </w:p>
    <w:p>
      <w:pPr>
        <w:pStyle w:val="Heading3"/>
        <w:numPr>
          <w:ilvl w:val="2"/>
          <w:numId w:val="1"/>
        </w:numPr>
        <w:rPr/>
      </w:pPr>
      <w:bookmarkStart w:id="207" w:name="__RefHeading___Toc3920634_3650668749"/>
      <w:bookmarkStart w:id="208" w:name="_Toc75"/>
      <w:bookmarkEnd w:id="206"/>
      <w:bookmarkEnd w:id="207"/>
      <w:r>
        <w:rPr>
          <w:rtl w:val="true"/>
        </w:rPr>
        <w:t>خلاصة الفصل الأوّل</w:t>
      </w:r>
      <w:bookmarkEnd w:id="2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الحسينية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المراجعة الدقيقة لمعنى الشعائر في كلمات اللغويين والأعلام من فقهاء الفريقين، يتَّضح أنَّ الشعيرة هي العلامة، فكلُّ ما صدق عليه عُرفاً أنَّه مَعْلَم أو علامة لله تعالى، يُعدّ من شعائر الله تعالى، ويدخل تحت قوله تعالى وَ مَنْ يُعَظِّمْ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هو الحال في البيع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اللَّهُ الْبَيْعَ وَ حَرَّمَ الرِّبا ، حيث ترك الشارع المقدّس تعيين أفراد ومصاديق حقيقة وماهية البيع إلى العرف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معنى الشعائر المعنى العرفي، للَزم تبدّل دين الله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يرد دليل على تصرّف الشارع في معنى أو ماهية معيّنة، فإنَّ القاعدة الأوَّلية أنَّ ذلك المعنى يبقى على معناه اللغوي، كما في لفظ البيع في قوله تعالى أَحَلَّ اللَّهُ الْبَيْعَ ، ومن هذا القبيل لفظ الشعائر؛ فإنَّه لم يرد دليل على تصرّف الشارع فيه، وعليه فمقتضى القاعدة الأوَّلية أنْ يبقى على معناه اللغوي، فالشارع وإنْ تصرَّف في بعض الموارد، مثل مناسك الحج، لكنّ الموارد التي لم يتصرّف فيها الشارع ولم يتَّخذها بخصوصها شعيرة </w:t>
      </w:r>
    </w:p>
    <w:p>
      <w:pPr>
        <w:pStyle w:val="BookText"/>
        <w:rPr/>
      </w:pPr>
      <w:r>
        <w:rPr>
          <w:rFonts w:ascii="Amiri" w:hAnsi="Amiri" w:eastAsia="Amiri" w:cs="Amiri"/>
          <w:color w:val="111111"/>
          <w:sz w:val="28"/>
          <w:sz w:val="28"/>
          <w:szCs w:val="28"/>
          <w:rtl w:val="true"/>
          <w:lang w:bidi="ar-SA"/>
        </w:rPr>
        <w:t xml:space="preserve">وعلامة، فالمرجع فيها إلى العُرف، فما اتَّخذها عُرف المسلمين شعيرة وعلامة على معنى من المعاني الإسلامية، تدخل تحت عموم قوله تعالى ذلِكَ وَ مَنْ يُعَظِّمْ شَعائِرَ اللَّهِ فَإِنَّها مِنْ تَقْوَى الْقُلُوبِ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اختلفت الأعراف في كيفية ممارسة الشعائر ومصاديقها التي توجب التعظيم والتجليل، أو التي توجب وهن المذهب، أو ما يُخاف به على النفس أو البدن، فالضابطة هي الرجوع الى العُرف الغالب في البلد، واذا لم تكن الغلبة مع واحد من الإعراف المتعارضة، فلكلّ شخصٍ الرجوع إلى عُرف بلده؛ لأنَّ عنوان التعظيم والإهانة والهَتك من العناوين العُرفية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الفرح بشهادة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البكاء والجزع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في الإجابة على الشُبهة اللاحقة من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وسيرته العملية، على البكاء على 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المتضافرة التي أمرت بالبكاء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عدَّته أهمّ العبادات، مضافاً الى ما جاء في القرآن الكريم في بكاء النبي يعقوب وجزعه على يوسف، التي تدلّ على جواز البكاء وإلحاق الضرر والجزع على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بالأولوية من جهات متعدّدة،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منزلة ومقام سيد الشهداء على نبي الله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عَظَمَة مصيبة سيد الشهداء بالمقارنة مع مصيبة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اذ إنَّ مصيبة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قياسها مع ما جرى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مصادر أهل السُنَّة جملة من الشواهد على ذلك، منها بكاء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بكاء السماء دماً حزناً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وبكاء </w:t>
      </w:r>
    </w:p>
    <w:p>
      <w:pPr>
        <w:pStyle w:val="BookText"/>
        <w:rPr/>
      </w:pPr>
      <w:r>
        <w:rPr>
          <w:rFonts w:ascii="Amiri" w:hAnsi="Amiri" w:eastAsia="Amiri" w:cs="Amiri"/>
          <w:color w:val="111111"/>
          <w:sz w:val="28"/>
          <w:sz w:val="28"/>
          <w:szCs w:val="28"/>
          <w:rtl w:val="true"/>
          <w:lang w:bidi="ar-SA"/>
        </w:rPr>
        <w:t xml:space="preserve">الأرض دماً عبيطاً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وكسوف الشمس واضطراب الكواكب بعد عاشوراء، وبكاء ملائكة السماء على الحسين، ووقوع الحوادث الغريبة بعد واقعة عاشوراء، ونوح الجنّ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 ذلك من المآتم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على الحسين بِدعة؛ لأنَّ الميّت يُعذَّب ببكاء أهله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الأحاديث معارَضة بمثلها، حيث روي أنَّ هذه الأحاديث وردت في موت يهودي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الأحاديث، على فرض صدورها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تتعارض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يتناقض مع تقرير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لعمل نساء الأنصار في البكاء على موتاهن، فمن الغريب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لساناً ويبكي عيناً ويحزن قلباً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يتناقض مع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وبكائه في موارد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البكاء يرفضها العقل للأجر، لعدم معقولية ثوابها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الاستبعاد لا يصلح للدليلية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وفرة الثواب لا يختصّ بالبكاء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يعمّ الكثير من الأعمال الضئيلة في الظاهر التي تتمتَّع بأجر عظيم، كالبكاء من خشية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العمل لا تُقاس بحجمه المادّي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على الحسين لا يُوجب الجُرأة على الذنوب، كما في التوبة والشفاعة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البكاء مقتضي وليس علّة تامة، بمعنى أنَّ ذلك الثواب يُعطى الى الباكي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يُوجَد مانع يمنع من تأثير الدمعة أو يلغي أثرها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 من الله تعالى من باب التفضّل</w:t>
      </w:r>
      <w:r>
        <w:rPr>
          <w:rFonts w:eastAsia="IRNazanin" w:cs="IRNazanin"/>
          <w:color w:val="111111"/>
          <w:sz w:val="28"/>
          <w:szCs w:val="28"/>
          <w:rtl w:val="true"/>
          <w:lang w:bidi="fa-IR"/>
        </w:rPr>
        <w:t xml:space="preserve">. </w:t>
      </w:r>
      <w:bookmarkStart w:id="209" w:name="pg1994_19647"/>
    </w:p>
    <w:p>
      <w:pPr>
        <w:pStyle w:val="Heading2"/>
        <w:numPr>
          <w:ilvl w:val="1"/>
          <w:numId w:val="1"/>
        </w:numPr>
        <w:rPr/>
      </w:pPr>
      <w:bookmarkStart w:id="210" w:name="__RefHeading___Toc3920636_3650668749"/>
      <w:bookmarkStart w:id="211" w:name="_Toc76"/>
      <w:bookmarkEnd w:id="209"/>
      <w:bookmarkEnd w:id="210"/>
      <w:r>
        <w:rPr>
          <w:rtl w:val="true"/>
        </w:rPr>
        <w:t>الفصل الثاني</w:t>
      </w:r>
      <w:r>
        <w:rPr>
          <w:rtl w:val="true"/>
        </w:rPr>
        <w:t xml:space="preserve">: </w:t>
      </w:r>
      <w:r>
        <w:rPr>
          <w:rtl w:val="true"/>
        </w:rPr>
        <w:t>في أجوبة الشبهات المتعلّقة بشعيرة اللّطم</w:t>
      </w:r>
      <w:bookmarkEnd w:id="211"/>
    </w:p>
    <w:p>
      <w:pPr>
        <w:pStyle w:val="Heading3"/>
        <w:numPr>
          <w:ilvl w:val="2"/>
          <w:numId w:val="1"/>
        </w:numPr>
        <w:rPr/>
      </w:pPr>
      <w:bookmarkStart w:id="212" w:name="__RefHeading___Toc3920638_3650668749"/>
      <w:bookmarkStart w:id="213" w:name="_Toc77"/>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اللطم لا أصل له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اللطم لايدخل تحت عنوان العزاء عرفاً</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اللطم على الميت</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مواكب اللطم بدعة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الخامسه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روّاد المواكب لا يلتزمون بأحكام الشريعة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994_19649"/>
      <w:bookmarkStart w:id="215" w:name="pg1994_19649"/>
      <w:bookmarkEnd w:id="215"/>
    </w:p>
    <w:p>
      <w:pPr>
        <w:pStyle w:val="Heading3"/>
        <w:numPr>
          <w:ilvl w:val="2"/>
          <w:numId w:val="1"/>
        </w:numPr>
        <w:rPr/>
      </w:pPr>
      <w:bookmarkStart w:id="216" w:name="pg1994_19649"/>
      <w:bookmarkStart w:id="217" w:name="__RefHeading___Toc3920640_3650668749"/>
      <w:bookmarkStart w:id="218" w:name="_Toc78"/>
      <w:bookmarkEnd w:id="216"/>
      <w:bookmarkEnd w:id="217"/>
      <w:r>
        <w:rPr>
          <w:rtl w:val="true"/>
        </w:rPr>
        <w:t>الشبهة الاُولى</w:t>
      </w:r>
      <w:r>
        <w:rPr>
          <w:rtl w:val="true"/>
        </w:rPr>
        <w:t xml:space="preserve">: </w:t>
      </w:r>
      <w:r>
        <w:rPr>
          <w:rtl w:val="true"/>
        </w:rPr>
        <w:t>اللطم لا أصل له في الشريعة</w:t>
      </w:r>
      <w:bookmarkEnd w:id="218"/>
    </w:p>
    <w:p>
      <w:pPr>
        <w:pStyle w:val="Heading4"/>
        <w:numPr>
          <w:ilvl w:val="3"/>
          <w:numId w:val="1"/>
        </w:numPr>
        <w:rPr/>
      </w:pPr>
      <w:bookmarkStart w:id="219" w:name="__RefHeading___Toc3920642_3650668749"/>
      <w:bookmarkStart w:id="220" w:name="_Toc79"/>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تفصيل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البعض إنَّ الشيعة ابتكروا أشكالاً متعدّدة في إقامة المجالس الحسينية، من قبيل اللطم على الصدور، وضرب الصدور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وهي حرام؛ لِما فيها من إلقاء النفس في التَهلُكة والضَرر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حرمة اللطم بأصنافٍ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اللطم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اللطم إضرار وإيذاء للنفس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العقل بقبح ظُلم النفس أو إيذائها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مادلَّ على حرمة الوهن والسُخرية بالمذهب</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3920644_3650668749"/>
      <w:bookmarkStart w:id="222" w:name="_Toc80"/>
      <w:bookmarkEnd w:id="221"/>
      <w:r>
        <w:rPr>
          <w:rtl w:val="true"/>
        </w:rPr>
        <w:t>الصنف الأول</w:t>
      </w:r>
      <w:r>
        <w:rPr>
          <w:rtl w:val="true"/>
        </w:rPr>
        <w:t xml:space="preserve">: </w:t>
      </w:r>
      <w:r>
        <w:rPr>
          <w:rtl w:val="true"/>
        </w:rPr>
        <w:t>إن اللطم حرام</w:t>
      </w:r>
      <w:bookmarkEnd w:id="222"/>
    </w:p>
    <w:p>
      <w:pPr>
        <w:pStyle w:val="Heading5"/>
        <w:numPr>
          <w:ilvl w:val="4"/>
          <w:numId w:val="1"/>
        </w:numPr>
        <w:rPr/>
      </w:pPr>
      <w:bookmarkStart w:id="223" w:name="__RefHeading___Toc3920646_3650668749"/>
      <w:bookmarkStart w:id="224" w:name="_Toc81"/>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اللطم حرام لأنَّه بدعة</w:t>
      </w:r>
    </w:p>
    <w:p>
      <w:pPr>
        <w:pStyle w:val="Heading5"/>
        <w:numPr>
          <w:ilvl w:val="4"/>
          <w:numId w:val="1"/>
        </w:numPr>
        <w:rPr/>
      </w:pPr>
      <w:bookmarkStart w:id="225" w:name="__RefHeading___Toc3920648_3650668749"/>
      <w:bookmarkStart w:id="226" w:name="_Toc82"/>
      <w:bookmarkEnd w:id="225"/>
      <w:r>
        <w:rPr>
          <w:rtl w:val="true"/>
        </w:rPr>
        <w:t>الجواب</w:t>
      </w:r>
      <w:bookmarkEnd w:id="226"/>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عليه أهل التحقيق والنظر أنّ البدعة تتحقَّق بما يلي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ما ليس من الدين في الدين، من قبيل الافتراء على الله وعلى رسوله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أو إنكار أو جحود ما ثبت بالأدلّة الصحيحة أنّه من ديننا الذي يرتضيه الله ورسوله وآله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عقائدياً كان أو فقهياً، أو سلوكاً أخلاقياً وأدبياً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اللطم ليس مصداقاً لأيٍّ من المعنيَين المذكورين؛ إذ إنّ القول بجواز اللطم وإباحته لا يستلزم إضافة شيء إلى دين الله، ممّا هو ليس منه، ولا يستلزم كذلك نفي أو إنكار أو جحود أيّ شيء من دين الله سبحانه وتعالى؛ إذ غاية الأمر أنَّ اللطم مَظهَر من مظاهر الحزن والجزع على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حثَّت عليهما سُنّة المعصومين وأوصت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الحزن والجزع على مراتب متعدّدة، ويختلف التعبير في مراتب الحزن والجزع من إنسان لآخر، بحسب انفعاله وتأثّره؛ فقد يكون التعبير عن الحزن بالسكوت والانطواء، أو بالتحسّر والتوجّع، أو بالإكثار من الاسترجاع والحوقلة، أو الإعراض عن الملذّات والمسرّات، أو بالبكاء والنحيب، أو بالصراخ والعويل، أو بلطمِ الوجه ولدم الصدر، أو بضرب الرأس أو الجسد باليد، أو بضرب نفسه بالأرض، أو بحثِّ التراب على الرأس، أو بهجر النوم والفراش، أو بأي فعل آخر يكون بحسب العُرف أو بحسب ذوق أهل المصاب، وبحسب ما يستشعره صاحب المصيبة بأنّه قد فعل شيئاً يُعبِّر فيه عن عظم مصابه ورزيَّته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اللطم يمثّل أحد مراتب التعبير عن الحزن والجزع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هذا الأساس لا ينطبق تعريف البدعة على اللطم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أقل تقدير، فإنَّ اللطم يدخل ضمن دائرة المباحات، كما هو مقتضى التمسّك بالأصل العملي، وهو أصالة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تعلم الحرام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وجود الدليل على حُرمته كما ستعرف</w:t>
      </w:r>
      <w:r>
        <w:rPr>
          <w:rFonts w:eastAsia="Amiri" w:cs="Amiri" w:ascii="Amiri" w:hAnsi="Amiri"/>
          <w:color w:val="111111"/>
          <w:sz w:val="28"/>
          <w:szCs w:val="28"/>
          <w:rtl w:val="true"/>
          <w:lang w:bidi="ar-SA"/>
        </w:rPr>
        <w:t xml:space="preserve">. </w:t>
      </w:r>
      <w:bookmarkStart w:id="227" w:name="pg1994_19651"/>
    </w:p>
    <w:p>
      <w:pPr>
        <w:pStyle w:val="Heading4"/>
        <w:numPr>
          <w:ilvl w:val="3"/>
          <w:numId w:val="1"/>
        </w:numPr>
        <w:rPr/>
      </w:pPr>
      <w:bookmarkStart w:id="228" w:name="__RefHeading___Toc3920650_3650668749"/>
      <w:bookmarkStart w:id="229" w:name="_Toc83"/>
      <w:bookmarkEnd w:id="227"/>
      <w:bookmarkEnd w:id="228"/>
      <w:r>
        <w:rPr>
          <w:rtl w:val="true"/>
        </w:rPr>
        <w:t>الصنف الثاني</w:t>
      </w:r>
      <w:r>
        <w:rPr>
          <w:rtl w:val="true"/>
        </w:rPr>
        <w:t xml:space="preserve">: </w:t>
      </w:r>
      <w:r>
        <w:rPr>
          <w:rtl w:val="true"/>
        </w:rPr>
        <w:t>اللطم إضرار وإيذاء للنفس</w:t>
      </w:r>
      <w:bookmarkEnd w:id="229"/>
    </w:p>
    <w:p>
      <w:pPr>
        <w:pStyle w:val="Heading5"/>
        <w:numPr>
          <w:ilvl w:val="4"/>
          <w:numId w:val="1"/>
        </w:numPr>
        <w:rPr/>
      </w:pPr>
      <w:bookmarkStart w:id="230" w:name="__RefHeading___Toc3920652_3650668749"/>
      <w:bookmarkStart w:id="231" w:name="_Toc84"/>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وأدلّة حرمة إيذاء النفس وإلقائها في التهلكة،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إِلَى التَّهْلُكَةِ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استُدلّ على الحرمة بأدلّة العسر والحرج، مضافاً إلى ما عُلم من أنَّ الشريعة الإسلامية شريعة سمحاء، كما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أتيتكم بالشريعة السمحة السهلة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الذي استدلّوا به على الحرمة هو تلك الأدلّة التي تحرّم الضرر وإلقاء النفس بالتهلكة أو العسر</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3920654_3650668749"/>
      <w:bookmarkStart w:id="233" w:name="_Toc85"/>
      <w:bookmarkEnd w:id="232"/>
      <w:r>
        <w:rPr>
          <w:rtl w:val="true"/>
        </w:rPr>
        <w:t>الجواب</w:t>
      </w:r>
      <w:bookmarkEnd w:id="233"/>
    </w:p>
    <w:p>
      <w:pPr>
        <w:pStyle w:val="Heading5"/>
        <w:numPr>
          <w:ilvl w:val="4"/>
          <w:numId w:val="1"/>
        </w:numPr>
        <w:rPr/>
      </w:pPr>
      <w:bookmarkStart w:id="234" w:name="__RefHeading___Toc3920656_3650668749"/>
      <w:bookmarkStart w:id="235" w:name="_Toc86"/>
      <w:bookmarkEnd w:id="234"/>
      <w:r>
        <w:rPr/>
        <w:t>١</w:t>
      </w:r>
      <w:r>
        <w:rPr>
          <w:rtl w:val="true"/>
        </w:rPr>
        <w:t xml:space="preserve">- </w:t>
      </w:r>
      <w:r>
        <w:rPr>
          <w:rtl w:val="true"/>
        </w:rPr>
        <w:t>ليس في اللطم ضرر معتدّ به</w:t>
      </w:r>
      <w:bookmarkEnd w:id="235"/>
    </w:p>
    <w:p>
      <w:pPr>
        <w:pStyle w:val="BookText"/>
        <w:rPr/>
      </w:pPr>
      <w:r>
        <w:rPr>
          <w:rFonts w:ascii="Amiri" w:hAnsi="Amiri" w:eastAsia="Amiri" w:cs="Amiri"/>
          <w:color w:val="111111"/>
          <w:sz w:val="28"/>
          <w:sz w:val="28"/>
          <w:szCs w:val="28"/>
          <w:rtl w:val="true"/>
          <w:lang w:bidi="ar-SA"/>
        </w:rPr>
        <w:t>ليس في اللطم ضرر معتدّ به عند الناس، نعم يمكن أن تكون فيها مشقّة، لكن المشقة لا تسوّغ عدم جواز الفعل أو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يشهد لذلك أنَّنا نجد كثير من العبادات والمستحبات فيها مشقّة وتعب، من دون أن يُحكَم بحُرمتها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والتجربة خير شاهد على عدم وجود الضرر في اللطم، فإنَّنا في كل سنة نرى أمام ناظرينا هذه التجمّعات التي تمارس اللطم، ولم نرَ أحداً مات أو لحق به ضرر منها، كما لم نسمع من الماضين مَن حدَّث عن ذلك، كما ذكر ذلك الشيخ كاشف الغطاء،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المواكب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بلغنا من العمر ما يناهز الستين، وفي كل سنة تُقام نصب أعيننا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رأينا شخصاً مات أو تضرر، ولا سمعنا به في الغابرين</w:t>
      </w:r>
      <w:r>
        <w:rPr>
          <w:rFonts w:eastAsia="Amiri" w:cs="Amiri" w:ascii="Amiri" w:hAnsi="Amiri"/>
          <w:color w:val="111111"/>
          <w:sz w:val="28"/>
          <w:szCs w:val="28"/>
          <w:rtl w:val="true"/>
          <w:lang w:bidi="ar-SA"/>
        </w:rPr>
        <w:t xml:space="preserve">» . </w:t>
      </w:r>
      <w:bookmarkStart w:id="236" w:name="pg1994_19652"/>
    </w:p>
    <w:p>
      <w:pPr>
        <w:pStyle w:val="Heading5"/>
        <w:numPr>
          <w:ilvl w:val="4"/>
          <w:numId w:val="1"/>
        </w:numPr>
        <w:rPr/>
      </w:pPr>
      <w:bookmarkStart w:id="237" w:name="__RefHeading___Toc3920658_3650668749"/>
      <w:bookmarkStart w:id="238" w:name="_Toc87"/>
      <w:bookmarkEnd w:id="236"/>
      <w:bookmarkEnd w:id="237"/>
      <w:r>
        <w:rPr/>
        <w:t>٢</w:t>
      </w:r>
      <w:r>
        <w:rPr>
          <w:rtl w:val="true"/>
        </w:rPr>
        <w:t xml:space="preserve">- </w:t>
      </w:r>
      <w:r>
        <w:rPr>
          <w:rtl w:val="true"/>
        </w:rPr>
        <w:t>الضرر المسوّغ للحُرمة هو الضرر الكبير</w:t>
      </w:r>
      <w:bookmarkEnd w:id="238"/>
    </w:p>
    <w:p>
      <w:pPr>
        <w:pStyle w:val="BookText"/>
        <w:rPr/>
      </w:pPr>
      <w:r>
        <w:rPr>
          <w:rFonts w:ascii="Amiri" w:hAnsi="Amiri" w:eastAsia="Amiri" w:cs="Amiri"/>
          <w:color w:val="111111"/>
          <w:sz w:val="28"/>
          <w:sz w:val="28"/>
          <w:szCs w:val="28"/>
          <w:rtl w:val="true"/>
          <w:lang w:bidi="ar-SA"/>
        </w:rPr>
        <w:t>لو فرضنا أنَّ في اللطم ضرر أو عسر، لكنَّ صرف الضرر أو العسر لايمكنه أن يكون مبرّراً للحرمة، إنّما الضرر الكبير الذي لا يقبل الجبران، أو ما كان فيه هلاك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إلى ذلك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الضابط في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به الضرر، والضرر الموجب للتحريم يعمّ الهلاك وفساد المزاج والعقل والقوة، وحصول المرض أو الضرر في عضو</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اللطم، وإن كان من الشديد، حزناً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الشعائر المستحبّة؛ لدخوله تحت عنوان الجزع الذي دلَّت النصوص المُعتبرة على رجحانه، ولو أدّى بعض الأحيان إلى الإدماء واسوداد الصدر، ولا دليل على حرمة كل إضرار بالجسد، ما لم يصل إلى حدّ الجناية على النفس، بحيث يُعدّ ظلماً لها، كما أنَّ كون طريقة العزاء حضارية أو لا، ليس مناطاً للحرمة والإباحة، ولا قيمة له في مقام الاستدلال</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حتى لو فرضنا الضرر في اللطم، إلاّ أنَّ الحرام منه هو الضرر الكبير الذي فيه هلاك النفس، فليس كل ضرر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حكم جملة من الفقهاء على صحّة بعض الأعمال العبادية التي فيها ضرر، فيما إذا كان الضرر غير مُؤدّ إلى الموت أو سرعته، أو إلى مرض مزمن مثلاً، وشبه ذلك من الأضرار التي يُعلَم من الخارج عدم جواز تحمّلها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العديد من الموارد التي تكون جائزة مع ما يلزمها من الضرر، من قبيل ثقب أُذني الغلام، الذي اتّفق عليه النص والفتوى </w:t>
      </w:r>
      <w:r>
        <w:rPr>
          <w:rStyle w:val="FootnoteAnchor"/>
          <w:rtl w:val="true"/>
        </w:rPr>
        <w:footnoteReference w:id="167"/>
      </w:r>
      <w:r>
        <w:rPr>
          <w:rFonts w:ascii="Amiri" w:hAnsi="Amiri" w:eastAsia="Amiri" w:cs="Amiri"/>
          <w:color w:val="111111"/>
          <w:sz w:val="28"/>
          <w:sz w:val="28"/>
          <w:szCs w:val="28"/>
          <w:rtl w:val="true"/>
          <w:lang w:bidi="ar-SA"/>
        </w:rPr>
        <w:t>، وثقب آذان النساء، والحجامة والفصد، ونحو ذلك</w:t>
      </w:r>
      <w:r>
        <w:rPr>
          <w:rFonts w:eastAsia="Amiri" w:cs="Amiri" w:ascii="Amiri" w:hAnsi="Amiri"/>
          <w:color w:val="111111"/>
          <w:sz w:val="28"/>
          <w:szCs w:val="28"/>
          <w:rtl w:val="true"/>
          <w:lang w:bidi="ar-SA"/>
        </w:rPr>
        <w:t xml:space="preserve">. </w:t>
      </w:r>
      <w:bookmarkStart w:id="239" w:name="pg1994_19653"/>
    </w:p>
    <w:p>
      <w:pPr>
        <w:pStyle w:val="BookText"/>
        <w:rPr/>
      </w:pPr>
      <w:bookmarkEnd w:id="239"/>
      <w:r>
        <w:rPr>
          <w:rFonts w:ascii="Amiri" w:hAnsi="Amiri" w:eastAsia="Amiri" w:cs="Amiri"/>
          <w:color w:val="111111"/>
          <w:sz w:val="28"/>
          <w:sz w:val="28"/>
          <w:szCs w:val="28"/>
          <w:rtl w:val="true"/>
          <w:lang w:bidi="ar-SA"/>
        </w:rPr>
        <w:t>وعليه، لو فرضنا أنَّ اللطم فيه ضرر، لكنَّ هذا لا يسوّغ الحُكم بحُرمتهما وعدم صحّتهما لمجرّد هذا الضرر أو العُسر اليسير</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3920660_3650668749"/>
      <w:bookmarkStart w:id="241" w:name="_Toc88"/>
      <w:bookmarkEnd w:id="240"/>
      <w:r>
        <w:rPr/>
        <w:t>٣</w:t>
      </w:r>
      <w:r>
        <w:rPr>
          <w:rtl w:val="true"/>
        </w:rPr>
        <w:t xml:space="preserve">- </w:t>
      </w:r>
      <w:r>
        <w:rPr>
          <w:rtl w:val="true"/>
        </w:rPr>
        <w:t>الضرر الموجب للحرمة هو الضرر الشخصي لا النوعي</w:t>
      </w:r>
      <w:bookmarkEnd w:id="241"/>
    </w:p>
    <w:p>
      <w:pPr>
        <w:pStyle w:val="BookText"/>
        <w:rPr/>
      </w:pPr>
      <w:r>
        <w:rPr>
          <w:rFonts w:ascii="Amiri" w:hAnsi="Amiri" w:eastAsia="Amiri" w:cs="Amiri"/>
          <w:color w:val="111111"/>
          <w:sz w:val="28"/>
          <w:sz w:val="28"/>
          <w:szCs w:val="28"/>
          <w:rtl w:val="true"/>
          <w:lang w:bidi="ar-SA"/>
        </w:rPr>
        <w:t>لو فرضنا أنَّ في اللطم ضرر على النفس، لكنَّ حرمة ذلك مختص بمَن يعتقد أنَّ قيامه بهذا العمل يلحق ضرراً على نفسه، فيكون اللطم حراماً على ذلك الشخص فقط؛ وذلك لأنَّ المرفوع بقاعدة الضرر في العبادات هو الضرر الشخصي، لا النوعي الغالبي، كما هو واضح لمَن تتبَّع كلمات الفقهاء في الموارد المتفرّقة، بمعنى أنَّ الحكم يرتفع عن زيدٍ مثلاً، إذا لزم منه الضرر على شخص زيد، دون الرفع الكُِلّي عن جميع الأشخاص؛ وذلك لما ثبت في محلّه ومقتضى أنَّ الأحكام الشرعية انحلالية، وأنّها من قبيل القضايا الحقيقية، وأنَّ فعليَّة الحكم تابعة لوجود موضوعه، تبعية المعلول لعلَّته، وإلاّ يلزم الخلف والمناقضة</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3920662_3650668749"/>
      <w:bookmarkStart w:id="243" w:name="_Toc89"/>
      <w:bookmarkEnd w:id="242"/>
      <w:r>
        <w:rPr/>
        <w:t>۴</w:t>
      </w:r>
      <w:r>
        <w:rPr>
          <w:rtl w:val="true"/>
        </w:rPr>
        <w:t xml:space="preserve">- </w:t>
      </w:r>
      <w:r>
        <w:rPr>
          <w:rtl w:val="true"/>
        </w:rPr>
        <w:t>النقض بتجويز الرياضات العنيفة</w:t>
      </w:r>
      <w:bookmarkEnd w:id="24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نستغرب من الّذين يذهبون إلى حرمة اللطم حُزناً وجزعاً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بذريعة إيذاء النفس، في الوقت الذي يُجيزون ممارسة الرياضات العنيفة، مثل المصارعة والجودو والكراتيه والكونكفو، وسباق الخيل والدّراجات البخارية والسيارات والزوارق السريعة، والتزلّج في المناطق الخطرة مع القفز من الارتفاعات العالية، إلى غير ذلك من فنون رياضات هذا العصر وغيرها، مع ما تسبِّبه من الآلام الشديدة والجراحات والرضوض والكسور غير البالغة</w:t>
      </w:r>
      <w:r>
        <w:rPr>
          <w:rFonts w:eastAsia="Amiri" w:cs="Amiri" w:ascii="Amiri" w:hAnsi="Amiri"/>
          <w:color w:val="111111"/>
          <w:sz w:val="28"/>
          <w:szCs w:val="28"/>
          <w:rtl w:val="true"/>
          <w:lang w:bidi="ar-SA"/>
        </w:rPr>
        <w:t xml:space="preserve">. </w:t>
      </w:r>
      <w:bookmarkStart w:id="244" w:name="pg1994_19654"/>
    </w:p>
    <w:p>
      <w:pPr>
        <w:pStyle w:val="Heading5"/>
        <w:numPr>
          <w:ilvl w:val="4"/>
          <w:numId w:val="1"/>
        </w:numPr>
        <w:rPr/>
      </w:pPr>
      <w:bookmarkStart w:id="245" w:name="__RefHeading___Toc3920664_3650668749"/>
      <w:bookmarkStart w:id="246" w:name="_Toc90"/>
      <w:bookmarkEnd w:id="244"/>
      <w:bookmarkEnd w:id="245"/>
      <w:r>
        <w:rPr/>
        <w:t>۵</w:t>
      </w:r>
      <w:r>
        <w:rPr>
          <w:rtl w:val="true"/>
        </w:rPr>
        <w:t xml:space="preserve">- </w:t>
      </w:r>
      <w:r>
        <w:rPr>
          <w:rtl w:val="true"/>
        </w:rPr>
        <w:t>ذهاب المشهور إلى استحباب اللطم</w:t>
      </w:r>
      <w:bookmarkEnd w:id="246"/>
    </w:p>
    <w:p>
      <w:pPr>
        <w:pStyle w:val="BookText"/>
        <w:rPr/>
      </w:pPr>
      <w:r>
        <w:rPr>
          <w:rFonts w:ascii="Amiri" w:hAnsi="Amiri" w:eastAsia="Amiri" w:cs="Amiri"/>
          <w:color w:val="111111"/>
          <w:sz w:val="28"/>
          <w:sz w:val="28"/>
          <w:szCs w:val="28"/>
          <w:rtl w:val="true"/>
          <w:lang w:bidi="ar-SA"/>
        </w:rPr>
        <w:t xml:space="preserve">إنَّ كثيراً من العلماء والمراجع، من السلف إلى المعاصرين، أقرّوا وأمضوا هذه الشعائر، بما فيها اللطم، وحكموا بجوازها واستحبابها، كالشيخ الحر العاملي، والشيخ مرتضى الأنصاري، والشيخ محمد حسن صاحب الجواهر، والشيخ جعفر الشوشتري، والحاج ملا علي الكني، والشيخ فضل الله النوري، والآخوند كاظم الخراساني، والميرزا النائيني، والشيخ جعفر كاشف الغطاء، والشيخ عبد الكريم الحائري اليزدي، وآخرين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ونذكر نموذجاً لذلك، وهو مقطع من فتوى الميرزا النائيني في جواز اللطم، حيث 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لا إشكال في جواز اللطم بالأيدي على الخدود والصدور حدّ الإحمرار والاسوداد، بل يقوى جواز الضرب بالسلاسل أيضاً على الأكتاف والظهور، إلى الحدّ المذكور، بل وإنْ تأدّى كلّ من اللطم والضرب إلى خروج دمٍ يسير على الأقوى</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3920666_3650668749"/>
      <w:bookmarkStart w:id="248" w:name="_Toc91"/>
      <w:bookmarkEnd w:id="247"/>
      <w:r>
        <w:rPr>
          <w:rtl w:val="true"/>
        </w:rPr>
        <w:t>الصنف الثالث</w:t>
      </w:r>
      <w:r>
        <w:rPr>
          <w:rtl w:val="true"/>
        </w:rPr>
        <w:t xml:space="preserve">: </w:t>
      </w:r>
      <w:r>
        <w:rPr>
          <w:rtl w:val="true"/>
        </w:rPr>
        <w:t>استقلال العقل بقبح ظُلم النفس أو إيذائها</w:t>
      </w:r>
      <w:bookmarkEnd w:id="248"/>
    </w:p>
    <w:p>
      <w:pPr>
        <w:pStyle w:val="Heading5"/>
        <w:numPr>
          <w:ilvl w:val="4"/>
          <w:numId w:val="1"/>
        </w:numPr>
        <w:rPr/>
      </w:pPr>
      <w:bookmarkStart w:id="249" w:name="__RefHeading___Toc3920668_3650668749"/>
      <w:bookmarkStart w:id="250" w:name="_Toc92"/>
      <w:bookmarkEnd w:id="249"/>
      <w:r>
        <w:rPr>
          <w:rtl w:val="true"/>
        </w:rPr>
        <w:t>الجواب</w:t>
      </w:r>
      <w:bookmarkEnd w:id="2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لا يُدرك ملاكات الأحكام، فلا يمكن أن يحكم بحرمة شيء أو وجوبه، بمعنى استحقاق فاعله أو تاركه الجزاء الأُخروي؛ لِما بُيّن في محلّه أنّ العقل لا يدرك ملاكات الأحكام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تأمّلنا في النظر في أحكام العقل، فلا يوجد فيها سوى قبح ظلم النفس، ومن الواضح أنَّ قبح ظلم </w:t>
      </w:r>
      <w:bookmarkStart w:id="251" w:name="pg1994_19655"/>
    </w:p>
    <w:p>
      <w:pPr>
        <w:pStyle w:val="BookText"/>
        <w:rPr/>
      </w:pPr>
      <w:bookmarkEnd w:id="251"/>
      <w:r>
        <w:rPr>
          <w:rFonts w:ascii="Amiri" w:hAnsi="Amiri" w:eastAsia="Amiri" w:cs="Amiri"/>
          <w:color w:val="111111"/>
          <w:sz w:val="28"/>
          <w:sz w:val="28"/>
          <w:szCs w:val="28"/>
          <w:rtl w:val="true"/>
          <w:lang w:bidi="ar-SA"/>
        </w:rPr>
        <w:t>النفس، لو سُلّم كونه دليلاً على الحرمة الشرعية، فهو لا يشمل جميع ما يفعله الإنسان بنفسه من أنواع الأذى والإضرار، ما لم يكن إتلافاً لها أو موجباً لفقد طرف أو حاسّة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استهجان بعض أهل الأذواق للشعائر الحسينية، أو لبعض الممارسات فيها،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الفعل غير معقول، وإنه فعل همجي وحشي جنوني، وغير ذلك من هذه الألفاظ، فالجواب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الأذواق لا تصلح دليلاً على الحكم الشرعي، ولذا لم يعتني الفقهاء بها، إلاّ أنْ يقوم الدليل والبرهان السليم الغير متَّكئ على الهوى والمزاج والذوق</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3920670_3650668749"/>
      <w:bookmarkStart w:id="253" w:name="_Toc93"/>
      <w:bookmarkEnd w:id="252"/>
      <w:r>
        <w:rPr>
          <w:rtl w:val="true"/>
        </w:rPr>
        <w:t xml:space="preserve">موارد إيذاء أهل البيت </w:t>
      </w:r>
      <w:r>
        <w:rPr>
          <w:rtl w:val="true"/>
        </w:rPr>
        <w:t>(</w:t>
      </w:r>
      <w:r>
        <w:rPr>
          <w:rtl w:val="true"/>
        </w:rPr>
        <w:t>عليهم السلام</w:t>
      </w:r>
      <w:r>
        <w:rPr>
          <w:rtl w:val="true"/>
        </w:rPr>
        <w:t xml:space="preserve">) </w:t>
      </w:r>
      <w:r>
        <w:rPr>
          <w:rtl w:val="true"/>
        </w:rPr>
        <w:t>أنفسهم في سبيل الله</w:t>
      </w:r>
      <w:bookmarkEnd w:id="253"/>
    </w:p>
    <w:p>
      <w:pPr>
        <w:pStyle w:val="Heading6"/>
        <w:numPr>
          <w:ilvl w:val="5"/>
          <w:numId w:val="1"/>
        </w:numPr>
        <w:rPr/>
      </w:pPr>
      <w:bookmarkStart w:id="254" w:name="__RefHeading___Toc3920672_3650668749"/>
      <w:bookmarkStart w:id="255" w:name="_Toc94"/>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 xml:space="preserve">فيما يلي نضع أيدينا على ممارسات وأعمال كثيرة كان يقوم بها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ما فيها من الضرر والإيذاء لنفسهم، التي تكشف بوضوح جواز الإضرار أو الإيذاء للنفس، فيما إذا كان لغرضٍ راجح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هذه الموارد</w:t>
      </w:r>
      <w:r>
        <w:rPr>
          <w:rFonts w:eastAsia="IRNazanin" w:cs="IRNazanin"/>
          <w:color w:val="111111"/>
          <w:sz w:val="28"/>
          <w:szCs w:val="28"/>
          <w:rtl w:val="true"/>
          <w:lang w:bidi="fa-IR"/>
        </w:rPr>
        <w:t>:</w:t>
      </w:r>
    </w:p>
    <w:p>
      <w:pPr>
        <w:pStyle w:val="Heading6"/>
        <w:numPr>
          <w:ilvl w:val="5"/>
          <w:numId w:val="1"/>
        </w:numPr>
        <w:rPr/>
      </w:pPr>
      <w:bookmarkStart w:id="256" w:name="__RefHeading___Toc3920674_3650668749"/>
      <w:bookmarkStart w:id="257" w:name="_Toc95"/>
      <w:bookmarkEnd w:id="256"/>
      <w:r>
        <w:rPr/>
        <w:t>١</w:t>
      </w:r>
      <w:r>
        <w:rPr>
          <w:rtl w:val="true"/>
        </w:rPr>
        <w:t xml:space="preserve">- </w:t>
      </w:r>
      <w:r>
        <w:rPr>
          <w:rtl w:val="true"/>
        </w:rPr>
        <w:t xml:space="preserve">تورّم قدم النبي </w:t>
      </w:r>
      <w:r>
        <w:rPr>
          <w:rtl w:val="true"/>
        </w:rPr>
        <w:t>(</w:t>
      </w:r>
      <w:r>
        <w:rPr>
          <w:rtl w:val="true"/>
        </w:rPr>
        <w:t>ص</w:t>
      </w:r>
      <w:r>
        <w:rPr>
          <w:rtl w:val="true"/>
        </w:rPr>
        <w:t xml:space="preserve">) </w:t>
      </w:r>
      <w:r>
        <w:rPr>
          <w:rtl w:val="true"/>
        </w:rPr>
        <w:t>نتيجة القيام للعبادة</w:t>
      </w:r>
      <w:bookmarkEnd w:id="257"/>
    </w:p>
    <w:p>
      <w:pPr>
        <w:pStyle w:val="BookText"/>
        <w:rPr/>
      </w:pPr>
      <w:r>
        <w:rPr>
          <w:rFonts w:ascii="Amiri" w:hAnsi="Amiri" w:eastAsia="Amiri" w:cs="Amiri"/>
          <w:color w:val="111111"/>
          <w:sz w:val="28"/>
          <w:sz w:val="28"/>
          <w:szCs w:val="28"/>
          <w:rtl w:val="true"/>
          <w:lang w:bidi="ar-SA"/>
        </w:rPr>
        <w:t>كما ورد عن الإمام السجاد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يقف للصلاة حتى تورم قدماه، ويظمأ حتى يعصب فوه، فأنزل الله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17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من الأخبار صريحة الدلالة على القيام المُِؤذي الموجب للورم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يفعل ذلك قاصداً إتعاب نفسه وإيذائها في العبادة</w:t>
      </w:r>
      <w:r>
        <w:rPr>
          <w:rFonts w:eastAsia="Amiri" w:cs="Amiri" w:ascii="Amiri" w:hAnsi="Amiri"/>
          <w:color w:val="111111"/>
          <w:sz w:val="28"/>
          <w:szCs w:val="28"/>
          <w:rtl w:val="true"/>
          <w:lang w:bidi="ar-SA"/>
        </w:rPr>
        <w:t xml:space="preserve">. </w:t>
      </w:r>
      <w:bookmarkStart w:id="258" w:name="pg1994_19656"/>
    </w:p>
    <w:p>
      <w:pPr>
        <w:pStyle w:val="Heading6"/>
        <w:numPr>
          <w:ilvl w:val="5"/>
          <w:numId w:val="1"/>
        </w:numPr>
        <w:rPr/>
      </w:pPr>
      <w:bookmarkStart w:id="259" w:name="__RefHeading___Toc3920676_3650668749"/>
      <w:bookmarkStart w:id="260" w:name="_Toc96"/>
      <w:bookmarkEnd w:id="258"/>
      <w:bookmarkEnd w:id="259"/>
      <w:r>
        <w:rPr/>
        <w:t>٢</w:t>
      </w:r>
      <w:r>
        <w:rPr>
          <w:rtl w:val="true"/>
        </w:rPr>
        <w:t xml:space="preserve">- </w:t>
      </w:r>
      <w:r>
        <w:rPr>
          <w:rtl w:val="true"/>
        </w:rPr>
        <w:t xml:space="preserve">تورّم قدمَي السجاد </w:t>
      </w:r>
      <w:r>
        <w:rPr>
          <w:rtl w:val="true"/>
        </w:rPr>
        <w:t>(</w:t>
      </w:r>
      <w:r>
        <w:rPr>
          <w:rtl w:val="true"/>
        </w:rPr>
        <w:t>ع</w:t>
      </w:r>
      <w:r>
        <w:rPr>
          <w:rtl w:val="true"/>
        </w:rPr>
        <w:t>)</w:t>
      </w:r>
      <w:bookmarkEnd w:id="260"/>
    </w:p>
    <w:p>
      <w:pPr>
        <w:pStyle w:val="BookText"/>
        <w:rPr/>
      </w:pPr>
      <w:r>
        <w:rPr>
          <w:rFonts w:ascii="Amiri" w:hAnsi="Amiri" w:eastAsia="Amiri" w:cs="Amiri"/>
          <w:color w:val="111111"/>
          <w:sz w:val="28"/>
          <w:sz w:val="28"/>
          <w:szCs w:val="28"/>
          <w:rtl w:val="true"/>
          <w:lang w:bidi="ar-SA"/>
        </w:rPr>
        <w:t xml:space="preserve">لا يخفى أنّ الإمامِ السجاد، ذي الثَّفنات، دائم الحزن، نحيف البدن، وقد كلّف نفسه الجهد بالعبادة كما ورد عن ولده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وبالاستدامة على العبادة المُجهدة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اصفرّ 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ورمصت عيناه من السهر، ودبرت جبهته، وانخرم أنفه من السجود، وورمت ساقاه وقدماه من القيام للصلاة</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وقد رآه أبو حمزة في فناء الكعبة يصلّي، فأطال الصلاة حتى جعل يتوكّأ</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ومرة على رجله اليسرى</w:t>
      </w:r>
      <w:r>
        <w:rPr>
          <w:rFonts w:eastAsia="Amiri" w:cs="Amiri" w:ascii="Amiri" w:hAnsi="Amiri"/>
          <w:color w:val="111111"/>
          <w:sz w:val="28"/>
          <w:szCs w:val="28"/>
          <w:rtl w:val="true"/>
          <w:lang w:bidi="ar-SA"/>
        </w:rPr>
        <w:t xml:space="preserve">. . .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 هذه الأعمال، كالسهر وتورّم القدمين والساقين، من إيذاء للنفس والبدن</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3920678_3650668749"/>
      <w:bookmarkStart w:id="262" w:name="_Toc97"/>
      <w:bookmarkEnd w:id="261"/>
      <w:r>
        <w:rPr/>
        <w:t>٣</w:t>
      </w:r>
      <w:r>
        <w:rPr>
          <w:rtl w:val="true"/>
        </w:rPr>
        <w:t xml:space="preserve">- </w:t>
      </w:r>
      <w:r>
        <w:rPr>
          <w:rtl w:val="true"/>
        </w:rPr>
        <w:t xml:space="preserve">تورّم قدمَي الزهراء </w:t>
      </w:r>
      <w:r>
        <w:rPr>
          <w:rtl w:val="true"/>
        </w:rPr>
        <w:t>(</w:t>
      </w:r>
      <w:r>
        <w:rPr>
          <w:rtl w:val="true"/>
        </w:rPr>
        <w:t>عليهاالسلام</w:t>
      </w:r>
      <w:r>
        <w:rPr>
          <w:rtl w:val="true"/>
        </w:rPr>
        <w:t xml:space="preserve">) </w:t>
      </w:r>
      <w:r>
        <w:rPr>
          <w:rtl w:val="true"/>
        </w:rPr>
        <w:t>وإضرارها من العبادة</w:t>
      </w:r>
      <w:bookmarkEnd w:id="262"/>
    </w:p>
    <w:p>
      <w:pPr>
        <w:pStyle w:val="BookText"/>
        <w:rPr/>
      </w:pPr>
      <w:r>
        <w:rPr>
          <w:rFonts w:ascii="Amiri" w:hAnsi="Amiri" w:eastAsia="Amiri" w:cs="Amiri"/>
          <w:color w:val="111111"/>
          <w:sz w:val="28"/>
          <w:sz w:val="28"/>
          <w:szCs w:val="28"/>
          <w:rtl w:val="true"/>
          <w:lang w:bidi="ar-SA"/>
        </w:rPr>
        <w:t xml:space="preserve">روى الشيخ المجلسي في البحار،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في الدنيا أعبد من فاطمة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كانت تقوم حتى ورم قدماها</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يكشف لنا بوضوح 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العبادة التي تتورّم فيها القدمان من أفضل أفراد العبادة، وأنَّ فاطمة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تدأب في طول القيام، وأنّ تورّم قدميها ليس باعتباطي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أخبار كثيرة من طرقنا، أنَّ فاطمة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استقت بالقربة حتى أثّر في صدرها، وطحنت بالرحى حتى مجلت يداها، والمَجل في اليد هو ثخن جلدها بمزاولة الأعمال بالأشياء الصلبة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263" w:name="pg1994_19657"/>
    </w:p>
    <w:p>
      <w:pPr>
        <w:pStyle w:val="Heading6"/>
        <w:numPr>
          <w:ilvl w:val="5"/>
          <w:numId w:val="1"/>
        </w:numPr>
        <w:rPr/>
      </w:pPr>
      <w:bookmarkStart w:id="264" w:name="__RefHeading___Toc3920680_3650668749"/>
      <w:bookmarkStart w:id="265" w:name="_Toc98"/>
      <w:bookmarkEnd w:id="263"/>
      <w:bookmarkEnd w:id="264"/>
      <w:r>
        <w:rPr/>
        <w:t>۴</w:t>
      </w:r>
      <w:r>
        <w:rPr>
          <w:rtl w:val="true"/>
        </w:rPr>
        <w:t xml:space="preserve">- </w:t>
      </w:r>
      <w:r>
        <w:rPr>
          <w:rtl w:val="true"/>
        </w:rPr>
        <w:t xml:space="preserve">إيذاء أهل البيت </w:t>
      </w:r>
      <w:r>
        <w:rPr>
          <w:rtl w:val="true"/>
        </w:rPr>
        <w:t>(</w:t>
      </w:r>
      <w:r>
        <w:rPr>
          <w:rtl w:val="true"/>
        </w:rPr>
        <w:t>عليهم السلام</w:t>
      </w:r>
      <w:r>
        <w:rPr>
          <w:rtl w:val="true"/>
        </w:rPr>
        <w:t xml:space="preserve">) </w:t>
      </w:r>
      <w:r>
        <w:rPr>
          <w:rtl w:val="true"/>
        </w:rPr>
        <w:t>أنفسهم بالجوع</w:t>
      </w:r>
      <w:bookmarkEnd w:id="265"/>
    </w:p>
    <w:p>
      <w:pPr>
        <w:pStyle w:val="BookText"/>
        <w:rPr/>
      </w:pPr>
      <w:r>
        <w:rPr>
          <w:rFonts w:ascii="Amiri" w:hAnsi="Amiri" w:eastAsia="Amiri" w:cs="Amiri"/>
          <w:color w:val="111111"/>
          <w:sz w:val="28"/>
          <w:sz w:val="28"/>
          <w:szCs w:val="28"/>
          <w:rtl w:val="true"/>
          <w:lang w:bidi="ar-SA"/>
        </w:rPr>
        <w:t>كما في الرواية المفسّرة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 لا شُكُوراً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طَوَوا ثلاثة أيّام لم يطعموا سوى الماء، وأنَّ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رآهما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يرتعشان من شدّة الجوع كالفَرخين، ورأى فاطمة في محرابها قد التصق بطنها بظهرها، وغارت عيناها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هذا التجويع من إيذاء للنفس</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3920682_3650668749"/>
      <w:bookmarkStart w:id="267" w:name="_Toc99"/>
      <w:bookmarkEnd w:id="266"/>
      <w:r>
        <w:rPr/>
        <w:t>۵</w:t>
      </w:r>
      <w:r>
        <w:rPr>
          <w:rtl w:val="true"/>
        </w:rPr>
        <w:t xml:space="preserve">- </w:t>
      </w:r>
      <w:r>
        <w:rPr>
          <w:rtl w:val="true"/>
        </w:rPr>
        <w:t>إيذاء النفس بالمشي للحجّ مع تمكّنهم من الركوب</w:t>
      </w:r>
      <w:bookmarkEnd w:id="267"/>
    </w:p>
    <w:p>
      <w:pPr>
        <w:pStyle w:val="BookText"/>
        <w:rPr/>
      </w:pPr>
      <w:r>
        <w:rPr>
          <w:rFonts w:ascii="Amiri" w:hAnsi="Amiri" w:eastAsia="Amiri" w:cs="Amiri"/>
          <w:color w:val="111111"/>
          <w:sz w:val="28"/>
          <w:sz w:val="28"/>
          <w:szCs w:val="28"/>
          <w:rtl w:val="true"/>
          <w:lang w:bidi="ar-SA"/>
        </w:rPr>
        <w:t xml:space="preserve">كما ورد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يحجّون مُشاة حتى تتورَّم أقدامهم، مع تمكّنهم من الركوب، وقد حجَّ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مع سقمه وضعف بدنه، وذلك ملازم للمشقة وإيذاء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ماشياً خمس وعشرين حجة، والنجائب تقاد خلفه </w:t>
      </w:r>
      <w:r>
        <w:rPr>
          <w:rStyle w:val="FootnoteAnchor"/>
          <w:rtl w:val="true"/>
        </w:rPr>
        <w:footnoteReference w:id="176"/>
      </w:r>
      <w:r>
        <w:rPr>
          <w:rFonts w:ascii="Amiri" w:hAnsi="Amiri" w:eastAsia="Amiri" w:cs="Amiri"/>
          <w:color w:val="111111"/>
          <w:sz w:val="28"/>
          <w:sz w:val="28"/>
          <w:szCs w:val="28"/>
          <w:rtl w:val="true"/>
          <w:lang w:bidi="ar-SA"/>
        </w:rPr>
        <w:t xml:space="preserve">، وكذا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عن الإمام السجاد 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حجّ، حجّ ماشياً، وربّما مشى حافياً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المشي كان من دأبه كلّما حج، وليس صدفة، وأنَّ المصادف هو مشيه حافياً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ذلك من الضرر، وعلى الأقل من كونه يوجب المشقّة</w:t>
      </w:r>
      <w:r>
        <w:rPr>
          <w:rFonts w:eastAsia="Amiri" w:cs="Amiri" w:ascii="Amiri" w:hAnsi="Amiri"/>
          <w:color w:val="111111"/>
          <w:sz w:val="28"/>
          <w:szCs w:val="28"/>
          <w:rtl w:val="true"/>
          <w:lang w:bidi="ar-SA"/>
        </w:rPr>
        <w:t xml:space="preserve">. </w:t>
      </w:r>
      <w:bookmarkStart w:id="268" w:name="pg1994_19658"/>
    </w:p>
    <w:p>
      <w:pPr>
        <w:pStyle w:val="Heading6"/>
        <w:numPr>
          <w:ilvl w:val="5"/>
          <w:numId w:val="1"/>
        </w:numPr>
        <w:rPr/>
      </w:pPr>
      <w:bookmarkStart w:id="269" w:name="__RefHeading___Toc3920684_3650668749"/>
      <w:bookmarkStart w:id="270" w:name="_Toc100"/>
      <w:bookmarkEnd w:id="268"/>
      <w:bookmarkEnd w:id="269"/>
      <w:r>
        <w:rPr/>
        <w:t>۶</w:t>
      </w:r>
      <w:r>
        <w:rPr>
          <w:rtl w:val="true"/>
        </w:rPr>
        <w:t xml:space="preserve">- </w:t>
      </w:r>
      <w:r>
        <w:rPr>
          <w:rtl w:val="true"/>
        </w:rPr>
        <w:t xml:space="preserve">إيذاء الإمام السجاد نفسه بالبكاء على أبيه </w:t>
      </w:r>
      <w:r>
        <w:rPr>
          <w:rtl w:val="true"/>
        </w:rPr>
        <w:t>(</w:t>
      </w:r>
      <w:r>
        <w:rPr>
          <w:rtl w:val="true"/>
        </w:rPr>
        <w:t>عليهم السلام</w:t>
      </w:r>
      <w:r>
        <w:rPr>
          <w:rtl w:val="true"/>
        </w:rPr>
        <w:t>)</w:t>
      </w:r>
      <w:bookmarkEnd w:id="270"/>
    </w:p>
    <w:p>
      <w:pPr>
        <w:pStyle w:val="BookText"/>
        <w:rPr/>
      </w:pPr>
      <w:r>
        <w:rPr>
          <w:rFonts w:ascii="Amiri" w:hAnsi="Amiri" w:eastAsia="Amiri" w:cs="Amiri"/>
          <w:color w:val="111111"/>
          <w:sz w:val="28"/>
          <w:sz w:val="28"/>
          <w:szCs w:val="28"/>
          <w:rtl w:val="true"/>
          <w:lang w:bidi="ar-SA"/>
        </w:rPr>
        <w:t xml:space="preserve">لا يخفى أنَّ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البكاء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دأباً، والامتناع من تناول الطعام والشراب حتى يمزجها بدموع عينيه، ويغمى عليه في كل يوم مرة أو مرتين تأثّراً وانفعالاً من مُصيبة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بكى النبي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ولده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ابيضّت عيناه من الحزن، وخافوا عليه من الهلاك، أو أشرف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تَفْتَؤُا تَذْكُرُ يُوسُفَ حَتَّى تَكُونَ حَرَضاً أَوْ تَكُونَ مِنَ الْهالِكِينَ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كان هذا وذاك حراماً ذاتاً، أو قبيحاً عقلاً، فلا يمكن أن يصدر من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من يعقوب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يُتصوَّر في حقهما أن يُخالفا الشرع، أو أن يكونا غير قادرين على إدراك قُبح هذا الأمر</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3920686_3650668749"/>
      <w:bookmarkStart w:id="272" w:name="_Toc101"/>
      <w:bookmarkEnd w:id="271"/>
      <w:r>
        <w:rPr/>
        <w:t>٧</w:t>
      </w:r>
      <w:r>
        <w:rPr>
          <w:rtl w:val="true"/>
        </w:rPr>
        <w:t xml:space="preserve">- </w:t>
      </w:r>
      <w:r>
        <w:rPr>
          <w:rtl w:val="true"/>
        </w:rPr>
        <w:t xml:space="preserve">أمر الأئمّة </w:t>
      </w:r>
      <w:r>
        <w:rPr>
          <w:rtl w:val="true"/>
        </w:rPr>
        <w:t>(</w:t>
      </w:r>
      <w:r>
        <w:rPr>
          <w:rtl w:val="true"/>
        </w:rPr>
        <w:t>عليهم السلام</w:t>
      </w:r>
      <w:r>
        <w:rPr>
          <w:rtl w:val="true"/>
        </w:rPr>
        <w:t xml:space="preserve">) </w:t>
      </w:r>
      <w:r>
        <w:rPr>
          <w:rtl w:val="true"/>
        </w:rPr>
        <w:t xml:space="preserve">بزيارة الحسين </w:t>
      </w:r>
      <w:r>
        <w:rPr>
          <w:rtl w:val="true"/>
        </w:rPr>
        <w:t>(</w:t>
      </w:r>
      <w:r>
        <w:rPr>
          <w:rtl w:val="true"/>
        </w:rPr>
        <w:t>ع</w:t>
      </w:r>
      <w:r>
        <w:rPr>
          <w:rtl w:val="true"/>
        </w:rPr>
        <w:t xml:space="preserve">) </w:t>
      </w:r>
      <w:r>
        <w:rPr>
          <w:rtl w:val="true"/>
        </w:rPr>
        <w:t>مع احتمال وجود الضرر أو احتمال الموت</w:t>
      </w:r>
      <w:bookmarkEnd w:id="272"/>
    </w:p>
    <w:p>
      <w:pPr>
        <w:pStyle w:val="BookText"/>
        <w:rPr/>
      </w:pPr>
      <w:r>
        <w:rPr>
          <w:rFonts w:ascii="Amiri" w:hAnsi="Amiri" w:eastAsia="Amiri" w:cs="Amiri"/>
          <w:color w:val="111111"/>
          <w:sz w:val="28"/>
          <w:sz w:val="28"/>
          <w:szCs w:val="28"/>
          <w:rtl w:val="true"/>
          <w:lang w:bidi="ar-SA"/>
        </w:rPr>
        <w:t xml:space="preserve">هنالك عدد وافر من النصوص الدالة على جواز التعرّض للأذى في خصوص مراسم إحياء ذكرى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على طوائف</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جواز أن يعرِّض الإنسان نفسه للقتل في سبيل إحياء ذكرى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قبيل ما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الحثِّ على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احتمال الموت غرقاً، فقد ذُكر أنَّه قيل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 رسول الله، إنَّ بيننا وبين قبر جدك الحسين لبحراً، وربّما انكفأت بنا السفينة في البحر،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فإنّها انكفأت، انكفأت في الجنة</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نص آخر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أتاه بسفينة فكفت بهم سفينتهم،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طبتم وطابت لكم الجنة</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نص آخر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أما تعلم أنّها إذا انكفت بكم نوديتم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طبتم وطابت لكم الجنة؟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 في مَن زار أباك على خوف؟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يؤمّنه الله يوم الفزع الأكبر، إلخ</w:t>
      </w:r>
      <w:r>
        <w:rPr>
          <w:rFonts w:eastAsia="Amiri" w:cs="Amiri" w:ascii="Amiri" w:hAnsi="Amiri"/>
          <w:color w:val="111111"/>
          <w:sz w:val="28"/>
          <w:szCs w:val="28"/>
          <w:rtl w:val="true"/>
          <w:lang w:bidi="ar-SA"/>
        </w:rPr>
        <w:t xml:space="preserve">. . .»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بكير، عن أبي‌عبد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أنزل الأرجان وقلبي ينازعني إلى قبر أبيك، فإذا خرجت فقلبي وحل مشفق حتى أرجع، خوفاً من السلطان، والسُعاة، وأصحاب المسالح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بكير، أما تحب أن يراك الله فينا خائفاً؟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أنَّه مَن خاف لخوفنا أظلَّه الله في ظلّ عرشه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نجد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شجّعوا مواليهم على الزيارة، رغم وجود الخوف المستمر، وأنَّ عيون الظَلَمَة ترصد الطرق، وتأخذ كل مَن يحاول الوصول إلى كربلاء، ليواجه الأذى والتنكيل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البعض أنَّ بعض الشيعة كان يرضى بقطع يده في سبيل أن يحصل على إجازة زيارة كربلاء، وما إلى ذلك؛ لأنَّه أدرك أنَّ الحفاظ على الشعائر أولى من حفظ النفس</w:t>
      </w:r>
      <w:r>
        <w:rPr>
          <w:rFonts w:eastAsia="Amiri" w:cs="Amiri" w:ascii="Amiri" w:hAnsi="Amiri"/>
          <w:color w:val="111111"/>
          <w:sz w:val="28"/>
          <w:szCs w:val="28"/>
          <w:rtl w:val="true"/>
          <w:lang w:bidi="ar-SA"/>
        </w:rPr>
        <w:t xml:space="preserve">. </w:t>
      </w:r>
      <w:bookmarkStart w:id="273" w:name="pg1994_19660"/>
    </w:p>
    <w:p>
      <w:pPr>
        <w:pStyle w:val="BookText"/>
        <w:rPr/>
      </w:pPr>
      <w:bookmarkEnd w:id="273"/>
      <w:r>
        <w:rPr>
          <w:rFonts w:ascii="Amiri" w:hAnsi="Amiri" w:eastAsia="Amiri" w:cs="Amiri"/>
          <w:color w:val="111111"/>
          <w:sz w:val="28"/>
          <w:sz w:val="28"/>
          <w:szCs w:val="28"/>
          <w:rtl w:val="true"/>
          <w:lang w:bidi="ar-SA"/>
        </w:rPr>
        <w:t xml:space="preserve">ولا ننسى دعاء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يناجي ربّه سبحانه وتعالى في سجوده، ويدعو لتلك الوجوه التي تضرَّرت بحرارة الشمس لأجل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فارحم تلك الوجوه التي غيّرتها الشمس</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وحاصل ما تقدّم أنّ الضرر الممنوع والمحرّم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الذي ليس له هدف ولا غايةٍ سوى الإضرار بالنفس، كالضرر الناشئ من قطع الإنسان لعضوٍ من أعضائه، من دون منفعة، أو الضرر الذي يكون اعتباطياً وسَرفاً وبطراً من دون وجود غرض عقلائي مُعتدّ به،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الزائد على المطلوب من الضرر في بعض الأُمور الراجحة التي تستلزم مقداراً من الضرر، فيتعمّد الإنسان في إضرار نفسه أكثر مع علمه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اللطم حُزناً وجزعاً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أنّه لا ضرر فيه يُعتدّ به، كما هو ثابت عند أرباب المواكب وأهل الخبرة، ومع ذلك فحتى لو افترضنا وجود الضرر فيه، فإنَّه لا يندرج بأيّ وجه من الوجوه تحت أيّ واحدٍ من هذه الأنواع الثلاثة المُحرَّمة</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3920688_3650668749"/>
      <w:bookmarkStart w:id="275" w:name="_Toc102"/>
      <w:bookmarkEnd w:id="274"/>
      <w:r>
        <w:rPr>
          <w:rtl w:val="true"/>
        </w:rPr>
        <w:t>الصنف الرابع</w:t>
      </w:r>
      <w:r>
        <w:rPr>
          <w:rtl w:val="true"/>
        </w:rPr>
        <w:t xml:space="preserve">: </w:t>
      </w:r>
      <w:r>
        <w:rPr>
          <w:rtl w:val="true"/>
        </w:rPr>
        <w:t>مادلَّ على حرمة الوهن والسُخرية بالمذهب</w:t>
      </w:r>
      <w:bookmarkEnd w:id="275"/>
    </w:p>
    <w:p>
      <w:pPr>
        <w:pStyle w:val="Heading5"/>
        <w:numPr>
          <w:ilvl w:val="4"/>
          <w:numId w:val="1"/>
        </w:numPr>
        <w:rPr/>
      </w:pPr>
      <w:bookmarkStart w:id="276" w:name="__RefHeading___Toc3920690_3650668749"/>
      <w:bookmarkStart w:id="277" w:name="_Toc103"/>
      <w:bookmarkEnd w:id="276"/>
      <w:r>
        <w:rPr>
          <w:rtl w:val="true"/>
        </w:rPr>
        <w:t>اشارة</w:t>
      </w:r>
      <w:bookmarkEnd w:id="27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اللطم حزناً وجزعاً على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لأنّه يؤدّي إلى توهين للمذهب، وكل ما يؤدّي إلى وهن المذهب فهو حرام؛ والسبب في ذلك هو</w:t>
      </w:r>
      <w:r>
        <w:rPr>
          <w:rFonts w:eastAsia="Amiri" w:cs="Amiri" w:ascii="Amiri" w:hAnsi="Amiri"/>
          <w:color w:val="111111"/>
          <w:sz w:val="28"/>
          <w:szCs w:val="28"/>
          <w:rtl w:val="true"/>
          <w:lang w:bidi="ar-SA"/>
        </w:rPr>
        <w:t xml:space="preserve">: </w:t>
      </w:r>
      <w:bookmarkStart w:id="278" w:name="pg1994_19661"/>
    </w:p>
    <w:p>
      <w:pPr>
        <w:pStyle w:val="BookText"/>
        <w:rPr/>
      </w:pPr>
      <w:bookmarkEnd w:id="27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اللطم خرافة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اللطم يُسبِّب استهزاء الآخرين بالشيعة، لأنَّه ظاهرة متخلّفة وهمجيّة</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3920692_3650668749"/>
      <w:bookmarkStart w:id="280" w:name="_Toc104"/>
      <w:bookmarkEnd w:id="279"/>
      <w:r>
        <w:rPr>
          <w:rtl w:val="true"/>
        </w:rPr>
        <w:t>الجواب</w:t>
      </w:r>
      <w:r>
        <w:rPr>
          <w:rtl w:val="true"/>
        </w:rPr>
        <w:t>:</w:t>
      </w:r>
      <w:bookmarkEnd w:id="280"/>
    </w:p>
    <w:p>
      <w:pPr>
        <w:pStyle w:val="BookText"/>
        <w:rPr/>
      </w:pPr>
      <w:r>
        <w:rPr>
          <w:rFonts w:ascii="Amiri" w:hAnsi="Amiri" w:eastAsia="Amiri" w:cs="Amiri"/>
          <w:color w:val="111111"/>
          <w:sz w:val="28"/>
          <w:sz w:val="28"/>
          <w:szCs w:val="28"/>
          <w:rtl w:val="true"/>
          <w:lang w:bidi="ar-SA"/>
        </w:rPr>
        <w:t>أمّا القائلين بأنَّ اللطم خرافة، فالجواب يتَّضح بعد بيان معنى الخرافة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الخرافة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الخرافة في اللغة هي اسم رجل استهوته الجنّ فكان يُحدّث بما رأى، فكذّبوه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خرافةٍ يا أُمّ عمرو</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وأجروه على كل ما يكذّبونه من الأحاديث، وعلى كل ما يستملح ويتعجّب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خرافة حق</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يتَّضح أنَّ معنى الخرافة هو كل ما هو غير حقيقي، فلو اعتقدنا بوجود شيءٍ لا وجود له حقيقة فهو اعتقاد خرافي، ولو تحدّثنا عن شيء لاوجود له حقيقة، وأخبرنا عنه أنواعاً من الأخبار ووصفناه بشتّى الأوصاف، فذلك حديث خرافي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تبين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اللطم ليس أمراً خرافياً؛ لأنَّ اللطم أمر واقعي وله أدلّته المعروفة، فإنَّ اللطم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مظهراً و تعبيراً عمليّ عن ذلك الحزن والجزع، حُزناً وجزعاً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ما أمرت به النصوص الشريفة الموجودة في الواقع الخارجي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يجدر الالتفات إليه هو أنَّنا لا نقول بأنّ اللطم جزء من الدين، ولم‌يقل أحد بذلك أبداً، إنَّما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واضح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تُعبّر عن الحزن والجزع اللّذين أمرت بهما شريعة الله ودينه في النصوص </w:t>
      </w:r>
      <w:bookmarkStart w:id="281" w:name="pg1994_19662"/>
    </w:p>
    <w:p>
      <w:pPr>
        <w:pStyle w:val="BookText"/>
        <w:rPr/>
      </w:pPr>
      <w:bookmarkEnd w:id="281"/>
      <w:r>
        <w:rPr>
          <w:rFonts w:ascii="Amiri" w:hAnsi="Amiri" w:eastAsia="Amiri" w:cs="Amiri"/>
          <w:color w:val="111111"/>
          <w:sz w:val="28"/>
          <w:sz w:val="28"/>
          <w:szCs w:val="28"/>
          <w:rtl w:val="true"/>
          <w:lang w:bidi="ar-SA"/>
        </w:rPr>
        <w:t>الروائية المتضافرة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يتَّضح أنَّ القول بكون اللطم حزناً وجزعاً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خرافة غير صحيح، وأنَّه قول مُجانب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على القائلين بأنّ اللطم ظاهرة متخلّفة توجب وهن وهتك المذهب؛</w:t>
      </w:r>
    </w:p>
    <w:p>
      <w:pPr>
        <w:pStyle w:val="BookText"/>
        <w:rPr/>
      </w:pPr>
      <w:r>
        <w:rPr>
          <w:rFonts w:ascii="Amiri" w:hAnsi="Amiri" w:eastAsia="Amiri" w:cs="Amiri"/>
          <w:color w:val="111111"/>
          <w:sz w:val="28"/>
          <w:sz w:val="28"/>
          <w:szCs w:val="28"/>
          <w:rtl w:val="true"/>
          <w:lang w:bidi="ar-SA"/>
        </w:rPr>
        <w:t>لكي يتّضح الجواب بشكل واضح، ينبغي الكلام في 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في معنى الوهن والهتك ومنشأهما، والثانية في إعطاء الضابطة في معرفة ما يوجب الوهن والإهانة والهتك</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3920694_3650668749"/>
      <w:bookmarkStart w:id="283" w:name="_Toc105"/>
      <w:bookmarkEnd w:id="282"/>
      <w:r>
        <w:rPr>
          <w:rtl w:val="true"/>
        </w:rPr>
        <w:t>المقدّمة الأُولى</w:t>
      </w:r>
      <w:r>
        <w:rPr>
          <w:rtl w:val="true"/>
        </w:rPr>
        <w:t xml:space="preserve">: </w:t>
      </w:r>
      <w:r>
        <w:rPr>
          <w:rtl w:val="true"/>
        </w:rPr>
        <w:t>معنى الوهن والهتك ومنشأهما</w:t>
      </w:r>
      <w:bookmarkEnd w:id="283"/>
    </w:p>
    <w:p>
      <w:pPr>
        <w:pStyle w:val="BookText"/>
        <w:rPr/>
      </w:pPr>
      <w:r>
        <w:rPr>
          <w:rFonts w:ascii="Amiri" w:hAnsi="Amiri" w:eastAsia="Amiri" w:cs="Amiri"/>
          <w:color w:val="111111"/>
          <w:sz w:val="28"/>
          <w:sz w:val="28"/>
          <w:szCs w:val="28"/>
          <w:rtl w:val="true"/>
          <w:lang w:bidi="ar-SA"/>
        </w:rPr>
        <w:t>الوهن في اللغة هو الضعف، 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في العمل والأمر، وكذلك في العظم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التنزيل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أُمُّهُ وَهْناً عَلى وَهْنٍ ، جاء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 على ضعف، أي لزمها بحملها إيّاه تضعف مرّة بعد مرّة</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الهتك، فهو كشف الستر، 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الستر عمّا وراءه، والاسم الهتكة،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والهتيكة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فهتك العرض حتى وقع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تجذب ستراً فتقطعه من موضعه أو تشقّ منه طائفة يرى ما وراءه، ولذلك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الله ستر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مهتوك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وتهتّك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افتضح</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منشأ الهتك والستر الذي يُدّعى أنّه يلزم من إقامة الشعائر </w:t>
      </w:r>
      <w:bookmarkStart w:id="284" w:name="pg1994_19663"/>
    </w:p>
    <w:p>
      <w:pPr>
        <w:pStyle w:val="BookText"/>
        <w:rPr/>
      </w:pPr>
      <w:bookmarkEnd w:id="284"/>
      <w:r>
        <w:rPr>
          <w:rFonts w:ascii="Amiri" w:hAnsi="Amiri" w:eastAsia="Amiri" w:cs="Amiri"/>
          <w:color w:val="111111"/>
          <w:sz w:val="28"/>
          <w:sz w:val="28"/>
          <w:szCs w:val="28"/>
          <w:rtl w:val="true"/>
          <w:lang w:bidi="ar-SA"/>
        </w:rPr>
        <w:t xml:space="preserve">الحسينية، المتضمّنة للّطم، هو استهزاء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كانوا من المذاهب الأُخرى أو من قبل المِلل الأُخرى أو من ابناء نفس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الشعائر</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3920696_3650668749"/>
      <w:bookmarkStart w:id="286" w:name="_Toc106"/>
      <w:bookmarkEnd w:id="285"/>
      <w:r>
        <w:rPr>
          <w:rtl w:val="true"/>
        </w:rPr>
        <w:t>المقدِّمة الثانية</w:t>
      </w:r>
      <w:r>
        <w:rPr>
          <w:rtl w:val="true"/>
        </w:rPr>
        <w:t xml:space="preserve">: </w:t>
      </w:r>
      <w:r>
        <w:rPr>
          <w:rtl w:val="true"/>
        </w:rPr>
        <w:t>الوهن والهتك من العناوين العُرفية</w:t>
      </w:r>
      <w:bookmarkEnd w:id="286"/>
    </w:p>
    <w:p>
      <w:pPr>
        <w:pStyle w:val="BookText"/>
        <w:rPr/>
      </w:pPr>
      <w:r>
        <w:rPr>
          <w:rFonts w:ascii="Amiri" w:hAnsi="Amiri" w:eastAsia="Amiri" w:cs="Amiri"/>
          <w:color w:val="111111"/>
          <w:sz w:val="28"/>
          <w:sz w:val="28"/>
          <w:szCs w:val="28"/>
          <w:rtl w:val="true"/>
          <w:lang w:bidi="ar-SA"/>
        </w:rPr>
        <w:t>لا يخفى أنَّ الميزان والمرجع في تعيين مصداق الوهن للمذهب هو العُرف؛ لأنَّ الوهن والهتك من العناوين العُرفية المحضة، وعلى هذا الأساس فإنَّ كل نحو من العزاء إذا صدق عليه في نظر عُرف العقلاء أنَّه ممّا يُوجب وهن المذهب وهتكاً بساحة الشعائر الحسينية، وتحقيراً لنهضة سيد الشهداء المقدّسة، ومؤديا إلى ضعف إيمان المؤمنين، فهو حرام؛ لأنَّه نقض لغرض الشارع المقدّس ومُوهن للمذهب، لأنَّ غرض الشارع هو الرفعة والعُلو للمذهب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كون عنوان الهتك والوهن عناوين عرفية، هو أنَّ الخطابات الشرعية مُلقاة على أهل العرف على سبيل القضايا الحقيقية، والمرجع في تعيين مصاديق العناوين العرفية المحضة إنّما هو أهل العرف، كما تقدّم في جواب الشبهة الثانية</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3920698_3650668749"/>
      <w:bookmarkStart w:id="288" w:name="_Toc107"/>
      <w:bookmarkEnd w:id="287"/>
      <w:r>
        <w:rPr>
          <w:rtl w:val="true"/>
        </w:rPr>
        <w:t>حكم ما لو تعارضت الأعراف</w:t>
      </w:r>
      <w:bookmarkEnd w:id="28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تعارضت الأعراف فيكون لكل بلدٍ حكمه، فقد يكون فرد من العزاء مصداقاً للتعظيم في بلد معيّن، وفي بلدٍ آخر مصداقاً للوهن، كما أفتى بذلك السيد الإمام الخميني في تحرير الوسيلة، في ضابطة صدق المكيل والموزون من الربا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289" w:name="pg1994_19664"/>
    </w:p>
    <w:p>
      <w:pPr>
        <w:pStyle w:val="BookText"/>
        <w:rPr/>
      </w:pPr>
      <w:bookmarkEnd w:id="289"/>
      <w:r>
        <w:rPr>
          <w:rFonts w:ascii="Amiri" w:hAnsi="Amiri" w:eastAsia="Amiri" w:cs="Amiri"/>
          <w:color w:val="111111"/>
          <w:sz w:val="28"/>
          <w:sz w:val="28"/>
          <w:szCs w:val="28"/>
          <w:rtl w:val="true"/>
          <w:lang w:bidi="ar-SA"/>
        </w:rPr>
        <w:t>وهذا هو الضابط في حكم ما اختلف بين البلاد في صدق عنوان المُوهِن عليه من بعض أنحاء العزاء الحسيني، فإذا طرأ عنوان الموهن على بعض ما يُفعَل في العزاء الحسيني، لا إشكال في حرمته؛ لأنَّه نقض للغرض ومُوهن للمذهب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تشخيص ذلك إلى أهل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صدق عنوان الوهن والهتك على نحوٍ من العزاء في غالب البلاد، يصير خطاب حرمة إهانة الشعائر الدينية فعلياً مُطلقاًَ، ويحرم ذلك النحو من العزاء في جميع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انجرار تشخيص ذلك إلى الاختلاف والالتباس، وخيف على المؤمنين من حصول الشقاق بينهم، حينئذ يُرجَع إلى الفقيه الحاكم، كما يتَّضح من البحث الآتي</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3920700_3650668749"/>
      <w:bookmarkStart w:id="291" w:name="_Toc108"/>
      <w:bookmarkEnd w:id="290"/>
      <w:r>
        <w:rPr>
          <w:rtl w:val="true"/>
        </w:rPr>
        <w:t>بعض الموارد التي لا يصدق عليها عنوان الوهن والهتك</w:t>
      </w:r>
      <w:bookmarkEnd w:id="291"/>
    </w:p>
    <w:p>
      <w:pPr>
        <w:pStyle w:val="Heading6"/>
        <w:numPr>
          <w:ilvl w:val="5"/>
          <w:numId w:val="1"/>
        </w:numPr>
        <w:rPr/>
      </w:pPr>
      <w:bookmarkStart w:id="292" w:name="__RefHeading___Toc3920702_3650668749"/>
      <w:bookmarkStart w:id="293" w:name="_Toc109"/>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لا يخفى أنَّه ليس كل استهزاء يوجب الهتك والوهن للمذهب، وفيما يلي نشير إلى بعض هذه الموارد</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3920704_3650668749"/>
      <w:bookmarkStart w:id="295" w:name="_Toc110"/>
      <w:bookmarkEnd w:id="294"/>
      <w:r>
        <w:rPr>
          <w:rtl w:val="true"/>
        </w:rPr>
        <w:t>المورد الأوّل</w:t>
      </w:r>
      <w:r>
        <w:rPr>
          <w:rtl w:val="true"/>
        </w:rPr>
        <w:t xml:space="preserve">: </w:t>
      </w:r>
      <w:r>
        <w:rPr>
          <w:rtl w:val="true"/>
        </w:rPr>
        <w:t>الوهن الناشئ نتيجة اختلاف الأعراف</w:t>
      </w:r>
      <w:bookmarkEnd w:id="29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منشأ الوهن هو الاستهزاء نتيجة الاختلاف في الأعراف والعادات، فمن الواضح أنَّ مثل هذا الاستهزاء لا يؤدي إلى الهوان والهتك للمسلمين، لأنَّ كل بلد أو ملّة أو مذهب له عادات خاصة به، واختلاف الشعائر أو الطقوس حسب الملل والبلدان، المختلفة في شعيرة منصوبة، تدلّ على معنى محترم عندهم، واستهزاء الآخرين بذلك لا يؤدّي إلى كشف عوار المؤمنين أو هتك سترهم</w:t>
      </w:r>
      <w:r>
        <w:rPr>
          <w:rFonts w:eastAsia="Amiri" w:cs="Amiri" w:ascii="Amiri" w:hAnsi="Amiri"/>
          <w:color w:val="111111"/>
          <w:sz w:val="28"/>
          <w:szCs w:val="28"/>
          <w:rtl w:val="true"/>
          <w:lang w:bidi="ar-SA"/>
        </w:rPr>
        <w:t xml:space="preserve">. </w:t>
      </w:r>
      <w:bookmarkStart w:id="296" w:name="pg1994_19665"/>
    </w:p>
    <w:p>
      <w:pPr>
        <w:pStyle w:val="BookText"/>
        <w:rPr/>
      </w:pPr>
      <w:bookmarkEnd w:id="296"/>
      <w:r>
        <w:rPr>
          <w:rFonts w:ascii="Amiri" w:hAnsi="Amiri" w:eastAsia="Amiri" w:cs="Amiri"/>
          <w:color w:val="111111"/>
          <w:sz w:val="28"/>
          <w:sz w:val="28"/>
          <w:szCs w:val="28"/>
          <w:rtl w:val="true"/>
          <w:lang w:bidi="ar-SA"/>
        </w:rPr>
        <w:t>وبهذا يتَّضح أنَّنا لو سلّمنا بحرمة اللطم لأجل الوهن للمذهب، إلاّ أنَّ ذلك ينحصر في المواضع التي يصدق فيها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فلو فرضنا في مكان أنَّه لا يحصل وهن، بل تقوية، فإنَّه لا ينبغي الالتزام بالتحريم</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3920706_3650668749"/>
      <w:bookmarkStart w:id="298" w:name="_Toc111"/>
      <w:bookmarkEnd w:id="297"/>
      <w:r>
        <w:rPr>
          <w:rtl w:val="true"/>
        </w:rPr>
        <w:t>المورد الثاني</w:t>
      </w:r>
      <w:r>
        <w:rPr>
          <w:rtl w:val="true"/>
        </w:rPr>
        <w:t xml:space="preserve">: </w:t>
      </w:r>
      <w:r>
        <w:rPr>
          <w:rtl w:val="true"/>
        </w:rPr>
        <w:t>الوهن الناشئ من الاستهزاء بالمعتقدات والأحكام الدينية</w:t>
      </w:r>
      <w:bookmarkEnd w:id="298"/>
    </w:p>
    <w:p>
      <w:pPr>
        <w:pStyle w:val="BookText"/>
        <w:rPr/>
      </w:pPr>
      <w:r>
        <w:rPr>
          <w:rFonts w:ascii="Amiri" w:hAnsi="Amiri" w:eastAsia="Amiri" w:cs="Amiri"/>
          <w:color w:val="111111"/>
          <w:sz w:val="28"/>
          <w:sz w:val="28"/>
          <w:szCs w:val="28"/>
          <w:rtl w:val="true"/>
          <w:lang w:bidi="ar-SA"/>
        </w:rPr>
        <w:t xml:space="preserve">عند إجراء مسح ميداني لحياة أنبياء الله تعالى، نلمس بوضوح ماواجهوه من سخرية من قبل أعداء الله، الذين ما زالوا يسخرون بديننا وعقيدتنا، وفقهنا وأحكامنا وعباداتنا، ومناسكنا وآدابنا وأعرافنا وتأريخنا، وهو ما يكشف عنه القرآن الكريم، الذي يصرّح بأنَّ جميع الرُسل والأنبياء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معرض استهزاء وسخرية من قِبل أعدائهم وأقوامهم، لاسيما نبيّنا الأعظم،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أُوذي نبيّ مثل ما أُوذيت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الأمر بالنسبة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5"/>
        <w:numPr>
          <w:ilvl w:val="4"/>
          <w:numId w:val="1"/>
        </w:numPr>
        <w:rPr/>
      </w:pPr>
      <w:bookmarkStart w:id="299" w:name="__RefHeading___Toc3920708_3650668749"/>
      <w:bookmarkStart w:id="300" w:name="_Toc112"/>
      <w:bookmarkEnd w:id="299"/>
      <w:r>
        <w:rPr>
          <w:rtl w:val="true"/>
        </w:rPr>
        <w:t>النصوص القرآنية التي تشير إلى استهزاء أعداء الله بالأنبياء وشرائعهم</w:t>
      </w:r>
      <w:bookmarkEnd w:id="300"/>
    </w:p>
    <w:p>
      <w:pPr>
        <w:pStyle w:val="BookText"/>
        <w:rPr/>
      </w:pPr>
      <w:r>
        <w:rPr>
          <w:rFonts w:ascii="Amiri" w:hAnsi="Amiri" w:eastAsia="Amiri" w:cs="Amiri"/>
          <w:color w:val="111111"/>
          <w:sz w:val="28"/>
          <w:sz w:val="28"/>
          <w:szCs w:val="28"/>
          <w:rtl w:val="true"/>
          <w:lang w:bidi="ar-SA"/>
        </w:rPr>
        <w:t>يُضيء القرآن الكريم هذه المسألة بأروع بيان، والمهمّة ذاتها تنهض بها النصوص الروائية، إذ ثمَّة عدد وافر من الروايات تتحدَّث عن مسألة استهزاء أعداء الله تعالى بالشرائع والأحكام الدينية، وفيما يلي إضمامة من النصوص القرآنية والروائية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قَبْلِكَ فَحاقَ بِالَّذِينَ سَخِرُوا مِنْهُمْ ما كانُوا بِهِ يَسْتَهْزِؤُنَ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يَصْنَعُ الْفُلْكَ وَ كُلَّما مَرَّ عَلَيْهِ مَلأٌَ مِنْ قَوْمِهِ سَخِرُوا مِنْهُ قالَ إِنْ تَسْخَرُوا مِنَّا فَإِنَّا نَسْخَرُ مِنْكُمْ كَما تَسْخَرُونَ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قَبْلِكَ فَأَمْلَيْتُ لِلَّذِينَ كَفَرُوا ثُمَّ أَخَذْتُهُمْ فَكَيْفَ كانَ 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مِنْ قَبْلِكَ فِي شِيَعِ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يَأْتِيهِمْ مِنْ رَسُولٍ إِلاَّ كانُوا بِهِ يَسْتَهْزِؤُنَ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لِلَّذِينَ كَفَرُوا الْحَياةُ الدُّنْيا وَ يَسْخَرُونَ مِنَ الَّذِينَ آمَنُوا وَ الَّذِينَ اتَّقَوْا فَوْقَهُمْ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الَّذِينَ اتَّخَذُوا دِينَكُمْ هُزُواً وَ لَعِباً مِنَ الَّذِينَ أُوتُوا الْكِتابَ مِنْ قَبْلِكُمْ وَ الْكُفَّارَ أَوْلِياءَ وَ اتَّقُوا اللهَ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نادَيْتُمْ إِلَى الصَّلاةِ اتَّخَذُوها هُزُواً وَ لَعِباً ذلِكَ بِأَنَّهُمْ قَوْمٌ لا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كَذَّبُوا بِالْحَقِّ لَمَّا جاءَهُمْ فَسَوْفَ يَأْتِيهِمْ أَنْباءُ ما كانُوا بِهِ يَسْتَهْزِؤُنَ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أَخَّرْنا عَنْهُمُ الْعَذابَ إِلى أُمَّةٍ مَعْدُودَةٍ لَيَقُولُنَّ ما يَحْبِسُهُ أَلا يَوْمَ يَأْتِيهِمْ لَيْسَ مَصْرُوفاً عَنْهُمْ وَ حاقَ بِهِمْ ما كانُوا بِهِ يَسْتَهْزِؤُنَ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نُرْسِلُ الْمُرْسَلِينَ إِلاَّ مُبَشِّرِينَ وَ مُنْذِرِينَ وَ يُجادِلُ الَّذِينَ كَفَرُوا بِالْباطِلِ لِيُدْحِضُوا بِهِ الْحَقَّ وَ اتَّخَذُوا آياتِي وَ ما أُنْذِرُوا هُزُواً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جَزاؤُهُمْ جَهَنَّمُ بِما كَفَرُوا وَ اتَّخَذُوا آياتِي وَ رُسُلِي هُزُواً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رَآكَ الَّذِينَ كَفَرُوا إِنْ يَتَّخِذُونَكَ إِلاَّ هُزُواً أَ هذَا الَّذِي يَذْكُرُ آلِهَتَكُمْ وَ هُمْ بِذِكْرِ الرَّحْمنِ هُمْ 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قَبْلِكَ فَحاقَ بِالَّذِينَ سَخِرُوا مِنْهُمْ ما كانُوا بِهِ يَسْتَهْزِؤُنَ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فَرِيقٌ مِنْ عِبادِي يَقُولُونَ رَبَّنا آمَنَّا فَاغْفِرْ لَنا وَ ارْحَمْنا وَ أَنْتَ خَيْرُ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فَاتَّخَذْتُمُوهُمْ سِخْرِيًّا حَتَّى أَنْسَوْكُمْ ذِكْرِي وَ كُنْتُمْ مِنْهُمْ تَضْحَكُونَ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جَزَيْتُهُمُ الْيَوْمَ بِما صَبَرُوا أَنَّهُمْ هُمُ الْفائِزُونَ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رَأَوْكَ إِنْ يَتَّخِذُونَكَ إِلاَّ هُزُواً أَ هذَا الَّذِي بَعَثَ اللَّهُ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يَأْتِيهِمْ مِنْ ذِكْرٍ مِنَ الرَّحْمنِ مُحْدَثٍ إِلاَّ كانُوا عَنْهُ مُعْرِضِينَ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كَذَّبُوا فَسَيَأْتِيهِمْ أَنْبؤُا ما كانُوا بِهِ يَسْتَهْزِؤُنَ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عاقِبَةَ الَّذِينَ أَساؤُا السُّوأى أَنْ كَذَّبُوا بِآياتِ اللَّهِ وَ كانُوا بِها يَسْتَهْزِؤُنَ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يَشْتَرِي لَهْوَ الْحَدِيثِ لِيُضِلَّ عَنْ سَبِيلِ اللَّهِ بِغَيْرِ عِلْمٍ وَ يَتَّخِذَها هُزُواً أُولئِكَ لَهُمْ عَذابٌ 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حَسْرَةً عَلَى الْعِبادِ ما يَأْتِيهِمْ مِنْ رَسُولٍ إِلاَّ كانُوا بِهِ يَسْتَهْزِؤُنَ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بَلْ عَجِبْتَ وَ يَسْخَرُونَ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ذُكِّرُوا لا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آيَةً يَسْتَسْخِرُونَ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لَنا لا نَرى رِجالاً كُنَّا نَعُدُّهُمْ مِنَ الأَْشْرارِ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أَتَّخَذْناهُمْ سِخْرِيًّا أَمْ زاغَتْ عَنْهُمُ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سَيِّئاتُ ما كَسَبُوا وَ حاقَ بِهِمْ ما كانُوا بِهِ يَسْتَهْزِؤُنَ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أَحْسَنَ ما أُنْزِلَ إِلَيْكُمْ مِنْ رَبِّكُمْ مِنْ قَبْلِ أَنْ يَأْتِيَكُمُ الْعَذابُ بَغْتَةً وَ أَنْتُمْ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يا حَسْرَتى عَلى ما فَرَّطْتُ فِي جَنْبِ اللَّهِ وَ إِنْ كُنْتُ لَمِنَ السَّاخِرِينَ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رُسُلُهُمْ بِالْبَيِّناتِ فَرِحُوا بِما عِنْدَهُمْ مِنَ الْعِلْمِ وَ حاقَ بِهِمْ ما كانُوا بِهِ يَسْتَهْزِؤُنَ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أَرْسَلْنا مِنْ نَبِيٍّ فِي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يَأْتِيهِمْ مِنْ نَبِيٍّ إِلاَّ كانُوا بِهِ يَسْتَهْزِؤُنَ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مُوسى بِآياتِنا إِلى فِرْعَوْنَ وَ مَلاَئِهِ فَقالَ إِنِّي رَسُولُ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بِآياتِنا إِذا هُمْ مِنْها يَضْحَكُونَ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عَلِمَ مِنْ آياتِنا شَيْئاً اتَّخَذَها هُزُواً أُولئِكَ لَهُمْ عَذابٌ 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سَيِّئاتُ ما عَمِلُوا وَ حاقَ بِهِمْ ما كانُوا بِهِ يَسْتَهْزِؤُنَ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بِأَنَّكُمُ اتَّخَذْتُمْ آياتِ اللَّهِ هُزُواً وَ غَرَّتْكُمُ الْحَياةُ الدُّنْيا فَالْيَوْمَ لا يُخْرَجُونَ مِنْها وَ لا هُمْ يُسْتَعْتَبُونَ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كانُوا يَجْحَدُونَ بِآياتِ اللَّهِ وَ حاقَ بِهِمْ ما كانُوا بِهِ يَسْتَهْزِؤُنَ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هذَا الْحَدِيثِ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تَضْحَكُونَ وَ لا تَبْكُونَ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جميع ما تقدّم يتَّضح أنّ الاستهزاء والسخرية قد واجهها جميع الأنبياء والاوصياء وأتباعهم، وقد تركّز ذلك الاستهزاء والسخرية على </w:t>
      </w:r>
      <w:bookmarkStart w:id="301" w:name="pg1994_19669"/>
    </w:p>
    <w:p>
      <w:pPr>
        <w:pStyle w:val="BookText"/>
        <w:rPr/>
      </w:pPr>
      <w:bookmarkEnd w:id="301"/>
      <w:r>
        <w:rPr>
          <w:rFonts w:ascii="Amiri" w:hAnsi="Amiri" w:eastAsia="Amiri" w:cs="Amiri"/>
          <w:color w:val="111111"/>
          <w:sz w:val="28"/>
          <w:sz w:val="28"/>
          <w:szCs w:val="28"/>
          <w:rtl w:val="true"/>
          <w:lang w:bidi="ar-SA"/>
        </w:rPr>
        <w:t>الذين آمنوا ودينهم و صلاتهم و قرآنهم، و كلّ ما يمتّ للدين والعقيدة والعبادة والأحكام الشرعية بصلة، من قريب أو من بعيد</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3920710_3650668749"/>
      <w:bookmarkStart w:id="303" w:name="_Toc113"/>
      <w:bookmarkEnd w:id="302"/>
      <w:r>
        <w:rPr>
          <w:rtl w:val="true"/>
        </w:rPr>
        <w:t>موقف القرآن الكريم من المستهزئين بالأنبياء ودين الله</w:t>
      </w:r>
      <w:bookmarkEnd w:id="303"/>
    </w:p>
    <w:p>
      <w:pPr>
        <w:pStyle w:val="BookText"/>
        <w:rPr/>
      </w:pPr>
      <w:r>
        <w:rPr>
          <w:rFonts w:ascii="Amiri" w:hAnsi="Amiri" w:eastAsia="Amiri" w:cs="Amiri"/>
          <w:color w:val="111111"/>
          <w:sz w:val="28"/>
          <w:sz w:val="28"/>
          <w:szCs w:val="28"/>
          <w:rtl w:val="true"/>
          <w:lang w:bidi="ar-SA"/>
        </w:rPr>
        <w:t>بيَّن القرآن الكريم الموقف الشرعي أزاء هؤلاء في مواضع متعدّدة،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نَزَّلَ عَلَيْكُمْ فِي الْكِتابِ أَنْ إِذا سَمِعْتُمْ آياتِ اللَّهِ يُكْفَرُ بِها وَ يُسْتَهْزَأُ بِها فَلا تَقْعُدُوا مَعَهُمْ حَتَّى يَخُوضُوا فِي حَدِيثٍ غَيْرِهِ إِنَّكُمْ إِذاً مِثْلُهُمْ إِنَّ اللَّهَ جامِعُ الْمُنافِقِينَ وَ الْكافِرِينَ فِي جَهَنَّمَ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الَّذِينَ اتَّخَذُوا دِينَكُمْ هُزُواً وَ لَعِباً مِنَ الَّذِينَ أُوتُوا الْكِتابَ مِنْ قَبْلِكُمْ وَ الْكُفَّارَ أَوْلِياءَ وَ اتَّقُوا اللَّهَ 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لَتَسْمَعُنَّ مِنَ الَّذِينَ أُوتُوا الْكِتابَ مِنْ قَبْلِكُمْ وَ مِنَ الَّذِينَ أَشْرَكُوا أَذىً كَثِيراً وَ إِنْ تَصْبِرُوا وَ تَتَّقُوا فَإِنَّ ذلِكَ مِنْ عَزْمِ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 الرَّحْمنِ الَّذِينَ يَمْشُونَ عَلَى الأَرْضِ هَوْناً وَ إِذا خاطَبَهُمُ الْجاهِلُونَ قالُوا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يَصْنَعُ الْفُلْكَ وَ كُلَّما مَرَّ عَلَيْهِ مَلأٌَ مِنْ قَوْمِهِ سَخِرُوا مِنْهُ قالَ إِنْ تَسْخَرُوا مِنَّا فَإِنَّا نَسْخَرُ مِنْكُمْ كَما تَسْخَرُونَ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ذلك من النصوص المتضافرة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ممّا تقدم أنّ الموقف الشرعي الذي يحدّده القرآن الكريم إزاء هؤلاء يتلخّص بما يلي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الحضور في مجالس المستهزئين</w:t>
      </w:r>
      <w:r>
        <w:rPr>
          <w:rFonts w:eastAsia="Amiri" w:cs="Amiri" w:ascii="Amiri" w:hAnsi="Amiri"/>
          <w:color w:val="111111"/>
          <w:sz w:val="28"/>
          <w:szCs w:val="28"/>
          <w:rtl w:val="true"/>
          <w:lang w:bidi="ar-SA"/>
        </w:rPr>
        <w:t xml:space="preserve">. </w:t>
      </w:r>
      <w:bookmarkStart w:id="304" w:name="pg1994_19670"/>
    </w:p>
    <w:p>
      <w:pPr>
        <w:pStyle w:val="BookText"/>
        <w:rPr/>
      </w:pPr>
      <w:bookmarkEnd w:id="30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اتّخاذ هؤلاء أولياء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نلقي إليهم بالمودَّة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والثبات في مواجهة أذاهم وسخريّتهم واستهزائهم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المؤمن في حالة من السموِّ والترفّع عن هؤلاء، وأن لا يعبأ بهم ولا يُظهر لهم ولا لاستهزائهم أي قيمة،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خاطَبَهُمُ الْجاهِلُونَ قالُوا سَلاماً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تَسْخَرُوا مِنَّا فَإِنَّا نَسْخَرُ مِنْكُمْ كَما تَسْخَرُونَ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هذا الاستهزاء مسوّغاً أو ذريعة في إلغاء الشيء الصحيح في نفسه، أو أن يحرّم ما هو جائز أو راجح في الشريعة المقدّسة</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3920712_3650668749"/>
      <w:bookmarkStart w:id="306" w:name="_Toc114"/>
      <w:bookmarkEnd w:id="305"/>
      <w:r>
        <w:rPr>
          <w:rtl w:val="true"/>
        </w:rPr>
        <w:t xml:space="preserve">موقف أهل البيت </w:t>
      </w:r>
      <w:r>
        <w:rPr>
          <w:rtl w:val="true"/>
        </w:rPr>
        <w:t>(</w:t>
      </w:r>
      <w:r>
        <w:rPr>
          <w:rtl w:val="true"/>
        </w:rPr>
        <w:t>عليهم السلام</w:t>
      </w:r>
      <w:r>
        <w:rPr>
          <w:rtl w:val="true"/>
        </w:rPr>
        <w:t xml:space="preserve">) </w:t>
      </w:r>
      <w:r>
        <w:rPr>
          <w:rtl w:val="true"/>
        </w:rPr>
        <w:t>من المستهزئين بالعقائد الإسلامية والشعائر الحسينية</w:t>
      </w:r>
      <w:bookmarkEnd w:id="306"/>
    </w:p>
    <w:p>
      <w:pPr>
        <w:pStyle w:val="BookText"/>
        <w:rPr/>
      </w:pPr>
      <w:r>
        <w:rPr>
          <w:rFonts w:ascii="Amiri" w:hAnsi="Amiri" w:eastAsia="Amiri" w:cs="Amiri"/>
          <w:color w:val="111111"/>
          <w:sz w:val="28"/>
          <w:sz w:val="28"/>
          <w:szCs w:val="28"/>
          <w:rtl w:val="true"/>
          <w:lang w:bidi="ar-SA"/>
        </w:rPr>
        <w:t xml:space="preserve">هنالك عدد وافر من النصوص الروائية التي تتحدّث عن موقف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إزاء المستهزئين بالعقائد الإسلامية والشعائر الحسينية، وما هو واجب الشيعي تجاه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فابشر وبشّر أولياءك ومحبّيك من النعيم وقرة العين، بما لا عين رأت ولا أُذن سمعت، ولا خطر على قلب بشر، ولكنّ حثالة من الناس يعيّرون زوّار قبوركم بزيارتكم، كما تعيّر الزانية بزناها، أُولئك شرار أُمّتي، لا أنالهم الله بشفاعتي ولا يردون</w:t>
      </w:r>
    </w:p>
    <w:p>
      <w:pPr>
        <w:pStyle w:val="BookText"/>
        <w:rPr/>
      </w:pPr>
      <w:r>
        <w:rPr>
          <w:rFonts w:ascii="Amiri" w:hAnsi="Amiri" w:eastAsia="Amiri" w:cs="Amiri"/>
          <w:color w:val="111111"/>
          <w:sz w:val="28"/>
          <w:sz w:val="28"/>
          <w:szCs w:val="28"/>
          <w:rtl w:val="true"/>
          <w:lang w:bidi="ar-SA"/>
        </w:rPr>
        <w:t>حوضي</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ذريح المحاربي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ألقى من قومي ومن بنيّ، إذا أنا أخبرتهم بما في إتيان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الخير، أنّهم</w:t>
      </w:r>
    </w:p>
    <w:p>
      <w:pPr>
        <w:pStyle w:val="BookText"/>
        <w:rPr/>
      </w:pPr>
      <w:r>
        <w:rPr>
          <w:rFonts w:ascii="Amiri" w:hAnsi="Amiri" w:eastAsia="Amiri" w:cs="Amiri"/>
          <w:color w:val="111111"/>
          <w:sz w:val="28"/>
          <w:sz w:val="28"/>
          <w:szCs w:val="28"/>
          <w:rtl w:val="true"/>
          <w:lang w:bidi="ar-SA"/>
        </w:rPr>
        <w:t>يكذّبوني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تكذب على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ذريح، دع الناس يذهبون حيث شاؤوا، والله أنَّ الله ليباهي بزائر الحسين بن علي والوافد يفده الملائكة المقرّبين وحملة عرشه</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دعاء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سجوده لزوار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يا مَن خصّنا بالكرامة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اغفر لي ولأخواني وزوّار قبر أبي الحسين، الذين أنفقوا أموالهم وأشخصوا أبدانهم رغبةً في برّنا، ورجاءً لِما عندك في صلتنا، وسروراً أدخلوه على نبيّك، وإجابةً منهم لأمرنا، وغيظاً أدخلوه على عدوّنا، أرادوا بذلك رضاك</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اللّهم إنَّ أعداءنا عابوا عليهم بخروجهم، فلم ينههم ذلك عن الشخوص إلينا، خلافاً منهم على مَن خالفنا</w:t>
      </w:r>
      <w:r>
        <w:rPr>
          <w:rFonts w:eastAsia="Amiri" w:cs="Amiri" w:ascii="Amiri" w:hAnsi="Amiri"/>
          <w:color w:val="111111"/>
          <w:sz w:val="28"/>
          <w:szCs w:val="28"/>
          <w:rtl w:val="true"/>
          <w:lang w:bidi="ar-SA"/>
        </w:rPr>
        <w:t xml:space="preserve">. . .»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الحمد لله الذي جعل في الناس مَن يفد إلينا ويمدحنا ويرثي لنا، وجعل عدوّنا مَن يطعن عليهم من قرابتنا وغيرهم يهذؤنهم ويقبّحون ما يصنعون</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قدامة بن زائدة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بلغني يا زائدة أنّك تزور قبر أبي‌عبدالله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فقلت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ذلك لكما بلغك،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تفعل ذلك ولك مكان عند سلطانك الذي لا يحتمل أحداً على محبّتنا وتفضيلنا وذكر فضائلنا والواجب على هذه الأُمَّة من حقنا؟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أريد بذلك إلاّ الله ورسوله، ولا أحفل بسخط من سخط، ولا يكبر في صدري مكروه ينالني بسببه،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ذلك </w:t>
      </w:r>
      <w:bookmarkStart w:id="307" w:name="pg1994_19672"/>
    </w:p>
    <w:p>
      <w:pPr>
        <w:pStyle w:val="BookText"/>
        <w:rPr/>
      </w:pPr>
      <w:bookmarkEnd w:id="307"/>
      <w:r>
        <w:rPr>
          <w:rFonts w:ascii="Amiri" w:hAnsi="Amiri" w:eastAsia="Amiri" w:cs="Amiri"/>
          <w:color w:val="111111"/>
          <w:sz w:val="28"/>
          <w:sz w:val="28"/>
          <w:szCs w:val="28"/>
          <w:rtl w:val="true"/>
          <w:lang w:bidi="ar-SA"/>
        </w:rPr>
        <w:t xml:space="preserve">لكذلك؟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لكذلك، يقولها ثلاثاً، وأقولها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ثُمَّ ابشر ثُمَّ أبشر</w:t>
      </w:r>
      <w:r>
        <w:rPr>
          <w:rFonts w:eastAsia="Amiri" w:cs="Amiri" w:ascii="Amiri" w:hAnsi="Amiri"/>
          <w:color w:val="111111"/>
          <w:sz w:val="28"/>
          <w:szCs w:val="28"/>
          <w:rtl w:val="true"/>
          <w:lang w:bidi="ar-SA"/>
        </w:rPr>
        <w:t xml:space="preserve">. . .»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يتَّضح أنَّ الروايات الشريفة تصرّح وتبيّن بوضوح ما يلقاه شيعة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استهزاء وسخرية بسبب زيارتهم لقبور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ولاسيما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ويتمثّل موقف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ضرورة إحياء أمرهم، لاسيما واقعة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واللطم حزناً وجزعاً على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هذه الأمور التي تساهم في إحياء ذكرى عاشوراء، وأنَّ الموقف الشرعي من الاستهزاء والسخرية من اللطم حزناً وجزعاً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الالتفات لِما يقوله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ما تقدّم 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استند إليه المانعون للّطم حزناً وجزعاً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كقولهم بأنَّ اللطم بدعة، وأنّه ضرر، وأنَّه سبب لتوهين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لايمكن أن يكون أساساً أو مستنداً أو ملاكاً للحرمة</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3920714_3650668749"/>
      <w:bookmarkStart w:id="309" w:name="_Toc115"/>
      <w:bookmarkEnd w:id="308"/>
      <w:r>
        <w:rPr>
          <w:rtl w:val="true"/>
        </w:rPr>
        <w:t>حكم الفقيه هو المتَّبع في حالة الاختلاف</w:t>
      </w:r>
      <w:bookmarkEnd w:id="309"/>
    </w:p>
    <w:p>
      <w:pPr>
        <w:pStyle w:val="BookText"/>
        <w:rPr/>
      </w:pPr>
      <w:r>
        <w:rPr>
          <w:rFonts w:ascii="Amiri" w:hAnsi="Amiri" w:eastAsia="Amiri" w:cs="Amiri"/>
          <w:color w:val="111111"/>
          <w:sz w:val="28"/>
          <w:sz w:val="28"/>
          <w:szCs w:val="28"/>
          <w:rtl w:val="true"/>
          <w:lang w:bidi="ar-SA"/>
        </w:rPr>
        <w:t>عند حصول الاختلاف والالتباس بين الناس في تشخيص الوهن، ممّا</w:t>
      </w:r>
    </w:p>
    <w:p>
      <w:pPr>
        <w:pStyle w:val="BookText"/>
        <w:rPr/>
      </w:pPr>
      <w:r>
        <w:rPr>
          <w:rFonts w:ascii="Amiri" w:hAnsi="Amiri" w:eastAsia="Amiri" w:cs="Amiri"/>
          <w:color w:val="111111"/>
          <w:sz w:val="28"/>
          <w:sz w:val="28"/>
          <w:szCs w:val="28"/>
          <w:rtl w:val="true"/>
          <w:lang w:bidi="ar-SA"/>
        </w:rPr>
        <w:t xml:space="preserve">يُخاف من هذا الاختلاف من إيجاد الشقاق بين المؤمنين، فالمتَّبع في ذلك حُكم ولي أمر المسلمين، ويجب على الجميع إطاعته فيما لو حكم في ذلك، ولا يجوز لأحدٍ ردَّه؛ فإنَّ الراد على الفقيه الجامع الحاكم رادّ على الله ورسوله، كما ورد في النصوص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6"/>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1994_19675"/>
      <w:bookmarkStart w:id="311" w:name="pg1994_19675"/>
      <w:bookmarkEnd w:id="311"/>
    </w:p>
    <w:p>
      <w:pPr>
        <w:pStyle w:val="Heading3"/>
        <w:numPr>
          <w:ilvl w:val="2"/>
          <w:numId w:val="1"/>
        </w:numPr>
        <w:rPr/>
      </w:pPr>
      <w:bookmarkStart w:id="312" w:name="pg1994_19675"/>
      <w:bookmarkStart w:id="313" w:name="__RefHeading___Toc3920716_3650668749"/>
      <w:bookmarkStart w:id="314" w:name="_Toc116"/>
      <w:bookmarkEnd w:id="312"/>
      <w:bookmarkEnd w:id="313"/>
      <w:r>
        <w:rPr>
          <w:rtl w:val="true"/>
        </w:rPr>
        <w:t>الشبهة الثانية</w:t>
      </w:r>
      <w:r>
        <w:rPr>
          <w:rtl w:val="true"/>
        </w:rPr>
        <w:t xml:space="preserve">: </w:t>
      </w:r>
      <w:r>
        <w:rPr>
          <w:rtl w:val="true"/>
        </w:rPr>
        <w:t>اللطم لا يدخل تحت عنوان العزاء عرفاً</w:t>
      </w:r>
      <w:bookmarkEnd w:id="314"/>
    </w:p>
    <w:p>
      <w:pPr>
        <w:pStyle w:val="BookText"/>
        <w:rPr/>
      </w:pPr>
      <w:r>
        <w:rPr>
          <w:rFonts w:ascii="Amiri" w:hAnsi="Amiri" w:eastAsia="Amiri" w:cs="Amiri"/>
          <w:color w:val="111111"/>
          <w:sz w:val="28"/>
          <w:sz w:val="28"/>
          <w:szCs w:val="28"/>
          <w:rtl w:val="true"/>
          <w:lang w:bidi="ar-SA"/>
        </w:rPr>
        <w:t>تفصيل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اللطم، وإنْ سلّمنا أنّه لا يوجب ضرر النفس، لكنّه لا يعدّه العُرف من العزاء والشعائر الحسينية؛ وعليه لابد من إثبات انخراط اللطم في حقيقة مصاديق العزاء أوّلاً، ثُمَّ يأتي الكلام في جوازه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أنَّ اللطم خارج عن عنوان العزاء الحسيني بعدم تأييد العرف العام لإقحام اللطم في مصاديق رثاء الموتى ومواساتهم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أنَّ معنى الشعائر ووجودها هو أنْ يتخذها العُرف والمتشرّعة شعيرة، بشرط أن يتواضع عليها العرف، فقبل أن يتّخذها العرف شعيرة لاتدخل تحت عنوان الشعائر، فتتحقق شعيريّتها بعد أن تتفشّى وتُنشَر ويتداول استعمالها، فتصبح رسماً شعيرة عرفاً، وحينئذ يشملها عموم وَ مَنْ يُعَظِّمْ شَعائِرَ اللَّهِ فَإِنَّها مِنْ تَقْوَى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أن تكون الشعيرة متَّخذة سابقاً في العُرف مصداقاً من مصاديق رثاء الموتى ومواساتهم، إذ قد تكون شعيرة عند العُرف مصداقاً للعزاء الحسيني، ولاتكون مصداقاً من رثاء الموتى؛ إذ لا ملازمة بين الأمرين</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 w:name="pg1994_19677"/>
      <w:bookmarkStart w:id="316" w:name="pg1994_19677"/>
      <w:bookmarkEnd w:id="316"/>
    </w:p>
    <w:p>
      <w:pPr>
        <w:pStyle w:val="Heading3"/>
        <w:numPr>
          <w:ilvl w:val="2"/>
          <w:numId w:val="1"/>
        </w:numPr>
        <w:rPr/>
      </w:pPr>
      <w:bookmarkStart w:id="317" w:name="pg1994_19677"/>
      <w:bookmarkStart w:id="318" w:name="__RefHeading___Toc3920718_3650668749"/>
      <w:bookmarkStart w:id="319" w:name="_Toc117"/>
      <w:bookmarkEnd w:id="317"/>
      <w:bookmarkEnd w:id="318"/>
      <w:r>
        <w:rPr>
          <w:rtl w:val="true"/>
        </w:rPr>
        <w:t>الشبهة الثالثة</w:t>
      </w:r>
      <w:r>
        <w:rPr>
          <w:rtl w:val="true"/>
        </w:rPr>
        <w:t xml:space="preserve">: </w:t>
      </w:r>
      <w:r>
        <w:rPr>
          <w:rtl w:val="true"/>
        </w:rPr>
        <w:t>اللطم حرام بالأدلّة الدالَّة على حرمة اللطم على الميّت</w:t>
      </w:r>
      <w:bookmarkEnd w:id="319"/>
    </w:p>
    <w:p>
      <w:pPr>
        <w:pStyle w:val="Heading4"/>
        <w:numPr>
          <w:ilvl w:val="3"/>
          <w:numId w:val="1"/>
        </w:numPr>
        <w:rPr/>
      </w:pPr>
      <w:bookmarkStart w:id="320" w:name="__RefHeading___Toc3920720_3650668749"/>
      <w:bookmarkStart w:id="321" w:name="_Toc118"/>
      <w:bookmarkEnd w:id="320"/>
      <w:r>
        <w:rPr>
          <w:rtl w:val="true"/>
        </w:rPr>
        <w:t>اشارة</w:t>
      </w:r>
      <w:bookmarkEnd w:id="321"/>
    </w:p>
    <w:p>
      <w:pPr>
        <w:pStyle w:val="BookText"/>
        <w:rPr/>
      </w:pPr>
      <w:r>
        <w:rPr>
          <w:rFonts w:ascii="Amiri" w:hAnsi="Amiri" w:eastAsia="Amiri" w:cs="Amiri"/>
          <w:color w:val="111111"/>
          <w:sz w:val="28"/>
          <w:sz w:val="28"/>
          <w:szCs w:val="28"/>
          <w:rtl w:val="true"/>
          <w:lang w:bidi="ar-SA"/>
        </w:rPr>
        <w:t>تفصيل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نصوص عديدة تنهى عن اللطم والجزع على الميّت، كما هو واضح، وعلى هذا يكون اللطم والجزع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النصوص الناهية عن اللطم والجزع على الميت مخصَّصة بما ورد من النصوص المجوّزة والمُرغّبة للّطم والجزع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قائم على أنَّ عدم الجواز مخصوص باللطم والجزع على الأموات، كما حكي ذلك في المبسوط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البكاء ليس به بأس، وأمّا اللطم والخدش وجزّ الشعر والنوح، فإنَّه كلّه باطل محرّم إجماعاً</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الإجماع دليل لُبّي يُؤخَذ بالقدر المتيقّن، وهو اختصاصه بالأموات غير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الدليل اللُبي لا يمكن أن يكون مطلقاً ولو للأفراد المشكوكة</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3920722_3650668749"/>
      <w:bookmarkStart w:id="323" w:name="_Toc119"/>
      <w:bookmarkEnd w:id="322"/>
      <w:r>
        <w:rPr>
          <w:rtl w:val="true"/>
        </w:rPr>
        <w:t>هل معقد الاجماع نهي اللطم على جميع الأموات</w:t>
      </w:r>
      <w:bookmarkEnd w:id="32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بين الإجماع وبين النصوص المجوّزة للًّطم والجزع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عموم مطلق، ومقتضى الصناعة أن يخصَّص الإجماع بها</w:t>
      </w:r>
      <w:r>
        <w:rPr>
          <w:rFonts w:eastAsia="Amiri" w:cs="Amiri" w:ascii="Amiri" w:hAnsi="Amiri"/>
          <w:color w:val="111111"/>
          <w:sz w:val="28"/>
          <w:szCs w:val="28"/>
          <w:rtl w:val="true"/>
          <w:lang w:bidi="ar-SA"/>
        </w:rPr>
        <w:t xml:space="preserve">. </w:t>
      </w:r>
      <w:bookmarkStart w:id="324" w:name="pg1994_19678"/>
    </w:p>
    <w:p>
      <w:pPr>
        <w:pStyle w:val="Heading4"/>
        <w:numPr>
          <w:ilvl w:val="3"/>
          <w:numId w:val="1"/>
        </w:numPr>
        <w:rPr/>
      </w:pPr>
      <w:bookmarkStart w:id="325" w:name="__RefHeading___Toc3920724_3650668749"/>
      <w:bookmarkStart w:id="326" w:name="_Toc120"/>
      <w:bookmarkEnd w:id="324"/>
      <w:bookmarkEnd w:id="325"/>
      <w:r>
        <w:rPr>
          <w:rtl w:val="true"/>
        </w:rPr>
        <w:t xml:space="preserve">عائشة تلطم على رسول الله </w:t>
      </w:r>
      <w:r>
        <w:rPr>
          <w:rtl w:val="true"/>
        </w:rPr>
        <w:t>(</w:t>
      </w:r>
      <w:r>
        <w:rPr>
          <w:rtl w:val="true"/>
        </w:rPr>
        <w:t>ص</w:t>
      </w:r>
      <w:r>
        <w:rPr>
          <w:rtl w:val="true"/>
        </w:rPr>
        <w:t>)</w:t>
      </w:r>
      <w:bookmarkEnd w:id="326"/>
    </w:p>
    <w:p>
      <w:pPr>
        <w:pStyle w:val="BookText"/>
        <w:rPr/>
      </w:pPr>
      <w:r>
        <w:rPr>
          <w:rFonts w:ascii="Amiri" w:hAnsi="Amiri" w:eastAsia="Amiri" w:cs="Amiri"/>
          <w:color w:val="111111"/>
          <w:sz w:val="28"/>
          <w:sz w:val="28"/>
          <w:szCs w:val="28"/>
          <w:rtl w:val="true"/>
          <w:lang w:bidi="ar-SA"/>
        </w:rPr>
        <w:t>أخرج عدّة من الحفّاظ، منهم أحمد في مسنده، بسندٍ صحيح عن يحيى بن عباد بن عبدالله بن الزبير، عن أبيه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سحري ونحرى وفي دولتي لم أظلم فيه أحداً، فمن سفهي وحداثة سنّي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وهو في حجري، ثُمَّ وضعت رأسه على وسادة وقمت ألتدم مع النساء وأضرب وجهي</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الإلتدام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الخدّ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فعائشة من الصحابيات وقد لطمت عند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والصحابيات، ولم يردَعها أحد من الصحابة، فعلى مبنى اهل السنه يكون هذا الفعل دليلاً على الجواز</w:t>
      </w:r>
      <w:r>
        <w:rPr>
          <w:rFonts w:eastAsia="Amiri" w:cs="Amiri" w:ascii="Amiri" w:hAnsi="Amiri"/>
          <w:color w:val="111111"/>
          <w:sz w:val="28"/>
          <w:szCs w:val="28"/>
          <w:rtl w:val="true"/>
          <w:lang w:bidi="ar-SA"/>
        </w:rPr>
        <w:t xml:space="preserve">. </w:t>
      </w:r>
      <w:bookmarkStart w:id="327" w:name="pg1994_19679"/>
    </w:p>
    <w:p>
      <w:pPr>
        <w:pStyle w:val="Heading3"/>
        <w:numPr>
          <w:ilvl w:val="2"/>
          <w:numId w:val="1"/>
        </w:numPr>
        <w:rPr/>
      </w:pPr>
      <w:bookmarkStart w:id="328" w:name="__RefHeading___Toc3920726_3650668749"/>
      <w:bookmarkStart w:id="329" w:name="_Toc121"/>
      <w:bookmarkEnd w:id="327"/>
      <w:bookmarkEnd w:id="328"/>
      <w:r>
        <w:rPr>
          <w:rtl w:val="true"/>
        </w:rPr>
        <w:t>الشبهة الرابعة</w:t>
      </w:r>
      <w:r>
        <w:rPr>
          <w:rtl w:val="true"/>
        </w:rPr>
        <w:t xml:space="preserve">: </w:t>
      </w:r>
      <w:r>
        <w:rPr>
          <w:rtl w:val="true"/>
        </w:rPr>
        <w:t>مواكب اللطم لم تكن في عهد الأئمة</w:t>
      </w:r>
      <w:r>
        <w:rPr>
          <w:rtl w:val="true"/>
        </w:rPr>
        <w:t xml:space="preserve">: </w:t>
      </w:r>
      <w:r>
        <w:rPr>
          <w:rtl w:val="true"/>
        </w:rPr>
        <w:t>وزمانهم</w:t>
      </w:r>
      <w:bookmarkEnd w:id="329"/>
    </w:p>
    <w:p>
      <w:pPr>
        <w:pStyle w:val="BookText"/>
        <w:rPr/>
      </w:pPr>
      <w:r>
        <w:rPr>
          <w:rFonts w:ascii="Amiri" w:hAnsi="Amiri" w:eastAsia="Amiri" w:cs="Amiri"/>
          <w:color w:val="111111"/>
          <w:sz w:val="28"/>
          <w:sz w:val="28"/>
          <w:szCs w:val="28"/>
          <w:rtl w:val="true"/>
          <w:lang w:bidi="ar-SA"/>
        </w:rPr>
        <w:t>تفصيل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البعض على عدم شرعية هذه الطقوس بأنَّها لم تكن على عهد الأئمّة الأطهار، فمواكب العزاء الحسيني، بما يتضمّنه اليوم من ممارسات وبهذه الهيئة المعروفة في زماننا هذا؛ لم تكن موجودة في زمان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سائر الشعائر الحسينية الجماهيرية، من مواكبٍ على اختلاف أنواعها، لم تكن هي الأُخرى موجودة أيضاً، وما لم تكن كذلك فلا مشروعيَّة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من هذه الشعائر كانت موجودة في عهد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 العديد من الروايات نجد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يأمرون شيعتهم بإقامة مجالس العزاء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سوف نشير إليها لاحقاً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المجالس آنذاك ليست بهذا الشكل من الكثرة، والسبب في ذلك يكمن في أنَّ الشيعة في عهد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في حالة خوف شديد من السلطات الحاكمة، فهم يعيشون التقيّة آنذاك، فعدم وجود الشعائر في وقت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الكثرة وبهذا الهيئات؛ هو لأجل عدم تمكّنهم من إقامتها، ولا يدل على عدم المشروعية في هذه الأزمنة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كانت الشيعة في ذاك الوقت تعيش مثل هذه الأزمنة، من حيث إمكانية إظهار الشعائر وإقامتها، لفعلوا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فمواكب العزاء الحسيني، بما يتضمنه اليوم من ممارسات وبهذه الهيئة المعروفة في زماننا هذا، لم تكن موجودة في زمان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الأُصول النظرية لهذه المواكب، من دون تحديد لهيئةٍ معيّنة لها، فهذا ما تضافرت به النصوص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بكاء وإبكاء، وإظهار حزن وجزع على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وتأكيدٍ على زيارته، وذكر مصيبته على كلّ حال، حتى عند شربنا للماء، مع لعن أعدائه وقتلته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والبراءة منهم ومن أفعالهم، إلى غير ذلك من الأمور التي لها مدخلية مباشرة أو غير مباشرة في إحياء القضية الحسينية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في الإجابة على الشبهات السابقة من أنَّ روايات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تحدّد لنا طريقة التعبير عن الحزن على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تجعل الأمر توقيفيّاً على نحو معيّن أو كيفية مخصوصة، بل فتحت الباب بتأكيد معنى الجزع واستحبابه، واستحباب إظهاره على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 بحسب فهمه وطريقته المعتادَة عُرفاً</w:t>
      </w:r>
      <w:r>
        <w:rPr>
          <w:rFonts w:eastAsia="Amiri" w:cs="Amiri" w:ascii="Amiri" w:hAnsi="Amiri"/>
          <w:color w:val="111111"/>
          <w:sz w:val="28"/>
          <w:szCs w:val="28"/>
          <w:rtl w:val="true"/>
          <w:lang w:bidi="ar-SA"/>
        </w:rPr>
        <w:t xml:space="preserve">. </w:t>
      </w:r>
      <w:bookmarkStart w:id="330" w:name="pg1994_19681"/>
    </w:p>
    <w:p>
      <w:pPr>
        <w:pStyle w:val="Heading3"/>
        <w:numPr>
          <w:ilvl w:val="2"/>
          <w:numId w:val="1"/>
        </w:numPr>
        <w:rPr/>
      </w:pPr>
      <w:bookmarkStart w:id="331" w:name="__RefHeading___Toc3920728_3650668749"/>
      <w:bookmarkStart w:id="332" w:name="_Toc122"/>
      <w:bookmarkEnd w:id="330"/>
      <w:bookmarkEnd w:id="331"/>
      <w:r>
        <w:rPr>
          <w:rtl w:val="true"/>
        </w:rPr>
        <w:t>الشبهة الخامسه</w:t>
      </w:r>
      <w:r>
        <w:rPr>
          <w:rtl w:val="true"/>
        </w:rPr>
        <w:t xml:space="preserve">: </w:t>
      </w:r>
      <w:r>
        <w:rPr>
          <w:rtl w:val="true"/>
        </w:rPr>
        <w:t>روّاد المواكب لا يلتزمون بأحكام الشريعة</w:t>
      </w:r>
      <w:bookmarkEnd w:id="332"/>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روّاد مواكب اللطم ممَّن لا يلتزمون بأحكام الشريعة دعوى عُهدتها على مدَّعيها، إذ نجد أنَّ الكثير من أهل العلم والعلماء والمثقّفين يشاركون في هذه المواكب في مختلف بقاع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صحة هذا القول، وتبيَّن أنَّ أكثر المشتركين في مواكب اللّطم الحسيني من الذين لا يلتزمون بأحكام الشريعة وواجباتها، وسلَّمنا بأنَّ جميع المواكب بهذه الشاكلة؛ لكنَّ هذا لا يبرّر ولا يمكن أن يكون دليلاً على حرمة اللطم، ولا يبرّر أن يكون موقف المتشرّعة إزاء هذه المواكب موقف المعادي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حُرِّم هذه الفعل الراجح شرعاً لأجل أنَّ أكثر المشتركين في مواكب اللطم الحسيني من الذين لا يلتزمون بأحكام الشريعة؛ فيلزم أن يكون كل عمل شرعي يمارسه جمع كثير ممَّن يسيئون التصرّف في أعمال أُخرى، لابدّ من منعه والوقوف ضدّه، وهذا يعني أن نمنع الحجّ، بناءً على ما ورد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أكثر الضجيج وأقلّ الحجيج</w:t>
      </w:r>
      <w:r>
        <w:rPr>
          <w:rFonts w:eastAsia="Amiri" w:cs="Amiri" w:ascii="Amiri" w:hAnsi="Amiri"/>
          <w:color w:val="111111"/>
          <w:sz w:val="28"/>
          <w:szCs w:val="28"/>
          <w:rtl w:val="true"/>
          <w:lang w:bidi="ar-SA"/>
        </w:rPr>
        <w:t xml:space="preserve">. . .» </w:t>
      </w:r>
      <w:r>
        <w:rPr>
          <w:rStyle w:val="FootnoteAnchor"/>
          <w:rtl w:val="true"/>
        </w:rPr>
        <w:footnoteReference w:id="201"/>
      </w:r>
      <w:r>
        <w:rPr>
          <w:rFonts w:ascii="Amiri" w:hAnsi="Amiri" w:eastAsia="Amiri" w:cs="Amiri"/>
          <w:color w:val="111111"/>
          <w:sz w:val="28"/>
          <w:sz w:val="28"/>
          <w:szCs w:val="28"/>
          <w:rtl w:val="true"/>
          <w:lang w:bidi="ar-SA"/>
        </w:rPr>
        <w:t>، وغير ذلك، وهذا لم يقل به عاقل</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1994_19683"/>
      <w:bookmarkStart w:id="334" w:name="pg1994_19683"/>
      <w:bookmarkEnd w:id="334"/>
    </w:p>
    <w:p>
      <w:pPr>
        <w:pStyle w:val="Heading3"/>
        <w:numPr>
          <w:ilvl w:val="2"/>
          <w:numId w:val="1"/>
        </w:numPr>
        <w:rPr/>
      </w:pPr>
      <w:bookmarkStart w:id="335" w:name="pg1994_19683"/>
      <w:bookmarkStart w:id="336" w:name="__RefHeading___Toc3920730_3650668749"/>
      <w:bookmarkStart w:id="337" w:name="_Toc123"/>
      <w:bookmarkEnd w:id="335"/>
      <w:bookmarkEnd w:id="336"/>
      <w:r>
        <w:rPr>
          <w:rtl w:val="true"/>
        </w:rPr>
        <w:t>خلاصة الفصل الثاني</w:t>
      </w:r>
      <w:bookmarkEnd w:id="3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اللطم لا أصل له في الشريعة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اللطم بدعة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 عليه أهل التحقيق والنظر أنّ البدعة هي ادخال ما ليس من الدين في الدين، ومن الواضح أنَّ اللطم ليس مصداقاً للبدعة، لأنّ اللطم مظهر من مظاهر الحزن والجزع على سيد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أقلِّ تقدير، فإنَّ اللطم يكون مباحاً، كما هو مقتضى التمسّك بالأصل العملي، وهو أصالة البراءة، لعدم وجود الدليل على حرمته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اللطم إضرار وإيذاء للنفس وهو حرام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اللطم ضرر معتدّ به عند الناس، وإنّما هو مثل الحجامة والفصد المفيدين للبدن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والتجربة خير شاهد على عدم وجود الضرر في اللطم، فإنّنا في كل سنة نرى أمام ناظرينا هذه التجمّعات التي تمارس اللطم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أنَّ في اللطم ضرر، لكنَّ صِرف الضرر أو العسر لا يمكنه </w:t>
      </w:r>
    </w:p>
    <w:p>
      <w:pPr>
        <w:pStyle w:val="BookText"/>
        <w:rPr/>
      </w:pPr>
      <w:r>
        <w:rPr>
          <w:rFonts w:ascii="Amiri" w:hAnsi="Amiri" w:eastAsia="Amiri" w:cs="Amiri"/>
          <w:color w:val="111111"/>
          <w:sz w:val="28"/>
          <w:sz w:val="28"/>
          <w:szCs w:val="28"/>
          <w:rtl w:val="true"/>
          <w:lang w:bidi="ar-SA"/>
        </w:rPr>
        <w:t>أن يكون مُبرراً للحرمة، إنّما الضرر الكبير الذي لا يقبل الجبران، أو ما كان فيه هلاك النفس، فهناك العديد من الموارد التي تكون جائزة مع ما يلزمها من الضرر، من قبيل ثقب أُذني الغلام الذي اتَّفق عليه النص والفتوى، وثقب آذان النساء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في اللطم ضرر على النفس، فالمرفوع بقاعدة الضرر في العبادات هو الضرر الشخصي، لا النوعي الغالبي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بتجويز الرياضات العنيفة، كالمصارعة والجودو والكراتيه والكونكفو وسباق الخيل والدّراجات البخارية</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العلماء والمراجع، من السلف إلى المعاصرين، أقرّوا وأمضوا هذه الشعائر من اللطم، وحكموا بجوازها واستحبابها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ما استقلّ به العقل بقبح ظلم النفس أو إيذائها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لايدرك ملاكات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قبح ظلم النفس، لو سُلّم كونه دليلاً على الحرمة الشرعية، فهو لايشمل جميع ما يفعله الإنسان بنفسه من أنواع الأذى والإضرار، ما لم‌يكن إتلافاً لها أو موجباً لفقد طرف أو حاسة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وهنالك جملة من موارد إيذاء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أنفسهم في سبيل الله، التي تكشف بوضوح جواز الإضرار أو الإيذاء للنفس، فيما اذا كان لغرض راجح، كتورّم 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القيام للعبادة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اللطم يوجب وهن المذهب لِما يلي</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اللطم خرافة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اللطم يسبّب استهزاء الآخرين بالشيعة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الخرافة هو كل ما هو غير حقيقي، وعليه فلا يكون اللطم خرافة؛ لأن اللطم أمر واقعي وله أدلّته المعروفة، فإنَّ اللطم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مظهراً و تعبيراً عمليّ عن ذلك الحزن والجزع، حزناً وجزعاً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ما أمرت به النصوص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يجدر الالتفات اليه هو أنَّنا لا نقول بأنّ اللطم جزء من الدين، ولم‌يقل أحد بذلك أبداً، إنّما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اللطم وسيلة تعبّر عن الحزن والجزع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على القائلين بأنَّ اللطم يوجب وهن وهتك المذهب</w:t>
      </w:r>
    </w:p>
    <w:p>
      <w:pPr>
        <w:pStyle w:val="BookText"/>
        <w:rPr/>
      </w:pPr>
      <w:r>
        <w:rPr>
          <w:rFonts w:ascii="Amiri" w:hAnsi="Amiri" w:eastAsia="Amiri" w:cs="Amiri"/>
          <w:color w:val="111111"/>
          <w:sz w:val="28"/>
          <w:sz w:val="28"/>
          <w:szCs w:val="28"/>
          <w:rtl w:val="true"/>
          <w:lang w:bidi="ar-SA"/>
        </w:rPr>
        <w:t>لا يخفى أنَّ الميزان والمرجع في تعيين مصداق الوهن للمذهب هو العُرف؛ لأنَّ الوهن والهتك من العناوين العُرفية المحضة، وعلى هذا الأساس، فإنَّ كل نحو من العزاء اذا صدق عليه في نظر عُرف العقلاء أنَّه ممّا يوجب وهن المذهب، وهتكاً بساحة الشعائر الحسينية، وتحقيراً لنهضة سيد الشهداء المقدسة، ومؤدّياً الى ضعف إيمان المؤمنين، فهو حرام؛ لأنَّه نقض لغرض الشارع المقدّس ومُوهن للمذهب، لأنَّ غرض الشارع هو الرفعة والعُلو للمذهب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تعارضت الأعراف، فيكون لكلّ بلد حكمه، فقد يكون فرد من العزاء مصداقاً للتعظيم في بلد معيّن، وفي بلد آخر مصداقاً للوهن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انجرار تشخيص ذلك إلى الاختلاف والالتباس، وخيف على المؤمنين من حصول الشقاق بينهم، حينئذ يُرجَع الى الفقيه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الموارد التي لا يصدق عليها عنوان الوهن والهتك</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الاستهزاء الناشئ نتيجة اختلاف الأعراف</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الاستهزاء بالمعتقدات والأحكام الدينية من قِبل أعداء الله الذين ما زالوا يسخرون بديننا وعقيدتنا، وفقهنا وأحكامنا، كما في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قَبْلِكَ فَحاقَ بِالَّذِينَ سَخِرُوا مِنْهُمْ ما كانُوا بِهِ يَسْتَهْزِؤُنَ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الولي الفقيه هو المتَّبع في حالة الاختلاف</w:t>
      </w:r>
    </w:p>
    <w:p>
      <w:pPr>
        <w:pStyle w:val="BookText"/>
        <w:rPr/>
      </w:pPr>
      <w:r>
        <w:rPr>
          <w:rFonts w:ascii="Amiri" w:hAnsi="Amiri" w:eastAsia="Amiri" w:cs="Amiri"/>
          <w:color w:val="111111"/>
          <w:sz w:val="28"/>
          <w:sz w:val="28"/>
          <w:szCs w:val="28"/>
          <w:rtl w:val="true"/>
          <w:lang w:bidi="ar-SA"/>
        </w:rPr>
        <w:t xml:space="preserve">عند حصول الاختلاف والالتباس بين الناس في تشخيص الوهن، ممّا يخاف من هذا الاختلاف في إيجاد الشقاق بين المؤمنين، فالمتَّبع في ذلك حكم ولي أمر المسلمين، ويجب على الجميع إطاعته فيما لو حكم في ذلك، ولا يجوز لأحد ردّه؛ فإنَّ الراد على الفقيه الجامع الحاكم رادّ على الله ورسوله، كما ورد في نصوص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اللطم لا يدخل تحت عنوان العزاء عُرفاً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معنى الشعائر ووجودها هو أن يتَّخذها العُرف والمُتشرّعة شعيرة، بشرط أن يتواضع عليها العُرف، وحينئذ يشملها عموم وَ مَنْ يُعَظِّمْ شَعائِرَ اللَّهِ</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اللطم حرام بالأدلة الدالة على حرمة اللطم على الميّت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النصوص الناهية عن اللطم والجزع على الميت مخصَّصة بما ورد من النصوص المجوزّة لللطم والجزع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على أنَّ عدم الجواز مخصوص باللطم والجزع على الأموات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مواكب اللطم لم تكن في عهد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وزمانهم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من هذه الشعائر كانت موجودة في عهد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في عدم كون المجالس بالشكل الموجود عندنا اليوم، يكمن في أنَّ الشيعة كانوا في حالة خوف شديد من السلطات الحاكمة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روّاد هذه المواكب ممَّن لا يلتزمون بأحكام الشريعة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فُرض أنَّ أكثر المشتركين في مواكب اللطم الحسيني من الذين لايلتزمون بأحكام الشريعة وواجباتها، فإنَّ هذا لا يبرّر ولا يمكن أن يكون دليلاً على حرمة اللطم، وإلاّ يلزم أن يكون كل عمل شرعي يمارسه جمع كثير ممَّن يُسيئون التصرّف في أعمال أُخرى؛ لابدّ من منعه والوقوف ضدّه، وهذا يعني أن نمنع الحج بناءً على 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أكثر الضجيج وأقلّ الحجيج</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وغير ذلك، وهذا لم يقل به عاقل</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1994_19689"/>
      <w:bookmarkStart w:id="339" w:name="pg1994_19689"/>
      <w:bookmarkEnd w:id="339"/>
    </w:p>
    <w:p>
      <w:pPr>
        <w:pStyle w:val="Heading2"/>
        <w:numPr>
          <w:ilvl w:val="1"/>
          <w:numId w:val="1"/>
        </w:numPr>
        <w:rPr/>
      </w:pPr>
      <w:bookmarkStart w:id="340" w:name="pg1994_19689"/>
      <w:bookmarkStart w:id="341" w:name="__RefHeading___Toc3920732_3650668749"/>
      <w:bookmarkStart w:id="342" w:name="_Toc124"/>
      <w:bookmarkEnd w:id="340"/>
      <w:bookmarkEnd w:id="341"/>
      <w:r>
        <w:rPr>
          <w:rtl w:val="true"/>
        </w:rPr>
        <w:t>الفصل الثالث</w:t>
      </w:r>
      <w:r>
        <w:rPr>
          <w:rtl w:val="true"/>
        </w:rPr>
        <w:t xml:space="preserve">: </w:t>
      </w:r>
      <w:r>
        <w:rPr>
          <w:rtl w:val="true"/>
        </w:rPr>
        <w:t>في الأجوبة على الشبهات حول تحريف واقعة كربلاء</w:t>
      </w:r>
      <w:bookmarkEnd w:id="342"/>
    </w:p>
    <w:p>
      <w:pPr>
        <w:pStyle w:val="Heading3"/>
        <w:numPr>
          <w:ilvl w:val="2"/>
          <w:numId w:val="1"/>
        </w:numPr>
        <w:rPr/>
      </w:pPr>
      <w:bookmarkStart w:id="343" w:name="__RefHeading___Toc3920734_3650668749"/>
      <w:bookmarkStart w:id="344" w:name="_Toc125"/>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عاشوراء من خلال الكذب على المنابر</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 في عاشوراء اعتماداً على قاعدة التسامح</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كلمات إلى الإمام الحسين لا تليق بمقامه</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 فى هدف الثورة الحسينية</w:t>
      </w:r>
    </w:p>
    <w:p>
      <w:pPr>
        <w:pStyle w:val="BookText"/>
        <w:rPr/>
      </w:pP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سماع الرجال لصياح وصراخ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زيارة الناحية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عاشوراء فتنة تفرق المسلمين</w:t>
      </w:r>
    </w:p>
    <w:p>
      <w:pPr>
        <w:pStyle w:val="BookText"/>
        <w:rPr/>
      </w:pPr>
      <w:r>
        <w:rPr>
          <w:rFonts w:ascii="Amiri" w:hAnsi="Amiri" w:eastAsia="Amiri" w:cs="Amiri"/>
          <w:color w:val="111111"/>
          <w:sz w:val="28"/>
          <w:sz w:val="28"/>
          <w:szCs w:val="28"/>
          <w:rtl w:val="true"/>
          <w:lang w:bidi="ar-SA"/>
        </w:rPr>
        <w:t>الشبهة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الإمام بالغيب وإشكالية الإلقاء بالتهلكة</w:t>
      </w:r>
    </w:p>
    <w:p>
      <w:pPr>
        <w:pStyle w:val="BookText"/>
        <w:rPr/>
      </w:pPr>
      <w:r>
        <w:rPr>
          <w:rFonts w:ascii="Amiri" w:hAnsi="Amiri" w:eastAsia="Amiri" w:cs="Amiri"/>
          <w:color w:val="111111"/>
          <w:sz w:val="28"/>
          <w:sz w:val="28"/>
          <w:szCs w:val="28"/>
          <w:rtl w:val="true"/>
          <w:lang w:bidi="ar-SA"/>
        </w:rPr>
        <w:t>الشبهة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الاربعين بدعة</w:t>
      </w:r>
    </w:p>
    <w:p>
      <w:pPr>
        <w:pStyle w:val="BookText"/>
        <w:rPr/>
      </w:pPr>
      <w:r>
        <w:rPr>
          <w:rFonts w:ascii="Amiri" w:hAnsi="Amiri" w:eastAsia="Amiri" w:cs="Amiri"/>
          <w:color w:val="111111"/>
          <w:sz w:val="28"/>
          <w:sz w:val="28"/>
          <w:szCs w:val="28"/>
          <w:rtl w:val="true"/>
          <w:lang w:bidi="ar-SA"/>
        </w:rPr>
        <w:t>الشبهة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مصادر تاريخية موثّقه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لادليل على لبس السواد في عاشوراء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5" w:name="pg1994_19691"/>
      <w:bookmarkStart w:id="346" w:name="pg1994_19691"/>
      <w:bookmarkEnd w:id="346"/>
    </w:p>
    <w:p>
      <w:pPr>
        <w:pStyle w:val="BookText"/>
        <w:rPr/>
      </w:pPr>
      <w:bookmarkStart w:id="347" w:name="pg1994_19691"/>
      <w:bookmarkEnd w:id="347"/>
      <w:r>
        <w:rPr>
          <w:rFonts w:ascii="Amiri" w:hAnsi="Amiri" w:eastAsia="Amiri" w:cs="Amiri"/>
          <w:color w:val="111111"/>
          <w:sz w:val="28"/>
          <w:sz w:val="28"/>
          <w:szCs w:val="28"/>
          <w:rtl w:val="true"/>
          <w:lang w:bidi="ar-SA"/>
        </w:rPr>
        <w:t xml:space="preserve">يقول البعض إنّ هناك الكثير من التحريف والتزييف والاختلاق الذي عارض ثورة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تنوَّع التحريف، فتارة تناول التحريف في وقائع الواقعة، من خلال سرد القصص والأساطير الكاذبة التي حكيت بمهارة عالية في واقعة عاشوراء، والتي لا زالت تُلقى على المنابر، وتارة أُخرى تركّز على تحريف هدف الثورة الحسينية، وفيما يلي نعرض هذه الشبهات مع مناقشتها</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3920736_3650668749"/>
      <w:bookmarkStart w:id="349" w:name="_Toc126"/>
      <w:bookmarkEnd w:id="348"/>
      <w:r>
        <w:rPr>
          <w:rtl w:val="true"/>
        </w:rPr>
        <w:t>الشبهة الأولى</w:t>
      </w:r>
      <w:r>
        <w:rPr>
          <w:rtl w:val="true"/>
        </w:rPr>
        <w:t xml:space="preserve">: </w:t>
      </w:r>
      <w:r>
        <w:rPr>
          <w:rtl w:val="true"/>
        </w:rPr>
        <w:t>تحريف عاشوراء من خلال الكذب على المنابر</w:t>
      </w:r>
      <w:bookmarkEnd w:id="349"/>
    </w:p>
    <w:p>
      <w:pPr>
        <w:pStyle w:val="Heading4"/>
        <w:numPr>
          <w:ilvl w:val="3"/>
          <w:numId w:val="1"/>
        </w:numPr>
        <w:rPr/>
      </w:pPr>
      <w:bookmarkStart w:id="350" w:name="__RefHeading___Toc3920738_3650668749"/>
      <w:bookmarkStart w:id="351" w:name="_Toc127"/>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تفصيل الشبهة</w:t>
      </w:r>
    </w:p>
    <w:p>
      <w:pPr>
        <w:pStyle w:val="BookText"/>
        <w:rPr/>
      </w:pPr>
      <w:r>
        <w:rPr>
          <w:rFonts w:ascii="Amiri" w:hAnsi="Amiri" w:eastAsia="Amiri" w:cs="Amiri"/>
          <w:color w:val="111111"/>
          <w:sz w:val="28"/>
          <w:sz w:val="28"/>
          <w:szCs w:val="28"/>
          <w:rtl w:val="true"/>
          <w:lang w:bidi="ar-SA"/>
        </w:rPr>
        <w:t xml:space="preserve">قالوا بأنَّ هناك عدد من الأمور المعلوم كذبها وهي تُتلى على المنابر، مع عدم وجودها في خبرٍ صحيح، ولم تُنقل في كتاب مُعتَبر، من قبيل قولهم إنَّ عدد الذين حاربوا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ستمائة ألف من الخيالة، ومليوناً من المُشاة </w:t>
      </w:r>
      <w:r>
        <w:rPr>
          <w:rStyle w:val="FootnoteAnchor"/>
          <w:rtl w:val="true"/>
        </w:rPr>
        <w:footnoteReference w:id="202"/>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 طول رمح سنان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يقال أنّه هو الذي احتزّ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ستون ذراعاً، وأنَّ هذا الرمح قد بعثه الله إليه من الجنة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عددهم كان ثمانمائة ألف </w:t>
      </w:r>
      <w:r>
        <w:rPr>
          <w:rStyle w:val="FootnoteAnchor"/>
          <w:rtl w:val="true"/>
        </w:rPr>
        <w:footnoteReference w:id="203"/>
      </w:r>
      <w:r>
        <w:rPr>
          <w:rFonts w:ascii="Amiri" w:hAnsi="Amiri" w:eastAsia="Amiri" w:cs="Amiri"/>
          <w:color w:val="111111"/>
          <w:sz w:val="28"/>
          <w:sz w:val="28"/>
          <w:szCs w:val="28"/>
          <w:rtl w:val="true"/>
          <w:lang w:bidi="ar-SA"/>
        </w:rPr>
        <w:t xml:space="preserve">، وأنَّ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w:t>
      </w:r>
      <w:bookmarkStart w:id="352" w:name="pg1994_19692"/>
    </w:p>
    <w:p>
      <w:pPr>
        <w:pStyle w:val="BookText"/>
        <w:rPr/>
      </w:pPr>
      <w:bookmarkEnd w:id="352"/>
      <w:r>
        <w:rPr>
          <w:rFonts w:ascii="Amiri" w:hAnsi="Amiri" w:eastAsia="Amiri" w:cs="Amiri"/>
          <w:color w:val="111111"/>
          <w:sz w:val="28"/>
          <w:sz w:val="28"/>
          <w:szCs w:val="28"/>
          <w:rtl w:val="true"/>
          <w:lang w:bidi="ar-SA"/>
        </w:rPr>
        <w:t xml:space="preserve">منهم ثلاثمائة ألف، وقتل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خمسة وعشرين ألفاً </w:t>
      </w:r>
      <w:r>
        <w:rPr>
          <w:rStyle w:val="FootnoteAnchor"/>
          <w:rtl w:val="true"/>
        </w:rPr>
        <w:footnoteReference w:id="204"/>
      </w:r>
      <w:r>
        <w:rPr>
          <w:rFonts w:ascii="Amiri" w:hAnsi="Amiri" w:eastAsia="Amiri" w:cs="Amiri"/>
          <w:color w:val="111111"/>
          <w:sz w:val="28"/>
          <w:sz w:val="28"/>
          <w:szCs w:val="28"/>
          <w:rtl w:val="true"/>
          <w:lang w:bidi="ar-SA"/>
        </w:rPr>
        <w:t>، ونحو ذلك من الأخبار الكاذبة التي لازالت تُتلى على المنابر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لكي يتضح الجواب بشكل بيّن، لابد من بيان مقدّمة في أنَّ ثبوت القضية التاريخية لا يتوقّف على وجود سند صحيح أو لا</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3920740_3650668749"/>
      <w:bookmarkStart w:id="354" w:name="_Toc128"/>
      <w:bookmarkEnd w:id="353"/>
      <w:r>
        <w:rPr>
          <w:rtl w:val="true"/>
        </w:rPr>
        <w:t>هل يتوقَّف ثبوت القضية التاريخية على سندٍ صحيح؟</w:t>
      </w:r>
      <w:bookmarkEnd w:id="35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ثبوت أيّة قضية تاريخية لا يتوقّف على وجود سندٍ صحيح وفق المصطلح الرجالي </w:t>
      </w:r>
      <w:r>
        <w:rPr>
          <w:rStyle w:val="FootnoteAnchor"/>
          <w:rtl w:val="true"/>
        </w:rPr>
        <w:footnoteReference w:id="205"/>
      </w:r>
      <w:r>
        <w:rPr>
          <w:rFonts w:ascii="Amiri" w:hAnsi="Amiri" w:eastAsia="Amiri" w:cs="Amiri"/>
          <w:color w:val="111111"/>
          <w:sz w:val="28"/>
          <w:sz w:val="28"/>
          <w:szCs w:val="28"/>
          <w:rtl w:val="true"/>
          <w:lang w:bidi="ar-SA"/>
        </w:rPr>
        <w:t xml:space="preserve">، وإنّما يكفي الوثوق بصدورها، بل يكتفي البعض </w:t>
      </w:r>
      <w:bookmarkStart w:id="355" w:name="pg1994_19693"/>
    </w:p>
    <w:p>
      <w:pPr>
        <w:pStyle w:val="BookText"/>
        <w:rPr/>
      </w:pPr>
      <w:bookmarkEnd w:id="355"/>
      <w:r>
        <w:rPr>
          <w:rFonts w:ascii="Amiri" w:hAnsi="Amiri" w:eastAsia="Amiri" w:cs="Amiri"/>
          <w:color w:val="111111"/>
          <w:sz w:val="28"/>
          <w:sz w:val="28"/>
          <w:szCs w:val="28"/>
          <w:rtl w:val="true"/>
          <w:lang w:bidi="ar-SA"/>
        </w:rPr>
        <w:t>بعدم وجود داع إلى الكذب لصحة الأخذ بالرواية، ولو من كتب غير الشيعة الإمامية، وهذا ما نلمسه واضحاً في تعاطي الجميع مع الكتب التاريخية، وما جرى عليه العلماء قديماً وحديثاً من العمل بالوقائع التاريخية، التي لم يذكر فيها أي سند، حيث إنّها ترسل في كتب التاريخ مسلّمة، ولذلك إذا نقل المؤرّخ في كتابه واقعة منها، لا يقال إنّها من الأمور المكذوبة؛ لأنّه لم يسندها مُعَنْعَنَة إلى مَن شهد تلك الواقعة، ولا يعدّ من ناقلي الكذب لمجرَّد أنَّه نقل غير مسند عن رجال قد زُكّي كل واحد منهم بشهادة عدل أو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هناك فرق بين ثبوت الواقعة التاريخية وبين استنباط الحكم الشرعي، فإنَّ الضابطة في استنباط الأحكام الشرعية هي الحجة الشرعية، بأن تكون الرواية إمّا صحيحة أو موثّقة أو حسنة، على ضوء المباني في حجّية الرواية، أمّا الخبر الضعيف فليس حجة شرعية بحسب الرؤية الشرعية، نعم قد ينفع في الاستنباط، كما إذا أُخذ أحد القرائن المحتملة على الحكم، وباعتضاده مع قرائن أُخرى يصل إلى القطع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ثبوت الحقيقة التاريخية، فلا يخضع لضابطة استنباط الأحكام، بل قد تكون الرواية حجة بحسب موازين الاستنباط، بأن تكون الرواية صحيحة، أو موثّقة، إلاّ أنّها على الرغم من ذلك لا تُثبت الواقعة التاريخية لوجود قرينة على كذبها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ما تقدم ننتهي إلى النتائج التالية</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3920742_3650668749"/>
      <w:bookmarkStart w:id="357" w:name="_Toc129"/>
      <w:bookmarkEnd w:id="356"/>
      <w:r>
        <w:rPr>
          <w:rtl w:val="true"/>
        </w:rPr>
        <w:t>النتيجة الأُولى</w:t>
      </w:r>
      <w:r>
        <w:rPr>
          <w:rtl w:val="true"/>
        </w:rPr>
        <w:t xml:space="preserve">: </w:t>
      </w:r>
      <w:r>
        <w:rPr>
          <w:rtl w:val="true"/>
        </w:rPr>
        <w:t>إثبات ما وقع في عاشوراء لا يتوقّف على وجود سند صحيح</w:t>
      </w:r>
      <w:bookmarkEnd w:id="35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إثبات ما وقع في عاشوراء لا يتوقّف على وجود سند </w:t>
      </w:r>
      <w:bookmarkStart w:id="358" w:name="pg1994_19694"/>
    </w:p>
    <w:p>
      <w:pPr>
        <w:pStyle w:val="BookText"/>
        <w:rPr/>
      </w:pPr>
      <w:bookmarkEnd w:id="358"/>
      <w:r>
        <w:rPr>
          <w:rFonts w:ascii="Amiri" w:hAnsi="Amiri" w:eastAsia="Amiri" w:cs="Amiri"/>
          <w:color w:val="111111"/>
          <w:sz w:val="28"/>
          <w:sz w:val="28"/>
          <w:szCs w:val="28"/>
          <w:rtl w:val="true"/>
          <w:lang w:bidi="ar-SA"/>
        </w:rPr>
        <w:t>صحيح، لِما ثبت في المقدّمة الثانية من أنَّ ثبوت أيّة قضية تاريخية لايتوقّف على وجود سندٍ صحيح، وفق المصطلح الرجالي، وإنّما يكفي الوثوق بصدورها، بل يكتفي البعض بعدم وجود داع إلى الكذب؛ لصحّة الأخذ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فلا يصحّ إنكار ورفض أي واقعة بذريعة عدم وجود سند صحيح على 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يربط منها بحكم شرعي، أو نسبة شيء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لابد أن يخضع لموازين الرواية في أحكام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فلابد من تحرّي قرائن أُخرى، غير صحّة الحديث أو ضعفه، لإثبات تلك الواقعة التاريخية من عدمها</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3920744_3650668749"/>
      <w:bookmarkStart w:id="360" w:name="_Toc130"/>
      <w:bookmarkEnd w:id="359"/>
      <w:r>
        <w:rPr>
          <w:rtl w:val="true"/>
        </w:rPr>
        <w:t>النتيجة الثانية</w:t>
      </w:r>
      <w:r>
        <w:rPr>
          <w:rtl w:val="true"/>
        </w:rPr>
        <w:t xml:space="preserve">: </w:t>
      </w:r>
      <w:r>
        <w:rPr>
          <w:rtl w:val="true"/>
        </w:rPr>
        <w:t>معنى نقل الخبر الكاذب</w:t>
      </w:r>
      <w:bookmarkEnd w:id="360"/>
    </w:p>
    <w:p>
      <w:pPr>
        <w:pStyle w:val="Heading5"/>
        <w:numPr>
          <w:ilvl w:val="4"/>
          <w:numId w:val="1"/>
        </w:numPr>
        <w:rPr/>
      </w:pPr>
      <w:bookmarkStart w:id="361" w:name="__RefHeading___Toc3920746_3650668749"/>
      <w:bookmarkStart w:id="362" w:name="_Toc131"/>
      <w:bookmarkEnd w:id="361"/>
      <w:r>
        <w:rPr>
          <w:rtl w:val="true"/>
        </w:rPr>
        <w:t>اشارة</w:t>
      </w:r>
      <w:bookmarkEnd w:id="362"/>
    </w:p>
    <w:p>
      <w:pPr>
        <w:pStyle w:val="BookText"/>
        <w:rPr/>
      </w:pPr>
      <w:r>
        <w:rPr>
          <w:rFonts w:ascii="Amiri" w:hAnsi="Amiri" w:eastAsia="Amiri" w:cs="Amiri"/>
          <w:color w:val="111111"/>
          <w:sz w:val="28"/>
          <w:sz w:val="28"/>
          <w:szCs w:val="28"/>
          <w:rtl w:val="true"/>
          <w:lang w:bidi="ar-SA"/>
        </w:rPr>
        <w:t>إنّ القول بأنَّ أصحاب المنابر ينقلون أخباراً كاذبة غير صحيح، وذلك لوجود فرق بين نقل أخبار غير معلومة الصدق، وبين الأخبار المعلومة الكذب، ولكي يتَّضح ذلك، لابدّ من بيان الأُمور التي يتحقّق بها الكذب المحرَّم</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3920748_3650668749"/>
      <w:bookmarkStart w:id="364" w:name="_Toc132"/>
      <w:bookmarkEnd w:id="363"/>
      <w:r>
        <w:rPr>
          <w:rtl w:val="true"/>
        </w:rPr>
        <w:t>ما يتحقّق به الكذب المحرَّم في نقل واقعة عاشوراء</w:t>
      </w:r>
      <w:bookmarkEnd w:id="364"/>
    </w:p>
    <w:p>
      <w:pPr>
        <w:pStyle w:val="BookText"/>
        <w:rPr/>
      </w:pPr>
      <w:r>
        <w:rPr>
          <w:rFonts w:ascii="Amiri" w:hAnsi="Amiri" w:eastAsia="Amiri" w:cs="Amiri"/>
          <w:color w:val="111111"/>
          <w:sz w:val="28"/>
          <w:sz w:val="28"/>
          <w:szCs w:val="28"/>
          <w:rtl w:val="true"/>
          <w:lang w:bidi="ar-SA"/>
        </w:rPr>
        <w:t>يتحقق الكذب المحرّم في نقل واقعة عاشوراء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القارئ خبراً من تأليف نفسه وينسبه إلى غيره، من دون أن ترد به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وُجد في كتاب مُعتبَر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القارئ بأنَّ ما ينقله كذباً، وإن كان كلاماً لغيره</w:t>
      </w:r>
      <w:r>
        <w:rPr>
          <w:rFonts w:eastAsia="Amiri" w:cs="Amiri" w:ascii="Amiri" w:hAnsi="Amiri"/>
          <w:color w:val="111111"/>
          <w:sz w:val="28"/>
          <w:szCs w:val="28"/>
          <w:rtl w:val="true"/>
          <w:lang w:bidi="ar-SA"/>
        </w:rPr>
        <w:t xml:space="preserve">. </w:t>
      </w:r>
      <w:bookmarkStart w:id="365" w:name="pg1994_19695"/>
    </w:p>
    <w:p>
      <w:pPr>
        <w:pStyle w:val="BookText"/>
        <w:rPr/>
      </w:pPr>
      <w:bookmarkEnd w:id="365"/>
      <w:r>
        <w:rPr>
          <w:rFonts w:ascii="Amiri" w:hAnsi="Amiri" w:eastAsia="Amiri" w:cs="Amiri"/>
          <w:color w:val="111111"/>
          <w:sz w:val="28"/>
          <w:sz w:val="28"/>
          <w:szCs w:val="28"/>
          <w:rtl w:val="true"/>
          <w:lang w:bidi="ar-SA"/>
        </w:rPr>
        <w:t>ومن الواضح أنَّ فرض أن يأتي خطيب بخبرٍ من تأليف نفسه بعيد جداً، ولم نسمع أحداً من أصحاب المنابر، حتى من الدرجات الدُنيا، أو من غير أهل الورع، مَن نقل خبراً من تأليف نفسه، أو يعلم بأنَّه كذب، وإنّما ينقل عن غيره من نقلَةِ الحديث الموثوق بهم، غير المعلوم عنده كذب 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نقل الحديث بهذه الصورة إنّما تقع عهدته على راويه، لا على ناقل روايته، فما ينقله لا يكون كاذباً، وإن كان المقروء كذباً واقعاً، ولا ناقلاً لِما هو معلوم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يوجد مَن تسوّل له نفسه تأليف القصص والحكايات، لكن مثل هؤلاء من ضعفاء النفوس لا يحتجّ بكلامهم، وينكشف حالهم ولو بعد مدّة</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3920750_3650668749"/>
      <w:bookmarkStart w:id="367" w:name="_Toc133"/>
      <w:bookmarkEnd w:id="366"/>
      <w:r>
        <w:rPr>
          <w:rtl w:val="true"/>
        </w:rPr>
        <w:t>النتيجة الثالثة</w:t>
      </w:r>
      <w:r>
        <w:rPr>
          <w:rtl w:val="true"/>
        </w:rPr>
        <w:t xml:space="preserve">: </w:t>
      </w:r>
      <w:r>
        <w:rPr>
          <w:rtl w:val="true"/>
        </w:rPr>
        <w:t>الخبر المكذوب هو الذي قُطع بوضعه</w:t>
      </w:r>
      <w:bookmarkEnd w:id="367"/>
    </w:p>
    <w:p>
      <w:pPr>
        <w:pStyle w:val="BookText"/>
        <w:rPr/>
      </w:pPr>
      <w:r>
        <w:rPr>
          <w:rFonts w:ascii="Amiri" w:hAnsi="Amiri" w:eastAsia="Amiri" w:cs="Amiri"/>
          <w:color w:val="111111"/>
          <w:sz w:val="28"/>
          <w:sz w:val="28"/>
          <w:szCs w:val="28"/>
          <w:rtl w:val="true"/>
          <w:lang w:bidi="ar-SA"/>
        </w:rPr>
        <w:t>على ضوء المقدّمة الثانية، يتّضح أنَّ الخبر المكذوب هو الذي قُطع بوضعه، أمّا الذي لا يقطع بكذبه من الأخبار الضعيفة، فيكون مشكوك الصحّة، ومن الواضح أنَّ مشكوك الصحة لايصحّ وصفه بالكذب، أو وصفه بأنَّه خبر 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يحتاج إلى المزيد من التقصّي والتتبُّع والشواهد والدلائل</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3920752_3650668749"/>
      <w:bookmarkStart w:id="369" w:name="_Toc134"/>
      <w:bookmarkEnd w:id="368"/>
      <w:r>
        <w:rPr>
          <w:rtl w:val="true"/>
        </w:rPr>
        <w:t>النتيجة الرابعة</w:t>
      </w:r>
      <w:r>
        <w:rPr>
          <w:rtl w:val="true"/>
        </w:rPr>
        <w:t xml:space="preserve">: </w:t>
      </w:r>
      <w:r>
        <w:rPr>
          <w:rtl w:val="true"/>
        </w:rPr>
        <w:t>ما قيل من الوقائع المكذوبة لا تصل إلى أصابع اليد الواحدة</w:t>
      </w:r>
      <w:bookmarkEnd w:id="369"/>
    </w:p>
    <w:p>
      <w:pPr>
        <w:pStyle w:val="BookText"/>
        <w:rPr/>
      </w:pPr>
      <w:r>
        <w:rPr>
          <w:rFonts w:ascii="Amiri" w:hAnsi="Amiri" w:eastAsia="Amiri" w:cs="Amiri"/>
          <w:color w:val="111111"/>
          <w:sz w:val="28"/>
          <w:sz w:val="28"/>
          <w:szCs w:val="28"/>
          <w:rtl w:val="true"/>
          <w:lang w:bidi="ar-SA"/>
        </w:rPr>
        <w:t>في الإجابة على ما قيل من وجود أخبار كاذبة في واقعة عاشوراء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إجراء مسح ميداني لما ادُّعي أنَّه من الأخبار المكذوبة، ممّا يتَّصل بأحداث عاشوراء، لم يحصل لنا القطع واليقين بوجود مثل هذا الأخبار الكاذبة، ولو سلَّمنا بذلك، لوجدنا تلك الأخبار لا تتجاوز أصابع</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اليد الواحدة في تلك الواقعة، التي تبلغ مُجرَيات الأحداث فيها وما سبقها </w:t>
      </w:r>
    </w:p>
    <w:p>
      <w:pPr>
        <w:pStyle w:val="BookText"/>
        <w:rPr/>
      </w:pPr>
      <w:r>
        <w:rPr>
          <w:rFonts w:ascii="Amiri" w:hAnsi="Amiri" w:eastAsia="Amiri" w:cs="Amiri"/>
          <w:color w:val="111111"/>
          <w:sz w:val="28"/>
          <w:sz w:val="28"/>
          <w:szCs w:val="28"/>
          <w:rtl w:val="true"/>
          <w:lang w:bidi="ar-SA"/>
        </w:rPr>
        <w:t>ولحقها العشرات بل المئات، لا سيما فيما يرتبط بالجزئيات والتفاصيل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سمع أحد من أحدِ الخطباء يقول إنَّ طول رمح سنان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اجتزَّ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ستون ذراعاً، وإنَّ هذا الرمح قد بعثه الله إليه من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هذه الأحاديث، لو سلّمنا بكذبها، فهي لم تُتْلَ على المنابر كما ادُّعي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تكون موجودة في بطون أحدى الكتب، لكن هذا لا يعني أنَّها تتلى على المنابر، أو أن يقال بأنَّ واقعة عاشوراء محرَّفة وغير ذلك من التهويل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مراجعة ما ادُّعي من الأخبار الكاذبة، نلمس بوضوح أنَّ جميع تلك الأخبار لم تك بتلك الدرجة من الأهميّة، بحيث يمكن وصف الواقعة بالكذب والتحريف، فلو سلّمنا بكذب هذه الموارد، فلا يستحقّ كل هذا التهويل والتحذير، والوصف بالهتك والفضيحة والتشكيك و نحو ذلك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من الأخبار التي ادُّعي أنّها أخبار كاذبة، لم تكن كذلك، وإنَّما هي أخبار ضعيفة، وتقدَّم أنَّ الخبر الضعيف لا دليل على كذبه واقعاً، نعم، فيه احتمال الكذب، لا أنَّه مقطوع الكذب</w:t>
      </w:r>
      <w:r>
        <w:rPr>
          <w:rFonts w:eastAsia="Amiri" w:cs="Amiri" w:ascii="Amiri" w:hAnsi="Amiri"/>
          <w:color w:val="111111"/>
          <w:sz w:val="28"/>
          <w:szCs w:val="28"/>
          <w:rtl w:val="true"/>
          <w:lang w:bidi="ar-SA"/>
        </w:rPr>
        <w:t xml:space="preserve">. </w:t>
      </w:r>
      <w:bookmarkStart w:id="370" w:name="pg1994_19697"/>
    </w:p>
    <w:p>
      <w:pPr>
        <w:pStyle w:val="Heading3"/>
        <w:numPr>
          <w:ilvl w:val="2"/>
          <w:numId w:val="1"/>
        </w:numPr>
        <w:rPr/>
      </w:pPr>
      <w:bookmarkStart w:id="371" w:name="__RefHeading___Toc3920754_3650668749"/>
      <w:bookmarkStart w:id="372" w:name="_Toc135"/>
      <w:bookmarkEnd w:id="370"/>
      <w:bookmarkEnd w:id="371"/>
      <w:r>
        <w:rPr>
          <w:rtl w:val="true"/>
        </w:rPr>
        <w:t>الشُبهة الثانية</w:t>
      </w:r>
      <w:r>
        <w:rPr>
          <w:rtl w:val="true"/>
        </w:rPr>
        <w:t xml:space="preserve">: </w:t>
      </w:r>
      <w:r>
        <w:rPr>
          <w:rtl w:val="true"/>
        </w:rPr>
        <w:t>التحريف في عاشوراء اعتماداً على قاعدة التسامح</w:t>
      </w:r>
      <w:bookmarkEnd w:id="372"/>
    </w:p>
    <w:p>
      <w:pPr>
        <w:pStyle w:val="BookText"/>
        <w:rPr/>
      </w:pPr>
      <w:r>
        <w:rPr>
          <w:rFonts w:ascii="Amiri" w:hAnsi="Amiri" w:eastAsia="Amiri" w:cs="Amiri"/>
          <w:color w:val="111111"/>
          <w:sz w:val="28"/>
          <w:sz w:val="28"/>
          <w:szCs w:val="28"/>
          <w:rtl w:val="true"/>
          <w:lang w:bidi="ar-SA"/>
        </w:rPr>
        <w:t>تفصيل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التسامح في أدلّة السُنَن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إذا فهمنا من خبرٍ ضعيف لايحتوي على تمام شرائط الحجّية ثواباً على عملٍ ما، ولم يكن لدينا دليل آخر، أمكننا في هذه الحالة العمل بهذا الخبر ونحصل على الثواب منه، رغم أنَّ هذا الخبر ضعيف، وقد يكون مجعولاً موضوعاً، لم يصدر عن أي معصوم أصلاً، ومن الواضح أنَّ قاعدة التسامح في أدلّة السُنَن ينحصر دورها في صعيد علم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المؤسف أنَّ البعض أجرى هذه القاعدة في الاعتماد على الأخبار الضعيفة من كتب الشيعة في عاشوراء الحسين، وهي أكبر المعالم الثقافية الشيعية التي ترتبط بالجانب الفكري في كثيرٍ من مفاصلها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اعتمد البعض على الطبري وابن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نرى أنَّ بعضهم يجعل محور بحثه في وقائع عاشوراء قائماً على نتاجات هذين الشخصين، إلى جانب ابن خلدون، مع أنَّ الطبري وابن خلدون لولم نشكِّك في كونهما مُغرضَين، فلا شكّ في كونهما مُخالفين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في الإجابة على الشبهة المتقدّمة، يتّضح أنّ وقائع عاشوراء، </w:t>
      </w:r>
    </w:p>
    <w:p>
      <w:pPr>
        <w:pStyle w:val="BookText"/>
        <w:rPr/>
      </w:pPr>
      <w:r>
        <w:rPr>
          <w:rFonts w:ascii="Amiri" w:hAnsi="Amiri" w:eastAsia="Amiri" w:cs="Amiri"/>
          <w:color w:val="111111"/>
          <w:sz w:val="28"/>
          <w:sz w:val="28"/>
          <w:szCs w:val="28"/>
          <w:rtl w:val="true"/>
          <w:lang w:bidi="ar-SA"/>
        </w:rPr>
        <w:t>وما احتفّ بها وما سواها مما يقرأه الذاكرون؛ لم تتضمَّن أحكاماً إلزامية ليُنظر في سندها ويُعرَف أنَّه من قسم الصحيح أو الموثّق أو الحسن، ولا حُكماً غير إلزامي ليقع الكلام في تحكيم أخبار التسامح في أدلّة السُنن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آنفاً أنَّ ثبوت الحقيقة التاريخية لا يخضع لضابطة استنباط الأحكام الشرعية، وإنّما يخضع لسنخ آخر من التعامل مع القضايا التاريخية وما جرى في التاريخ، والسِيَر والقصص والمواعظ والفضائل والمصائب وأخبار الوقائع، وهو أن يكون الضرر فيها مأموناً على تقدير كذبه في نفس الأمر، وأن لا يكون ممَّا لا تنفيه فطرة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فالإخبار عن هذهِ الأمور هو إخبار لا يتضمّن الأحكام الشرعية، ليجري عليها حكمه من لزوم التصحيح أو قاعدة التسامح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نلمسه واضحاً في تعاطي الجميع مع الكتب التاريخية، وما جرى عليه العلماء قديماً وحديثاً من العمل بالوقائع التاريخية التي لم يذكر فيها أي سند، حيث إنّها تُرسل في كتب التاريخ مُسلَّمة، ولذلك إذا نقل المؤرِّخ في كتابه واقعة منها، لا يقال إنّها من الأمور المكذوبة، لأنَّه لم يُسندها مُعَنْعَنَة إلى مَن شهد تلك الواقعة، وكذلك إذا نقل الواقعة نفسها ناقل من ذلك الكتاب، فلا يُعدّ من ناقلي الكذب لمجرِّد أنَّه نقل غير مُسنَد عن رجال قد زُكّي كل واحد منهم بشهادة عدل أو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الأكثر جواز العمل بالخبر الضعيف في القصص والمواعظ والفضائل، واستحسن ذلك، ما لم يبلغ الخبر في الضعف حدّ الوضع والاختلاق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بالعمل بالخبر الضعيف في الفضائل والمصائب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w:t>
      </w:r>
    </w:p>
    <w:p>
      <w:pPr>
        <w:pStyle w:val="BookText"/>
        <w:rPr/>
      </w:pPr>
      <w:r>
        <w:rPr>
          <w:rFonts w:ascii="Amiri" w:hAnsi="Amiri" w:eastAsia="Amiri" w:cs="Amiri"/>
          <w:color w:val="111111"/>
          <w:sz w:val="28"/>
          <w:sz w:val="28"/>
          <w:szCs w:val="28"/>
          <w:rtl w:val="true"/>
          <w:lang w:bidi="ar-SA"/>
        </w:rPr>
        <w:t>واستماعها وضبطها في القلب، وذلك ممّا لا محذور فيه عقلاً، لفرض أمن المضرّة فيه على تقدير الكذب، وشرعاً لأنَّه لا يُعدّ عرفاً من الكذب حتى تترتَّب عليه أحكامه، وليس ثمّة عنوان آخر من العناوين المحرَّمة يشمله حتى يُقال لأجله بعدم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العبارة المتقدّمة عن الشهيد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بالعمل بالخبر الضعيف </w:t>
      </w:r>
      <w:r>
        <w:rPr>
          <w:rStyle w:val="FootnoteAnchor"/>
          <w:rtl w:val="true"/>
        </w:rPr>
        <w:footnoteReference w:id="207"/>
      </w:r>
      <w:r>
        <w:rPr>
          <w:rFonts w:ascii="Amiri" w:hAnsi="Amiri" w:eastAsia="Amiri" w:cs="Amiri"/>
          <w:color w:val="111111"/>
          <w:sz w:val="28"/>
          <w:sz w:val="28"/>
          <w:szCs w:val="28"/>
          <w:rtl w:val="true"/>
          <w:lang w:bidi="ar-SA"/>
        </w:rPr>
        <w:t>في القصص والمواعظ، هو نقلها واستماعها وضبطها في القلب، وترتيب الآثار عليها، عدا ما يتعلّق بالواجب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العمل بكل شيء على حسب ذلك الشيء، وهذا أمر وجداني لا يُنكَر، ويدخل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أهل البيت ومصائبهم، ويدخل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بالخبر الضعيف في الفضائل والمصائب وشبهها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بوقوعها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والمصائب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نسبة إلى الحكاية على حدّ الاجتهاد بالأمور المذكورة الواردة بالطُرق المُعتمدَة،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كذا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ويبكي كذا، ونزل على مولانا سيد الشهداء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ذلك في الأخبار الكاذبة، وإن كان يجوز حكايتها، فإنَّ حكاية الخبر الكاذب ليست كذباً، مع أنّه لا يبعد عدم الجواز إلاّ مع بيان كونها كاذبة</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يتَّضح أنَّ ثبوت الحقيقة التاريخية إنّما يخضع لسنخٍ آخر من التعامل مع القضايا التاريخية وأخبار الوقائع، وهو أن يكون الضرر فيه مأموناً على تقدير كذبه في نفس الأمر، وأن لا يكون ممّا لا تنفيه فطرة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يخضع لضابطة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استنباط الأحكام الشرعية ليُقال أنَّه من باب التسامح في أدلّة السنن</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3" w:name="pg1994_19701"/>
      <w:bookmarkStart w:id="374" w:name="pg1994_19701"/>
      <w:bookmarkEnd w:id="374"/>
    </w:p>
    <w:p>
      <w:pPr>
        <w:pStyle w:val="Heading3"/>
        <w:numPr>
          <w:ilvl w:val="2"/>
          <w:numId w:val="1"/>
        </w:numPr>
        <w:rPr/>
      </w:pPr>
      <w:bookmarkStart w:id="375" w:name="pg1994_19701"/>
      <w:bookmarkStart w:id="376" w:name="__RefHeading___Toc3920756_3650668749"/>
      <w:bookmarkStart w:id="377" w:name="_Toc136"/>
      <w:bookmarkEnd w:id="375"/>
      <w:bookmarkEnd w:id="376"/>
      <w:r>
        <w:rPr>
          <w:rtl w:val="true"/>
        </w:rPr>
        <w:t>الشبهة الثالثة</w:t>
      </w:r>
      <w:r>
        <w:rPr>
          <w:rtl w:val="true"/>
        </w:rPr>
        <w:t xml:space="preserve">: </w:t>
      </w:r>
      <w:r>
        <w:rPr>
          <w:rtl w:val="true"/>
        </w:rPr>
        <w:t>نسبة كلمات إلى الإمام الحسين لا تليق بمقامه</w:t>
      </w:r>
      <w:bookmarkEnd w:id="377"/>
    </w:p>
    <w:p>
      <w:pPr>
        <w:pStyle w:val="BookText"/>
        <w:rPr/>
      </w:pPr>
      <w:r>
        <w:rPr>
          <w:rFonts w:ascii="Amiri" w:hAnsi="Amiri" w:eastAsia="Amiri" w:cs="Amiri"/>
          <w:color w:val="111111"/>
          <w:sz w:val="28"/>
          <w:sz w:val="28"/>
          <w:szCs w:val="28"/>
          <w:rtl w:val="true"/>
          <w:lang w:bidi="ar-SA"/>
        </w:rPr>
        <w:t>تفصيل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جملة الأمور التي ادُّعي أنّها محرّفة وكاذبة في الثورة الحسينية، هي نسبة بعض الكلمات التي لا تليق بمقام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هذه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لأخته زينب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أُخيَّة، كسرتِ قلبي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حيث قالوا إنَّ السيدة زينب جاءت ووقفت على جسد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يحتضر، فرمقها بطرفه وقال لها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ارجعي إلى الخيمة، فقد كسرت قلبي، وزدت كربي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اسقوني شربة من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من ناصر ينصرني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من الكلمات البعيدة كل البُعد عن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يتلفّظ بمثل تلك الكلمات الذليلة أمام عدوّه، فينطق بلسان الالتماس ذليلاً، ويترجّى أُولئك المنحطّين العازمين على قتله أن يسقوه جرعة ماء بحقّ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شعاره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منا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 في عزّ، خير من حياة في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الموت خير من ركوب العَار</w:t>
      </w:r>
    </w:p>
    <w:p>
      <w:pPr>
        <w:pStyle w:val="BookText"/>
        <w:rPr/>
      </w:pPr>
      <w:r>
        <w:rPr>
          <w:rFonts w:ascii="IRNazanin" w:hAnsi="IRNazanin" w:eastAsia="IRNazanin"/>
          <w:color w:val="111111"/>
          <w:sz w:val="28"/>
          <w:sz w:val="28"/>
          <w:szCs w:val="28"/>
          <w:rtl w:val="true"/>
          <w:lang w:bidi="fa-IR"/>
        </w:rPr>
        <w:t>والعَار أولى من دخول النار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9"/>
      </w:r>
      <w:r>
        <w:rPr>
          <w:rFonts w:ascii="Amiri" w:hAnsi="Amiri" w:eastAsia="Amiri" w:cs="Amiri"/>
          <w:color w:val="111111"/>
          <w:sz w:val="28"/>
          <w:sz w:val="28"/>
          <w:szCs w:val="28"/>
          <w:rtl w:val="true"/>
          <w:lang w:bidi="ar-SA"/>
        </w:rPr>
        <w:t xml:space="preserve">فكيف يمكن أن ينسجم هذا الإباء ورفض الذلّ وقوّة القلب وصلابة الموقف أمام العدوّ مع طلب الماء بهذا الشكل؟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قالت الرواية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على عُمر بن سعد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أُخيّرك في ثلاث 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تتركني حتى أرجع إلى المدينة، إلى حرم جدي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إلى ذلك 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شربة من الماء، فقد نشفت كبدي من 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إلى الثانية 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لابدّ من قتلي فليبرز إليَّ رجل بعد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فحمل على القوم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 في ميدان الحرب يوم الطف، وهو يستعطف القوم شربة ماء،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راحم يرحم آل الرسول المختار؟ هل من ناصر ينصر الذريّة الأطهار؟ هل من مُجير لأبناء البتول؟ هل من ذابّ يذبُّ عن حرم الرسول؟ إذ أتى الشمر اللعين إليه حتى صار بالقرب منه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يا 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أتطلب منّا شربة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مطلب محال</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الكلمات التي لا تتناسب مع مقام الإباء والعزّة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لأُخته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كسرتِ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حينما جاءته ووقفت على جسده الشريف،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ناصر ينصرني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اسقوني شربة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 ذلك لا دليل على عدم صدوره، ودليلهم على عدم صدور ذلك ليس سوى الاستبعاد، ومجرّد الاستبعاد لايصلح </w:t>
      </w:r>
    </w:p>
    <w:p>
      <w:pPr>
        <w:pStyle w:val="BookText"/>
        <w:rPr/>
      </w:pPr>
      <w:r>
        <w:rPr>
          <w:rFonts w:ascii="Amiri" w:hAnsi="Amiri" w:eastAsia="Amiri" w:cs="Amiri"/>
          <w:color w:val="111111"/>
          <w:sz w:val="28"/>
          <w:sz w:val="28"/>
          <w:szCs w:val="28"/>
          <w:rtl w:val="true"/>
          <w:lang w:bidi="ar-SA"/>
        </w:rPr>
        <w:t>دليلاً،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بعيدون عن الذل أمام الأعداء، لكن الذي نقوله هو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بمدى جريمة وبشاعة وانحطاط أعداءه، فأراد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ذلك للناس ويُطلعهم على حقيقة هؤلاء 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يفهم فلسفة عاشوراء، لا يتفوَّه بمثل هذه الادّعاءات البعيدة كل البعد عن منطق الدليل والبرهان، فإنَّنا عندما ندقّق في واقعة عاشوراء نجد أنَّ من جملة أهدافها إثارة عواطف الناس، كما هو واضح لمَن له أدنى تأمّل في كيفية إدارة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للواقعة، وهذا ما نلمسه واضحاً في تقديمه للصبيان والأطفال، والعبارات الكثيرة التي تُثير وتأجّج العواطف، التي منها ما جعله المشكّك دليلاً على التحريف في الواقعة، كقول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اسقوني شربة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ناصر ينصرني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تأجيج العاطفة يساهم في إشعال روح الحماسة لدى الناس، ممّا يدفعهم إلى رفض الظلم والظالمين، ونبذ الخوف والذل، والوقوف بوجه كل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مثل هذا الهدف يُعدّ من أهمّ أهداف 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وخير شاهد على ذلك هو خوف الحكّام الظلمة من هذه الشعائر، الأمر الذي دعاهم إلى محاربتها ومنعها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فعنصر العاطفة والحماسة عنصران متلازمان لا ينفك أحدهما عن الآخر، وكلّما ازدادت العاطفة، نتج عن ذلك إثارة بركان الحماسة والوقوف بوجه الظلمة، ولهذا نجد في خطابات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مايثير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العاطفة والوجدان، من قبيل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راحم يرحم آل الرسول، هل من ناصر ينصرنا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روى ذلك عبد الحميد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بينما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 في ميدان الحرب يوم الطف، وهو يستعطف القوم شربة ماء، وهو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راحم يرحم آل الرسول المختار، هل من ناصر ينصر الذرية الأطهار، هل من مجير لأبناء البتول، هل من ذاب يذب عن حرم الرسول</w:t>
      </w:r>
      <w:r>
        <w:rPr>
          <w:rFonts w:eastAsia="Amiri" w:cs="Amiri" w:ascii="Amiri" w:hAnsi="Amiri"/>
          <w:color w:val="111111"/>
          <w:sz w:val="28"/>
          <w:szCs w:val="28"/>
          <w:rtl w:val="true"/>
          <w:lang w:bidi="ar-SA"/>
        </w:rPr>
        <w:t xml:space="preserve">) . . .»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378" w:name="pg1994_19705"/>
    </w:p>
    <w:p>
      <w:pPr>
        <w:pStyle w:val="Heading3"/>
        <w:numPr>
          <w:ilvl w:val="2"/>
          <w:numId w:val="1"/>
        </w:numPr>
        <w:rPr/>
      </w:pPr>
      <w:bookmarkStart w:id="379" w:name="__RefHeading___Toc3920758_3650668749"/>
      <w:bookmarkStart w:id="380" w:name="_Toc137"/>
      <w:bookmarkEnd w:id="378"/>
      <w:bookmarkEnd w:id="379"/>
      <w:r>
        <w:rPr>
          <w:rtl w:val="true"/>
        </w:rPr>
        <w:t>الشبهة الرابعة</w:t>
      </w:r>
      <w:r>
        <w:rPr>
          <w:rtl w:val="true"/>
        </w:rPr>
        <w:t xml:space="preserve">: </w:t>
      </w:r>
      <w:r>
        <w:rPr>
          <w:rtl w:val="true"/>
        </w:rPr>
        <w:t>التحريف في هدف الثورة الحسينية</w:t>
      </w:r>
      <w:bookmarkEnd w:id="380"/>
    </w:p>
    <w:p>
      <w:pPr>
        <w:pStyle w:val="BookText"/>
        <w:rPr/>
      </w:pPr>
      <w:r>
        <w:rPr>
          <w:rFonts w:ascii="Amiri" w:hAnsi="Amiri" w:eastAsia="Amiri" w:cs="Amiri"/>
          <w:color w:val="111111"/>
          <w:sz w:val="28"/>
          <w:sz w:val="28"/>
          <w:szCs w:val="28"/>
          <w:rtl w:val="true"/>
          <w:lang w:bidi="ar-SA"/>
        </w:rPr>
        <w:t>تفصيل الشبهه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إنَّ الإمام الحسين من الشخصيات التي ظُلمت مرتين، فالظلم الأوَّل كان عندما قتلوه، والآخر عندما سعوا في طمس أهدافه وتحريفها، فظلموه في عاشوراء، وتكرر الظلم في أكثر منها، حتى وصل الأمر إلى أن يقال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 أجل أن يبكي عليه الناس فتُغفر ذنوبهم لاغير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الهدف الأساس من الثورة الحسينية هو الحماسة والثورة والجهاد ضدّ 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آنفاً أنَّ مَن يقف على فلسفة عاشوراء يجد أنَّ من جملة أهدافها هو إثارة عواطف الناس، كما هو واضح لمَن له أدنى تأمّل، وهذا الأمر نلمسه واضحاً في كيفية إدارة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للواقعة، من خلال تقديمه للصبيان والأطفال، ونحو ذلك من الأمور التي تُثير وتؤجّج العواطف، ومن الواضح أنَّ إثارة وتأجيج العاطفة يُساهم في رفض الظلم والظالمين، الذي يعدّ من أهداف 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يتَّضح أنَّ عنصري العاطفة والحماسة عنصران متلازمان لا ينفكان، وكلّما ازدادت العاطفة، نتج عن ذلك إثارة بركان الحماسة والوقوف بوجه الظلمة، وما يشهد </w:t>
      </w:r>
    </w:p>
    <w:p>
      <w:pPr>
        <w:pStyle w:val="BookText"/>
        <w:rPr/>
      </w:pPr>
      <w:r>
        <w:rPr>
          <w:rFonts w:ascii="Amiri" w:hAnsi="Amiri" w:eastAsia="Amiri" w:cs="Amiri"/>
          <w:color w:val="111111"/>
          <w:sz w:val="28"/>
          <w:sz w:val="28"/>
          <w:szCs w:val="28"/>
          <w:rtl w:val="true"/>
          <w:lang w:bidi="ar-SA"/>
        </w:rPr>
        <w:t>لذلك قوة محاربة الظلمة لهذه الشعائر، لكونها تهدّد عروشهم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كذلك أنَّ العاطفة لا تحجّم عاشوراء ولا تختصرها في البكاء واللطم ونحو ذلك، بل أنَّ العاطفة والبكاء تُذكي روح الحماسة وبذل النفس في سبيل الأهداف العُليا، ونبذ الخوف والذل، والوقوف بوجه كل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فالبكاء مثلاً تعبير عن خنجر في صدور 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ولهذا السبب نجد أنَّ بعض الروايات توصي أيضاً بالتباكي، ممّا يكشف عن أنَّ التأكيد على التظاهر بالبكاء يدلّنا على أنَّ فلسفة البكاء هي إثارة العاطفة، التي ينتج عنها الاستعداد للتضحية والفداء وبذل النفس والوقوف بوجه الظلمة، وبهذا يتَّضح أنَّ العاطفة والحماسة في عاشوراء وجهان لعملة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لواقعة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الإسلام من الأثر والأهمّية ما أبكى أولياء الله ورُسله قبل وقوعها، وقد وردت روايات تتحدَّث عن بكاء إبراهيم الخليل، وعيسى وحوارييه، ومحمد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وفاطمة الزهراء</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عظم الفاجعة أكبر وأفجع من أن يتصوَّر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وهي لا تزال حيةً تستجري دموع العيون على ما انقضى من عمرها من قرون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يصفها الإمام الحسن بوصف مُؤلم، وذلك حينما دخل عليه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إليه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لِما يُصنَع بك،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يؤتى إليّ سمّ يدسّ إليَّ فأُقتل به، ولكن لا يوم كيومك يا أبا عبدالله، يزدلف إليك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ثلاثون ألف رجل يدَّعون أنَّهم من أُمّة جدّنا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وينتحلون الإسلام، فيجتمعون على قتلك وسفك دمك وانتهاك حرمتك، وسبي ذراريك ونسائك وانتهاب ثقلك، فعندها يُحلّ الله ببني أُميّة اللعنة، وتمطر السماء دماً ورماداً، ويبكي عليك كل شيء حتى الوحوش والحيتان في البحار</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1" w:name="pg1994_19709"/>
      <w:bookmarkStart w:id="382" w:name="pg1994_19709"/>
      <w:bookmarkEnd w:id="382"/>
    </w:p>
    <w:p>
      <w:pPr>
        <w:pStyle w:val="Heading3"/>
        <w:numPr>
          <w:ilvl w:val="2"/>
          <w:numId w:val="1"/>
        </w:numPr>
        <w:rPr/>
      </w:pPr>
      <w:bookmarkStart w:id="383" w:name="pg1994_19709"/>
      <w:bookmarkStart w:id="384" w:name="__RefHeading___Toc3920760_3650668749"/>
      <w:bookmarkStart w:id="385" w:name="_Toc138"/>
      <w:bookmarkEnd w:id="383"/>
      <w:bookmarkEnd w:id="384"/>
      <w:r>
        <w:rPr>
          <w:rtl w:val="true"/>
        </w:rPr>
        <w:t>الشبهة الخامسة</w:t>
      </w:r>
      <w:r>
        <w:rPr>
          <w:rtl w:val="true"/>
        </w:rPr>
        <w:t xml:space="preserve">: </w:t>
      </w:r>
      <w:r>
        <w:rPr>
          <w:rtl w:val="true"/>
        </w:rPr>
        <w:t>حُرمة سماع الرجال لصياح وصراخ النساء</w:t>
      </w:r>
      <w:bookmarkEnd w:id="385"/>
    </w:p>
    <w:p>
      <w:pPr>
        <w:pStyle w:val="BookText"/>
        <w:rPr/>
      </w:pPr>
      <w:r>
        <w:rPr>
          <w:rFonts w:ascii="Amiri" w:hAnsi="Amiri" w:eastAsia="Amiri" w:cs="Amiri"/>
          <w:color w:val="111111"/>
          <w:sz w:val="28"/>
          <w:sz w:val="28"/>
          <w:szCs w:val="28"/>
          <w:rtl w:val="true"/>
          <w:lang w:bidi="ar-SA"/>
        </w:rPr>
        <w:t>تفصيل الشبهه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إنَّ صياح النساء وعويلهنَّ، بمَسمَع من الرجال الأجانب حرام؛ لأنَّ صوتهنَّ عورة، وعليه فيجب عدم السماع لذلك في الشعائر الحسينية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حرمة سماع الرجال لصوت أو صياح المرأة، نعم الذي هو محلّ البحث بين الفقهاء هو الاستماع لصوت المرأة، فقد ذهب البعض إلى تحريم ذلك مطلقاً، والآخر قيَّده بما إذا كان عن تلذّذ وريبة، وأمّا التكلّم والسماع بلا استماع من الرجل، فلم يقل أحد بتحريمه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ذهب البعض إلى حرمة صياح المرأة على الميت، لكن الحرمة ليس لأجل أنَّ صوتها عورة، بل لأنَّه من الجزع المنهي عنه بالروايات،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الجزع والبكاء مكروه، سوى الجزع والبكاء على الحسين</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المُستشكِل اعتمد على الرواية التي تفيد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الرواية التي رواها هشام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عيّ وعورة، فاستروا العورات بالبيوت، واستروا العيّ بالسكوت</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لكنّها صريحة في أنّ الأمر بالسكوت ليس لأجل أنّها عورة، أو أنّ صوتها 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سيما وقد ورد أنَّ فاطمة الزهراء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تبكي </w:t>
      </w:r>
      <w:r>
        <w:rPr>
          <w:rStyle w:val="FootnoteAnchor"/>
          <w:rtl w:val="true"/>
        </w:rPr>
        <w:footnoteReference w:id="215"/>
      </w:r>
      <w:r>
        <w:rPr>
          <w:rFonts w:ascii="Amiri" w:hAnsi="Amiri" w:eastAsia="Amiri" w:cs="Amiri"/>
          <w:color w:val="111111"/>
          <w:sz w:val="28"/>
          <w:sz w:val="28"/>
          <w:szCs w:val="28"/>
          <w:rtl w:val="true"/>
          <w:lang w:bidi="ar-SA"/>
        </w:rPr>
        <w:t>إلى الحدِّ الذي تأذّى منه أهل المدينة، ومن الواضح أنَّ البكاء إلى الحدّ الذي يُؤذي شيوخ قريش هو البكاء المقارن للصياح، وإلاّ لما اعترض عليه المعترضون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 الصياح والصراخ حرام أو مكروه، إلاّ أنَّه كذلك على غير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مستحب؛ لما دلَّ من الروايات الدالَّة على استحباب الجزع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والصياح من مظاهر الجزع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مضافاً إلى وجود الروايات الدالة على استحباب الصياح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كإطلاق قول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الندبة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الأطايب من أهل بيت محمد وعلي فليبك الباكون، وإيّاهم فليندب النادبون، ولمثلهم فلتُذرف الدموع، وليصرخ الصارخون، ويضجّ الضاجّون، ويعجّ العاجّون</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معاوية بن وهب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ارحم تلك الصرخة التي كانت لنا</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الصرخة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الصيحة الشديدة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عقدوا في دورهم المجالس الحسينية التي وقع فيها صياح النساء بمَسمع من الرجال الأجانب وأمروا بها، فقد رُوي أنَّ </w:t>
      </w:r>
    </w:p>
    <w:p>
      <w:pPr>
        <w:pStyle w:val="BookText"/>
        <w:rPr/>
      </w:pPr>
      <w:r>
        <w:rPr>
          <w:rFonts w:ascii="Amiri" w:hAnsi="Amiri" w:eastAsia="Amiri" w:cs="Amiri"/>
          <w:color w:val="111111"/>
          <w:sz w:val="28"/>
          <w:sz w:val="28"/>
          <w:szCs w:val="28"/>
          <w:rtl w:val="true"/>
          <w:lang w:bidi="ar-SA"/>
        </w:rPr>
        <w:t xml:space="preserve">دعبل بن علي لمّا أنشد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تائيَّته المشهورة، وانتهى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أفاطمُ لو خِلْتِ الحُسَين مُجدّلاً</w:t>
      </w:r>
    </w:p>
    <w:p>
      <w:pPr>
        <w:pStyle w:val="BookText"/>
        <w:rPr/>
      </w:pPr>
      <w:r>
        <w:rPr>
          <w:rFonts w:ascii="Amiri" w:hAnsi="Amiri" w:eastAsia="Amiri" w:cs="Amiri"/>
          <w:color w:val="111111"/>
          <w:sz w:val="28"/>
          <w:sz w:val="28"/>
          <w:szCs w:val="28"/>
          <w:rtl w:val="true"/>
          <w:lang w:bidi="ar-SA"/>
        </w:rPr>
        <w:t>وقدْ ماتَ عطشَانَاً بشَطِّ فُراتِ</w:t>
      </w:r>
    </w:p>
    <w:p>
      <w:pPr>
        <w:pStyle w:val="BookText"/>
        <w:rPr/>
      </w:pPr>
      <w:r>
        <w:rPr>
          <w:rFonts w:ascii="Amiri" w:hAnsi="Amiri" w:eastAsia="Amiri" w:cs="Amiri"/>
          <w:color w:val="111111"/>
          <w:sz w:val="28"/>
          <w:sz w:val="28"/>
          <w:szCs w:val="28"/>
          <w:rtl w:val="true"/>
          <w:lang w:bidi="ar-SA"/>
        </w:rPr>
        <w:t>إذاً لَلَطَمْتِ الخَدَّ فاطم عنده</w:t>
      </w:r>
    </w:p>
    <w:p>
      <w:pPr>
        <w:pStyle w:val="BookText"/>
        <w:rPr/>
      </w:pPr>
      <w:r>
        <w:rPr>
          <w:rFonts w:ascii="Amiri" w:hAnsi="Amiri" w:eastAsia="Amiri" w:cs="Amiri"/>
          <w:color w:val="111111"/>
          <w:sz w:val="28"/>
          <w:sz w:val="28"/>
          <w:szCs w:val="28"/>
          <w:rtl w:val="true"/>
          <w:lang w:bidi="ar-SA"/>
        </w:rPr>
        <w:t>وأجريت دمع العين في الوجنات</w:t>
      </w:r>
    </w:p>
    <w:p>
      <w:pPr>
        <w:pStyle w:val="BookText"/>
        <w:rPr/>
      </w:pPr>
      <w:r>
        <w:rPr>
          <w:rFonts w:ascii="Amiri" w:hAnsi="Amiri" w:eastAsia="Amiri" w:cs="Amiri"/>
          <w:color w:val="111111"/>
          <w:sz w:val="28"/>
          <w:sz w:val="28"/>
          <w:szCs w:val="28"/>
          <w:rtl w:val="true"/>
          <w:lang w:bidi="ar-SA"/>
        </w:rPr>
        <w:t xml:space="preserve">لطمت النساء وعلا صراخ مَن وراء الستر، وبكى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شديداً، حتى أُغمي عليه مرَّتين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 الله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فأنشدته مرثية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انتهيت إلى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لَبليّة تسقو حسيناً</w:t>
      </w:r>
    </w:p>
    <w:p>
      <w:pPr>
        <w:pStyle w:val="BookText"/>
        <w:rPr/>
      </w:pPr>
      <w:r>
        <w:rPr>
          <w:rFonts w:ascii="Amiri" w:hAnsi="Amiri" w:eastAsia="Amiri" w:cs="Amiri"/>
          <w:color w:val="111111"/>
          <w:sz w:val="28"/>
          <w:sz w:val="28"/>
          <w:szCs w:val="28"/>
          <w:rtl w:val="true"/>
          <w:lang w:bidi="ar-SA"/>
        </w:rPr>
        <w:t>بِمَسقاة الثَّرى غير التُّرابِ</w:t>
      </w:r>
    </w:p>
    <w:p>
      <w:pPr>
        <w:pStyle w:val="BookText"/>
        <w:rPr/>
      </w:pPr>
      <w:r>
        <w:rPr>
          <w:rFonts w:ascii="Amiri" w:hAnsi="Amiri" w:eastAsia="Amiri" w:cs="Amiri"/>
          <w:color w:val="111111"/>
          <w:sz w:val="28"/>
          <w:sz w:val="28"/>
          <w:szCs w:val="28"/>
          <w:rtl w:val="true"/>
          <w:lang w:bidi="ar-SA"/>
        </w:rPr>
        <w:t>فصاحت باكية من وراء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أبتاه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الفرج الأصفهاني </w:t>
      </w:r>
      <w:r>
        <w:rPr>
          <w:rStyle w:val="FootnoteAnchor"/>
          <w:rtl w:val="true"/>
        </w:rPr>
        <w:footnoteReference w:id="221"/>
      </w:r>
      <w:r>
        <w:rPr>
          <w:rFonts w:ascii="Amiri" w:hAnsi="Amiri" w:eastAsia="Amiri" w:cs="Amiri"/>
          <w:color w:val="111111"/>
          <w:sz w:val="28"/>
          <w:sz w:val="28"/>
          <w:szCs w:val="28"/>
          <w:rtl w:val="true"/>
          <w:lang w:bidi="ar-SA"/>
        </w:rPr>
        <w:t xml:space="preserve">بسندٍ معتبر، أنَّه لمّا دخل السيد الحميري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أقعدَ حرمه خلف الستر، ثُمَّ استنشده في رثاء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فأنشده أبيات كثيرة،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راوي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دموع جعفر تنحدر على خديه، وارتفع الصراخ من داره حتى أمره بالإمساك، فأمسك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أنَّ معنى الصراخ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الصوت، أو شديده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جرى نحو هذه المآتم التي تصرخ فيها النساء بمَسمَع من الرجال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قصّة الحميري أيضاً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 صياح النساء بمسمع الرجال الأجانب حرام، لكن بمقتضى القواعد الأُصولية هو عدم حرمة الواجب المقارن للمحرَّم ما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لم‌يكن المحرَّم المقارن ملازماً لذات الواجب،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كانت الأعراض المفارقة الاتّفاقية توجب حرمة الواجب الذي اقترنت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لحرمت الصلاة حال النظر إلى الأجنبية حال الصلاة، وهو خلاف ما أُجمع عليه من صحّة الصلاة وإن اقترنت بالنظر للأجنبية</w:t>
      </w:r>
      <w:r>
        <w:rPr>
          <w:rFonts w:eastAsia="Amiri" w:cs="Amiri" w:ascii="Amiri" w:hAnsi="Amiri"/>
          <w:color w:val="111111"/>
          <w:sz w:val="28"/>
          <w:szCs w:val="28"/>
          <w:rtl w:val="true"/>
          <w:lang w:bidi="ar-SA"/>
        </w:rPr>
        <w:t xml:space="preserve">. </w:t>
      </w:r>
      <w:bookmarkStart w:id="386" w:name="pg1994_19713"/>
    </w:p>
    <w:p>
      <w:pPr>
        <w:pStyle w:val="Heading3"/>
        <w:numPr>
          <w:ilvl w:val="2"/>
          <w:numId w:val="1"/>
        </w:numPr>
        <w:rPr/>
      </w:pPr>
      <w:bookmarkStart w:id="387" w:name="__RefHeading___Toc3920762_3650668749"/>
      <w:bookmarkStart w:id="388" w:name="_Toc139"/>
      <w:bookmarkEnd w:id="386"/>
      <w:bookmarkEnd w:id="387"/>
      <w:r>
        <w:rPr>
          <w:rtl w:val="true"/>
        </w:rPr>
        <w:t>الشبهة السادسة</w:t>
      </w:r>
      <w:r>
        <w:rPr>
          <w:rtl w:val="true"/>
        </w:rPr>
        <w:t xml:space="preserve">: </w:t>
      </w:r>
      <w:r>
        <w:rPr>
          <w:rtl w:val="true"/>
        </w:rPr>
        <w:t>ما ورد في زيارة الناحية غير معقول</w:t>
      </w:r>
      <w:r>
        <w:rPr>
          <w:rtl w:val="true"/>
        </w:rPr>
        <w:t>!</w:t>
      </w:r>
      <w:bookmarkEnd w:id="388"/>
    </w:p>
    <w:p>
      <w:pPr>
        <w:pStyle w:val="Heading4"/>
        <w:numPr>
          <w:ilvl w:val="3"/>
          <w:numId w:val="1"/>
        </w:numPr>
        <w:rPr/>
      </w:pPr>
      <w:bookmarkStart w:id="389" w:name="__RefHeading___Toc3920764_3650668749"/>
      <w:bookmarkStart w:id="390" w:name="_Toc140"/>
      <w:bookmarkEnd w:id="389"/>
      <w:r>
        <w:rPr>
          <w:rtl w:val="true"/>
        </w:rPr>
        <w:t>اشارة</w:t>
      </w:r>
      <w:bookmarkEnd w:id="390"/>
    </w:p>
    <w:p>
      <w:pPr>
        <w:pStyle w:val="BookText"/>
        <w:rPr/>
      </w:pPr>
      <w:r>
        <w:rPr>
          <w:rFonts w:ascii="Amiri" w:hAnsi="Amiri" w:eastAsia="Amiri" w:cs="Amiri"/>
          <w:color w:val="111111"/>
          <w:sz w:val="28"/>
          <w:sz w:val="28"/>
          <w:szCs w:val="28"/>
          <w:rtl w:val="true"/>
          <w:lang w:bidi="ar-SA"/>
        </w:rPr>
        <w:t>تفصيل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زيارة الناحية قول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فخرجن من الخدور ناشرات الشعور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وهو بعيد لمنافاته مع لزوم الستر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توجيه هذه العبارة بما يلي</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3920766_3650668749"/>
      <w:bookmarkStart w:id="392" w:name="_Toc141"/>
      <w:bookmarkEnd w:id="391"/>
      <w:r>
        <w:rPr>
          <w:rtl w:val="true"/>
        </w:rPr>
        <w:t>الأوَّل</w:t>
      </w:r>
      <w:r>
        <w:rPr>
          <w:rtl w:val="true"/>
        </w:rPr>
        <w:t xml:space="preserve">: </w:t>
      </w:r>
      <w:r>
        <w:rPr>
          <w:rtl w:val="true"/>
        </w:rPr>
        <w:t>لم يكن خروج النساء أمام الأجانب</w:t>
      </w:r>
      <w:bookmarkEnd w:id="39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نقول إنَّ النساء خرجن من خدورهن ولم يخرجنَ بهذه الحالة إلى المعركة وأمام الرجال الأجانب،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 إلى ما يقرب من المخيّمات الأُخرى، لا سيما مع ما ورد في بعض المصادر التاريخية من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في اليوم التاسع بأن تُجعل خيام النساء متوسطة في المخيم، بحيث تحيطها باقي الخيمات من الجهات المختلفة، لكي تكون النساء في حالة حماية أكثر، وحينما جاء جواد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وعرفنَ بحلول المصيبة، خرجن من خيماتهنَّ إلى خارجها، ولكنّهنّ لم يخرجن إلى خارج المخيم، وإنّما بقين في تلك الحالة بين المخيّمات الأُخرى، بحيث لم يكن بمرأى الرجال الأجانب</w:t>
      </w:r>
      <w:r>
        <w:rPr>
          <w:rFonts w:eastAsia="Amiri" w:cs="Amiri" w:ascii="Amiri" w:hAnsi="Amiri"/>
          <w:color w:val="111111"/>
          <w:sz w:val="28"/>
          <w:szCs w:val="28"/>
          <w:rtl w:val="true"/>
          <w:lang w:bidi="ar-SA"/>
        </w:rPr>
        <w:t xml:space="preserve">. </w:t>
      </w:r>
      <w:bookmarkStart w:id="393" w:name="pg1994_19714"/>
    </w:p>
    <w:p>
      <w:pPr>
        <w:pStyle w:val="Heading4"/>
        <w:numPr>
          <w:ilvl w:val="3"/>
          <w:numId w:val="1"/>
        </w:numPr>
        <w:rPr/>
      </w:pPr>
      <w:bookmarkStart w:id="394" w:name="__RefHeading___Toc3920768_3650668749"/>
      <w:bookmarkStart w:id="395" w:name="_Toc142"/>
      <w:bookmarkEnd w:id="393"/>
      <w:bookmarkEnd w:id="394"/>
      <w:r>
        <w:rPr>
          <w:rtl w:val="true"/>
        </w:rPr>
        <w:t>الثاني</w:t>
      </w:r>
      <w:r>
        <w:rPr>
          <w:rtl w:val="true"/>
        </w:rPr>
        <w:t xml:space="preserve">: </w:t>
      </w:r>
      <w:r>
        <w:rPr>
          <w:rtl w:val="true"/>
        </w:rPr>
        <w:t xml:space="preserve">النساء اللاتي خرجن لسنَ نساء أهل البيت </w:t>
      </w:r>
      <w:r>
        <w:rPr>
          <w:rtl w:val="true"/>
        </w:rPr>
        <w:t>(</w:t>
      </w:r>
      <w:r>
        <w:rPr>
          <w:rtl w:val="true"/>
        </w:rPr>
        <w:t>عليهم السلام</w:t>
      </w:r>
      <w:r>
        <w:rPr>
          <w:rtl w:val="true"/>
        </w:rPr>
        <w:t>)</w:t>
      </w:r>
      <w:bookmarkEnd w:id="39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ما نعرفه من التزام نساء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بالحجاب والعفاف، ومحافظتهنّ عليه، يمكن القول إنَّ النساء اللاتي خرجن من المخيم بتلك الصورة لسن نساء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فيمكن أن يكن غيرهنّ ممَّن حضرن كربلاء؛ لأنَّ جملة النساء اللاتي كنَّ في كربلاء كانت من مختلف القبائل العربية، وقد يكون فيهنّ نساء يسرع إليهن الخوف، إذ لم يكن كل مَن حضر من النساء في كربلاء في مستوى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حيث المعرفة والصلابة والثبات</w:t>
      </w:r>
      <w:r>
        <w:rPr>
          <w:rFonts w:eastAsia="Amiri" w:cs="Amiri" w:ascii="Amiri" w:hAnsi="Amiri"/>
          <w:color w:val="111111"/>
          <w:sz w:val="28"/>
          <w:szCs w:val="28"/>
          <w:rtl w:val="true"/>
          <w:lang w:bidi="ar-SA"/>
        </w:rPr>
        <w:t xml:space="preserve">. </w:t>
      </w:r>
      <w:bookmarkStart w:id="396" w:name="pg1994_19715"/>
    </w:p>
    <w:p>
      <w:pPr>
        <w:pStyle w:val="Heading3"/>
        <w:numPr>
          <w:ilvl w:val="2"/>
          <w:numId w:val="1"/>
        </w:numPr>
        <w:rPr/>
      </w:pPr>
      <w:bookmarkStart w:id="397" w:name="__RefHeading___Toc3920770_3650668749"/>
      <w:bookmarkStart w:id="398" w:name="_Toc143"/>
      <w:bookmarkEnd w:id="396"/>
      <w:bookmarkEnd w:id="397"/>
      <w:r>
        <w:rPr>
          <w:rtl w:val="true"/>
        </w:rPr>
        <w:t>الشبهة السابعة</w:t>
      </w:r>
      <w:r>
        <w:rPr>
          <w:rtl w:val="true"/>
        </w:rPr>
        <w:t xml:space="preserve">: </w:t>
      </w:r>
      <w:r>
        <w:rPr>
          <w:rtl w:val="true"/>
        </w:rPr>
        <w:t>إحياء عاشوراء فتنة تفرِّق المسلمين</w:t>
      </w:r>
      <w:bookmarkEnd w:id="398"/>
    </w:p>
    <w:p>
      <w:pPr>
        <w:pStyle w:val="Heading4"/>
        <w:numPr>
          <w:ilvl w:val="3"/>
          <w:numId w:val="1"/>
        </w:numPr>
        <w:rPr/>
      </w:pPr>
      <w:bookmarkStart w:id="399" w:name="__RefHeading___Toc3920772_3650668749"/>
      <w:bookmarkStart w:id="400" w:name="_Toc144"/>
      <w:bookmarkEnd w:id="399"/>
      <w:r>
        <w:rPr>
          <w:rtl w:val="true"/>
        </w:rPr>
        <w:t>اشارة</w:t>
      </w:r>
      <w:bookmarkEnd w:id="400"/>
    </w:p>
    <w:p>
      <w:pPr>
        <w:pStyle w:val="BookText"/>
        <w:rPr/>
      </w:pPr>
      <w:r>
        <w:rPr>
          <w:rFonts w:ascii="Amiri" w:hAnsi="Amiri" w:eastAsia="Amiri" w:cs="Amiri"/>
          <w:color w:val="111111"/>
          <w:sz w:val="28"/>
          <w:sz w:val="28"/>
          <w:szCs w:val="28"/>
          <w:rtl w:val="true"/>
          <w:lang w:bidi="ar-SA"/>
        </w:rPr>
        <w:t>تفصيل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يدّعي البعض أنَّ إحياء واقعة كربلاء وإقامة المجالس الحسينية، يعني إحياء فترة فتنة حدثت بين المسلمين، فتكون مدعاةً لبثِّ الفرقة والتنازع بين المسلمين؛ نظراً لما تتضمَّنه من طعن ولعن لبعض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الصدد يقول ابن حجر في الصواعق المحرقة، نقلاً عن الغزالي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للخطيب وغيره رواية مقتل الحسين، وأيضاً رواية ما يدور بين الصحابة من سجالات وخصام؛ لأنَّ ذلك يستوجب الطعن بأعلام الإسلام والدين</w:t>
      </w:r>
      <w:r>
        <w:rPr>
          <w:rFonts w:eastAsia="Amiri" w:cs="Amiri" w:ascii="Amiri" w:hAnsi="Amiri"/>
          <w:color w:val="111111"/>
          <w:sz w:val="28"/>
          <w:szCs w:val="28"/>
          <w:rtl w:val="true"/>
          <w:lang w:bidi="ar-SA"/>
        </w:rPr>
        <w:t xml:space="preserve">. . .»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 السنة أهل يحترمون بني أُميَّة، فيكون الحديث عن بني أُميّة بشكل سلبي يترك نتائج سلبية على واقع الوحدة الإسلامية، وعلى هذا الضوء، يكون إحياء مجالس العزاء في كل سنة هي إثارة للحساسيات التاريخية التي تقتحم الحساسيات المذهبية الموجودة فيما بين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Heading4"/>
        <w:numPr>
          <w:ilvl w:val="3"/>
          <w:numId w:val="1"/>
        </w:numPr>
        <w:rPr/>
      </w:pPr>
      <w:bookmarkStart w:id="401" w:name="__RefHeading___Toc3920774_3650668749"/>
      <w:bookmarkStart w:id="402" w:name="_Toc145"/>
      <w:bookmarkEnd w:id="401"/>
      <w:r>
        <w:rPr/>
        <w:t>١</w:t>
      </w:r>
      <w:r>
        <w:rPr>
          <w:rtl w:val="true"/>
        </w:rPr>
        <w:t xml:space="preserve">- </w:t>
      </w:r>
      <w:r>
        <w:rPr>
          <w:rtl w:val="true"/>
        </w:rPr>
        <w:t>إنَّ الغزالي نفسه لا يلتزم بهذا المنهج</w:t>
      </w:r>
      <w:bookmarkEnd w:id="40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الغزالي وغيره، ممَّن يُدلون بهذه النصائح، لم يعملوا بها، فنجدهم </w:t>
      </w:r>
      <w:bookmarkStart w:id="403" w:name="pg1994_19716"/>
    </w:p>
    <w:p>
      <w:pPr>
        <w:pStyle w:val="BookText"/>
        <w:rPr/>
      </w:pPr>
      <w:bookmarkEnd w:id="403"/>
      <w:r>
        <w:rPr>
          <w:rFonts w:ascii="Amiri" w:hAnsi="Amiri" w:eastAsia="Amiri" w:cs="Amiri"/>
          <w:color w:val="111111"/>
          <w:sz w:val="28"/>
          <w:sz w:val="28"/>
          <w:szCs w:val="28"/>
          <w:rtl w:val="true"/>
          <w:lang w:bidi="ar-SA"/>
        </w:rPr>
        <w:t>قد سكتوا وتغاضبوا في رسائلهم وكتبهم وحواراتهم ونزاعاتهم الفكرية والدينية التي خاضوها مع الفرق والمذاهب، كما هو واضح لمَن له أدنى اطّلاع على مباحث علم الكلام وتاريخ الحضارة الإسلامية، حيث نلمس بوضوح شدَّة تطرّف الغزالي وأتباعه في مواقفهم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فإنَّنا نقول للغزالي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نؤمن بمبدأ الوحدة، وأنَّها من أهمّ الأصول والفروع في الوقت الحاضر، لكنَّنا لا نرى في إقامة العزاء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منافاةً للوحدة بين المسلمين</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3920776_3650668749"/>
      <w:bookmarkStart w:id="405" w:name="_Toc146"/>
      <w:bookmarkEnd w:id="404"/>
      <w:r>
        <w:rPr/>
        <w:t>٢</w:t>
      </w:r>
      <w:r>
        <w:rPr>
          <w:rtl w:val="true"/>
        </w:rPr>
        <w:t xml:space="preserve">- </w:t>
      </w:r>
      <w:r>
        <w:rPr>
          <w:rtl w:val="true"/>
        </w:rPr>
        <w:t xml:space="preserve">إقامة أهل البيت </w:t>
      </w:r>
      <w:r>
        <w:rPr>
          <w:rtl w:val="true"/>
        </w:rPr>
        <w:t>(</w:t>
      </w:r>
      <w:r>
        <w:rPr>
          <w:rtl w:val="true"/>
        </w:rPr>
        <w:t>عليهم السلام</w:t>
      </w:r>
      <w:r>
        <w:rPr>
          <w:rtl w:val="true"/>
        </w:rPr>
        <w:t xml:space="preserve">) </w:t>
      </w:r>
      <w:r>
        <w:rPr>
          <w:rtl w:val="true"/>
        </w:rPr>
        <w:t>للعزاء الحسيني في مختلف الظروف</w:t>
      </w:r>
      <w:bookmarkEnd w:id="405"/>
    </w:p>
    <w:p>
      <w:pPr>
        <w:pStyle w:val="BookText"/>
        <w:rPr/>
      </w:pPr>
      <w:r>
        <w:rPr>
          <w:rFonts w:ascii="Amiri" w:hAnsi="Amiri" w:eastAsia="Amiri" w:cs="Amiri"/>
          <w:color w:val="111111"/>
          <w:sz w:val="28"/>
          <w:sz w:val="28"/>
          <w:szCs w:val="28"/>
          <w:rtl w:val="true"/>
          <w:lang w:bidi="ar-SA"/>
        </w:rPr>
        <w:t>إنَّ موقف الشيعة في إقامة العزاء الحسيني لم يكن مستنداً لاجتهادات شخصية، إنَّما استندوا في ذلك للعديد من الروايات الشريفة، التي تؤكّد على لزوم إحياء ذكرى فاجعة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نجد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وعلماء الشيعة الأعلام لم يتركوا ذكر مصائب أبي‌عبد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أصعب ظروفهم السياسية، بل كانوا يقومون بواجبهم وِفقاً لما يتناسب مع الظروف الحاكمة في عصرهم</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3920778_3650668749"/>
      <w:bookmarkStart w:id="407" w:name="_Toc147"/>
      <w:bookmarkEnd w:id="406"/>
      <w:r>
        <w:rPr/>
        <w:t>٣</w:t>
      </w:r>
      <w:r>
        <w:rPr>
          <w:rtl w:val="true"/>
        </w:rPr>
        <w:t xml:space="preserve">- </w:t>
      </w:r>
      <w:r>
        <w:rPr>
          <w:rtl w:val="true"/>
        </w:rPr>
        <w:t>وجود العلاقة الوثيقة بين التاريخ وعمل التربوي</w:t>
      </w:r>
      <w:bookmarkEnd w:id="407"/>
    </w:p>
    <w:p>
      <w:pPr>
        <w:pStyle w:val="BookText"/>
        <w:rPr/>
      </w:pPr>
      <w:r>
        <w:rPr>
          <w:rFonts w:ascii="Amiri" w:hAnsi="Amiri" w:eastAsia="Amiri" w:cs="Amiri"/>
          <w:color w:val="111111"/>
          <w:sz w:val="28"/>
          <w:sz w:val="28"/>
          <w:szCs w:val="28"/>
          <w:rtl w:val="true"/>
          <w:lang w:bidi="ar-SA"/>
        </w:rPr>
        <w:t>من الواضح أنَّ هنالك ارتباط وثيق بين دراسة التاريخ وبين عمل التربوي، وذلك لأنَّ الإنسان المسلم لا يتسنّى له الاطلاع على الحق والحقيقة من دون الوقوف على تاريخ ذلك الدين أو المذهب الذي ينتمي إليه، ويطَّلع على تاريخ أعلامه وحَمَلَته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الإنسان مسؤول عمّا يتَّخذه من مواقف تجاه الآخرين، </w:t>
      </w:r>
    </w:p>
    <w:p>
      <w:pPr>
        <w:pStyle w:val="BookText"/>
        <w:rPr/>
      </w:pPr>
      <w:r>
        <w:rPr>
          <w:rFonts w:ascii="Amiri" w:hAnsi="Amiri" w:eastAsia="Amiri" w:cs="Amiri"/>
          <w:color w:val="111111"/>
          <w:sz w:val="28"/>
          <w:sz w:val="28"/>
          <w:szCs w:val="28"/>
          <w:rtl w:val="true"/>
          <w:lang w:bidi="ar-SA"/>
        </w:rPr>
        <w:t xml:space="preserve">سواء كانوا في الماضي أم الحاضر؛ لِما ورد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عمل قوم أُشرك معهم، ومَن أحب حجراً حُشر معه</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من الروايات التي جاءت بألفاظٍ متعدّدة وبطُرق مستفيضة في مصادر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الحديث الشريف،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عمل قوم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مطلق وشامل لكل قوم، وإنْ لم يكونوا من المعاصرين لذلك العمل أو الفعل الذي قام به جماعة أو فرد، ويمتدّ هذا الشمول إلى أعماق التاريخ منذ صدر البشرية، بل يتَّسع لما سيأتي من أُمم وأقوام لاحقه أنبأ القرآن الكريم عن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معنى التولّي والتبرّي، أو الولاء والبراءة، الذي يُمثِّل عنصر تربوي بالغ الأهمّية والتأثير في النفس الإنسانية، تجاه الفئات والنماذج البشرية المختلفة، سواء كانت في الماضي أم الحاضر أم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أنَّ باب المحبَّة باب بالغ الأهمّية، لأنَّه يفتح للإنسان من صحائف الأعمال ما يتجاوز حدود عمره القصير، إلى مساحات زمنية شاسعة، ولذا يُثاب بثوابهم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المنهج القرآني لا يرمي إلى التربية على الأحقاد والكراهية، ولايهدف إلى إشعال ضغينة أو سخيمة، بل فلسفته هو أن يتربّى الإنسان على كيفية التمييز بين الموقف الصحيح ليتبناه، وبين الموقف الفاسد لينبذه، من خلال على اطّلاعه على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الضوء تتَّضح ضرورة البحث والتنقيب عن التاريخ</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الإسلامي، ليتبيّن للمسلم مواقف وأعمال الأقوام والجماعات، لكي يتحمّل </w:t>
      </w:r>
    </w:p>
    <w:p>
      <w:pPr>
        <w:pStyle w:val="BookText"/>
        <w:rPr/>
      </w:pPr>
      <w:r>
        <w:rPr>
          <w:rFonts w:ascii="Amiri" w:hAnsi="Amiri" w:eastAsia="Amiri" w:cs="Amiri"/>
          <w:color w:val="111111"/>
          <w:sz w:val="28"/>
          <w:sz w:val="28"/>
          <w:szCs w:val="28"/>
          <w:rtl w:val="true"/>
          <w:lang w:bidi="ar-SA"/>
        </w:rPr>
        <w:t>مسؤولية موقفه إزاء هؤلاء، من محبَّة وتضامن وولاء، أو كراهة وقطيعة أو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فَأَصْبَحُوا نادِمِينَ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يجمع الناس الرضا والسخط، وإنّما عقر ناقة ثمود رجل واحد، فعمَّم الله بالعذاب لِما عمّوه بالرضا،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نادمين</w:t>
      </w:r>
      <w:r>
        <w:rPr>
          <w:rFonts w:eastAsia="Amiri" w:cs="Amiri" w:ascii="Amiri" w:hAnsi="Amiri"/>
          <w:color w:val="111111"/>
          <w:sz w:val="28"/>
          <w:szCs w:val="28"/>
          <w:rtl w:val="true"/>
          <w:lang w:bidi="ar-SA"/>
        </w:rPr>
        <w:t xml:space="preserve">. . .»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قَدْ جاءَكُمْ رُسُلٌ مِنْ قَبْلِي بِالْبَيِّناتِ وَ بِالَّذِي قُلْتُمْ فَلِمَ قَتَلْتُمُوهُمْ إِنْ كُنْتُمْ صادِقِينَ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وقد عُلم أنَّ هؤلاء لم يقتلوا، ولكن كان هواهم مع الذين قتلوا، فسمّاهم الله قاتلين، لمتابعة هواهم ورضاهم لذلك الفعل</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أُمَّةٌ قَدْ خَلَتْ لَها ما كَسَبَتْ وَ لَكُمْ ما كَسَبْتُمْ وَ لا تُسْئَلُونَ عَمَّا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الآية تدل على أنّ التاريخ ليس مسؤولية الجيل الحاضر، وإنّما هو مسؤولية الذين صنعوه، وأنَّ الحاضرين لا يُسألون عن أعمال الماضين، لأنَّه لا معنى لأن يتحمّل الإنسان الحاضر مسؤولية تاريخ لم يصنعه، أو يحمّل الآخرين مسؤولية تاريخ لم يصنعوه، لأنَّ مسألة الآباء والأجداد هي مسألتهم هم، وإنَّما القضية أنَّنا نُسأل عن صنع تاريخنا، وعن أعمالنا، وعن الدليل الذي نعتمده، ولا نُسأل عن دليل الأسلاف، ولا عذر في تقليد الأسلاف فيما عملوه وفعلوه</w:t>
      </w:r>
      <w:r>
        <w:rPr>
          <w:rFonts w:eastAsia="Amiri" w:cs="Amiri" w:ascii="Amiri" w:hAnsi="Amiri"/>
          <w:color w:val="111111"/>
          <w:sz w:val="28"/>
          <w:szCs w:val="28"/>
          <w:rtl w:val="true"/>
          <w:lang w:bidi="ar-SA"/>
        </w:rPr>
        <w:t xml:space="preserve">. </w:t>
      </w:r>
      <w:bookmarkStart w:id="408" w:name="pg1994_19719"/>
    </w:p>
    <w:p>
      <w:pPr>
        <w:pStyle w:val="Heading4"/>
        <w:numPr>
          <w:ilvl w:val="3"/>
          <w:numId w:val="1"/>
        </w:numPr>
        <w:rPr/>
      </w:pPr>
      <w:bookmarkStart w:id="409" w:name="__RefHeading___Toc3920780_3650668749"/>
      <w:bookmarkStart w:id="410" w:name="_Toc148"/>
      <w:bookmarkEnd w:id="408"/>
      <w:bookmarkEnd w:id="409"/>
      <w:r>
        <w:rPr/>
        <w:t>۴</w:t>
      </w:r>
      <w:r>
        <w:rPr>
          <w:rtl w:val="true"/>
        </w:rPr>
        <w:t xml:space="preserve">- </w:t>
      </w:r>
      <w:r>
        <w:rPr>
          <w:rtl w:val="true"/>
        </w:rPr>
        <w:t>قراءة التاريخ لأجل الاعتبار</w:t>
      </w:r>
      <w:bookmarkEnd w:id="410"/>
    </w:p>
    <w:p>
      <w:pPr>
        <w:pStyle w:val="BookText"/>
        <w:rPr/>
      </w:pPr>
      <w:r>
        <w:rPr>
          <w:rFonts w:ascii="Amiri" w:hAnsi="Amiri" w:eastAsia="Amiri" w:cs="Amiri"/>
          <w:color w:val="111111"/>
          <w:sz w:val="28"/>
          <w:sz w:val="28"/>
          <w:szCs w:val="28"/>
          <w:rtl w:val="true"/>
          <w:lang w:bidi="ar-SA"/>
        </w:rPr>
        <w:t>لقد علّمنا القرآن الكريم أن نذكر التأريخ لنعتبر به،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يا أُولِي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 قَصَصِهِمْ عِبْرَةٌ لأُِولِي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فهناك فرق بين أن ننقل التاريخ لإثارة الأحقاد، وبين أن ننقل التاريخ لنعتبر به، ولنأخذ منه التجربة والفكرة، كما يلاحظ ذلك في تأكيد القرآن على سرد القصّة التاريخية، لِما لها من دور كبير في العبرة، التي تمثّل الدرس الذي يمكن أن يأخذه العاقلون، فيما يمكن لهم استيحاؤه من التاريخ لمصلحة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فطرح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جيش عبيد الله بن زياد، يمثّل درساً كبيراً للمسلمين في من له حق الحكم والخلافة، وهل يمكن 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يحكم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الإمام الحسين لذلك بوضوح، عندما أعطى من نفسه شخصية النموذج الصالح للحاكم، وأعطى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النموذج الطالح، الذي يجب على المسلمين محاربته وعدم السماح له أن يتقلّد مقاليد الحكم،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نحن أهل بيت النبوّة وموضع الرسالة ومُختلَف الملائكة، ويزيد رجل شارب الخمر، قاتل النفس المحرّمة، مُعلن بالفسق، ومثلي لا يبايع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درس بليغ يجب على الناس يقتدوا بأمثال الحسين، وأن يتجنَّبوا أمثال يزيد من حُكّام الجور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عندما نقرأ التاريخ ونطلع على قضية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سوف نهتدى الى شخصية التي تمثل القيم الانسانيه واروع المراتب الروخية تلك الشخصية الّتى انفتحت على الله تعالى وعاشت عمق الاسلام، وانطلقت مع الناس في انفتاح ومحبّة، وتحرّكت فى خط القضايا المتصلة بالجانب </w:t>
      </w:r>
      <w:bookmarkStart w:id="411" w:name="pg1994_19720"/>
    </w:p>
    <w:p>
      <w:pPr>
        <w:pStyle w:val="BookText"/>
        <w:rPr/>
      </w:pPr>
      <w:bookmarkEnd w:id="411"/>
      <w:r>
        <w:rPr>
          <w:rFonts w:ascii="Amiri" w:hAnsi="Amiri" w:eastAsia="Amiri" w:cs="Amiri"/>
          <w:color w:val="111111"/>
          <w:sz w:val="28"/>
          <w:sz w:val="28"/>
          <w:szCs w:val="28"/>
          <w:rtl w:val="true"/>
          <w:lang w:bidi="ar-SA"/>
        </w:rPr>
        <w:t>الاسلامي في حركيته في الواقع بينما في الوقت نفسه سوف تطلع على شخصية مضادة تماماً لتلك الشخصية الفذه الاوهي شخصية يزيد عليه لعائن الله الفاسق الذي لا يمتلك اي التزام في المحرمات الشرعية كشرب الخمر، وقتل النفس المحترمة، ولا يمتلك آية قيمة روحية او اخلاقيه</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3920782_3650668749"/>
      <w:bookmarkStart w:id="413" w:name="_Toc149"/>
      <w:bookmarkEnd w:id="412"/>
      <w:r>
        <w:rPr/>
        <w:t>۵</w:t>
      </w:r>
      <w:r>
        <w:rPr>
          <w:rtl w:val="true"/>
        </w:rPr>
        <w:t xml:space="preserve">- </w:t>
      </w:r>
      <w:r>
        <w:rPr>
          <w:rtl w:val="true"/>
        </w:rPr>
        <w:t>دور مجالس العزاء في توعية الناس</w:t>
      </w:r>
      <w:bookmarkEnd w:id="41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مجالس العزاء الحسيني كانت ولا تزال تمثّل عامل إرشاد للمسلمين، ودروساً للجماهير الجالسة تحت منابرها؛ فتشرح لهم عقائد دينهم واحكامهم الشرعية، إلى غير ذلك من قصص التاريخ والسياسة في الدين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تلك المجالس مَنهلاً لرجال التقوى والصلاح، والباحثين على الحقّ وأهله، ومُنطلقاً للوقوف بوجه الباطل وأهله، فلا يعني تركها إلاّ تركاً لجانب مهمّ من نظام التعليم الديني؛ لذا علينا أن ننتبه للمُحدقين بنا من أعداء الدين والإنسانية، كي لا يفسدوا علينا ما حقّقه الشيعة من أشواط على طريق الوحدة والتضامن بين المسلمين</w:t>
      </w:r>
      <w:r>
        <w:rPr>
          <w:rFonts w:eastAsia="Amiri" w:cs="Amiri" w:ascii="Amiri" w:hAnsi="Amiri"/>
          <w:color w:val="111111"/>
          <w:sz w:val="28"/>
          <w:szCs w:val="28"/>
          <w:rtl w:val="true"/>
          <w:lang w:bidi="ar-SA"/>
        </w:rPr>
        <w:t xml:space="preserve">. </w:t>
      </w:r>
      <w:bookmarkStart w:id="414" w:name="pg1994_19721"/>
    </w:p>
    <w:p>
      <w:pPr>
        <w:pStyle w:val="Heading3"/>
        <w:numPr>
          <w:ilvl w:val="2"/>
          <w:numId w:val="1"/>
        </w:numPr>
        <w:rPr/>
      </w:pPr>
      <w:bookmarkStart w:id="415" w:name="__RefHeading___Toc3920784_3650668749"/>
      <w:bookmarkStart w:id="416" w:name="_Toc150"/>
      <w:bookmarkEnd w:id="414"/>
      <w:bookmarkEnd w:id="415"/>
      <w:r>
        <w:rPr>
          <w:rtl w:val="true"/>
        </w:rPr>
        <w:t>الشبهة الثامنة</w:t>
      </w:r>
      <w:r>
        <w:rPr>
          <w:rtl w:val="true"/>
        </w:rPr>
        <w:t xml:space="preserve">: </w:t>
      </w:r>
      <w:r>
        <w:rPr>
          <w:rtl w:val="true"/>
        </w:rPr>
        <w:t>علم الإمام بالغيب وإشكالية الإلقاء بالتهلكة</w:t>
      </w:r>
      <w:bookmarkEnd w:id="416"/>
    </w:p>
    <w:p>
      <w:pPr>
        <w:pStyle w:val="BookText"/>
        <w:rPr/>
      </w:pPr>
      <w:r>
        <w:rPr>
          <w:rFonts w:ascii="Amiri" w:hAnsi="Amiri" w:eastAsia="Amiri" w:cs="Amiri"/>
          <w:color w:val="111111"/>
          <w:sz w:val="28"/>
          <w:sz w:val="28"/>
          <w:szCs w:val="28"/>
          <w:rtl w:val="true"/>
          <w:lang w:bidi="ar-SA"/>
        </w:rPr>
        <w:t>تفصيل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ما تذهب إليه الشيعة من علم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عالماً بما يصيبه في مسيرته إلى كربلاء، فهو يتنافى مع وجود النهي القرآني عن إلقاء النفس في التهلكة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السيرة الحسينية تتضمّن عدّة إشارات تفيد بأنَّه كان عالماً بمصيره، من خلال الأحاديث المرويَّة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وفيما أثاره في حواره مع الذين طلبوا منه العودة عن قراره بالسفر إلى العراق، وفيما تحدّث به إلى القوم الذين رافقوه من مكة، حيث أعلن لهم النهاية المحتومة التي سينتهي إليها في سفره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كيف يتلاءم ما أقدم عليه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بمصيره، فالجواب على ذلك يتوقّف على بيان المقدّمة الآتية، التي تفيد أنَّ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بالعلوم الظاهرية، وأنّهم يؤدّون تكاليفهم المفروضة عليهم، سواء علموا بمصيرهم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يعملون بالعلوم الظاهرية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الواضح أنَّ أهل البيت يعملون بتعليم الله لهم بالعلوم الظاهرية، </w:t>
      </w:r>
    </w:p>
    <w:p>
      <w:pPr>
        <w:pStyle w:val="BookText"/>
        <w:rPr/>
      </w:pPr>
      <w:r>
        <w:rPr>
          <w:rFonts w:ascii="Amiri" w:hAnsi="Amiri" w:eastAsia="Amiri" w:cs="Amiri"/>
          <w:color w:val="111111"/>
          <w:sz w:val="28"/>
          <w:sz w:val="28"/>
          <w:szCs w:val="28"/>
          <w:rtl w:val="true"/>
          <w:lang w:bidi="ar-SA"/>
        </w:rPr>
        <w:t xml:space="preserve">وأنهم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يؤدّون تكاليفهم سواء علموا بمصيرهم أم لا وعلمهم بما يصيرون اليه ليس من القاء النفس فى التهلكة وانماهم يعملون بوظيفتهم الشرعية بامرالله تعالى وكل فعل اذا كان بامر الله تعالى لا يسمى القاء النفس بالتهلكة و انما هو من باب الاختبار والاختيار كما فعل تعالى بابراهيم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اسماعيل وكقضية اليهود حيث امرالله بان يقتلوا انفسهم وغير ذلك من الموارد بارادة الله تعالى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ما وصلوا إليه من درجة عالية من العصمة والقرب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يُقدمون على امتثال ما عليهم من تكاليف إلهية وإن علموا أنَّها سوف تودي بحياتهم، وتعرّضهم إلى القتل والأذى والدمار وسبي العيال</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فمثلاً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يُقدم إلى المسجد ويعلم أنَّه سوف يموت، إنَّما هو لأجل أنَّ تكليفه الإلهي اقتضى ذلك، فإقدامه إنّما كان بمحض إرادته، امتثالاً لأمر مولاه؛ ولذا في الرواية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حينما سأله السائل عن سبب خروج أمير المؤمنين إلى المسجد مع علمه بما يحصل، كان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خير</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وهو دال بصراحة على انقياد الإمام أمير المؤمنين وطاعته لله تعالى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ذلك تكليف الهي لابد للإمام من امتثاله، وهكذا الأمر بالنسبة لباقي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يصرّح بأنَّ ما قام به إنّما هو لأجل امتثاله للتكليف الإلهي، الذي اقتضى التضحية بنفسه في سبيل إصلاح الأُمّة، 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مَن يسأله عن ذلك، بأنَّ قتله قضاء محتوم وأمر واجب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هنا نجد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نصبر وشيعتنا أصبر، لأنّنا نصبر على ما نعلم، وهم يصبرون على ما لا يعلمون</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علموا الغيب، وعلموا بمصائرهم، إلاّ أنَّ هذا العلم لا يؤثّر على سلوك وحركة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تكاليفهم الشرعية ليست قائمة على هذا اللون من العلم، وإنَّما هي قائمة على ما تمليه الأسباب والعلوم الظاهرية، وهذا المعنى يقرّره العلامة المجلسي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أحكامهم الشرعية منوطة بالعلوم الظاهرة لا العلوم الإلهامية</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المفيد في خصوص علم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لا يمتنع أن يتعبّده الله بالصبر على الشهادة والاستسلام للقتل، ليبلغه الله بذلك من عُلو الدرجة ما لا يبلغه إلاّ به، ولعلمه تعالى بأنّه يطيعه في ذلك طاعةً لو كلّفها سواه لم يؤدّها، ويكون في المعلوم من اللطف بهذا التكليف لخلق من الناس ما لا يقوم مقامه غيره، فلا يكون بذلك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ملقياً بيده إلى التهلكة، ولا مُعيناً على نفسه معونة مستقبحة في العقول</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الله تعالى أراد منه الإقدام على أمرٍ مُعيَّن، فهو يُقدم وإن علم أنّه يموت، وهذا ليس من الإلقاء في التهلكة كما قيل؛ لأنَّه طاعة وامتثال لله تعالى، لما فيه المصلحة للدين والأُمّة، والفوز بالدرجات الرفيعة والكرامة الإلهية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رخّص الله للمجاهدين أن يتحرّكوا في الساحات التي تؤدّي بهم </w:t>
      </w:r>
    </w:p>
    <w:p>
      <w:pPr>
        <w:pStyle w:val="BookText"/>
        <w:rPr/>
      </w:pPr>
      <w:r>
        <w:rPr>
          <w:rFonts w:ascii="Amiri" w:hAnsi="Amiri" w:eastAsia="Amiri" w:cs="Amiri"/>
          <w:color w:val="111111"/>
          <w:sz w:val="28"/>
          <w:sz w:val="28"/>
          <w:szCs w:val="28"/>
          <w:rtl w:val="true"/>
          <w:lang w:bidi="ar-SA"/>
        </w:rPr>
        <w:t>إلى القتل فرادى أو جماعات، لأنَّ الإسلام يفرض عليهم ذلك، ممّا يجعل دائرة الجهاد خارجة عن دائرة حركة إلقاء النفس بالتهلكة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فإقدام الإنسان المجاهد على المعركة، سواء علم بأنَّه يموت أم لا، ولعلّ أوضح مثال على ذلك هم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حينما أخبرهم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سوف يُقتلون، فإنَّ علمهم بنتيجة الإقدام إلى المعركة لن يؤثّر في أداء ما عليهم من تكليف وإقدامهم على الموت، وهذا بخلاف بعض مَن فرُّوا وتخاذلوا عن نصرة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علموا بمصيرهم وأنّهم سوف يقتلون في 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اتَّضحت هذه المقدمة،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بمصيره لا يدخل تحت عنوان إلقاء النفس بالتهلكة؛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بتكليفه من لزوم القيام بتلك المهمّة الجهادية الموكولة إليه، ورأى فيها إلزاماً شرعياً، فيما هي من الأهمية الكبرى للمصلحة الإسلامية العُليا أن يُقدم على ذلك وإنْ كلّفته حياته؛ لأنَّ المرحلة التي كان يتحرّك فيها لا تستجيب لأيّة مصلحة إسلامية في الصلح، خلافاً للمرحلة السابقة التي عاشها مع أخيه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حربه مع معاوية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نرى أنَّ الموقف كان حاسماً في الإصرار على الثورة في خطّ الشهادة، ولذلك وقف في كربلاء ليرفض كل العروض التي قدَّمها إليه ابن زياد عبر جماعته، في تقديم السلامة له ولأهل بيته ولأصحابه، بشرط أن يتنازل ليزيد، ويدخل في عملية صُلح جديد معه</w:t>
      </w:r>
      <w:r>
        <w:rPr>
          <w:rFonts w:eastAsia="Amiri" w:cs="Amiri" w:ascii="Amiri" w:hAnsi="Amiri"/>
          <w:color w:val="111111"/>
          <w:sz w:val="28"/>
          <w:szCs w:val="28"/>
          <w:rtl w:val="true"/>
          <w:lang w:bidi="ar-SA"/>
        </w:rPr>
        <w:t xml:space="preserve">. </w:t>
      </w:r>
      <w:bookmarkStart w:id="417" w:name="pg1994_19725"/>
    </w:p>
    <w:p>
      <w:pPr>
        <w:pStyle w:val="Heading3"/>
        <w:numPr>
          <w:ilvl w:val="2"/>
          <w:numId w:val="1"/>
        </w:numPr>
        <w:rPr/>
      </w:pPr>
      <w:bookmarkStart w:id="418" w:name="__RefHeading___Toc3920786_3650668749"/>
      <w:bookmarkStart w:id="419" w:name="_Toc151"/>
      <w:bookmarkEnd w:id="417"/>
      <w:bookmarkEnd w:id="418"/>
      <w:r>
        <w:rPr>
          <w:rtl w:val="true"/>
        </w:rPr>
        <w:t>الشبهة التاسعة</w:t>
      </w:r>
      <w:r>
        <w:rPr>
          <w:rtl w:val="true"/>
        </w:rPr>
        <w:t xml:space="preserve">: </w:t>
      </w:r>
      <w:r>
        <w:rPr>
          <w:rtl w:val="true"/>
        </w:rPr>
        <w:t>زيارة الأربعين بِدعة</w:t>
      </w:r>
      <w:bookmarkEnd w:id="419"/>
    </w:p>
    <w:p>
      <w:pPr>
        <w:pStyle w:val="BookText"/>
        <w:rPr/>
      </w:pPr>
      <w:r>
        <w:rPr>
          <w:rFonts w:ascii="Amiri" w:hAnsi="Amiri" w:eastAsia="Amiri" w:cs="Amiri"/>
          <w:color w:val="111111"/>
          <w:sz w:val="28"/>
          <w:sz w:val="28"/>
          <w:szCs w:val="28"/>
          <w:rtl w:val="true"/>
          <w:lang w:bidi="ar-SA"/>
        </w:rPr>
        <w:t>تفصيل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إنَّ يوم الأربعين من صفر ليس هو إلاّ زيارة جابر الأنصاري، وليس في هذا اليوم تجديد للعزاء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لم يلتقِ الإمام زين‌العابدين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بالصحابي جابر الأنصاري في كربلاء، لأنَّه من البعيد أن يكون وصول عائلة الحسين إلى كربلاء يوم الأربعين، والسبب في ذلك هو أنَّ المدَّة التي يستغرقها مسير القافلة من الشام إلى كربلاء لا يقل عن الثلاثة والعشرين يوماً، إذا كان المسير بواسطة الجمال وكانت الحركة مقتصرة على النهار دون الليل، كما أفاد ذلك أصحاب المسافات، ولمّا كان الأمر كذلك، فمعناه أنَّ وصول القافلة إلى كربلاء كان في اليوم الثالث عشر من ربيع الأوَّل، وأمّا لو افترضنا أنّ المسير كان ليل نهار، فالمدَّة التي تحتاجها القافلة للوصول إلى كربلاء هو إحدى عشر يوماً، وهذا معناه أنَّ وصول القافلة كان في غرّة ربيع الأوَّل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والمرجَّح أنَّ المسير من الشام إلى كربلاء لم يكن ليل نهار، وذلك لأنَّ المُجمَع عليه بين المؤرّخين أنَّ يزيد لمّا وجد غضب الناس عليه، واستنكارهم لقتله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وسبي عائلته، أوصى النعمان بن بشير أن يسير بقافلة الحسين سيراً رفيقاً إلى المدينة المنورة، وهو يقتضي بأن </w:t>
      </w:r>
    </w:p>
    <w:p>
      <w:pPr>
        <w:pStyle w:val="BookText"/>
        <w:rPr/>
      </w:pPr>
      <w:r>
        <w:rPr>
          <w:rFonts w:ascii="Amiri" w:hAnsi="Amiri" w:eastAsia="Amiri" w:cs="Amiri"/>
          <w:color w:val="111111"/>
          <w:sz w:val="28"/>
          <w:sz w:val="28"/>
          <w:szCs w:val="28"/>
          <w:rtl w:val="true"/>
          <w:lang w:bidi="ar-SA"/>
        </w:rPr>
        <w:t xml:space="preserve">لايجهد بهم المسير، فوصول القافلة إلى كربلاء كان بنحو التقريب في اليوم الثالث عشر من ربيع الأوَّل، وقد تفرَّد ابن طاووس في اللهوف بنقل خبر وصول قافلة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 يوم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استُبعد خبر وصول القافلة في يوم الأربعين جمعٌ من المحقّقين، كالشيخ الطوسي والعلاّمة الحلي والمجلسي والمحدّث النوري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أنَّ يوم الأربعين هو يوم الزيارة وتجديد العزاء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يوم زيارة لسيد الشهداء، وزيارة يوم الأربعين من علامات المؤمن، كما 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الخمسين، وزيارة الأربعين، والتختّم في اليمين، وتعفير الجبين، والجهر ببسم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الصدوق بسنده عن فاطمة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بنساء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فحُبسن 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محبس لا يكنّهم من حرًٍ ولا قر، حتى تقشَّرت وجوههم، ولم يُرفَع ببيت المقدس حجر عن وجه الأرض إلاّ وُجد تحته دم عبيط، وأبصر الناس الشمس على الحيطان حمراء كأنَّها الملاحف المعصفرة، إلى أن خرج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بالنسوة، وردّ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الى هذا أنَّ عائلة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يبقوا في الشام الى السنة الثانية، بل عادوا في نفس السنة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أيّة حال، فنحن لا نرى أي مانع الالتزام بالرواية، وأن مجيء العائلة كان في يوم الأربعين، فمن الناحية التاريخية كان دخول السبايا إلى الشام في أوَّل يوم من صفر كما رواه الكفعمي والبهائي والمحدّث الكاشاني، وكان بقاؤهم في الشام خمسة أو سبعة أيّام، ثُمَّ عودتهم إلى كربلاء، مع ملاحظة أنَّ ذهابهم كان أكثر من ذلك، لتوقّفهم في الكوفة، ولأنّهم كانوا يريدون التفرّج عليهم في رحلة الذهاب، بخلاف ذلك في رحلة العودة، وعلى أيّ حال، فإنّ خمسة عشر يوماً، أو ثلاثة عشر يوماً كافية للوصول إلى كربلاء في رحلة العودة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 خبر وصول قافلة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 يوم الأربعين هو خبر تفرَّد بنقله ابن طاووس، إلاّ أنَّ ذلك لا يدل على كذب الخبر وتحريفه، فلعلَّ السيد بن طاووس قد نقل ذلك عن كُتب لم تصل إلينا، كما ينقل ذلك السيد بن طاووس نفسه بأنَّ المصادر توفّرت عنده كثيرة جداً، لكنَّها لم تصل بأيدينا، وعلى هذا الأساس، فاذا ذكر أحد المتقدّمين واقعة تاريخية، مع كون الناقل غير منحرف في عقيدته، فلا يصحّ اعتبار تلك الواقعة كذباً وتحريفاً، فضلاً عن أنَّ شأن السيد بن طاووس أجلّ من أن يُتَّهم باختراع الأكاذيب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ذهب إلى استبعاد وصول قافلة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 يوم الأربعين، كالشيخ الطوسي والعلّامة الحلّي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فذهابه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ذلك مجرد استبعاد فقط، فهم لم يجزموا بعدم وصول القافلة في يوم الأربعين، ولا يخفى الفرق بين الاستبعاد والجزم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هذا، فلا يصحّ القول بأنّ زيارة الحسين وإقامة العزاء يوم الأربعين بأنَّه بدعة، وأنه إدخال شيء ليس من الدين في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ما تقدَّم من الفرق بين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الأربعين،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وردت في الروايات وقامت عليها سيرة المتشرّعة، وبين وصول القافلة يوم الأربعين</w:t>
      </w:r>
      <w:r>
        <w:rPr>
          <w:rFonts w:eastAsia="Amiri" w:cs="Amiri" w:ascii="Amiri" w:hAnsi="Amiri"/>
          <w:color w:val="111111"/>
          <w:sz w:val="28"/>
          <w:szCs w:val="28"/>
          <w:rtl w:val="true"/>
          <w:lang w:bidi="ar-SA"/>
        </w:rPr>
        <w:t xml:space="preserve">. </w:t>
      </w:r>
      <w:bookmarkStart w:id="420" w:name="pg1994_19729"/>
    </w:p>
    <w:p>
      <w:pPr>
        <w:pStyle w:val="Heading3"/>
        <w:numPr>
          <w:ilvl w:val="2"/>
          <w:numId w:val="1"/>
        </w:numPr>
        <w:rPr/>
      </w:pPr>
      <w:bookmarkStart w:id="421" w:name="__RefHeading___Toc3920788_3650668749"/>
      <w:bookmarkStart w:id="422" w:name="_Toc152"/>
      <w:bookmarkEnd w:id="420"/>
      <w:bookmarkEnd w:id="421"/>
      <w:r>
        <w:rPr>
          <w:rtl w:val="true"/>
        </w:rPr>
        <w:t>الشُبهة العاشرة</w:t>
      </w:r>
      <w:r>
        <w:rPr>
          <w:rtl w:val="true"/>
        </w:rPr>
        <w:t xml:space="preserve">: </w:t>
      </w:r>
      <w:r>
        <w:rPr>
          <w:rtl w:val="true"/>
        </w:rPr>
        <w:t>عدم وجود مصادر تاريخية لواقعة عاشوراء</w:t>
      </w:r>
      <w:bookmarkEnd w:id="422"/>
    </w:p>
    <w:p>
      <w:pPr>
        <w:pStyle w:val="BookText"/>
        <w:rPr/>
      </w:pPr>
      <w:r>
        <w:rPr>
          <w:rFonts w:ascii="Amiri" w:hAnsi="Amiri" w:eastAsia="Amiri" w:cs="Amiri"/>
          <w:color w:val="111111"/>
          <w:sz w:val="28"/>
          <w:sz w:val="28"/>
          <w:szCs w:val="28"/>
          <w:rtl w:val="true"/>
          <w:lang w:bidi="ar-SA"/>
        </w:rPr>
        <w:t>تفصيل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إنَّ واقعة عاشوراء تفتقر إلى المصادر التاريخية، فإنَّنا حينما نستقرأ المصادر التاريخية القديمة نجد أنَّ أقدم مصدر وثَّق وقائع عاشوراء هو مقتل أبي مخنف، لكنّ الشيء المُؤلم هو أنَّ هذا الكتاب لم يصلنا، وما تبقّى منه أكثره عن طريق الآخرين من غير الشيعة، وخصوصاًَ المؤرِّخ المعروف أبو جعفر الطبري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بشأن شخصية أبي مخنف، الذي يتصدَّر مقتله قائمة أترابه من المقاتل، فهو أبو مخنف لوط بن يحيى الأزدي الغامدي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أصحاب بعض الأئمّة، كالصادق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وله روايات عنه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وكان والده من أصحاب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وجدّه مخنف بن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من صحابة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جدّه عاملاً لأميرالمؤمنين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أصفهان وهمدان في فترة خلافته، وفي معركة الجمل كان مخنف حامل لواء قبيلته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استشهد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هو واثنين من أخوته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ويعدّ أبو مخنف من ثقات المحدّثين، حتى قال عنه ابن النديم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العراق وأخبارها وفتوحها يزيد على غيره</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بشأن ما دوَّنه من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روايات هذا المقتل قد شقَّت طريقها إلى بطون الكتب التاريخية؛ فروى لنا الطبري في تاريخه قسماً كبيراً منها، مع ذكر أسانيدها كاملةً، وتناقلها عنه سائر المؤرّخين، ومن الممكن تحصيل جلّ هذه الروايات في مؤلّفات أبي الفرج الأصفهاني، والشيخ المفيد، ومسكويه والرازي، وأبي حنيفة الدينوري، والبلاذري، وابن كثير، لكنّ هذه الكتب وإن لم تذكر مصدرها في النقل، إلاّ أنَّ وحدة مضمون النصوص بينها تكشف رجوعها إمّا إلى تاريخ الطبري أو مقتل أبي مخنف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الخصوصيات التي تتميّز بها روايات أبي‌مخنف هي اتّصالها بشاهد العيان، بواسطة أو واسطتين فقط؛ وذلك لأنَّه قد دوَّن مقتله بعد أقلّ من ستين أو سبعين عاماً على الحادثة، وفي هذه المدّة كانت واقعة عاشوراء حديث الناس في المجالس والأسواق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هذه الميزة من أهمّيةٍ عند الباحث التاريخي، إذ قلّما يحظى مصدر تاريخي بهذا التوثيق المباشر والسريع، لا سيما في تلك الحقب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رواة الواقعة لا ينحصر فيما رواه أبو مخنف من روايات، بل هناك العديد من الرواة لهذه الواقعة، وفيما يلي نشير إلى لمحة إجمالية عن رواة الواقعة، ومنهم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وردت عنه روايات متعدّدة تكشف عن تفاصيل هامّة فيما حصل في ليلة عاشوراء وما أعقبها من أحداث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كان له من العمر ثلاث أو أربع سنوات، فقد روى أيضاً عدداً من روايات الواقعة وما أعقبها من 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غير ما استُشهد منهم، حيث نجا بعضهم ووقعوا في أسر الأعداء، من قبيل عمرو بن الحسن </w:t>
      </w:r>
      <w:r>
        <w:rPr>
          <w:rStyle w:val="FootnoteAnchor"/>
          <w:rtl w:val="true"/>
        </w:rPr>
        <w:footnoteReference w:id="237"/>
      </w:r>
      <w:r>
        <w:rPr>
          <w:rFonts w:ascii="Amiri" w:hAnsi="Amiri" w:eastAsia="Amiri" w:cs="Amiri"/>
          <w:color w:val="111111"/>
          <w:sz w:val="28"/>
          <w:sz w:val="28"/>
          <w:szCs w:val="28"/>
          <w:rtl w:val="true"/>
          <w:lang w:bidi="ar-SA"/>
        </w:rPr>
        <w:t xml:space="preserve">، والحسن المثنى، زوج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ذهب إلى القتال فقاتل حتى قتل منهم سبعة عشر رجلاً، ولمَّا أثقلته الجراحات سقط بين القتلى، فظنَّ العدوّ أنّه قد مات </w:t>
      </w:r>
      <w:r>
        <w:rPr>
          <w:rStyle w:val="FootnoteAnchor"/>
          <w:rtl w:val="true"/>
        </w:rPr>
        <w:footnoteReference w:id="239"/>
      </w:r>
      <w:r>
        <w:rPr>
          <w:rFonts w:ascii="Amiri" w:hAnsi="Amiri" w:eastAsia="Amiri" w:cs="Amiri"/>
          <w:color w:val="111111"/>
          <w:sz w:val="28"/>
          <w:sz w:val="28"/>
          <w:szCs w:val="28"/>
          <w:rtl w:val="true"/>
          <w:lang w:bidi="ar-SA"/>
        </w:rPr>
        <w:t xml:space="preserve">، وحينما جاؤوا لحزِّ الرؤوس عن الأجساد وجدوه حياً، وكان خاله أسماء بن خارجة حاضراً في جيش ابن سعد، فطلب منهم أن يهبوا له ابن أُخته </w:t>
      </w:r>
      <w:r>
        <w:rPr>
          <w:rStyle w:val="FootnoteAnchor"/>
          <w:rtl w:val="true"/>
        </w:rPr>
        <w:footnoteReference w:id="240"/>
      </w:r>
      <w:r>
        <w:rPr>
          <w:rFonts w:ascii="Amiri" w:hAnsi="Amiri" w:eastAsia="Amiri" w:cs="Amiri"/>
          <w:color w:val="111111"/>
          <w:sz w:val="28"/>
          <w:sz w:val="28"/>
          <w:szCs w:val="28"/>
          <w:rtl w:val="true"/>
          <w:lang w:bidi="ar-SA"/>
        </w:rPr>
        <w:t>، إلى أن يصل إلى ابن زياد ليقرّر مصيره، فوهبوه له، وبعد معالجة جراحاته أرسله خاله إلى المدينة، وقد كان الحسن المثنّى شاهداً على الواقعة برمَّتها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 وأزواجه، وأقرباء بعض الشهداء ممَّن وقع في الأسر، وكذلك مَن بقي من عوائل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شهدوا فاجعة عاشوراء وما أعقبها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المقاتلين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نجوا من القتل لأسباب ذكرتها كتب السير والتاريخ، وهم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عبد الرحمن عبد ربّه الأنصاري الخزرجي، حيث إنّه كان </w:t>
      </w:r>
    </w:p>
    <w:p>
      <w:pPr>
        <w:pStyle w:val="BookText"/>
        <w:rPr/>
      </w:pPr>
      <w:r>
        <w:rPr>
          <w:rFonts w:ascii="Amiri" w:hAnsi="Amiri" w:eastAsia="Amiri" w:cs="Amiri"/>
          <w:color w:val="111111"/>
          <w:sz w:val="28"/>
          <w:sz w:val="28"/>
          <w:szCs w:val="28"/>
          <w:rtl w:val="true"/>
          <w:lang w:bidi="ar-SA"/>
        </w:rPr>
        <w:t xml:space="preserve">حاضراً في كربلاء بُصحبة مولاه عبد الرحمن، وروى بعض وقائع عاشوراء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سمعان، الذي وقع في أسر ابن زياد يوم عاشوراء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ثمامة الأسدي، بعدما وقع في الأسر، جاءت قبيلته وخلّصته من الأسر واصطحبوه معهم إلى الكوفة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عبدالله المشرقي الهمداني، حيث قاتل جيش ابن سعد حتى اللحظة الأخيرة، ومن ثمَّ وجد لنفسه مهرباً من المعركة، وعاش بعد الحادثة مدّة طويلة روى فيها وقائع كثيرة عن الحادثة، وممَّن رووا عنه أبو مخنف، حيث روى عنه مجموعةً من الروايات، بحسب نقل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آخرين كانوا في جيش عمر بن سعد، من قبيل حميد بن مسلم، وشبت بن ربعي، الذي عاش تحت وطأة الضمير وعذاباته </w:t>
      </w:r>
      <w:r>
        <w:rPr>
          <w:rStyle w:val="FootnoteAnchor"/>
          <w:rtl w:val="true"/>
        </w:rPr>
        <w:footnoteReference w:id="244"/>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عدد من المصادر التاريخية التي نقلت بعض وقائع عاشوراء دون ذكر الأسانيد، وما يسترعي الالتفات إليه هو أنَّ هذه الروايات تلتقي مع تلك النصوص في المضمون ذاته، من قبيل ما ذكره الصدوق في أماليه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وابن أعثم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الفتوح، واليعقوبي في تاريخه، والمسعودي في مروج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المقاتل الأُخرى التي لم تصل إلينا، كمقتلٍ للأصبغ ابن نباته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أصحاب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مقتل الحسين المنسوب لهشام الكلبي، أحد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ومقتل لجابر الجعفي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من المعاصرين للأئمَّة أيضاً، لكن لم يصلنا منه سوى الاسم والعنوان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هذه الوفرة في العناوين ومؤلّفيها إن دلَّت على شيء، فإنَّما تدلّ على اهتمام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 بقضية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والتأكيد على نشر مبادئها، وحرصهم على توثيق الحادثة والحفاظ على حقائقها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كانت في مقابل هذه المساعي الحميدة لصيانة تاريخ الحسين ورسالته، محاولات خبيثة يمارسها الأمويّون وسائر سلاطين الجور، لتحريف خط عاشوراء ودسّ السم بين طياته لمحو حقيقته الخالدة عن صفحات التاريخ؛ ولهذا السبب فقدت المكتبة التاريخية العديد من الرسائل والمدوَّنات في القرون الأُولى، على أنَّ ما وصلنا من أحاديث وروايات في هذا المجال ليس قاصراً عن المطلوب، بل كفيل بغرض التوثيق</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لايخفى أثر ودور وصايا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وتوجيهاتهم في خصوص واقعة عاشوراء ونشر تعاليمهما، فهناك الكثير من الروايات المتواترة المتعلّقة بكربلاء، ونصوص يتّصل سندها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3" w:name="pg1994_19735"/>
      <w:bookmarkStart w:id="424" w:name="pg1994_19735"/>
      <w:bookmarkEnd w:id="424"/>
    </w:p>
    <w:p>
      <w:pPr>
        <w:pStyle w:val="Heading3"/>
        <w:numPr>
          <w:ilvl w:val="2"/>
          <w:numId w:val="1"/>
        </w:numPr>
        <w:rPr/>
      </w:pPr>
      <w:bookmarkStart w:id="425" w:name="pg1994_19735"/>
      <w:bookmarkStart w:id="426" w:name="__RefHeading___Toc3920790_3650668749"/>
      <w:bookmarkStart w:id="427" w:name="_Toc153"/>
      <w:bookmarkEnd w:id="425"/>
      <w:bookmarkEnd w:id="426"/>
      <w:r>
        <w:rPr>
          <w:rtl w:val="true"/>
        </w:rPr>
        <w:t>الشبهة الحادية عشر</w:t>
      </w:r>
      <w:r>
        <w:rPr>
          <w:rtl w:val="true"/>
        </w:rPr>
        <w:t xml:space="preserve">: </w:t>
      </w:r>
      <w:r>
        <w:rPr>
          <w:rtl w:val="true"/>
        </w:rPr>
        <w:t>لا دليل على لبس السواد في عاشوراء</w:t>
      </w:r>
      <w:bookmarkEnd w:id="427"/>
    </w:p>
    <w:p>
      <w:pPr>
        <w:pStyle w:val="BookText"/>
        <w:rPr/>
      </w:pPr>
      <w:r>
        <w:rPr>
          <w:rFonts w:ascii="Amiri" w:hAnsi="Amiri" w:eastAsia="Amiri" w:cs="Amiri"/>
          <w:color w:val="111111"/>
          <w:sz w:val="28"/>
          <w:sz w:val="28"/>
          <w:szCs w:val="28"/>
          <w:rtl w:val="true"/>
          <w:lang w:bidi="ar-SA"/>
        </w:rPr>
        <w:t>تفصيل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البعض إنَّ لبس السواد حزناً على الإمام الحسين في عاشوراء وبقية مناسبات عزاء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وهو يتنافى مع الفتوى المعروفة في فقهنا بكراهة لبس السواد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ريب، ولا خلاف بين الشيعة الإمامية، في أنَّ لبس السواد من أوضح مصاديق تعظيم الشعائر التي أمرنا الله تعالى بتعظيمها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ومَن يُعظِّم شعائر الله فإنَّها من تقوى القلوب، وكذلك أنَّها من مظاهر الجزع الذي دلَّت النصوص الكثيرة التي تقدمت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ثبوت كراهة لبس السواد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يعني قلّة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مخصَّصة بغير ما كان لإظهار الحزن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للروايات المتضافرة التي دلَّت على الأمر بإظهار شعائر الأحزان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نظرةً عاجلة للروايات الناهية عن لبس السواد، نجد أنَّها ناظرة إلى كون السواد بمعنى التشبّه بجبابرة بني العباس، الذين اتَّخذوا السواد لباساً رسمياً لهم، وأجبروا المسلمين عليه، أمّا في العصور والأزمان التي لاتشير إلى هذا الشعار، فمن الواضح أنَّ الكراهة ترتفع لارتفاع ملاكها، </w:t>
      </w:r>
    </w:p>
    <w:p>
      <w:pPr>
        <w:pStyle w:val="BookText"/>
        <w:rPr/>
      </w:pPr>
      <w:r>
        <w:rPr>
          <w:rFonts w:ascii="Amiri" w:hAnsi="Amiri" w:eastAsia="Amiri" w:cs="Amiri"/>
          <w:color w:val="111111"/>
          <w:sz w:val="28"/>
          <w:sz w:val="28"/>
          <w:szCs w:val="28"/>
          <w:rtl w:val="true"/>
          <w:lang w:bidi="ar-SA"/>
        </w:rPr>
        <w:t>وهو التشبّه بجبابرتهم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فكراهة السواد في الروايات غير ناظرة إلى لبس السواد حزناً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حيث ثبت تاريخياً أنَّ العباسيّين اتَّخذوا الرايات السود شعاراً لهم في حركتهم، وذلك لأجل إيهام الناس بأنَّهم المقصودون من أحاديث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والرايات السود التي تمهّد له من المشرق، ثُمَّ قاموا بأمر أنصارهم بلبس الثياب السود، بذريعة أنَّه حزن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ولهذا عُرفوا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المسودة</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وبعد أن أحكموا سيطرتهم على السلطة، أجبروا أعضاء دولتهم بلبس السواد، وبعد ذلك أجبروا الناس بلبس السواد، ومن الروايات التي تشير إلى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أبى طالب، عن تاريخ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إبراهيم الإمام أنفذ إلى أبي مسلم لواء النصرة وظلّ السحاب، وكان أبيض طوله أربعة عشر ذراعاً، مكتوب عليه بالحبر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بِأَنَّهُمْ ظُلِمُوا وَ إِنَّ اللَّهَ عَلى نَصْرِهِمْ 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فأمر أبو مسلم غلامه أرقم أن يتحوّل بكل لون من الثياب، فلمّا لبس السواد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هيبة، فاختاره خلافاً لبني أُميّة وهيبة للناظر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السواد حداد آل محمد وشهداء كربلاء، وزيد ويحيى</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أبو الفرج الأصفهاني في مقاتل الطالبيين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يحيى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أهل الكوفة أيام أخذوا بلبس السواد، حتى أنَّ البقالين إن كان أحدهم ليصبغ الثوب بالأنقاس ثُمَّ يلبسه</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والأنقاس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الحبر الأسود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موضع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عبدالله بن الحسين بن عبدالله بن إسماعيل‌بن عبدالله بن جعفر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من لبس السواد وخرقه لمّا طُولب بلبسه، فحبس بسُرَّ مَن رأى حتى مات في حبسه، رضوان الله عليه</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كثير في 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 الأوزاعي بالمنصور حين دخل الشام، ووعظه وأحبَّه المنصور وعظّمه، ولمّا أراد الانصراف من بين يديه، استأذنه أن لا يلبس السواد فأذن له، فلمّا خرج قال المنصور للربيع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الحقه فاسأله لِمَ كره لبس السواد، ولا تُعلمه أنّي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الربيع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لم أرَ مُحرماً أحرم فيه، ولا ميتاً كُفّن فيه، ولا عروساً جليت فيه، فلهذا أكرهه</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اليعقوبي في تاريخه، والمسعودي في التنبيه والأشراف تفاصيل كثيرة في هذا المجال، كلها تشير إلى أنَّ بني‌العباس اتَّخذوا السواد شعاراً لهم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المعصوم وتقريره في جواز لبس السواد حزناً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هنالك عدد وافر من الروايات تؤكّد أنَّ الأئمّة المعصومين قد لبسوا السواد حزناً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هذه الروايات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المجلسي عن البرقي في كتاب المحاسن، أنَّه روى عن عمر ابن زين‌العابدين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جدي الحسين المظلوم الشهيد، لبس نساء بني‌هاشم في مأتمه ثياب السواد، ولم يغيّرنها في حرٍّ أو برد، وكان الإمام زين‌العابدين يصنع لهنّ الطعام في المأتم</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الحرّ العاملي في وسائل الشيعة، عن الحسن بن ظريف بن ناصح، عن أبيه، عن الحسين بن زيد، عن عمر بن علي بن الحسين،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لبس نساء بني‌هاشم السواد والمسوح، وكنّ لايشتكين من حرٍّ ولا برد، 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لهنَّ الطعام للمأتم</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المجلسي في البحار</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فلمّا أصبح استدعى حرم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عندي، أو الرجوع إلى المدينة؟ ولكم الجائزة السَنية،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أوَّلا أن ننوح على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ما بدا لكم، ثُمَّ أُخليت لهن الحجر والبيوت في دمشق، ولم تبقَ هاشمية ولا قرشية إلاّ ولبست السواد على الحسين، وندبوه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أيّام، فلمّا كان اليوم الثامن، دعاهنَّ يزيد، وعرض عليهنّ المقام فأبين، وأرادوا الرجوع إلى المدينة، فأحضر لهم المحامل وزيَّنها وأمر بالأنطاع الأبريسم</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رجع الحسن من دفن أبيه، خرج إلى الناس ليخطب فيهم وعليه ثياب سُود، وهو يبكي لفقد أبيه</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أبي الحديد أيضاً أنَّ الإمام الحسن والحسين لبسا السواد على</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أبيهما ستّة أشهر </w:t>
      </w:r>
      <w:r>
        <w:rPr>
          <w:rStyle w:val="FootnoteAnchor"/>
          <w:rtl w:val="true"/>
        </w:rPr>
        <w:footnoteReference w:id="255"/>
      </w:r>
      <w:r>
        <w:rPr>
          <w:rFonts w:ascii="Amiri" w:hAnsi="Amiri" w:eastAsia="Amiri" w:cs="Amiri"/>
          <w:color w:val="111111"/>
          <w:sz w:val="28"/>
          <w:sz w:val="28"/>
          <w:szCs w:val="28"/>
          <w:rtl w:val="true"/>
          <w:lang w:bidi="ar-SA"/>
        </w:rPr>
        <w:t>، وغير ذلك من الروايات الكثيرة، ممّا تشاركها في المضمون ذاته</w:t>
      </w:r>
      <w:r>
        <w:rPr>
          <w:rFonts w:eastAsia="Amiri" w:cs="Amiri" w:ascii="Amiri" w:hAnsi="Amiri"/>
          <w:color w:val="111111"/>
          <w:sz w:val="28"/>
          <w:szCs w:val="28"/>
          <w:rtl w:val="true"/>
          <w:lang w:bidi="ar-SA"/>
        </w:rPr>
        <w:t xml:space="preserve">. </w:t>
      </w:r>
      <w:bookmarkStart w:id="428" w:name="pg1994_19739"/>
    </w:p>
    <w:p>
      <w:pPr>
        <w:pStyle w:val="Heading3"/>
        <w:numPr>
          <w:ilvl w:val="2"/>
          <w:numId w:val="1"/>
        </w:numPr>
        <w:rPr/>
      </w:pPr>
      <w:bookmarkStart w:id="429" w:name="__RefHeading___Toc3920792_3650668749"/>
      <w:bookmarkStart w:id="430" w:name="_Toc154"/>
      <w:bookmarkEnd w:id="428"/>
      <w:bookmarkEnd w:id="429"/>
      <w:r>
        <w:rPr>
          <w:rtl w:val="true"/>
        </w:rPr>
        <w:t>خلاصة الفصل الثالث</w:t>
      </w:r>
      <w:bookmarkEnd w:id="4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تحريف عاشوراء من خلال الكذب على المنابر، من قبيل قولهم إنَّ عدد الذين حاربوا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ستمائة ألف من الخيالة، ومليوناً من المُشاة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ونحو ذلك من الأخبار الكاذبة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إثبات ما وقع في عاشوراء لا يتوقّف على وجود سند صحيح، لأنَّ ثبوت أية قضية تاريخية لا يتوقّف على وجود سند صحيح وِفق المصطلح الرجالي، وإنّما يكفي الوثوق بصدورها، بل يكتفي البعض بعدم وجود داع إلى الكذب لصحّة الأخذ بالرواية، وعلى هذا الأساس، فلا يصحّ إنكار ورفض أي واقعة بذريعة عدم وجود سند صحيح على 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يربط منها بحُكمٍ شرعي أو نسبة شيء الى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لابد أن يخضع لموازين الرواية في أحكام الاستنباط</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الكذب المحرَّم في نقل واقعة عاشوراء، بأن يقرأ القارئ خبراً من تأليف نفسه وينسبه إلى غيره، وإمّا أن يعلم القاريء بأنَّ ما ينقله كذب، وإن كان كلاما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فرض أن يأتي خطيب بخبرٍ من تأليف نفسه بعيد جداً، ولم نسمع أحداً من أصحاب المنابر، حتى </w:t>
      </w:r>
    </w:p>
    <w:p>
      <w:pPr>
        <w:pStyle w:val="BookText"/>
        <w:rPr/>
      </w:pPr>
      <w:r>
        <w:rPr>
          <w:rFonts w:ascii="Amiri" w:hAnsi="Amiri" w:eastAsia="Amiri" w:cs="Amiri"/>
          <w:color w:val="111111"/>
          <w:sz w:val="28"/>
          <w:sz w:val="28"/>
          <w:szCs w:val="28"/>
          <w:rtl w:val="true"/>
          <w:lang w:bidi="ar-SA"/>
        </w:rPr>
        <w:t>من الدرجات الدُنيا، أو من غير أهل الورع، مَن نقل خبراً من تأليف نفسه، أو يعلم بأنَّه كذب، وإنّما ينقل عن غيره من نَقَلَة الحديث الموثوق بهم، غير المعلوم عنده كذب حديثهم، وعهدة ذلك تقع على راويه، لا على الناقل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ادُّعي من الأخبار المكذوبة، لو سلَّمنا بها، لوجدنا تلك الأخبار لا تتجاوز أصابع اليد الواحدة، في تلك الواقعة التي تبلغ مجريات الأحداث فيها وما سبقها ولحقها المئات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ادُّعي من الأخبار الكاذبة لم تك بتلك الدرجة من الأهمّية، بحيث يمكن وصف الواقعة بالكذب والتحريف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من الأخبار التي ادُّعي أنَّها أخبار كاذبة، لم تكن كذلك، وإنَّما هي أخبار ضعيفة، وتقدّم أنَّ الخبر الضعيف لا دليل على كذبه واقعاً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التحريف في عاشوراء اعتماداً على قاعدة التسامح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وقائع عاشوراء لم تتضمّن أحكاماً إلزامية ليُنظر في سندها، ولا حُكماً غير إلزامي ليقع الكلام في تحكيم أخبار التسامح في أدلّة السنن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آنفاً أنَّ ثبوت الحقيقة التاريخية لا يخضع لضابطة استنباط الأحكام الشرعية، وإنَّما يخضع لسنخٍ آخر من التعامل مع القضايا التاريخية وما جرى في التاريخ، والسير والقصص والمواعظ والفضائل، وهو أن يكون الضرر فيها مأموناً، على تقدير كذبه في نفس الأمر، وأن لا يكون ممّا لا تنفيه فطرة العقول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نسبة كلمات الى الإمام الحسين لا تليق بمقامه، كقول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لأخته زينب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أُخيّة، كسرتِ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اسقوني شربة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ناصر ينصرني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 ذلك من الكلمات البعيدة كل البُعد عن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دليلهم على عدم صدور ذلك ليس سوى الاستبعاد، ومجرّد الاستبعاد لا يصلح دليلاً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يبيّن ذلك للناس ويُطلعهم على حقيقة هؤلاء 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يفهم فلسفة عاشوراء لا يتفوّه بمثل هذه الادّعاءات البعيدة؛ لأنّ من جملة أهدافها هي إثارة عواطف الناس، ومن الواضح أنَّ تأجيج العاطفة يساهم في إشعال روح الحماسة لدى الناس، ممّا يدفعهم الى رفض الظلم والظالمين، ونبذ الخوف والذلّ، والوقوف بوجه كل يزيد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التحريف في هدف الثورة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الهدف الأساس من الثورة الحسينية هو الحماسة والثورة والجهاد ضدّ الظلمة، لكنَّهم حصروه بالبكاء، الى أن قيل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 أجل أن يبكى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عنصري العاطفة و الحماسة عنصران متلازمان لا ينفكان، وكلّما ازدادت العاطفة نتج عن ذلك إثارة بركان الحماسة والوقوف بوجه الظلمة، وما يشهد لذلك قوة محاربة الظلمة لهذه الشعائر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عظم الفاجعة أكبر وأفجع من أن يتصوّر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لا تزال حيةً تستجري دموع العيون على ما انقضى من عمرها من 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من الأثر والأهمّية ما أبكى أولياء الله ورُسله قبل وقوعها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صياح النساء و عويلهنّ بمسمع من الرجال الاجانب حرام؛ لان صوتهنَّ عورة وعليه فيجب عدم السماع لذلك فى الشعائر الحسينيه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لادليل على حرمة السماع، واما الاستماع فقد وقع البحث فيه فجوزّه البعض بشرط عدم التلذذ والريبة وقد عدّ بعضهم الصياح من مصاديق الجزع، فحرّمه لذلك لكن يردّ، الثابت من بكاء 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تاذى منها اهل المدينه فكلموا الامام فى ذلك ولازمه‌انه كان بصوت مسموع يتأذى منه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ان البكاء بصوت الصياح والصراخ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 الدليل الخاص على استحبابه وهو مجموعة من الروايات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سيرة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عقدوا مجالس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منازلهم وضوبوا ستراً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كانت اصواتها عند البكاء تُسمع من الحاضرين ومضافاً ايضاً الى أن مقتضى القواعد الاصولية هو عدم الحرمة فى المورد؛ فلا يحرم الواجب المقارن للحرام مالم يكن مقارناً لذات الواجب والاّ لحرمت الصلاة حال النظر الى الاجنبيّة اثناء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السادسة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ورد في زيارة الناحية غير معقول، حيث ورد في زيارة الناحية قول </w:t>
      </w:r>
    </w:p>
    <w:p>
      <w:pPr>
        <w:pStyle w:val="BookText"/>
        <w:rPr/>
      </w:pPr>
      <w:r>
        <w:rPr>
          <w:rFonts w:ascii="Amiri" w:hAnsi="Amiri" w:eastAsia="Amiri" w:cs="Amiri"/>
          <w:color w:val="111111"/>
          <w:sz w:val="28"/>
          <w:sz w:val="28"/>
          <w:szCs w:val="28"/>
          <w:rtl w:val="true"/>
          <w:lang w:bidi="ar-SA"/>
        </w:rPr>
        <w:t xml:space="preserve">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فخرجنَ من الخدور ناشرات 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بعيد لمنافاته ولزوم الستر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توجيه هذه العبارة بما يلي</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خروج النساء أمام الأجانب، بل خرجن الى ما يقرب من المخيمات الأُخرى، لا سيما مع ما ورد من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بأن تُجعل خيام النساء متوسّطة في المخيم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اللاتي خرجنَ لسنَ من نساء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إحياء عاشوراء فتنة تفرّق المسلمين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للعزاء الحسيني في مختلف الظروف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العلاقة الوثيقة بين التاريخ والعقيدة، وذلك لأنَّ الإنسان المسلم لا يتسنّى له الاطّلاع على الحق والحقيقة من دون الوقوف على تاريخ ذلك الدين أو المذهب الذي ينتمي اليه، مضافاً الى أنَّ الإنسان مسؤول عمّا يتَّخذه من مواقف تجاه الآخرين، سواء كانوا في الماضي أم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التاريخ لأجل الاعتبار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التنافي بين علم الإمام بالغيب وبين إلقاء نفسه بالتهلكة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ما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وصلوا إليهم من درجة عالية من العصمة والقُرب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يقدمون على امتثال ما </w:t>
      </w:r>
    </w:p>
    <w:p>
      <w:pPr>
        <w:pStyle w:val="BookText"/>
        <w:rPr/>
      </w:pPr>
      <w:r>
        <w:rPr>
          <w:rFonts w:ascii="Amiri" w:hAnsi="Amiri" w:eastAsia="Amiri" w:cs="Amiri"/>
          <w:color w:val="111111"/>
          <w:sz w:val="28"/>
          <w:sz w:val="28"/>
          <w:szCs w:val="28"/>
          <w:rtl w:val="true"/>
          <w:lang w:bidi="ar-SA"/>
        </w:rPr>
        <w:t>عليهم من تكاليف إلهية وإن علموا أنَّها سوف تودي بحياتهم، وتعرّضهم إلى القتل والأذى والدمار وسبي العيال</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بمصيره، لكنَّ ذلك لا يدخل تحت عنوان إلقاء النفس بالتهلكة؛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بتكليفه من لزوم القيام بتلك المهمّة الجهادية الموكولة إليه، للمصلحة الإسلامية العُليا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الأربعين بِدعة؛ لأنَّ السجّاد لم يلتقِ بالصحابي جابر الأنصاري في كربلاء، لانَّه من البعيد أن تصل عائلة الحسين إلى كربلاء يوم الأربعين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أنَّ يوم الأربعين هو يوم الزيارة وتجديد العزاء على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يوم زيارة لسيد الشهداء، وأنَّها من علامات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وصول قافلة السبايا يوم الأربعين لم يتفرّد به ابن طاووس، فقد روى الخبر كل من الشيخ المفيد في مسار الشيعة، والشيخ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وذكره أيضاً كل من البيروني في الآثار الباقية</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وعليه فلا مانع من الالتزام بالرواية وأنّ مجيء العائلة كان في يوم الأربعين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تفرّد ابن طاووس بنقل الخبر، إلاّ أنَّ ذلك لا يدلّ على كذب الخبر وتحريفه، فلعلّ السيد بن طاووس قد نقل ذلك عن كُتب لم‌تصل إلينا، كما ينقل ذلك السيد بن طاووس نفسه بأنَّ المصادر توفّرت عنده كثيرة جداً، لكنّها لم تصل بأيدينا، فضلاً عن أنَّ شأن السيد بن طاووس أجلّ من أن يُتَّهم باختراع الأكاذيب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ذهبوا إليه هو مجرَّد استبعاد فقط، والاستبعاد لايصلح دليلاً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وجود مصادر تاريخية لواقعة عاشوراء، والمصدر الوحيد هو مقتل أبي مخنف، وهو لم يصل إلينا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هذا المقتل قد شقَّت طريقها إلى بطون الكتب التاريخية؛ فروى لنا الطبري في تاريخه قسماً كبيراً منها، مع ذكر أسانيدها كاملةً، وتناقلها عنه سائر المُؤرّخين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رواة الواقعة لا ينحصر فيما رواه أبو مخنف، بل هناك العديد من الرواة لهذه الواقعة، من قبيل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وأبناء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غير ما استشهد منهم، وأبناء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 وأزواجه، وأقرباء بعض الشهداء ممَّن وقع في الأسر، والمقاتلين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نجوا من القتل، مضافاً الى آخرين كانوا في جيش عمر بن سعد، من قبيل حميد بن مسلم، وشبث بن ربعي،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عدد من المصادر التي نقلت بعض وقائع عاشوراء دون ذكر الأسانيد، من قبيل ما ذكره الصدوق في أماليه، وابن أعثم الكوفي في كتاب الفتوح، واليعقوبي في تاريخه، والمسعودي في مروج الذهب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الحادى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دليل على لبس السواد في عاشوراء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لبس السواد من أوضح مصاديق تعظيم الشعائر التي أمرنا الله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 بتعظيمها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 مَنْ يُعَظِّمْ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أنّها من </w:t>
      </w:r>
    </w:p>
    <w:p>
      <w:pPr>
        <w:pStyle w:val="BookText"/>
        <w:rPr/>
      </w:pPr>
      <w:r>
        <w:rPr>
          <w:rFonts w:ascii="Amiri" w:hAnsi="Amiri" w:eastAsia="Amiri" w:cs="Amiri"/>
          <w:color w:val="111111"/>
          <w:sz w:val="28"/>
          <w:sz w:val="28"/>
          <w:szCs w:val="28"/>
          <w:rtl w:val="true"/>
          <w:lang w:bidi="ar-SA"/>
        </w:rPr>
        <w:t>مظاهر الجزع الذي دلَّت النصوص الكثيرة التي تقدمت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ثبوت كراهة لبس السواد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يعني قلّة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مخصَّصة بغير ما كان لإظهار الحزن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الناهية عن لبس السواد نجد أنَّها ناظرة الى كون السواد بمعنى التشبّه بجبابرة بني العباس، أمّا في العصور التي لا تُشير الى هذا الشعار، فإنَّ الكراهة ترتفع؛ لارتفاع ملاكها، وهو التشبُّه بجبابرتهم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عدد وافر من الروايات تؤكّد أنَّ الائمَّة المعصومين قد لبسوا السواد حزناً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431" w:name="pg1994_19747"/>
    </w:p>
    <w:p>
      <w:pPr>
        <w:pStyle w:val="Heading2"/>
        <w:numPr>
          <w:ilvl w:val="1"/>
          <w:numId w:val="1"/>
        </w:numPr>
        <w:rPr/>
      </w:pPr>
      <w:bookmarkStart w:id="432" w:name="__RefHeading___Toc3920794_3650668749"/>
      <w:bookmarkStart w:id="433" w:name="_Toc155"/>
      <w:bookmarkEnd w:id="431"/>
      <w:bookmarkEnd w:id="432"/>
      <w:r>
        <w:rPr>
          <w:rtl w:val="true"/>
        </w:rPr>
        <w:t>المصادر</w:t>
      </w:r>
      <w:bookmarkEnd w:id="4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المرعشي النجفي، قم،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أحكام الجنائز وبدعها، محمد ناصر الألباني،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بيروت، المكتب الإسلامي،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 الشيخ المفيد،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دار المفيد للطباعة والنشر والتوزيع،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الإستيعاب، ابن عبدالبر، علي محمد البجاوي، بيروت، دار الجيل،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الغابة، ابن الأثير، بيروت، دار الكتاب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الإصابة، ابن حجر، الشيخ عادل أحمد عبد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محمد معوض، بيروت، دارالكتب العلمية،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الأغاني، أبوالفرج الأصفهاني، بيروت،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اقبال الأعمال، السيد ابن طاووس، طهران،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الإمتاع، للمقريزي،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الحميد النميسي، بيروت، دار الكتب العلمية،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بحارالأنوار، العلامة المجلسي،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مؤسسة الوفاء،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بدائع الصنائع، أبوبكر بن مسعود الكاشاني،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باكستان، المكتبة الحبيبية،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 ابن كثير، تحقيق وتدقيق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إحياء التراث العربي،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تفسير القرآن، هاشم البحراني، مؤسسة دار المجتبى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الطبري، مراجعة وتصحيح وضبط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من العلماء الأجلاء،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بيروت، مؤسسة الأعلمي للمطبوعات،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الكبير، البخاري، ديار بكر، المكتبة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 ابن واضح اليعقوبي،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 ابن عساكر،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بيروت، دار الفكر للطباعة والنشر والتوزيع،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 الوسيلة، السيد الخميني،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النجف الأشرف، مطبعة الآداب،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 الفقهاء، العلامة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سبط ابن الجوزي، بيروت، مؤسسة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ابن كثير،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بيروت، دارالفكر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الرازي، الرازي،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محمد بن مسعود العياشي،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السيد هاشم الرسولي المحلاتي، طهران، المكتبة العلمية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القرطبي، 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العليم البردوني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 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الموسوي الجزائري، مطبعة النجف،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غريب القرآن، فخر الدين الطريحي،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الطريحي، قم، انتشارات زاهدي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مجمع البيان، أبو علي الفضل بن الحسن الطبرسي،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العلماء والمحققين الأخصائيين،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مؤسسة الأعلمي للمطبوعات،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الطوسي،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طهران، دار الكتب الإسلامية،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 المزي، بيروت، مؤسسة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الثقات، محمد بن حبان التميمي،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مؤسسة الكتب العلمية،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أبوجعفر محمد بن علي بن الحسين بن بابوية،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منشورات الرضي،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الطبري،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العلماء والمحقّقين الأخصائيين،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مؤسسة الأعلمي للمطبوعات،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الشتات، الميرزا القمي،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كيهان،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 الشيخ حسن النجفي،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دارالكتب الإسلامية،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 الصدوق، قم، منشورات جماعة المدرسين التابعة لجماعة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الأقوال في معرفة الرجال، العلامة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في التفسير المأثور، السيوطي، بيروت، دار الفكر،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درر السمطين، الزرندي الحنفي،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المحمودي،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مؤسسة المحمودي للطباعة والنشر،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دلائل النبوة، أبي‌بكر أحمد البيهقي،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المكتب الإسلامي،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الديباج على مسلم، السيوطي، المملكة العربية السعودية، دار ابن عفان للنشر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العقبى، أحمد بن عبدالله الطبري، مكتبة القدسي،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 الطاهرة النبوية، محمد بن أحمد الدولابي،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المبارك الحسن،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الكويت، الدار السلفية،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النجاشي، قم المشرفه، مؤسسة النشر الإسلامي التابعة لجماعة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الفقهية، الأنصاري،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تحقيق تراث الشيخ الأعظم،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الرعاية في احكام الدراية، الشهيد الثاني،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عبدالحسين محمد علي بقال،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مكتبة آية الله العظمى المرعشي النجفي،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 النضير،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أمير المؤمنين للتحقيق،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المسير، ابن الجوزي، المكتب الإسلامي،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سلسة الأحاديث الصحيحة، محمّد ناصر الألباني، الرياض، مكتبة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بيروت، دارالمعرفة،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سيرتنا وسنتنا، الأميني، دار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شرايع الإسلام، المحقق الحلي، تحقيق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صادق الشيرازي،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أمير،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صحيح مسلم، النووي، بيروت، دار الكتاب العربي،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ابن أبي‌الحديد المعتزلي،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أبوالفضل إبراهيم،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الكتب العربية،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الأمالي،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مؤسسة البعثة،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 الجوهري،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العطار،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بيروت، دار العلم للملايين،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سُنن الترمذي، الألباني، الرياض، مكتبة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صراط النجاة، السيد الخوئي،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اصول الفقه، عبدالوهاب خلاف، ط</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الكويت، دار القلم،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عون المعبود، العظيم آبادي، بيروت،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أبوجعفر محمد بن علي بن الحسين بن بابويه الصدوق،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الأعلمي، بيروت، مؤسسة الأعلمي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الأميني،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فارس تبريزيان الحسون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فتاوى علماء الدين حول الشعائر الحسينية، بيروت، مؤسسة المنبر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أحمد بن علي بن حجر أبو الفضل العسقلاني الشافعي، بيروت، دارالمعرفة، </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 ابن أعثم الكوفي،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سهيل زكار، بيروت،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الفروق اللغوية، أبوهلال العسكري،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في معرفة الأئمَّة، ابن الصباغ المالكي، دار الحديث للطباعة والنشر،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ابن النديم البغدادي،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الفهرست، الطوسي، النجف الأشرف، المطبعة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 الفيروز آبادي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الكليني،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الكامل في التاريخ، ابن الأثير، بيروت، دار صادر للطباعة والنشر، دار بيروت للطباعة والنشر،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الزمخشري، منشورات البلاغة، طبعة مصوَّرة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القناع، البهوتي،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عبدالعظيم العناني،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محمد حسن محمد حسن إسماعيل الشافعي،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 منشورات محمد علي بيضون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المتقي الهندي، تحقيق ضبط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صفوة السقا، بيروت، مؤسسة الرسالة،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ابن منظور، قم، نشر أدب الحوزة،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المجازات النبوية، الشريف الرضي،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محمد الزيتي، قم، منشورات مكتبة بصيرتي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أحمد بن محمد بن خالد البرقي،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الحسيني، طهران،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الصفار، بصائر الدرجات، تصحيح وتعليق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ميرزا محسن كوچه باغي، طهران، مطبعة الأحمدي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الكبير، محمد بن جعفر المشهدي،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الأصفهاني،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العكبرية، الشيخ المفيد،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علي‌أكبر الغفاري،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قم المقدسه، مؤسسة النشر الإسلامي التابعة لجماعة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 الميرزا النوري،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مستمسك العروة الوثقى، محسن الحكيم، مكتبة السيد المرعشي،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مستند الشيعة، قم،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أبي‌يعلى،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سليم أسد، دار المأمون للتراث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أحمد بن حنبل، بيروت، دار 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السنة،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الحكم الشرعي والقانون المدني، محمد علي كاشف الغطاء، النجف الأشرف، مطبعة الآداب،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ابن أبي‌شيبة الكوفي،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اللحام،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دارالفكر للطباعة والنشر والتوزيع،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مقاييس اللغة، أبو الحسين أحمد بن فارس زكريا،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مكتبة الإعلام الإسلامي،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 ابن قدامة، بيروت، دار الكتاب العربي للنشر والتوزيع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 في غريب القرآن، الراغب الأصفهاني،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دفتر نشر الكتاب،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 تقديم وإشراف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المظفر،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النجف الأشرف، منشورات المكتبة الحيدرية ومطبعتها،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ابي‌طالب، ابن شهر آشوب،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أساتذة النجف الأشرف، النجف الأشرف، مطبعة الحيدرية،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السنة، ابن تيمية،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رشاد،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كلمات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المعروف للطباعة والنشر،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الموضوعات في الآثار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ودراسة، الحسني، بيروت، دار التعارف للمطبوعات،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الميزان في تفسير القرآن، الطباطبائي، قم المقدسة، منشورات جماعة المدرسين في الحوزة العلمية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الدراية، السيد الصدر،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الغرباوي، قم، اعتماد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ابن الأثير،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الطناحي،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قم، مؤسسة إسماعيليان للطباعة والنشر والتوزيع،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العين في مشهد الحسين، أبو إسحاق الاسفرائيني،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تونس، المنار،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 الحصيني،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بيروت، مؤسسة البلاغ للطباعة والنشر والتوزيع،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الحر العاملي،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وقعة صفين، نصر بن مزاحم المنقري، القاهرة، المؤسسة العربية للطبع والنشر</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ابن تيميه،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أبوالحسين احمد بن فارس زكريا،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محمد بن عبد القادر،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شريف الرضى،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الرضوي،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الإسلام، محقق حلى،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علامه حلى،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للطبرسي،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 المباركفوري،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ابن الجوزي،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النووي،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الديباج على مسلم، السيوطي،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عون المعبود، العظيم آبادي،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المصنف، ابن أبي شيبة الكوفي،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القناع، البهوتي،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المجموع، النووي،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المغني، ابن قدامة،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أبوبكر الكاشاني،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ابن قدامة،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النووي،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النووي،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ابن قدامة،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فارس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والراء والفاء أصلان صحيحان يدل أحدهما على تتابع الشيء متصلاً بعضه ببعض، والآخر يدل على السكون والطمأنينة، فالأوّل العُرف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وسُمّي بذلك لتتابع الشعر عليه، ويقال جاءت القطا عرفاً عرفاً،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بعضها خلف بعض، ومن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وجمعها عرف، وهي أرض منقادة مرتفعة بين سهلتين تنبت كأنّها عرف فرس، ومن الشعر في ذلك، والأصل الآخر المعرفة والعرفان،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فلان فلاناً عرفاناً ومعرفة، وهذا أمر معروف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الرائحة الطيبة، وهي القياس، لأنَّ النفس تسكن إليها،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أطيب 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سبحانه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يُدْخِلُهُمُ الْجَنَّةَ عَرَّفَها لَهُمْ أي طيبها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 ذلك من تعاريف اللغويين التي تكشف عن أنَّ للعرف معاني متعدّدة على حسب تصريف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والعرف اصطلاحاً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هنا تعريفات متعدّدة لا يسع المقام لذكرها، لذا نقتصر على بعضها، بالقدر الذي يلامس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عبدالوهاب 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تعارفه الناس وساروا عليه، من قول أو فعل أو ترك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أصول الفقة، عبدالوهاب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الشيخ كاشف‌الغطاء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تعارف بين الناس، فعله أو قوله، وهو المسمّى بالعادة العامة، ويسمّى بالسيرة، مع عدم ردع الشارع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مصادر الحكم الشرعي والقانون المدني، محمد علي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يتَّضح أنّ العرف هو ما تعارف عليه الناس من قول أو فعل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أقسام 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تقسيم العرف حسب موارد استعماله في كلمات الفقهاء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عرف عموم الناس الشامل لغير المتشرعة، وقد يُراد منه عرف بلد خاص أو قبيلة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عرف صنف خاص من الناس، وقد يراد منه عرف خصوص العلماء والفقهاء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المتشرعة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سلوك المسلمين سلوكاً معيناً، بما هم متشرّعة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العملي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بناءُ أهل العرف وسيرتهم العملية، ويعبَّر عنه ببناء العقلاء والسيرة العقلائية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القولي المحاوري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بناء أهل العرف في خصوص المحاورات، وما استقرّ عليه دأبهم في استظهار مرادهم من محاوراتهم الرائجة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أقسام كثيرة للعرف لا يسع المقام لذكرها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هذه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تشخيص بعض المفاهيم، حيث أوكل الشارع أمر تحديدها للعرف، كلفظ الإناء والصعيد والقرء، التي أخذت موضوعاً في لسان 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واستكشاف مراد المتكلّم عند إطلاق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يُستكشَف به الحجية الأُصولية، من قبيل حجّية الظواهر أو الأخذ بقول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من الموارد الكثيرة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 حرمة وفساد بيع المكيل والموزون بجنسه، وبطلان بيع الكالي بالكالي وغيرها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هنالك موارد متعدّدة أرجعها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العرف، كما أشارت إلى ذلك رواياتهم الشريفة،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الحلبي،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في رجل اشترى من رجل طعاماً عدلاً بكيل معلوم، وأنّ صاحبه قال للمشتري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ابتع منّي من هذا العدل الآخر بغير كيل، فإنّ فيه مثل ما في الاخر الذي ابتعت، قال 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يصلح إلاّ بكيل،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كان من طعام سمّيت فيه كيلاً فإنّه لا يصلح مجازفة، هذا ممّا يكره من بيع الطعام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ومحل الشاهد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من طعام سمّيت فيه كيلاً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يُسمّى وما يُطلَق عليه في العرف أنّه مكيل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الحسين، بإسناده عن الحلبي،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من طعام سمّيت فيه كيلاً فلا يصلح بيعه مجازفة، وهذا ممّا يكره من بيع الطعام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أرجع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الطعام مكيلاً أو غير مكيل إلى العرف، لذا قال صاحب الحدائق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 من طعام سمّيت فيه كيلاً، فإنّه لا يصلح مجازفة، هذا مما يكره من بيع الطعام، فإنَّ 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الرجوع في كونه مكيلاً إلى تسميته كيلاً عرفاً، فكلّما وقع التسمية عليه بأنّه مكيل، فلا يجوز بيعه مجازفة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الحدائق الناظرة، المحقق البحراني،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في وضع المكيال عليه عند المخاطب وفي عرفه، وإن لم‌يكن كذلك في عرف الشارع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 ذلك من الموارد التي أرجع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العرف، كما في الدم، وتغيير الماء بوقوع النجاسة،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فقهية عرفية من فقه العامة هنالك موارد كثيرة أرجع فقهاء العامة أحكامها إلى العرف، وإليك بعض أقوالهم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السرخسي في باب السلم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بأس بالسلم في العصير في حينه، وزناً أو كيلاً؛ لأنَّه يُوزَن أو يكال كاللبن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والأصل أنَّ ما عُرف كونه مكيلاً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مكيل أبداً، وإن اعتاد الناس بيعه وزناً، وما عُرف كونه موزوناً في ذلك الوقت، فهو موزون أبداً، وما لم يُعلَم كيف كان، يعتبر فيه عُرف الناس في كل موضع، إن تعارفوا فيه الكيل والوزن جميعاً فهو مكيل وموزون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عند الإمام وأصحابه، وخالفهم أبو يوسف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المعتبر في جميع الأشياء العُرف؛ لأنَّه إنّما كان مكيلاً في ذلك الوقت أو موزوناً في ذلك الوقت باعتبار العُرف لا بنص فيه من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السرخسي، المبسوط،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مالك العُرف هو الفصل في الخصومة بين العامل وربّ المال، وما يتعامل به الناس،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رجل دفع إلى رجل مالاً قراضاً، فربح فيه ربحاً، فقال العامل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قارضتك على أن لي الثلثين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صاحب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قارضتك على أن لك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قوله العامل، وعليه في ذلك اليمين، إذا كان ما قال يشبه قراض مثله الناس ذلك نحواً ممّا يتقارض عليه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جاء بأمر يستنكر، ليس على مثله يتقارض الناس، لم يصدَّق، وردّ إلى قراض مثله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مالك، كتاب الموطأ،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البابرتي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 ما أوجب نقصان الثمن في عادة التجار فهو عيب؛ لأنَّ التضرر بنقصان المالية، ونقصان المالية بانتقاص القيمة، والمرجع في معرفته عُرف أهله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حيث جعل العرف مرجعاً في تشخيص العيب في المبيع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البابرتي، شرح العناية على الهداية، هامش شرح فتح القدير،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احمد بن خالد البرقى،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حاشيته على رسالة الشيخ جعفر 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قديمة</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الشتات، ميرزا القمى،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نصرة المظلوم،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 السيد محسن الحكيم،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الشيخ محمد حسن النجفي،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محمد بن جعفر المشهدي،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الشيخ الصدوق،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هاشم البحرانى،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هاشم البحرانى،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 ابو هلال العسكري،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مادة هلع</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شاكر، إسناده صحيح؛ مجمع الزوائد،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نور الدين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وأبو يعلى والبزار والطبراني، ورجاله ثقات، ولم ينفرد نجي بهذا؛ مسند أبي‌يعلى،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حسين أسد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مسند البزار،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المصنف،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السلسلة الصحيحة للألباني،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قال الألباني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ابن حجر الهيتمي،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تاريخ مدينة دمشق، ابن عساكر،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الذهبي،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القندوزي،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الدر المنثور، السيوطي،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ذخائر العقبى، أحمد بن عبدالله الطبري،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ورجاله رجال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النبوة، البيهقي،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دلائل النبوة، البيهقي،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الزرندي الحنفي،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جامع البيان، الطبري،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ابن الجوزي،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ابن الأثير،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ابن كثير،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أخبار الدول وآثار الأُُوَل، أحمد بن يوسف القرماني،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تاريخ حلب،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ذخائر العقبى، أحمد بن عبد الله الطبري،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السيوطي،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النبوية، محمد بن أحمد الدولابي،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لسان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نظم درر السمطين، الزرندي الحنفي،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البيهقي،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 في مشهد الحسين، أبو إسحاق الإسفراييني،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مجمع الزوائد،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مجمع الزوائد،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تاريخ الشام ترجمة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مقتل الحسين،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الفصول المهمة،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الصواعق المحرقة،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الخصائص الكبرى،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الروض النضير،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تاريخ الإسلام، للذهبي،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الخصائص الكبرى، للسيوطي،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مصابيح السنة، البغوى،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أسد الغابة،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كفاية الطالب،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تاريخ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المستدرك،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نور الأبصار،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سيرتنا وسنتنا للعلامة الأميني،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الجنائز وبدعها،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في هامش القسطاني وزكريا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المجلد الخامس،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نقلاً عن عبد الحسين شرف الدين، المجالس الفاخرة،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منتهى الآمال، تاريخ حضرة سيدالشهداء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الإمتاع للمقريزي،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النبي الأعظم،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ويأتي تشبيه البكاء بحزن القلب هنا للدلالة على اتحادهما في حكم الجواز</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وفاء الوفا، السمهودي،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السيرة الحلبية، باب أبي طالب وخديجة،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المجالس الفاخرة،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ذكر مؤلّف المحاسن مصادر عديدة لهذا الخبر وما يليه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تفسير الطبري،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غرائب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تفسير الرازي،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 الموضوعات في الآثار والأخبار، صص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الصدوق،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عدَّة من متأخري الرجاليين، وهو من الأجلاء</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الشيعة،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الكليني،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الميرزا النوري،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الخوئي، صراط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علماء الدين حول الشعائر الحسينية، صص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الشيخ المفيد،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المنجد في اللغة،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ابن الأثير،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للجوهري،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الصحاح للجوهري،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هتك</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المصدر السابق،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المصدر السابق،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ولأجل بيان حكم الفقيه ينبغي إعطاء لمحة موجزة عن الفرق بين الحكم والفتوى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الحكم والفتوى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بيان الفرق يجدر الالتفات إلى أنّ المقصود من الحكم المبحوث عنه في المقام هو الحكم الولائي الحكومي، لا الحكم التكليفي المنقسم إلى الأحكام الخمسة، ولا الحكم الوضعي، كالصحّة والفساد والملكية والزوجية والطهارة والنجاسة ونحو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تلخيص الفرق بين الحكم والفتوى بما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الفتوى تتعلّق بالحكم الكلّي والحكم يتعلّق بالقضايا الشخصية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الفتوى تتعلّق بالحكم الكلي، ولا ربط لها بالقضية الشخصية الخارجية، نعم يمكن أن يُطلَق عليها لفظ الفتوى توسّعاً ومجازاً، بخلاف الحكم، فإنّه يتعلَّق بالقضايا الجزئية الشخصية، من قبيل حكم الحاكم في موارد إجراء الأحكام الجزائية، من الحدود والقصاص والديات، وكذا الحكم الصادر منه في الأُمور السياسية، أي فيما يرتبط بشؤون الحكومة، كنصب الأُمراء والوزراء ومسؤولي الحكومة، وعملها، وعزلهم، وكذا الحكم الصادر في جهة عمران البلاد وتخطيط المدن، كالحكم بإحداث الطرق وتوسيع الشوارع في أملاك الناس باقتضاء أو تخريب المساجد والبيوت والأماكن الواقعة في مسير الطرق، لما تقتضيه المصلحة والضرورة، وكذا الحكم الصادر في الأمور القضائية، كالحكم في المرافعات لفصل الخصومات وقلع مادة النزاع، كالحكم بتعزير شخص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الواضح أنّ هذه قضايا جزئية وليست كلية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فالحكم يرجع في الحقيقة إلى التطبيق، حكم كلي على مورد جزئي وقع فيه النزاع والخصومة بين المترافعين، فإنَّ إنشاء الإنفاذ من جانب الحاكم يبتني على تطبيقه الحكم الشرعي الكلّي، الذي استنبطه من الأدلة على مورد الإنشاء والإنفاذ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الفتوى، فهي ترجع إلى استنباط المجتهد حكماً شرعياً كلياً من أدلّته التفصيلية، وإعلانه للمقلّدين، على نحو القضية الحقيقية، وإن كانت أحياناً بصورة التطبيق على مورد، بإلقاء قضية شخصية خارجية باقتضاء سؤال السائل، إلا أنَّها ترجع في الحقيقة إلى إعلان حكم 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الفتوى حكم مجعول من الله، والحكم مجعول بإنشاء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الفتوى حكم مجعول من الله تعالى، أمّا الحكم فهو مجعول بإنشاء الحاكم، وبعبارة أُخرى، إنَّ الحكم هو إنشاء إلزام وإنفاذ من جانب القاضي بالاستناد إلى دليل شرعي، ولكن الفتوى إخبار الفقيه عمّا استنبطه من الأدلّة من الحكم الشرعي الكلّي في مقام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ذلك أشار صاحب الجواهر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الحكم إنشاء قول في حكم شرعي متعلّق بواقعة مخصوصة، كالحكم بأنَّ الدار ملك لزيد، وأنّ هلال شهر رمضان سنة كذا قد حصل، ونحو ذلك ممّا هو في قضايا شخصية، والفتوى حكم شرعي على وجه كلّي،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المعاطاة جائزة، أو شخصي يرجع إلى كلي، كقوله لزيد إن صلاتك باطلة، لأنَّك تكلّمت فيها مثلاً، إذ مرجعه إلى بطلان صلاة مَن تكلّم في صلاته، وزيد منهم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السيد الخوئي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 بينه وبين الفتوى أنَّ الفتوى عبارة عن بيان الأحكام الكلية من دون نظر إلى تطبيقها على مواردها،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الفتوى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تكون حجة إلاّ على مَن يجب عليه تقليد المفتي بها، والعبرة في التطبيق إنّما هي بنظره دون نظر المفتي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القضاء، فهو الحكم بالقضايا الشخصية التي هي مورد الترافع والتشاجر، فيحكم القاضي بأنَّ المال الفلاني لزيد، أو أنَّ المرأة الفلانية زوجة فلان، وما شاكل ذلك، وهو نافذ على كل أحدٍ، إذا كان أحد المتخاصمين أو كلاهما مجتهداً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حكم الحاكم على الفتوى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حكم الحاكم لا يجوز نقضه من احد، ولو كان المحكوم عليه مجتهداً، إلاّ إذا ادّعى جور الحاكم في حكمه أو خطأ مستنده، وشكى في ذلك إلى حاكم آخر، فيجوز له حينئذٍ نقضه، إذا ثبت له شرعاً جور الحاكم الأوّل في حكمه، أو بأنَّ مسنده في الحكم خاطئ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بخلاف الفتوى، فيجوز للمقلّد نقضه بالرجوع إلى مجتهد آخر أعلم من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الأساس، فلا إشكال في تقدّم الحكم الحكومي على الفتوى، عند المزاحمة في المسائل الخلافية؛ لتوقّف فصل الخصومات وحفظ النظام وإجراء الحدود وقلع مادة النزاع والفساد على نفوذ الحكم، وإلاّ فإنّه يؤدّي إلى الفساد والاختلال في نظام معاش الناس وحياتهم؛ ولأجل ذلك لا يجوز نقض حكم الحاكم بأي شيءٍٍٍٍٍٍٍٍٍٍٍٍٍٍٍٍٍٍٍٍٍٍٍٍٍٍٍٍِِِِِِِِِِِِِِِِِِِِِِِِِِِِِِِِِِِ، لا بالفتوى ولا بحكم حاكم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اليزدي في العروة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لا يجوز نقض الحكم بالحكم، كذلك لا يجوز نقضه بالفتوى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العروة الوثقى،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صاحب الجواهر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وينقض إذا خالف دليلاً علمياً لا مجال للاجتهاد فيه، أو دليلاً اجتهادياً لا مجال للاجتهاد بخلافه إلاّ غفلة ونحوها، ولا ينقض في غير ذلك؛ لأنّ الحكم بالاجتهاد الصحيح حكمهم، فالراد عليه راد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والراد عليهم على حدّ الشرك 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غير فرق بين اقتضائه نقض فتوى و عدمه، للإطلاق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جاز نقض الفتوى بالحكم دون العكس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 وقال شعيب الارناؤوط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مسند أبي يعلى،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حسين اسد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الملحمة الحسينية،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الملحمة الحسينية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الفرق بين الخبر المكذوب والموضوع، وبين الخبر 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المكذوب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الخبر الموضوع، وهو أحد أقسام الخبر الضعيف، لكن يتميّز عن غيره من أقسام الخبر الضعيف، بأنّه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الخبر المكذوب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موضوع، بخلاف بقية أقسام الخبر الضعيف، التي ترجع أسباب الضعف فيه إلى وجود مجروح بالفسق في طريقه، أو يشتمل على مجهول الحال، ونحو ذلك، ويمكن معرفة الخبر المكذوب بما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إقرار واضعه أو بمعنى إقراره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قرينة في الواضع أو الموضوع له على الوضع، ولأهل العلم بالحديث ملكة قوية، يميزون بها ذلك، من خلال القرائن الدالة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السيد الصدر،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مفاد الخبر مخالفاً لما عُلم بالضرورة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مخالفاً لدليل العقل ومقتضاه، ولا يمكن حمله على وجه مقبول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مخالفاً للدليل الشرعي الثابت، ولا يمكن تأويله بوجهٍ يوافق أدلّة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الخبر مروياً من طريق مَن عُرف بالكذب أو الوضع واشتهر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الخبر المروي، رواه مَن ورد تكذيبه ولعنه وذمه على لسان الأئمّة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الخبر الضعيف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أن يشتمل طريقه على مجروح بالفسق، أو يشتمل على مجهول الحال ونحو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درجات الضعف في الخبر الضعيف متفاوتة بحسب بعده عن شروط الصحة؛ فكلّما بعُد بعض رجاله عنها، كان أشدّ ضعفاً، كما هو الحال في تفاوت درجة الصحة في الصحيح و الحسن والموثق</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أحكام الدراية، الشهيد الثاني، 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يُعلَم أو يظن بكونه مختلقاً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قيّد الشهيد ذلك بما لم يبلغ حدّ الوضع</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الفقهية، الشيخ الأنصاري،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ابن شهر 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الإمام الحسين، الشيخ الشريفي،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 السيد بن طاووس،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أبو الفرج الأصفهاني،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صحيح البخاري، كتاب الأدب، باب علامة الحبّ في الله؛ صحيح مسلم، كتاب البر والصلة، باب المرء مع مَن أحبّ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محمد بن مسعود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الكليني،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الحصيني،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العكبرية، الشيخ المفيد،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الشيخ الطوسي،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 ابن النديم،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علاقة القرابة بين الحسن المثنى وأسماء بن خارجة من جهة أنَّ أُمّ الحسن المثنى كانت من قبيلة أسماء، ووفقاً لتقاليد العرب في ذلك يكون أسماء خالاً للحسن المثنى</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 الطوسي،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أبى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التنبيه والأشراف، المسعودي،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image" Target="media/image2.jpeg"/><Relationship Id="rId201" Type="http://schemas.openxmlformats.org/officeDocument/2006/relationships/image" Target="media/image2.jpeg"/><Relationship Id="rId202" Type="http://schemas.openxmlformats.org/officeDocument/2006/relationships/footer" Target="footer195.xml"/><Relationship Id="rId203" Type="http://schemas.openxmlformats.org/officeDocument/2006/relationships/footnotes" Target="footnotes.xml"/><Relationship Id="rId204" Type="http://schemas.openxmlformats.org/officeDocument/2006/relationships/numbering" Target="numbering.xml"/><Relationship Id="rId205" Type="http://schemas.openxmlformats.org/officeDocument/2006/relationships/fontTable" Target="fontTable.xml"/><Relationship Id="rId206" Type="http://schemas.openxmlformats.org/officeDocument/2006/relationships/settings" Target="settings.xml"/><Relationship Id="rId2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203</Pages>
  <Words>28569</Words>
  <Characters>125599</Characters>
  <CharactersWithSpaces>153116</CharactersWithSpaces>
  <Paragraphs>1205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2026-08-16T20:14:06Z</dcterms:created>
  <dc:creator>ghaemiyeh.com</dc:creator>
  <dc:description/>
  <dc:language>en-US</dc:language>
  <cp:lastModifiedBy/>
  <dcterms:modified xsi:type="dcterms:W3CDTF">2026-08-16T23:44:12Z</dcterms:modified>
  <cp:revision>1</cp:revision>
  <dc:subject/>
  <dc:title>اجوبه الشبهات حول شعایرالحسینی</dc:title>
</cp:coreProperties>
</file>

<file path=docProps/custom.xml><?xml version="1.0" encoding="utf-8"?>
<Properties xmlns="http://schemas.openxmlformats.org/officeDocument/2006/custom-properties" xmlns:vt="http://schemas.openxmlformats.org/officeDocument/2006/docPropsVTypes"/>
</file>