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پیرامون اصول کافی پاسخ به شبهات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6845_3650668749">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3766847_365066874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766849_3650668749">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3766851_3650668749">
            <w:r>
              <w:rPr>
                <w:webHidden/>
                <w:rStyle w:val="IndexLink"/>
                <w:rtl w:val="true"/>
              </w:rPr>
              <w:t>سخنى با خوانندگان</w:t>
            </w:r>
            <w:r>
              <w:rPr>
                <w:rStyle w:val="IndexLink"/>
                <w:rtl w:val="true"/>
              </w:rPr>
              <w:tab/>
            </w:r>
            <w:r>
              <w:rPr>
                <w:rStyle w:val="IndexLink"/>
              </w:rPr>
              <w:t>35</w:t>
            </w:r>
          </w:hyperlink>
        </w:p>
        <w:p>
          <w:pPr>
            <w:pStyle w:val="Contents2"/>
            <w:tabs>
              <w:tab w:val="clear" w:pos="8743"/>
              <w:tab w:val="right" w:pos="9026" w:leader="dot"/>
            </w:tabs>
            <w:rPr/>
          </w:pPr>
          <w:hyperlink w:anchor="__RefHeading___Toc3766853_3650668749">
            <w:r>
              <w:rPr>
                <w:webHidden/>
                <w:rStyle w:val="IndexLink"/>
                <w:rtl w:val="true"/>
              </w:rPr>
              <w:t>بخش اول</w:t>
            </w:r>
            <w:r>
              <w:rPr>
                <w:rStyle w:val="IndexLink"/>
                <w:rtl w:val="true"/>
              </w:rPr>
              <w:t xml:space="preserve">: </w:t>
            </w:r>
            <w:r>
              <w:rPr>
                <w:rStyle w:val="IndexLink"/>
                <w:rtl w:val="true"/>
              </w:rPr>
              <w:t>معرفى كلينى و كافى</w:t>
            </w:r>
            <w:r>
              <w:rPr>
                <w:rStyle w:val="IndexLink"/>
                <w:rtl w:val="true"/>
              </w:rPr>
              <w:tab/>
            </w:r>
            <w:r>
              <w:rPr>
                <w:rStyle w:val="IndexLink"/>
              </w:rPr>
              <w:t>39</w:t>
            </w:r>
          </w:hyperlink>
        </w:p>
        <w:p>
          <w:pPr>
            <w:pStyle w:val="Contents3"/>
            <w:tabs>
              <w:tab w:val="clear" w:pos="8459"/>
              <w:tab w:val="right" w:pos="9026" w:leader="dot"/>
            </w:tabs>
            <w:rPr/>
          </w:pPr>
          <w:hyperlink w:anchor="__RefHeading___Toc3766855_365066874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766857_3650668749">
            <w:r>
              <w:rPr>
                <w:webHidden/>
                <w:rStyle w:val="IndexLink"/>
                <w:rtl w:val="true"/>
              </w:rPr>
              <w:t>مقدمه</w:t>
            </w:r>
            <w:r>
              <w:rPr>
                <w:rStyle w:val="IndexLink"/>
                <w:rtl w:val="true"/>
              </w:rPr>
              <w:tab/>
            </w:r>
            <w:r>
              <w:rPr>
                <w:rStyle w:val="IndexLink"/>
              </w:rPr>
              <w:t>41</w:t>
            </w:r>
          </w:hyperlink>
        </w:p>
        <w:p>
          <w:pPr>
            <w:pStyle w:val="Contents3"/>
            <w:tabs>
              <w:tab w:val="clear" w:pos="8459"/>
              <w:tab w:val="right" w:pos="9026" w:leader="dot"/>
            </w:tabs>
            <w:rPr/>
          </w:pPr>
          <w:hyperlink w:anchor="__RefHeading___Toc3766859_3650668749">
            <w:r>
              <w:rPr>
                <w:webHidden/>
                <w:rStyle w:val="IndexLink"/>
                <w:rtl w:val="true"/>
              </w:rPr>
              <w:t>فصل اول</w:t>
            </w:r>
            <w:r>
              <w:rPr>
                <w:rStyle w:val="IndexLink"/>
                <w:rtl w:val="true"/>
              </w:rPr>
              <w:t xml:space="preserve">: </w:t>
            </w:r>
            <w:r>
              <w:rPr>
                <w:rStyle w:val="IndexLink"/>
                <w:rtl w:val="true"/>
              </w:rPr>
              <w:t>ترجمه و ويژگى‌هاى ثقه الاسلام كلينى</w:t>
            </w:r>
            <w:r>
              <w:rPr>
                <w:rStyle w:val="IndexLink"/>
                <w:rtl w:val="true"/>
              </w:rPr>
              <w:tab/>
            </w:r>
            <w:r>
              <w:rPr>
                <w:rStyle w:val="IndexLink"/>
              </w:rPr>
              <w:t>43</w:t>
            </w:r>
          </w:hyperlink>
        </w:p>
        <w:p>
          <w:pPr>
            <w:pStyle w:val="Contents4"/>
            <w:tabs>
              <w:tab w:val="clear" w:pos="8176"/>
              <w:tab w:val="right" w:pos="9026" w:leader="dot"/>
            </w:tabs>
            <w:rPr/>
          </w:pPr>
          <w:hyperlink w:anchor="__RefHeading___Toc3766861_365066874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766863_3650668749">
            <w:r>
              <w:rPr>
                <w:webHidden/>
                <w:rStyle w:val="IndexLink"/>
              </w:rPr>
              <w:t>١</w:t>
            </w:r>
            <w:r>
              <w:rPr>
                <w:rStyle w:val="IndexLink"/>
                <w:rtl w:val="true"/>
              </w:rPr>
              <w:t xml:space="preserve">. </w:t>
            </w:r>
            <w:r>
              <w:rPr>
                <w:rStyle w:val="IndexLink"/>
                <w:rtl w:val="true"/>
              </w:rPr>
              <w:t>نام و زادگاه كلينى</w:t>
            </w:r>
            <w:r>
              <w:rPr>
                <w:rStyle w:val="IndexLink"/>
                <w:rtl w:val="true"/>
              </w:rPr>
              <w:tab/>
            </w:r>
            <w:r>
              <w:rPr>
                <w:rStyle w:val="IndexLink"/>
              </w:rPr>
              <w:t>43</w:t>
            </w:r>
          </w:hyperlink>
        </w:p>
        <w:p>
          <w:pPr>
            <w:pStyle w:val="Contents4"/>
            <w:tabs>
              <w:tab w:val="clear" w:pos="8176"/>
              <w:tab w:val="right" w:pos="9026" w:leader="dot"/>
            </w:tabs>
            <w:rPr/>
          </w:pPr>
          <w:hyperlink w:anchor="__RefHeading___Toc3766865_3650668749">
            <w:r>
              <w:rPr>
                <w:webHidden/>
                <w:rStyle w:val="IndexLink"/>
              </w:rPr>
              <w:t>٢</w:t>
            </w:r>
            <w:r>
              <w:rPr>
                <w:rStyle w:val="IndexLink"/>
                <w:rtl w:val="true"/>
              </w:rPr>
              <w:t xml:space="preserve">. </w:t>
            </w:r>
            <w:r>
              <w:rPr>
                <w:rStyle w:val="IndexLink"/>
                <w:rtl w:val="true"/>
              </w:rPr>
              <w:t>ولادت و مدت عمر كلينى</w:t>
            </w:r>
            <w:r>
              <w:rPr>
                <w:rStyle w:val="IndexLink"/>
                <w:rtl w:val="true"/>
              </w:rPr>
              <w:tab/>
            </w:r>
            <w:r>
              <w:rPr>
                <w:rStyle w:val="IndexLink"/>
              </w:rPr>
              <w:t>47</w:t>
            </w:r>
          </w:hyperlink>
        </w:p>
        <w:p>
          <w:pPr>
            <w:pStyle w:val="Contents4"/>
            <w:tabs>
              <w:tab w:val="clear" w:pos="8176"/>
              <w:tab w:val="right" w:pos="9026" w:leader="dot"/>
            </w:tabs>
            <w:rPr/>
          </w:pPr>
          <w:hyperlink w:anchor="__RefHeading___Toc3766867_3650668749">
            <w:r>
              <w:rPr>
                <w:webHidden/>
                <w:rStyle w:val="IndexLink"/>
              </w:rPr>
              <w:t>٣</w:t>
            </w:r>
            <w:r>
              <w:rPr>
                <w:rStyle w:val="IndexLink"/>
                <w:rtl w:val="true"/>
              </w:rPr>
              <w:t xml:space="preserve">. </w:t>
            </w:r>
            <w:r>
              <w:rPr>
                <w:rStyle w:val="IndexLink"/>
                <w:rtl w:val="true"/>
              </w:rPr>
              <w:t xml:space="preserve">وفات كلينى </w:t>
            </w:r>
            <w:r>
              <w:rPr>
                <w:rStyle w:val="IndexLink"/>
              </w:rPr>
              <w:t>٣٢٨</w:t>
            </w:r>
            <w:r>
              <w:rPr>
                <w:rStyle w:val="IndexLink"/>
                <w:rtl w:val="true"/>
              </w:rPr>
              <w:t>ه</w:t>
            </w:r>
            <w:r>
              <w:rPr>
                <w:rStyle w:val="IndexLink"/>
                <w:rtl w:val="true"/>
              </w:rPr>
              <w:t xml:space="preserve">. </w:t>
            </w:r>
            <w:r>
              <w:rPr>
                <w:rStyle w:val="IndexLink"/>
                <w:rtl w:val="true"/>
              </w:rPr>
              <w:t>ق يا</w:t>
            </w:r>
            <w:r>
              <w:rPr>
                <w:rStyle w:val="IndexLink"/>
              </w:rPr>
              <w:t>٣٢٩</w:t>
            </w:r>
            <w:r>
              <w:rPr>
                <w:rStyle w:val="IndexLink"/>
                <w:rtl w:val="true"/>
              </w:rPr>
              <w:t>ه</w:t>
            </w:r>
            <w:r>
              <w:rPr>
                <w:rStyle w:val="IndexLink"/>
                <w:rtl w:val="true"/>
              </w:rPr>
              <w:t xml:space="preserve">. </w:t>
            </w:r>
            <w:r>
              <w:rPr>
                <w:rStyle w:val="IndexLink"/>
                <w:rtl w:val="true"/>
              </w:rPr>
              <w:t>ق</w:t>
            </w:r>
            <w:r>
              <w:rPr>
                <w:rStyle w:val="IndexLink"/>
                <w:rtl w:val="true"/>
              </w:rPr>
              <w:tab/>
            </w:r>
            <w:r>
              <w:rPr>
                <w:rStyle w:val="IndexLink"/>
              </w:rPr>
              <w:t>50</w:t>
            </w:r>
          </w:hyperlink>
        </w:p>
        <w:p>
          <w:pPr>
            <w:pStyle w:val="Contents5"/>
            <w:tabs>
              <w:tab w:val="clear" w:pos="7892"/>
              <w:tab w:val="right" w:pos="9026" w:leader="dot"/>
            </w:tabs>
            <w:rPr/>
          </w:pPr>
          <w:hyperlink w:anchor="__RefHeading___Toc3766869_365066874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766871_3650668749">
            <w:r>
              <w:rPr>
                <w:webHidden/>
                <w:rStyle w:val="IndexLink"/>
                <w:rtl w:val="true"/>
              </w:rPr>
              <w:t>سال تناثرالنّجوم</w:t>
            </w:r>
            <w:r>
              <w:rPr>
                <w:rStyle w:val="IndexLink"/>
                <w:rtl w:val="true"/>
              </w:rPr>
              <w:t>!</w:t>
              <w:tab/>
            </w:r>
            <w:r>
              <w:rPr>
                <w:rStyle w:val="IndexLink"/>
              </w:rPr>
              <w:t>52</w:t>
            </w:r>
          </w:hyperlink>
        </w:p>
        <w:p>
          <w:pPr>
            <w:pStyle w:val="Contents4"/>
            <w:tabs>
              <w:tab w:val="clear" w:pos="8176"/>
              <w:tab w:val="right" w:pos="9026" w:leader="dot"/>
            </w:tabs>
            <w:rPr/>
          </w:pPr>
          <w:hyperlink w:anchor="__RefHeading___Toc3766873_3650668749">
            <w:r>
              <w:rPr>
                <w:webHidden/>
                <w:rStyle w:val="IndexLink"/>
              </w:rPr>
              <w:t>۴</w:t>
            </w:r>
            <w:r>
              <w:rPr>
                <w:rStyle w:val="IndexLink"/>
                <w:rtl w:val="true"/>
              </w:rPr>
              <w:t xml:space="preserve">. </w:t>
            </w:r>
            <w:r>
              <w:rPr>
                <w:rStyle w:val="IndexLink"/>
                <w:rtl w:val="true"/>
              </w:rPr>
              <w:t>مدفن و مزار كلينى</w:t>
            </w:r>
            <w:r>
              <w:rPr>
                <w:rStyle w:val="IndexLink"/>
                <w:rtl w:val="true"/>
              </w:rPr>
              <w:tab/>
            </w:r>
            <w:r>
              <w:rPr>
                <w:rStyle w:val="IndexLink"/>
              </w:rPr>
              <w:t>54</w:t>
            </w:r>
          </w:hyperlink>
        </w:p>
        <w:p>
          <w:pPr>
            <w:pStyle w:val="Contents4"/>
            <w:tabs>
              <w:tab w:val="clear" w:pos="8176"/>
              <w:tab w:val="right" w:pos="9026" w:leader="dot"/>
            </w:tabs>
            <w:rPr/>
          </w:pPr>
          <w:hyperlink w:anchor="__RefHeading___Toc3766875_3650668749">
            <w:r>
              <w:rPr>
                <w:webHidden/>
                <w:rStyle w:val="IndexLink"/>
              </w:rPr>
              <w:t>۵</w:t>
            </w:r>
            <w:r>
              <w:rPr>
                <w:rStyle w:val="IndexLink"/>
                <w:rtl w:val="true"/>
              </w:rPr>
              <w:t xml:space="preserve">. </w:t>
            </w:r>
            <w:r>
              <w:rPr>
                <w:rStyle w:val="IndexLink"/>
                <w:rtl w:val="true"/>
              </w:rPr>
              <w:t>خانواده مرحوم كلينى</w:t>
            </w:r>
            <w:r>
              <w:rPr>
                <w:rStyle w:val="IndexLink"/>
                <w:rtl w:val="true"/>
              </w:rPr>
              <w:tab/>
            </w:r>
            <w:r>
              <w:rPr>
                <w:rStyle w:val="IndexLink"/>
              </w:rPr>
              <w:t>58</w:t>
            </w:r>
          </w:hyperlink>
        </w:p>
        <w:p>
          <w:pPr>
            <w:pStyle w:val="Contents4"/>
            <w:tabs>
              <w:tab w:val="clear" w:pos="8176"/>
              <w:tab w:val="right" w:pos="9026" w:leader="dot"/>
            </w:tabs>
            <w:rPr/>
          </w:pPr>
          <w:hyperlink w:anchor="__RefHeading___Toc3766877_3650668749">
            <w:r>
              <w:rPr>
                <w:webHidden/>
                <w:rStyle w:val="IndexLink"/>
              </w:rPr>
              <w:t>۶</w:t>
            </w:r>
            <w:r>
              <w:rPr>
                <w:rStyle w:val="IndexLink"/>
                <w:rtl w:val="true"/>
              </w:rPr>
              <w:t xml:space="preserve">. </w:t>
            </w:r>
            <w:r>
              <w:rPr>
                <w:rStyle w:val="IndexLink"/>
                <w:rtl w:val="true"/>
              </w:rPr>
              <w:t>كلينى و فراگيرى حديث</w:t>
            </w:r>
            <w:r>
              <w:rPr>
                <w:rStyle w:val="IndexLink"/>
                <w:rtl w:val="true"/>
              </w:rPr>
              <w:tab/>
            </w:r>
            <w:r>
              <w:rPr>
                <w:rStyle w:val="IndexLink"/>
              </w:rPr>
              <w:t>59</w:t>
            </w:r>
          </w:hyperlink>
        </w:p>
        <w:p>
          <w:pPr>
            <w:pStyle w:val="Contents4"/>
            <w:tabs>
              <w:tab w:val="clear" w:pos="8176"/>
              <w:tab w:val="right" w:pos="9026" w:leader="dot"/>
            </w:tabs>
            <w:rPr/>
          </w:pPr>
          <w:hyperlink w:anchor="__RefHeading___Toc3766879_3650668749">
            <w:r>
              <w:rPr>
                <w:webHidden/>
                <w:rStyle w:val="IndexLink"/>
              </w:rPr>
              <w:t>٧</w:t>
            </w:r>
            <w:r>
              <w:rPr>
                <w:rStyle w:val="IndexLink"/>
                <w:rtl w:val="true"/>
              </w:rPr>
              <w:t xml:space="preserve">. </w:t>
            </w:r>
            <w:r>
              <w:rPr>
                <w:rStyle w:val="IndexLink"/>
                <w:rtl w:val="true"/>
              </w:rPr>
              <w:t>بغداد آخرين پايگاه كلينى</w:t>
            </w:r>
            <w:r>
              <w:rPr>
                <w:rStyle w:val="IndexLink"/>
                <w:rtl w:val="true"/>
              </w:rPr>
              <w:tab/>
            </w:r>
            <w:r>
              <w:rPr>
                <w:rStyle w:val="IndexLink"/>
              </w:rPr>
              <w:t>60</w:t>
            </w:r>
          </w:hyperlink>
        </w:p>
        <w:p>
          <w:pPr>
            <w:pStyle w:val="Contents4"/>
            <w:tabs>
              <w:tab w:val="clear" w:pos="8176"/>
              <w:tab w:val="right" w:pos="9026" w:leader="dot"/>
            </w:tabs>
            <w:rPr/>
          </w:pPr>
          <w:hyperlink w:anchor="__RefHeading___Toc3766881_3650668749">
            <w:r>
              <w:rPr>
                <w:webHidden/>
                <w:rStyle w:val="IndexLink"/>
              </w:rPr>
              <w:t>٨</w:t>
            </w:r>
            <w:r>
              <w:rPr>
                <w:rStyle w:val="IndexLink"/>
                <w:rtl w:val="true"/>
              </w:rPr>
              <w:t xml:space="preserve">. </w:t>
            </w:r>
            <w:r>
              <w:rPr>
                <w:rStyle w:val="IndexLink"/>
                <w:rtl w:val="true"/>
              </w:rPr>
              <w:t>اساتيد و مشايخ كلينى</w:t>
            </w:r>
            <w:r>
              <w:rPr>
                <w:rStyle w:val="IndexLink"/>
                <w:rtl w:val="true"/>
              </w:rPr>
              <w:tab/>
            </w:r>
            <w:r>
              <w:rPr>
                <w:rStyle w:val="IndexLink"/>
              </w:rPr>
              <w:t>60</w:t>
            </w:r>
          </w:hyperlink>
        </w:p>
        <w:p>
          <w:pPr>
            <w:pStyle w:val="Contents4"/>
            <w:tabs>
              <w:tab w:val="clear" w:pos="8176"/>
              <w:tab w:val="right" w:pos="9026" w:leader="dot"/>
            </w:tabs>
            <w:rPr/>
          </w:pPr>
          <w:hyperlink w:anchor="__RefHeading___Toc3766883_3650668749">
            <w:r>
              <w:rPr>
                <w:webHidden/>
                <w:rStyle w:val="IndexLink"/>
              </w:rPr>
              <w:t>9</w:t>
            </w:r>
            <w:r>
              <w:rPr>
                <w:rStyle w:val="IndexLink"/>
                <w:rtl w:val="true"/>
              </w:rPr>
              <w:t xml:space="preserve">. </w:t>
            </w:r>
            <w:r>
              <w:rPr>
                <w:rStyle w:val="IndexLink"/>
                <w:rtl w:val="true"/>
              </w:rPr>
              <w:t>شاگردان كلينى</w:t>
            </w:r>
            <w:r>
              <w:rPr>
                <w:rStyle w:val="IndexLink"/>
                <w:rtl w:val="true"/>
              </w:rPr>
              <w:tab/>
            </w:r>
            <w:r>
              <w:rPr>
                <w:rStyle w:val="IndexLink"/>
              </w:rPr>
              <w:t>64</w:t>
            </w:r>
          </w:hyperlink>
        </w:p>
        <w:p>
          <w:pPr>
            <w:pStyle w:val="Contents3"/>
            <w:tabs>
              <w:tab w:val="clear" w:pos="8459"/>
              <w:tab w:val="right" w:pos="9026" w:leader="dot"/>
            </w:tabs>
            <w:rPr/>
          </w:pPr>
          <w:hyperlink w:anchor="__RefHeading___Toc3766885_3650668749">
            <w:r>
              <w:rPr>
                <w:webHidden/>
                <w:rStyle w:val="IndexLink"/>
                <w:rtl w:val="true"/>
              </w:rPr>
              <w:t>فصل دوم</w:t>
            </w:r>
            <w:r>
              <w:rPr>
                <w:rStyle w:val="IndexLink"/>
                <w:rtl w:val="true"/>
              </w:rPr>
              <w:t xml:space="preserve">: </w:t>
            </w:r>
            <w:r>
              <w:rPr>
                <w:rStyle w:val="IndexLink"/>
                <w:rtl w:val="true"/>
              </w:rPr>
              <w:t>كلينى از ديدگاه عالمان</w:t>
            </w:r>
            <w:r>
              <w:rPr>
                <w:rStyle w:val="IndexLink"/>
                <w:rtl w:val="true"/>
              </w:rPr>
              <w:tab/>
            </w:r>
            <w:r>
              <w:rPr>
                <w:rStyle w:val="IndexLink"/>
              </w:rPr>
              <w:t>67</w:t>
            </w:r>
          </w:hyperlink>
        </w:p>
        <w:p>
          <w:pPr>
            <w:pStyle w:val="Contents4"/>
            <w:tabs>
              <w:tab w:val="clear" w:pos="8176"/>
              <w:tab w:val="right" w:pos="9026" w:leader="dot"/>
            </w:tabs>
            <w:rPr/>
          </w:pPr>
          <w:hyperlink w:anchor="__RefHeading___Toc3766887_3650668749">
            <w:r>
              <w:rPr>
                <w:webHidden/>
                <w:rStyle w:val="IndexLink"/>
              </w:rPr>
              <w:t>١</w:t>
            </w:r>
            <w:r>
              <w:rPr>
                <w:rStyle w:val="IndexLink"/>
                <w:rtl w:val="true"/>
              </w:rPr>
              <w:t xml:space="preserve">. </w:t>
            </w:r>
            <w:r>
              <w:rPr>
                <w:rStyle w:val="IndexLink"/>
                <w:rtl w:val="true"/>
              </w:rPr>
              <w:t>كلينى از منظر عالمان اماميه</w:t>
            </w:r>
            <w:r>
              <w:rPr>
                <w:rStyle w:val="IndexLink"/>
                <w:rtl w:val="true"/>
              </w:rPr>
              <w:tab/>
            </w:r>
            <w:r>
              <w:rPr>
                <w:rStyle w:val="IndexLink"/>
              </w:rPr>
              <w:t>67</w:t>
            </w:r>
          </w:hyperlink>
        </w:p>
        <w:p>
          <w:pPr>
            <w:pStyle w:val="Contents4"/>
            <w:tabs>
              <w:tab w:val="clear" w:pos="8176"/>
              <w:tab w:val="right" w:pos="9026" w:leader="dot"/>
            </w:tabs>
            <w:rPr/>
          </w:pPr>
          <w:hyperlink w:anchor="__RefHeading___Toc3766889_3650668749">
            <w:r>
              <w:rPr>
                <w:webHidden/>
                <w:rStyle w:val="IndexLink"/>
              </w:rPr>
              <w:t>٢</w:t>
            </w:r>
            <w:r>
              <w:rPr>
                <w:rStyle w:val="IndexLink"/>
                <w:rtl w:val="true"/>
              </w:rPr>
              <w:t xml:space="preserve">. </w:t>
            </w:r>
            <w:r>
              <w:rPr>
                <w:rStyle w:val="IndexLink"/>
                <w:rtl w:val="true"/>
              </w:rPr>
              <w:t>كلينى در نگاه دانشمندان اهل‌سنت</w:t>
            </w:r>
            <w:r>
              <w:rPr>
                <w:rStyle w:val="IndexLink"/>
                <w:rtl w:val="true"/>
              </w:rPr>
              <w:tab/>
            </w:r>
            <w:r>
              <w:rPr>
                <w:rStyle w:val="IndexLink"/>
              </w:rPr>
              <w:t>68</w:t>
            </w:r>
          </w:hyperlink>
        </w:p>
        <w:p>
          <w:pPr>
            <w:pStyle w:val="Contents3"/>
            <w:tabs>
              <w:tab w:val="clear" w:pos="8459"/>
              <w:tab w:val="right" w:pos="9026" w:leader="dot"/>
            </w:tabs>
            <w:rPr/>
          </w:pPr>
          <w:hyperlink w:anchor="__RefHeading___Toc3766891_3650668749">
            <w:r>
              <w:rPr>
                <w:webHidden/>
                <w:rStyle w:val="IndexLink"/>
                <w:rtl w:val="true"/>
              </w:rPr>
              <w:t>فصل سوم</w:t>
            </w:r>
            <w:r>
              <w:rPr>
                <w:rStyle w:val="IndexLink"/>
                <w:rtl w:val="true"/>
              </w:rPr>
              <w:t xml:space="preserve">: </w:t>
            </w:r>
            <w:r>
              <w:rPr>
                <w:rStyle w:val="IndexLink"/>
                <w:rtl w:val="true"/>
              </w:rPr>
              <w:t>جايگاه كافى در ميان مجامع حديثى</w:t>
            </w:r>
            <w:r>
              <w:rPr>
                <w:rStyle w:val="IndexLink"/>
                <w:rtl w:val="true"/>
              </w:rPr>
              <w:tab/>
            </w:r>
            <w:r>
              <w:rPr>
                <w:rStyle w:val="IndexLink"/>
              </w:rPr>
              <w:t>71</w:t>
            </w:r>
          </w:hyperlink>
        </w:p>
        <w:p>
          <w:pPr>
            <w:pStyle w:val="Contents4"/>
            <w:tabs>
              <w:tab w:val="clear" w:pos="8176"/>
              <w:tab w:val="right" w:pos="9026" w:leader="dot"/>
            </w:tabs>
            <w:rPr/>
          </w:pPr>
          <w:hyperlink w:anchor="__RefHeading___Toc3766893_365066874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766895_3650668749">
            <w:r>
              <w:rPr>
                <w:webHidden/>
                <w:rStyle w:val="IndexLink"/>
              </w:rPr>
              <w:t>١</w:t>
            </w:r>
            <w:r>
              <w:rPr>
                <w:rStyle w:val="IndexLink"/>
                <w:rtl w:val="true"/>
              </w:rPr>
              <w:t xml:space="preserve">. </w:t>
            </w:r>
            <w:r>
              <w:rPr>
                <w:rStyle w:val="IndexLink"/>
                <w:rtl w:val="true"/>
              </w:rPr>
              <w:t>ويژگى‌هاى كتاب كافى</w:t>
            </w:r>
            <w:r>
              <w:rPr>
                <w:rStyle w:val="IndexLink"/>
                <w:rtl w:val="true"/>
              </w:rPr>
              <w:tab/>
            </w:r>
            <w:r>
              <w:rPr>
                <w:rStyle w:val="IndexLink"/>
              </w:rPr>
              <w:t>73</w:t>
            </w:r>
          </w:hyperlink>
        </w:p>
        <w:p>
          <w:pPr>
            <w:pStyle w:val="Contents5"/>
            <w:tabs>
              <w:tab w:val="clear" w:pos="7892"/>
              <w:tab w:val="right" w:pos="9026" w:leader="dot"/>
            </w:tabs>
            <w:rPr/>
          </w:pPr>
          <w:hyperlink w:anchor="__RefHeading___Toc3766897_3650668749">
            <w:r>
              <w:rPr>
                <w:webHidden/>
                <w:rStyle w:val="IndexLink"/>
                <w:rtl w:val="true"/>
              </w:rPr>
              <w:t>الف</w:t>
            </w:r>
            <w:r>
              <w:rPr>
                <w:rStyle w:val="IndexLink"/>
                <w:rtl w:val="true"/>
              </w:rPr>
              <w:t xml:space="preserve">) </w:t>
            </w:r>
            <w:r>
              <w:rPr>
                <w:rStyle w:val="IndexLink"/>
                <w:rtl w:val="true"/>
              </w:rPr>
              <w:t>نزديك به‌عص</w:t>
            </w:r>
            <w:r>
              <w:rPr>
                <w:rStyle w:val="IndexLink"/>
                <w:rtl w:val="true"/>
              </w:rPr>
              <w:t>-</w:t>
            </w:r>
            <w:r>
              <w:rPr>
                <w:rStyle w:val="IndexLink"/>
                <w:rtl w:val="true"/>
              </w:rPr>
              <w:t xml:space="preserve">ر امام </w:t>
            </w:r>
            <w:r>
              <w:rPr>
                <w:rStyle w:val="IndexLink"/>
                <w:rtl w:val="true"/>
              </w:rPr>
              <w:t>(</w:t>
            </w:r>
            <w:r>
              <w:rPr>
                <w:rStyle w:val="IndexLink"/>
                <w:rtl w:val="true"/>
              </w:rPr>
              <w:t>عج</w:t>
            </w:r>
            <w:r>
              <w:rPr>
                <w:rStyle w:val="IndexLink"/>
                <w:rtl w:val="true"/>
              </w:rPr>
              <w:t>)</w:t>
              <w:tab/>
            </w:r>
            <w:r>
              <w:rPr>
                <w:rStyle w:val="IndexLink"/>
              </w:rPr>
              <w:t>73</w:t>
            </w:r>
          </w:hyperlink>
        </w:p>
        <w:p>
          <w:pPr>
            <w:pStyle w:val="Contents5"/>
            <w:tabs>
              <w:tab w:val="clear" w:pos="7892"/>
              <w:tab w:val="right" w:pos="9026" w:leader="dot"/>
            </w:tabs>
            <w:rPr/>
          </w:pPr>
          <w:hyperlink w:anchor="__RefHeading___Toc3766899_3650668749">
            <w:r>
              <w:rPr>
                <w:webHidden/>
                <w:rStyle w:val="IndexLink"/>
                <w:rtl w:val="true"/>
              </w:rPr>
              <w:t>ب</w:t>
            </w:r>
            <w:r>
              <w:rPr>
                <w:rStyle w:val="IndexLink"/>
                <w:rtl w:val="true"/>
              </w:rPr>
              <w:t xml:space="preserve">) </w:t>
            </w:r>
            <w:r>
              <w:rPr>
                <w:rStyle w:val="IndexLink"/>
                <w:rtl w:val="true"/>
              </w:rPr>
              <w:t>كافى و ابتكار جديد</w:t>
            </w:r>
            <w:r>
              <w:rPr>
                <w:rStyle w:val="IndexLink"/>
                <w:rtl w:val="true"/>
              </w:rPr>
              <w:tab/>
            </w:r>
            <w:r>
              <w:rPr>
                <w:rStyle w:val="IndexLink"/>
              </w:rPr>
              <w:t>74</w:t>
            </w:r>
          </w:hyperlink>
        </w:p>
        <w:p>
          <w:pPr>
            <w:pStyle w:val="Contents5"/>
            <w:tabs>
              <w:tab w:val="clear" w:pos="7892"/>
              <w:tab w:val="right" w:pos="9026" w:leader="dot"/>
            </w:tabs>
            <w:rPr/>
          </w:pPr>
          <w:hyperlink w:anchor="__RefHeading___Toc3766901_3650668749">
            <w:r>
              <w:rPr>
                <w:webHidden/>
                <w:rStyle w:val="IndexLink"/>
                <w:rtl w:val="true"/>
              </w:rPr>
              <w:t>ج</w:t>
            </w:r>
            <w:r>
              <w:rPr>
                <w:rStyle w:val="IndexLink"/>
                <w:rtl w:val="true"/>
              </w:rPr>
              <w:t xml:space="preserve">) </w:t>
            </w:r>
            <w:r>
              <w:rPr>
                <w:rStyle w:val="IndexLink"/>
                <w:rtl w:val="true"/>
              </w:rPr>
              <w:t>جامعيت بى‌بديل كافى</w:t>
            </w:r>
            <w:r>
              <w:rPr>
                <w:rStyle w:val="IndexLink"/>
                <w:rtl w:val="true"/>
              </w:rPr>
              <w:tab/>
            </w:r>
            <w:r>
              <w:rPr>
                <w:rStyle w:val="IndexLink"/>
              </w:rPr>
              <w:t>75</w:t>
            </w:r>
          </w:hyperlink>
        </w:p>
        <w:p>
          <w:pPr>
            <w:pStyle w:val="Contents5"/>
            <w:tabs>
              <w:tab w:val="clear" w:pos="7892"/>
              <w:tab w:val="right" w:pos="9026" w:leader="dot"/>
            </w:tabs>
            <w:rPr/>
          </w:pPr>
          <w:hyperlink w:anchor="__RefHeading___Toc3766903_3650668749">
            <w:r>
              <w:rPr>
                <w:webHidden/>
                <w:rStyle w:val="IndexLink"/>
                <w:rtl w:val="true"/>
              </w:rPr>
              <w:t>د</w:t>
            </w:r>
            <w:r>
              <w:rPr>
                <w:rStyle w:val="IndexLink"/>
                <w:rtl w:val="true"/>
              </w:rPr>
              <w:t xml:space="preserve">) </w:t>
            </w:r>
            <w:r>
              <w:rPr>
                <w:rStyle w:val="IndexLink"/>
                <w:rtl w:val="true"/>
              </w:rPr>
              <w:t>كافى الگو براى ديگران</w:t>
            </w:r>
            <w:r>
              <w:rPr>
                <w:rStyle w:val="IndexLink"/>
                <w:rtl w:val="true"/>
              </w:rPr>
              <w:tab/>
            </w:r>
            <w:r>
              <w:rPr>
                <w:rStyle w:val="IndexLink"/>
              </w:rPr>
              <w:t>76</w:t>
            </w:r>
          </w:hyperlink>
        </w:p>
        <w:p>
          <w:pPr>
            <w:pStyle w:val="Contents5"/>
            <w:tabs>
              <w:tab w:val="clear" w:pos="7892"/>
              <w:tab w:val="right" w:pos="9026" w:leader="dot"/>
            </w:tabs>
            <w:rPr/>
          </w:pPr>
          <w:hyperlink w:anchor="__RefHeading___Toc3766905_3650668749">
            <w:r>
              <w:rPr>
                <w:webHidden/>
                <w:rStyle w:val="IndexLink"/>
                <w:rtl w:val="true"/>
              </w:rPr>
              <w:t>ه</w:t>
            </w:r>
            <w:r>
              <w:rPr>
                <w:rStyle w:val="IndexLink"/>
                <w:rtl w:val="true"/>
              </w:rPr>
              <w:t xml:space="preserve">) </w:t>
            </w:r>
            <w:r>
              <w:rPr>
                <w:rStyle w:val="IndexLink"/>
                <w:rtl w:val="true"/>
              </w:rPr>
              <w:t>دقت در متن و سلسله اسناد</w:t>
            </w:r>
            <w:r>
              <w:rPr>
                <w:rStyle w:val="IndexLink"/>
                <w:rtl w:val="true"/>
              </w:rPr>
              <w:tab/>
            </w:r>
            <w:r>
              <w:rPr>
                <w:rStyle w:val="IndexLink"/>
              </w:rPr>
              <w:t>76</w:t>
            </w:r>
          </w:hyperlink>
        </w:p>
        <w:p>
          <w:pPr>
            <w:pStyle w:val="Contents5"/>
            <w:tabs>
              <w:tab w:val="clear" w:pos="7892"/>
              <w:tab w:val="right" w:pos="9026" w:leader="dot"/>
            </w:tabs>
            <w:rPr/>
          </w:pPr>
          <w:hyperlink w:anchor="__RefHeading___Toc3766907_3650668749">
            <w:r>
              <w:rPr>
                <w:webHidden/>
                <w:rStyle w:val="IndexLink"/>
                <w:rtl w:val="true"/>
              </w:rPr>
              <w:t>و</w:t>
            </w:r>
            <w:r>
              <w:rPr>
                <w:rStyle w:val="IndexLink"/>
                <w:rtl w:val="true"/>
              </w:rPr>
              <w:t xml:space="preserve">) </w:t>
            </w:r>
            <w:r>
              <w:rPr>
                <w:rStyle w:val="IndexLink"/>
                <w:rtl w:val="true"/>
              </w:rPr>
              <w:t>تلاش در كاهش اسناد</w:t>
            </w:r>
            <w:r>
              <w:rPr>
                <w:rStyle w:val="IndexLink"/>
                <w:rtl w:val="true"/>
              </w:rPr>
              <w:tab/>
            </w:r>
            <w:r>
              <w:rPr>
                <w:rStyle w:val="IndexLink"/>
              </w:rPr>
              <w:t>78</w:t>
            </w:r>
          </w:hyperlink>
        </w:p>
        <w:p>
          <w:pPr>
            <w:pStyle w:val="Contents5"/>
            <w:tabs>
              <w:tab w:val="clear" w:pos="7892"/>
              <w:tab w:val="right" w:pos="9026" w:leader="dot"/>
            </w:tabs>
            <w:rPr/>
          </w:pPr>
          <w:hyperlink w:anchor="__RefHeading___Toc3766909_3650668749">
            <w:r>
              <w:rPr>
                <w:webHidden/>
                <w:rStyle w:val="IndexLink"/>
                <w:rtl w:val="true"/>
              </w:rPr>
              <w:t>ز</w:t>
            </w:r>
            <w:r>
              <w:rPr>
                <w:rStyle w:val="IndexLink"/>
                <w:rtl w:val="true"/>
              </w:rPr>
              <w:t xml:space="preserve">) </w:t>
            </w:r>
            <w:r>
              <w:rPr>
                <w:rStyle w:val="IndexLink"/>
                <w:rtl w:val="true"/>
              </w:rPr>
              <w:t>عدم ذكر روايات معارض</w:t>
            </w:r>
            <w:r>
              <w:rPr>
                <w:rStyle w:val="IndexLink"/>
                <w:rtl w:val="true"/>
              </w:rPr>
              <w:tab/>
            </w:r>
            <w:r>
              <w:rPr>
                <w:rStyle w:val="IndexLink"/>
              </w:rPr>
              <w:t>79</w:t>
            </w:r>
          </w:hyperlink>
        </w:p>
        <w:p>
          <w:pPr>
            <w:pStyle w:val="Contents5"/>
            <w:tabs>
              <w:tab w:val="clear" w:pos="7892"/>
              <w:tab w:val="right" w:pos="9026" w:leader="dot"/>
            </w:tabs>
            <w:rPr/>
          </w:pPr>
          <w:hyperlink w:anchor="__RefHeading___Toc3766911_3650668749">
            <w:r>
              <w:rPr>
                <w:webHidden/>
                <w:rStyle w:val="IndexLink"/>
                <w:rtl w:val="true"/>
              </w:rPr>
              <w:t>ح</w:t>
            </w:r>
            <w:r>
              <w:rPr>
                <w:rStyle w:val="IndexLink"/>
                <w:rtl w:val="true"/>
              </w:rPr>
              <w:t xml:space="preserve">) </w:t>
            </w:r>
            <w:r>
              <w:rPr>
                <w:rStyle w:val="IndexLink"/>
                <w:rtl w:val="true"/>
              </w:rPr>
              <w:t>ترتيب احاديث باب، بر ملاك صحت و</w:t>
            </w:r>
            <w:r>
              <w:rPr>
                <w:rStyle w:val="IndexLink"/>
                <w:rtl w:val="true"/>
              </w:rPr>
              <w:t>. . .</w:t>
              <w:tab/>
            </w:r>
            <w:r>
              <w:rPr>
                <w:rStyle w:val="IndexLink"/>
              </w:rPr>
              <w:t>80</w:t>
            </w:r>
          </w:hyperlink>
        </w:p>
        <w:p>
          <w:pPr>
            <w:pStyle w:val="Contents5"/>
            <w:tabs>
              <w:tab w:val="clear" w:pos="7892"/>
              <w:tab w:val="right" w:pos="9026" w:leader="dot"/>
            </w:tabs>
            <w:rPr/>
          </w:pPr>
          <w:hyperlink w:anchor="__RefHeading___Toc3766913_3650668749">
            <w:r>
              <w:rPr>
                <w:webHidden/>
                <w:rStyle w:val="IndexLink"/>
                <w:rtl w:val="true"/>
              </w:rPr>
              <w:t>ط</w:t>
            </w:r>
            <w:r>
              <w:rPr>
                <w:rStyle w:val="IndexLink"/>
                <w:rtl w:val="true"/>
              </w:rPr>
              <w:t xml:space="preserve">) </w:t>
            </w:r>
            <w:r>
              <w:rPr>
                <w:rStyle w:val="IndexLink"/>
                <w:rtl w:val="true"/>
              </w:rPr>
              <w:t>تطبيق روايات با عنوان باب</w:t>
            </w:r>
            <w:r>
              <w:rPr>
                <w:rStyle w:val="IndexLink"/>
                <w:rtl w:val="true"/>
              </w:rPr>
              <w:tab/>
            </w:r>
            <w:r>
              <w:rPr>
                <w:rStyle w:val="IndexLink"/>
              </w:rPr>
              <w:t>80</w:t>
            </w:r>
          </w:hyperlink>
        </w:p>
        <w:p>
          <w:pPr>
            <w:pStyle w:val="Contents5"/>
            <w:tabs>
              <w:tab w:val="clear" w:pos="7892"/>
              <w:tab w:val="right" w:pos="9026" w:leader="dot"/>
            </w:tabs>
            <w:rPr/>
          </w:pPr>
          <w:hyperlink w:anchor="__RefHeading___Toc3766915_3650668749">
            <w:r>
              <w:rPr>
                <w:webHidden/>
                <w:rStyle w:val="IndexLink"/>
                <w:rtl w:val="true"/>
              </w:rPr>
              <w:t>ك</w:t>
            </w:r>
            <w:r>
              <w:rPr>
                <w:rStyle w:val="IndexLink"/>
                <w:rtl w:val="true"/>
              </w:rPr>
              <w:t xml:space="preserve">) </w:t>
            </w:r>
            <w:r>
              <w:rPr>
                <w:rStyle w:val="IndexLink"/>
                <w:rtl w:val="true"/>
              </w:rPr>
              <w:t>اجابت نياز واحساس وظيفه</w:t>
            </w:r>
            <w:r>
              <w:rPr>
                <w:rStyle w:val="IndexLink"/>
                <w:rtl w:val="true"/>
              </w:rPr>
              <w:tab/>
            </w:r>
            <w:r>
              <w:rPr>
                <w:rStyle w:val="IndexLink"/>
              </w:rPr>
              <w:t>80</w:t>
            </w:r>
          </w:hyperlink>
        </w:p>
        <w:p>
          <w:pPr>
            <w:pStyle w:val="Contents5"/>
            <w:tabs>
              <w:tab w:val="clear" w:pos="7892"/>
              <w:tab w:val="right" w:pos="9026" w:leader="dot"/>
            </w:tabs>
            <w:rPr/>
          </w:pPr>
          <w:hyperlink w:anchor="__RefHeading___Toc3766917_3650668749">
            <w:r>
              <w:rPr>
                <w:webHidden/>
                <w:rStyle w:val="IndexLink"/>
                <w:rtl w:val="true"/>
              </w:rPr>
              <w:t>ل</w:t>
            </w:r>
            <w:r>
              <w:rPr>
                <w:rStyle w:val="IndexLink"/>
                <w:rtl w:val="true"/>
              </w:rPr>
              <w:t xml:space="preserve">) </w:t>
            </w:r>
            <w:r>
              <w:rPr>
                <w:rStyle w:val="IndexLink"/>
                <w:rtl w:val="true"/>
              </w:rPr>
              <w:t>فزونى احاديث كافى بر كلّ صحاح</w:t>
            </w:r>
            <w:r>
              <w:rPr>
                <w:rStyle w:val="IndexLink"/>
                <w:rtl w:val="true"/>
              </w:rPr>
              <w:tab/>
            </w:r>
            <w:r>
              <w:rPr>
                <w:rStyle w:val="IndexLink"/>
              </w:rPr>
              <w:t>81</w:t>
            </w:r>
          </w:hyperlink>
        </w:p>
        <w:p>
          <w:pPr>
            <w:pStyle w:val="Contents4"/>
            <w:tabs>
              <w:tab w:val="clear" w:pos="8176"/>
              <w:tab w:val="right" w:pos="9026" w:leader="dot"/>
            </w:tabs>
            <w:rPr/>
          </w:pPr>
          <w:hyperlink w:anchor="__RefHeading___Toc3766919_3650668749">
            <w:r>
              <w:rPr>
                <w:webHidden/>
                <w:rStyle w:val="IndexLink"/>
              </w:rPr>
              <w:t>٢</w:t>
            </w:r>
            <w:r>
              <w:rPr>
                <w:rStyle w:val="IndexLink"/>
                <w:rtl w:val="true"/>
              </w:rPr>
              <w:t xml:space="preserve">. </w:t>
            </w:r>
            <w:r>
              <w:rPr>
                <w:rStyle w:val="IndexLink"/>
                <w:rtl w:val="true"/>
              </w:rPr>
              <w:t>كافى مورد تأييد دانشمندان</w:t>
            </w:r>
            <w:r>
              <w:rPr>
                <w:rStyle w:val="IndexLink"/>
                <w:rtl w:val="true"/>
              </w:rPr>
              <w:tab/>
            </w:r>
            <w:r>
              <w:rPr>
                <w:rStyle w:val="IndexLink"/>
              </w:rPr>
              <w:t>82</w:t>
            </w:r>
          </w:hyperlink>
        </w:p>
        <w:p>
          <w:pPr>
            <w:pStyle w:val="Contents4"/>
            <w:tabs>
              <w:tab w:val="clear" w:pos="8176"/>
              <w:tab w:val="right" w:pos="9026" w:leader="dot"/>
            </w:tabs>
            <w:rPr/>
          </w:pPr>
          <w:hyperlink w:anchor="__RefHeading___Toc3766921_3650668749">
            <w:r>
              <w:rPr>
                <w:webHidden/>
                <w:rStyle w:val="IndexLink"/>
              </w:rPr>
              <w:t>٣</w:t>
            </w:r>
            <w:r>
              <w:rPr>
                <w:rStyle w:val="IndexLink"/>
                <w:rtl w:val="true"/>
              </w:rPr>
              <w:t xml:space="preserve">. </w:t>
            </w:r>
            <w:r>
              <w:rPr>
                <w:rStyle w:val="IndexLink"/>
                <w:rtl w:val="true"/>
              </w:rPr>
              <w:t>صحت و سقم روايات كافى</w:t>
            </w:r>
            <w:r>
              <w:rPr>
                <w:rStyle w:val="IndexLink"/>
                <w:rtl w:val="true"/>
              </w:rPr>
              <w:tab/>
            </w:r>
            <w:r>
              <w:rPr>
                <w:rStyle w:val="IndexLink"/>
              </w:rPr>
              <w:t>84</w:t>
            </w:r>
          </w:hyperlink>
        </w:p>
        <w:p>
          <w:pPr>
            <w:pStyle w:val="Contents3"/>
            <w:tabs>
              <w:tab w:val="clear" w:pos="8459"/>
              <w:tab w:val="right" w:pos="9026" w:leader="dot"/>
            </w:tabs>
            <w:rPr/>
          </w:pPr>
          <w:hyperlink w:anchor="__RefHeading___Toc3766923_3650668749">
            <w:r>
              <w:rPr>
                <w:webHidden/>
                <w:rStyle w:val="IndexLink"/>
                <w:rtl w:val="true"/>
              </w:rPr>
              <w:t>فصل چهارم</w:t>
            </w:r>
            <w:r>
              <w:rPr>
                <w:rStyle w:val="IndexLink"/>
                <w:rtl w:val="true"/>
              </w:rPr>
              <w:t xml:space="preserve">: </w:t>
            </w:r>
            <w:r>
              <w:rPr>
                <w:rStyle w:val="IndexLink"/>
                <w:rtl w:val="true"/>
              </w:rPr>
              <w:t>اهميت كافى در مقايسه با صحاح ششگانه</w:t>
            </w:r>
            <w:r>
              <w:rPr>
                <w:rStyle w:val="IndexLink"/>
                <w:rtl w:val="true"/>
              </w:rPr>
              <w:tab/>
            </w:r>
            <w:r>
              <w:rPr>
                <w:rStyle w:val="IndexLink"/>
              </w:rPr>
              <w:t>87</w:t>
            </w:r>
          </w:hyperlink>
        </w:p>
        <w:p>
          <w:pPr>
            <w:pStyle w:val="Contents4"/>
            <w:tabs>
              <w:tab w:val="clear" w:pos="8176"/>
              <w:tab w:val="right" w:pos="9026" w:leader="dot"/>
            </w:tabs>
            <w:rPr/>
          </w:pPr>
          <w:hyperlink w:anchor="__RefHeading___Toc3766925_365066874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766927_3650668749">
            <w:r>
              <w:rPr>
                <w:webHidden/>
                <w:rStyle w:val="IndexLink"/>
              </w:rPr>
              <w:t>١</w:t>
            </w:r>
            <w:r>
              <w:rPr>
                <w:rStyle w:val="IndexLink"/>
                <w:rtl w:val="true"/>
              </w:rPr>
              <w:t xml:space="preserve">. </w:t>
            </w:r>
            <w:r>
              <w:rPr>
                <w:rStyle w:val="IndexLink"/>
                <w:rtl w:val="true"/>
              </w:rPr>
              <w:t>صحيح بخارى</w:t>
            </w:r>
            <w:r>
              <w:rPr>
                <w:rStyle w:val="IndexLink"/>
                <w:rtl w:val="true"/>
              </w:rPr>
              <w:tab/>
            </w:r>
            <w:r>
              <w:rPr>
                <w:rStyle w:val="IndexLink"/>
              </w:rPr>
              <w:t>87</w:t>
            </w:r>
          </w:hyperlink>
        </w:p>
        <w:p>
          <w:pPr>
            <w:pStyle w:val="Contents5"/>
            <w:tabs>
              <w:tab w:val="clear" w:pos="7892"/>
              <w:tab w:val="right" w:pos="9026" w:leader="dot"/>
            </w:tabs>
            <w:rPr/>
          </w:pPr>
          <w:hyperlink w:anchor="__RefHeading___Toc3766929_3650668749">
            <w:r>
              <w:rPr>
                <w:webHidden/>
                <w:rStyle w:val="IndexLink"/>
                <w:rtl w:val="true"/>
              </w:rPr>
              <w:t>الف</w:t>
            </w:r>
            <w:r>
              <w:rPr>
                <w:rStyle w:val="IndexLink"/>
                <w:rtl w:val="true"/>
              </w:rPr>
              <w:t xml:space="preserve">) </w:t>
            </w:r>
            <w:r>
              <w:rPr>
                <w:rStyle w:val="IndexLink"/>
                <w:rtl w:val="true"/>
              </w:rPr>
              <w:t>اغراق نسبت به بخارى</w:t>
            </w:r>
            <w:r>
              <w:rPr>
                <w:rStyle w:val="IndexLink"/>
                <w:rtl w:val="true"/>
              </w:rPr>
              <w:tab/>
            </w:r>
            <w:r>
              <w:rPr>
                <w:rStyle w:val="IndexLink"/>
              </w:rPr>
              <w:t>87</w:t>
            </w:r>
          </w:hyperlink>
        </w:p>
        <w:p>
          <w:pPr>
            <w:pStyle w:val="Contents5"/>
            <w:tabs>
              <w:tab w:val="clear" w:pos="7892"/>
              <w:tab w:val="right" w:pos="9026" w:leader="dot"/>
            </w:tabs>
            <w:rPr/>
          </w:pPr>
          <w:hyperlink w:anchor="__RefHeading___Toc3766931_3650668749">
            <w:r>
              <w:rPr>
                <w:webHidden/>
                <w:rStyle w:val="IndexLink"/>
                <w:rtl w:val="true"/>
              </w:rPr>
              <w:t>ب</w:t>
            </w:r>
            <w:r>
              <w:rPr>
                <w:rStyle w:val="IndexLink"/>
                <w:rtl w:val="true"/>
              </w:rPr>
              <w:t xml:space="preserve">) </w:t>
            </w:r>
            <w:r>
              <w:rPr>
                <w:rStyle w:val="IndexLink"/>
                <w:rtl w:val="true"/>
              </w:rPr>
              <w:t>اختلاف در أصَحّيت</w:t>
            </w:r>
            <w:r>
              <w:rPr>
                <w:rStyle w:val="IndexLink"/>
                <w:rtl w:val="true"/>
              </w:rPr>
              <w:tab/>
            </w:r>
            <w:r>
              <w:rPr>
                <w:rStyle w:val="IndexLink"/>
              </w:rPr>
              <w:t>89</w:t>
            </w:r>
          </w:hyperlink>
        </w:p>
        <w:p>
          <w:pPr>
            <w:pStyle w:val="Contents5"/>
            <w:tabs>
              <w:tab w:val="clear" w:pos="7892"/>
              <w:tab w:val="right" w:pos="9026" w:leader="dot"/>
            </w:tabs>
            <w:rPr/>
          </w:pPr>
          <w:hyperlink w:anchor="__RefHeading___Toc3766933_3650668749">
            <w:r>
              <w:rPr>
                <w:webHidden/>
                <w:rStyle w:val="IndexLink"/>
                <w:rtl w:val="true"/>
              </w:rPr>
              <w:t>ج</w:t>
            </w:r>
            <w:r>
              <w:rPr>
                <w:rStyle w:val="IndexLink"/>
                <w:rtl w:val="true"/>
              </w:rPr>
              <w:t xml:space="preserve">) </w:t>
            </w:r>
            <w:r>
              <w:rPr>
                <w:rStyle w:val="IndexLink"/>
                <w:rtl w:val="true"/>
              </w:rPr>
              <w:t>نام اصلى صحيح بخارى</w:t>
            </w:r>
            <w:r>
              <w:rPr>
                <w:rStyle w:val="IndexLink"/>
                <w:rtl w:val="true"/>
              </w:rPr>
              <w:tab/>
            </w:r>
            <w:r>
              <w:rPr>
                <w:rStyle w:val="IndexLink"/>
              </w:rPr>
              <w:t>90</w:t>
            </w:r>
          </w:hyperlink>
        </w:p>
        <w:p>
          <w:pPr>
            <w:pStyle w:val="Contents5"/>
            <w:tabs>
              <w:tab w:val="clear" w:pos="7892"/>
              <w:tab w:val="right" w:pos="9026" w:leader="dot"/>
            </w:tabs>
            <w:rPr/>
          </w:pPr>
          <w:hyperlink w:anchor="__RefHeading___Toc3766935_3650668749">
            <w:r>
              <w:rPr>
                <w:webHidden/>
                <w:rStyle w:val="IndexLink"/>
                <w:rtl w:val="true"/>
              </w:rPr>
              <w:t>د</w:t>
            </w:r>
            <w:r>
              <w:rPr>
                <w:rStyle w:val="IndexLink"/>
                <w:rtl w:val="true"/>
              </w:rPr>
              <w:t xml:space="preserve">) </w:t>
            </w:r>
            <w:r>
              <w:rPr>
                <w:rStyle w:val="IndexLink"/>
                <w:rtl w:val="true"/>
              </w:rPr>
              <w:t>انتساب كتاب به مؤلف</w:t>
            </w:r>
            <w:r>
              <w:rPr>
                <w:rStyle w:val="IndexLink"/>
                <w:rtl w:val="true"/>
              </w:rPr>
              <w:tab/>
            </w:r>
            <w:r>
              <w:rPr>
                <w:rStyle w:val="IndexLink"/>
              </w:rPr>
              <w:t>91</w:t>
            </w:r>
          </w:hyperlink>
        </w:p>
        <w:p>
          <w:pPr>
            <w:pStyle w:val="Contents5"/>
            <w:tabs>
              <w:tab w:val="clear" w:pos="7892"/>
              <w:tab w:val="right" w:pos="9026" w:leader="dot"/>
            </w:tabs>
            <w:rPr/>
          </w:pPr>
          <w:hyperlink w:anchor="__RefHeading___Toc3766937_3650668749">
            <w:r>
              <w:rPr>
                <w:webHidden/>
                <w:rStyle w:val="IndexLink"/>
                <w:rtl w:val="true"/>
              </w:rPr>
              <w:t>ه</w:t>
            </w:r>
            <w:r>
              <w:rPr>
                <w:rStyle w:val="IndexLink"/>
                <w:rtl w:val="true"/>
              </w:rPr>
              <w:t xml:space="preserve">) </w:t>
            </w:r>
            <w:r>
              <w:rPr>
                <w:rStyle w:val="IndexLink"/>
                <w:rtl w:val="true"/>
              </w:rPr>
              <w:t>نمود يافتن كينه بخارى نسبت به‌ابوحنيفه</w:t>
            </w:r>
            <w:r>
              <w:rPr>
                <w:rStyle w:val="IndexLink"/>
                <w:rtl w:val="true"/>
              </w:rPr>
              <w:tab/>
            </w:r>
            <w:r>
              <w:rPr>
                <w:rStyle w:val="IndexLink"/>
              </w:rPr>
              <w:t>94</w:t>
            </w:r>
          </w:hyperlink>
        </w:p>
        <w:p>
          <w:pPr>
            <w:pStyle w:val="Contents5"/>
            <w:tabs>
              <w:tab w:val="clear" w:pos="7892"/>
              <w:tab w:val="right" w:pos="9026" w:leader="dot"/>
            </w:tabs>
            <w:rPr/>
          </w:pPr>
          <w:hyperlink w:anchor="__RefHeading___Toc3766939_3650668749">
            <w:r>
              <w:rPr>
                <w:webHidden/>
                <w:rStyle w:val="IndexLink"/>
                <w:rtl w:val="true"/>
              </w:rPr>
              <w:t>و</w:t>
            </w:r>
            <w:r>
              <w:rPr>
                <w:rStyle w:val="IndexLink"/>
                <w:rtl w:val="true"/>
              </w:rPr>
              <w:t xml:space="preserve">) </w:t>
            </w:r>
            <w:r>
              <w:rPr>
                <w:rStyle w:val="IndexLink"/>
                <w:rtl w:val="true"/>
              </w:rPr>
              <w:t>چالش‌هاى مهم صحيح بخارى</w:t>
            </w:r>
            <w:r>
              <w:rPr>
                <w:rStyle w:val="IndexLink"/>
                <w:rtl w:val="true"/>
              </w:rPr>
              <w:tab/>
            </w:r>
            <w:r>
              <w:rPr>
                <w:rStyle w:val="IndexLink"/>
              </w:rPr>
              <w:t>95</w:t>
            </w:r>
          </w:hyperlink>
        </w:p>
        <w:p>
          <w:pPr>
            <w:pStyle w:val="Contents4"/>
            <w:tabs>
              <w:tab w:val="clear" w:pos="8176"/>
              <w:tab w:val="right" w:pos="9026" w:leader="dot"/>
            </w:tabs>
            <w:rPr/>
          </w:pPr>
          <w:hyperlink w:anchor="__RefHeading___Toc3766941_3650668749">
            <w:r>
              <w:rPr>
                <w:webHidden/>
                <w:rStyle w:val="IndexLink"/>
              </w:rPr>
              <w:t>٢</w:t>
            </w:r>
            <w:r>
              <w:rPr>
                <w:rStyle w:val="IndexLink"/>
                <w:rtl w:val="true"/>
              </w:rPr>
              <w:t xml:space="preserve">. </w:t>
            </w:r>
            <w:r>
              <w:rPr>
                <w:rStyle w:val="IndexLink"/>
                <w:rtl w:val="true"/>
              </w:rPr>
              <w:t>نگاهى به‌جوامع ديگر اهل‌سنت</w:t>
            </w:r>
            <w:r>
              <w:rPr>
                <w:rStyle w:val="IndexLink"/>
                <w:rtl w:val="true"/>
              </w:rPr>
              <w:tab/>
            </w:r>
            <w:r>
              <w:rPr>
                <w:rStyle w:val="IndexLink"/>
              </w:rPr>
              <w:t>98</w:t>
            </w:r>
          </w:hyperlink>
        </w:p>
        <w:p>
          <w:pPr>
            <w:pStyle w:val="Contents4"/>
            <w:tabs>
              <w:tab w:val="clear" w:pos="8176"/>
              <w:tab w:val="right" w:pos="9026" w:leader="dot"/>
            </w:tabs>
            <w:rPr/>
          </w:pPr>
          <w:hyperlink w:anchor="__RefHeading___Toc3766943_3650668749">
            <w:r>
              <w:rPr>
                <w:webHidden/>
                <w:rStyle w:val="IndexLink"/>
                <w:rtl w:val="true"/>
              </w:rPr>
              <w:t>نتيجه‌گيرى</w:t>
            </w:r>
            <w:r>
              <w:rPr>
                <w:rStyle w:val="IndexLink"/>
                <w:rtl w:val="true"/>
              </w:rPr>
              <w:tab/>
            </w:r>
            <w:r>
              <w:rPr>
                <w:rStyle w:val="IndexLink"/>
              </w:rPr>
              <w:t>103</w:t>
            </w:r>
          </w:hyperlink>
        </w:p>
        <w:p>
          <w:pPr>
            <w:pStyle w:val="Contents2"/>
            <w:tabs>
              <w:tab w:val="clear" w:pos="8743"/>
              <w:tab w:val="right" w:pos="9026" w:leader="dot"/>
            </w:tabs>
            <w:rPr/>
          </w:pPr>
          <w:hyperlink w:anchor="__RefHeading___Toc3766945_3650668749">
            <w:r>
              <w:rPr>
                <w:webHidden/>
                <w:rStyle w:val="IndexLink"/>
                <w:rtl w:val="true"/>
              </w:rPr>
              <w:t>بخش دوم</w:t>
            </w:r>
            <w:r>
              <w:rPr>
                <w:rStyle w:val="IndexLink"/>
                <w:rtl w:val="true"/>
              </w:rPr>
              <w:t xml:space="preserve">: </w:t>
            </w:r>
            <w:r>
              <w:rPr>
                <w:rStyle w:val="IndexLink"/>
                <w:rtl w:val="true"/>
              </w:rPr>
              <w:t>نقل و نقد اشكالات بر اسناد كافى</w:t>
            </w:r>
            <w:r>
              <w:rPr>
                <w:rStyle w:val="IndexLink"/>
                <w:rtl w:val="true"/>
              </w:rPr>
              <w:tab/>
            </w:r>
            <w:r>
              <w:rPr>
                <w:rStyle w:val="IndexLink"/>
              </w:rPr>
              <w:t>105</w:t>
            </w:r>
          </w:hyperlink>
        </w:p>
        <w:p>
          <w:pPr>
            <w:pStyle w:val="Contents3"/>
            <w:tabs>
              <w:tab w:val="clear" w:pos="8459"/>
              <w:tab w:val="right" w:pos="9026" w:leader="dot"/>
            </w:tabs>
            <w:rPr/>
          </w:pPr>
          <w:hyperlink w:anchor="__RefHeading___Toc3766947_365066874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3766949_3650668749">
            <w:r>
              <w:rPr>
                <w:webHidden/>
                <w:rStyle w:val="IndexLink"/>
                <w:rtl w:val="true"/>
              </w:rPr>
              <w:t>آغاز</w:t>
            </w:r>
            <w:r>
              <w:rPr>
                <w:rStyle w:val="IndexLink"/>
                <w:rtl w:val="true"/>
              </w:rPr>
              <w:tab/>
            </w:r>
            <w:r>
              <w:rPr>
                <w:rStyle w:val="IndexLink"/>
              </w:rPr>
              <w:t>107</w:t>
            </w:r>
          </w:hyperlink>
        </w:p>
        <w:p>
          <w:pPr>
            <w:pStyle w:val="Contents3"/>
            <w:tabs>
              <w:tab w:val="clear" w:pos="8459"/>
              <w:tab w:val="right" w:pos="9026" w:leader="dot"/>
            </w:tabs>
            <w:rPr/>
          </w:pPr>
          <w:hyperlink w:anchor="__RefHeading___Toc3766951_3650668749">
            <w:r>
              <w:rPr>
                <w:webHidden/>
                <w:rStyle w:val="IndexLink"/>
                <w:rtl w:val="true"/>
              </w:rPr>
              <w:t>فصل اول</w:t>
            </w:r>
            <w:r>
              <w:rPr>
                <w:rStyle w:val="IndexLink"/>
                <w:rtl w:val="true"/>
              </w:rPr>
              <w:t xml:space="preserve">: </w:t>
            </w:r>
            <w:r>
              <w:rPr>
                <w:rStyle w:val="IndexLink"/>
                <w:rtl w:val="true"/>
              </w:rPr>
              <w:t>انگيزه‌ها و اشكالات وهابى‌ها بر كافى</w:t>
            </w:r>
            <w:r>
              <w:rPr>
                <w:rStyle w:val="IndexLink"/>
                <w:rtl w:val="true"/>
              </w:rPr>
              <w:tab/>
            </w:r>
            <w:r>
              <w:rPr>
                <w:rStyle w:val="IndexLink"/>
              </w:rPr>
              <w:t>107</w:t>
            </w:r>
          </w:hyperlink>
        </w:p>
        <w:p>
          <w:pPr>
            <w:pStyle w:val="Contents4"/>
            <w:tabs>
              <w:tab w:val="clear" w:pos="8176"/>
              <w:tab w:val="right" w:pos="9026" w:leader="dot"/>
            </w:tabs>
            <w:rPr/>
          </w:pPr>
          <w:hyperlink w:anchor="__RefHeading___Toc3766953_3650668749">
            <w:r>
              <w:rPr>
                <w:webHidden/>
                <w:rStyle w:val="IndexLink"/>
                <w:rtl w:val="true"/>
              </w:rPr>
              <w:t>گفتار اول</w:t>
            </w:r>
            <w:r>
              <w:rPr>
                <w:rStyle w:val="IndexLink"/>
                <w:rtl w:val="true"/>
              </w:rPr>
              <w:t xml:space="preserve">: </w:t>
            </w:r>
            <w:r>
              <w:rPr>
                <w:rStyle w:val="IndexLink"/>
                <w:rtl w:val="true"/>
              </w:rPr>
              <w:t>انگيزه‌هاى وهابيان از نقد بر اصول كافى</w:t>
            </w:r>
            <w:r>
              <w:rPr>
                <w:rStyle w:val="IndexLink"/>
                <w:rtl w:val="true"/>
              </w:rPr>
              <w:tab/>
            </w:r>
            <w:r>
              <w:rPr>
                <w:rStyle w:val="IndexLink"/>
              </w:rPr>
              <w:t>107</w:t>
            </w:r>
          </w:hyperlink>
        </w:p>
        <w:p>
          <w:pPr>
            <w:pStyle w:val="Contents5"/>
            <w:tabs>
              <w:tab w:val="clear" w:pos="7892"/>
              <w:tab w:val="right" w:pos="9026" w:leader="dot"/>
            </w:tabs>
            <w:rPr/>
          </w:pPr>
          <w:hyperlink w:anchor="__RefHeading___Toc3766955_3650668749">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3766957_3650668749">
            <w:r>
              <w:rPr>
                <w:webHidden/>
                <w:rStyle w:val="IndexLink"/>
              </w:rPr>
              <w:t>١</w:t>
            </w:r>
            <w:r>
              <w:rPr>
                <w:rStyle w:val="IndexLink"/>
                <w:rtl w:val="true"/>
              </w:rPr>
              <w:t xml:space="preserve">. </w:t>
            </w:r>
            <w:r>
              <w:rPr>
                <w:rStyle w:val="IndexLink"/>
                <w:rtl w:val="true"/>
              </w:rPr>
              <w:t>اهميت كافى در ميان كتاب‌هاى روايى</w:t>
            </w:r>
            <w:r>
              <w:rPr>
                <w:rStyle w:val="IndexLink"/>
                <w:rtl w:val="true"/>
              </w:rPr>
              <w:tab/>
            </w:r>
            <w:r>
              <w:rPr>
                <w:rStyle w:val="IndexLink"/>
              </w:rPr>
              <w:t>108</w:t>
            </w:r>
          </w:hyperlink>
        </w:p>
        <w:p>
          <w:pPr>
            <w:pStyle w:val="Contents5"/>
            <w:tabs>
              <w:tab w:val="clear" w:pos="7892"/>
              <w:tab w:val="right" w:pos="9026" w:leader="dot"/>
            </w:tabs>
            <w:rPr/>
          </w:pPr>
          <w:hyperlink w:anchor="__RefHeading___Toc3766959_3650668749">
            <w:r>
              <w:rPr>
                <w:webHidden/>
                <w:rStyle w:val="IndexLink"/>
              </w:rPr>
              <w:t>٢</w:t>
            </w:r>
            <w:r>
              <w:rPr>
                <w:rStyle w:val="IndexLink"/>
                <w:rtl w:val="true"/>
              </w:rPr>
              <w:t xml:space="preserve">. </w:t>
            </w:r>
            <w:r>
              <w:rPr>
                <w:rStyle w:val="IndexLink"/>
                <w:rtl w:val="true"/>
              </w:rPr>
              <w:t>ناسازگارى با اعتقاد وهابى‌ها</w:t>
            </w:r>
            <w:r>
              <w:rPr>
                <w:rStyle w:val="IndexLink"/>
                <w:rtl w:val="true"/>
              </w:rPr>
              <w:tab/>
            </w:r>
            <w:r>
              <w:rPr>
                <w:rStyle w:val="IndexLink"/>
              </w:rPr>
              <w:t>109</w:t>
            </w:r>
          </w:hyperlink>
        </w:p>
        <w:p>
          <w:pPr>
            <w:pStyle w:val="Contents5"/>
            <w:tabs>
              <w:tab w:val="clear" w:pos="7892"/>
              <w:tab w:val="right" w:pos="9026" w:leader="dot"/>
            </w:tabs>
            <w:rPr/>
          </w:pPr>
          <w:hyperlink w:anchor="__RefHeading___Toc3766961_3650668749">
            <w:r>
              <w:rPr>
                <w:webHidden/>
                <w:rStyle w:val="IndexLink"/>
              </w:rPr>
              <w:t>٣</w:t>
            </w:r>
            <w:r>
              <w:rPr>
                <w:rStyle w:val="IndexLink"/>
                <w:rtl w:val="true"/>
              </w:rPr>
              <w:t xml:space="preserve">. </w:t>
            </w:r>
            <w:r>
              <w:rPr>
                <w:rStyle w:val="IndexLink"/>
                <w:rtl w:val="true"/>
              </w:rPr>
              <w:t>مذمت صحابه در كافى</w:t>
            </w:r>
            <w:r>
              <w:rPr>
                <w:rStyle w:val="IndexLink"/>
                <w:rtl w:val="true"/>
              </w:rPr>
              <w:tab/>
            </w:r>
            <w:r>
              <w:rPr>
                <w:rStyle w:val="IndexLink"/>
              </w:rPr>
              <w:t>109</w:t>
            </w:r>
          </w:hyperlink>
        </w:p>
        <w:p>
          <w:pPr>
            <w:pStyle w:val="Contents5"/>
            <w:tabs>
              <w:tab w:val="clear" w:pos="7892"/>
              <w:tab w:val="right" w:pos="9026" w:leader="dot"/>
            </w:tabs>
            <w:rPr/>
          </w:pPr>
          <w:hyperlink w:anchor="__RefHeading___Toc3766963_3650668749">
            <w:r>
              <w:rPr>
                <w:webHidden/>
                <w:rStyle w:val="IndexLink"/>
              </w:rPr>
              <w:t>۴</w:t>
            </w:r>
            <w:r>
              <w:rPr>
                <w:rStyle w:val="IndexLink"/>
                <w:rtl w:val="true"/>
              </w:rPr>
              <w:t xml:space="preserve">. </w:t>
            </w:r>
            <w:r>
              <w:rPr>
                <w:rStyle w:val="IndexLink"/>
                <w:rtl w:val="true"/>
              </w:rPr>
              <w:t xml:space="preserve">تحريف قرآن و مصحف على </w:t>
            </w:r>
            <w:r>
              <w:rPr>
                <w:rStyle w:val="IndexLink"/>
                <w:rtl w:val="true"/>
              </w:rPr>
              <w:t>(</w:t>
            </w:r>
            <w:r>
              <w:rPr>
                <w:rStyle w:val="IndexLink"/>
                <w:rtl w:val="true"/>
              </w:rPr>
              <w:t>ع</w:t>
            </w:r>
            <w:r>
              <w:rPr>
                <w:rStyle w:val="IndexLink"/>
                <w:rtl w:val="true"/>
              </w:rPr>
              <w:t xml:space="preserve">) </w:t>
            </w:r>
            <w:r>
              <w:rPr>
                <w:rStyle w:val="IndexLink"/>
                <w:rtl w:val="true"/>
              </w:rPr>
              <w:t>و</w:t>
            </w:r>
            <w:r>
              <w:rPr>
                <w:rStyle w:val="IndexLink"/>
                <w:rtl w:val="true"/>
              </w:rPr>
              <w:t>. . .</w:t>
              <w:tab/>
            </w:r>
            <w:r>
              <w:rPr>
                <w:rStyle w:val="IndexLink"/>
              </w:rPr>
              <w:t>110</w:t>
            </w:r>
          </w:hyperlink>
        </w:p>
        <w:p>
          <w:pPr>
            <w:pStyle w:val="Contents4"/>
            <w:tabs>
              <w:tab w:val="clear" w:pos="8176"/>
              <w:tab w:val="right" w:pos="9026" w:leader="dot"/>
            </w:tabs>
            <w:rPr/>
          </w:pPr>
          <w:hyperlink w:anchor="__RefHeading___Toc3766965_3650668749">
            <w:r>
              <w:rPr>
                <w:webHidden/>
                <w:rStyle w:val="IndexLink"/>
                <w:rtl w:val="true"/>
              </w:rPr>
              <w:t>گفتار دوم</w:t>
            </w:r>
            <w:r>
              <w:rPr>
                <w:rStyle w:val="IndexLink"/>
                <w:rtl w:val="true"/>
              </w:rPr>
              <w:t xml:space="preserve">: </w:t>
            </w:r>
            <w:r>
              <w:rPr>
                <w:rStyle w:val="IndexLink"/>
                <w:rtl w:val="true"/>
              </w:rPr>
              <w:t>اشكالات وهابيان بر كتاب كافى</w:t>
            </w:r>
            <w:r>
              <w:rPr>
                <w:rStyle w:val="IndexLink"/>
                <w:rtl w:val="true"/>
              </w:rPr>
              <w:tab/>
            </w:r>
            <w:r>
              <w:rPr>
                <w:rStyle w:val="IndexLink"/>
              </w:rPr>
              <w:t>110</w:t>
            </w:r>
          </w:hyperlink>
        </w:p>
        <w:p>
          <w:pPr>
            <w:pStyle w:val="Contents5"/>
            <w:tabs>
              <w:tab w:val="clear" w:pos="7892"/>
              <w:tab w:val="right" w:pos="9026" w:leader="dot"/>
            </w:tabs>
            <w:rPr/>
          </w:pPr>
          <w:hyperlink w:anchor="__RefHeading___Toc3766967_3650668749">
            <w:r>
              <w:rPr>
                <w:webHidden/>
                <w:rStyle w:val="IndexLink"/>
              </w:rPr>
              <w:t>١</w:t>
            </w:r>
            <w:r>
              <w:rPr>
                <w:rStyle w:val="IndexLink"/>
                <w:rtl w:val="true"/>
              </w:rPr>
              <w:t xml:space="preserve">. </w:t>
            </w:r>
            <w:r>
              <w:rPr>
                <w:rStyle w:val="IndexLink"/>
                <w:rtl w:val="true"/>
              </w:rPr>
              <w:t>عدم حجيت روايات كافى</w:t>
            </w:r>
            <w:r>
              <w:rPr>
                <w:rStyle w:val="IndexLink"/>
                <w:rtl w:val="true"/>
              </w:rPr>
              <w:tab/>
            </w:r>
            <w:r>
              <w:rPr>
                <w:rStyle w:val="IndexLink"/>
              </w:rPr>
              <w:t>110</w:t>
            </w:r>
          </w:hyperlink>
        </w:p>
        <w:p>
          <w:pPr>
            <w:pStyle w:val="Contents6"/>
            <w:tabs>
              <w:tab w:val="clear" w:pos="7609"/>
              <w:tab w:val="right" w:pos="9026" w:leader="dot"/>
            </w:tabs>
            <w:rPr/>
          </w:pPr>
          <w:hyperlink w:anchor="__RefHeading___Toc3766969_3650668749">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3766971_3650668749">
            <w:r>
              <w:rPr>
                <w:webHidden/>
                <w:rStyle w:val="IndexLink"/>
                <w:rtl w:val="true"/>
              </w:rPr>
              <w:t>الف</w:t>
            </w:r>
            <w:r>
              <w:rPr>
                <w:rStyle w:val="IndexLink"/>
                <w:rtl w:val="true"/>
              </w:rPr>
              <w:t xml:space="preserve">) </w:t>
            </w:r>
            <w:r>
              <w:rPr>
                <w:rStyle w:val="IndexLink"/>
                <w:rtl w:val="true"/>
              </w:rPr>
              <w:t>فقدان دانش حديث‌شناسى در شيعه</w:t>
            </w:r>
            <w:r>
              <w:rPr>
                <w:rStyle w:val="IndexLink"/>
                <w:rtl w:val="true"/>
              </w:rPr>
              <w:tab/>
            </w:r>
            <w:r>
              <w:rPr>
                <w:rStyle w:val="IndexLink"/>
              </w:rPr>
              <w:t>111</w:t>
            </w:r>
          </w:hyperlink>
        </w:p>
        <w:p>
          <w:pPr>
            <w:pStyle w:val="Contents6"/>
            <w:tabs>
              <w:tab w:val="clear" w:pos="7609"/>
              <w:tab w:val="right" w:pos="9026" w:leader="dot"/>
            </w:tabs>
            <w:rPr/>
          </w:pPr>
          <w:hyperlink w:anchor="__RefHeading___Toc3766973_3650668749">
            <w:r>
              <w:rPr>
                <w:webHidden/>
                <w:rStyle w:val="IndexLink"/>
                <w:rtl w:val="true"/>
              </w:rPr>
              <w:t>ب</w:t>
            </w:r>
            <w:r>
              <w:rPr>
                <w:rStyle w:val="IndexLink"/>
                <w:rtl w:val="true"/>
              </w:rPr>
              <w:t xml:space="preserve">) </w:t>
            </w:r>
            <w:r>
              <w:rPr>
                <w:rStyle w:val="IndexLink"/>
                <w:rtl w:val="true"/>
              </w:rPr>
              <w:t xml:space="preserve">نرسيدن اسناد كافى به‌رسول‌الله </w:t>
            </w:r>
            <w:r>
              <w:rPr>
                <w:rStyle w:val="IndexLink"/>
                <w:rtl w:val="true"/>
              </w:rPr>
              <w:t>(</w:t>
            </w:r>
            <w:r>
              <w:rPr>
                <w:rStyle w:val="IndexLink"/>
                <w:rtl w:val="true"/>
              </w:rPr>
              <w:t>ص</w:t>
            </w:r>
            <w:r>
              <w:rPr>
                <w:rStyle w:val="IndexLink"/>
                <w:rtl w:val="true"/>
              </w:rPr>
              <w:t>)</w:t>
              <w:tab/>
            </w:r>
            <w:r>
              <w:rPr>
                <w:rStyle w:val="IndexLink"/>
              </w:rPr>
              <w:t>112</w:t>
            </w:r>
          </w:hyperlink>
        </w:p>
        <w:p>
          <w:pPr>
            <w:pStyle w:val="Contents5"/>
            <w:tabs>
              <w:tab w:val="clear" w:pos="7892"/>
              <w:tab w:val="right" w:pos="9026" w:leader="dot"/>
            </w:tabs>
            <w:rPr/>
          </w:pPr>
          <w:hyperlink w:anchor="__RefHeading___Toc3766975_3650668749">
            <w:r>
              <w:rPr>
                <w:webHidden/>
                <w:rStyle w:val="IndexLink"/>
                <w:rtl w:val="true"/>
              </w:rPr>
              <w:t>بررسى و نقد اشكال اسنادى</w:t>
            </w:r>
            <w:r>
              <w:rPr>
                <w:rStyle w:val="IndexLink"/>
                <w:rtl w:val="true"/>
              </w:rPr>
              <w:tab/>
            </w:r>
            <w:r>
              <w:rPr>
                <w:rStyle w:val="IndexLink"/>
              </w:rPr>
              <w:t>113</w:t>
            </w:r>
          </w:hyperlink>
        </w:p>
        <w:p>
          <w:pPr>
            <w:pStyle w:val="Contents6"/>
            <w:tabs>
              <w:tab w:val="clear" w:pos="7609"/>
              <w:tab w:val="right" w:pos="9026" w:leader="dot"/>
            </w:tabs>
            <w:rPr/>
          </w:pPr>
          <w:hyperlink w:anchor="__RefHeading___Toc3766977_3650668749">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3766979_3650668749">
            <w:r>
              <w:rPr>
                <w:webHidden/>
                <w:rStyle w:val="IndexLink"/>
                <w:rtl w:val="true"/>
              </w:rPr>
              <w:t>الف</w:t>
            </w:r>
            <w:r>
              <w:rPr>
                <w:rStyle w:val="IndexLink"/>
                <w:rtl w:val="true"/>
              </w:rPr>
              <w:t xml:space="preserve">) </w:t>
            </w:r>
            <w:r>
              <w:rPr>
                <w:rStyle w:val="IndexLink"/>
                <w:rtl w:val="true"/>
              </w:rPr>
              <w:t>افترا و تهمت به‌شيعه</w:t>
            </w:r>
            <w:r>
              <w:rPr>
                <w:rStyle w:val="IndexLink"/>
                <w:rtl w:val="true"/>
              </w:rPr>
              <w:tab/>
            </w:r>
            <w:r>
              <w:rPr>
                <w:rStyle w:val="IndexLink"/>
              </w:rPr>
              <w:t>113</w:t>
            </w:r>
          </w:hyperlink>
        </w:p>
        <w:p>
          <w:pPr>
            <w:pStyle w:val="Contents6"/>
            <w:tabs>
              <w:tab w:val="clear" w:pos="7609"/>
              <w:tab w:val="right" w:pos="9026" w:leader="dot"/>
            </w:tabs>
            <w:rPr/>
          </w:pPr>
          <w:hyperlink w:anchor="__RefHeading___Toc3766981_3650668749">
            <w:r>
              <w:rPr>
                <w:webHidden/>
                <w:rStyle w:val="IndexLink"/>
                <w:rtl w:val="true"/>
              </w:rPr>
              <w:t>ب</w:t>
            </w:r>
            <w:r>
              <w:rPr>
                <w:rStyle w:val="IndexLink"/>
                <w:rtl w:val="true"/>
              </w:rPr>
              <w:t xml:space="preserve">) </w:t>
            </w:r>
            <w:r>
              <w:rPr>
                <w:rStyle w:val="IndexLink"/>
                <w:rtl w:val="true"/>
              </w:rPr>
              <w:t xml:space="preserve">ادعاى نرسيدن اسناد كافى به‌رسول‌الله </w:t>
            </w:r>
            <w:r>
              <w:rPr>
                <w:rStyle w:val="IndexLink"/>
                <w:rtl w:val="true"/>
              </w:rPr>
              <w:t>(</w:t>
            </w:r>
            <w:r>
              <w:rPr>
                <w:rStyle w:val="IndexLink"/>
                <w:rtl w:val="true"/>
              </w:rPr>
              <w:t>ص</w:t>
            </w:r>
            <w:r>
              <w:rPr>
                <w:rStyle w:val="IndexLink"/>
                <w:rtl w:val="true"/>
              </w:rPr>
              <w:t>) !</w:t>
              <w:tab/>
            </w:r>
            <w:r>
              <w:rPr>
                <w:rStyle w:val="IndexLink"/>
              </w:rPr>
              <w:t>117</w:t>
            </w:r>
          </w:hyperlink>
        </w:p>
        <w:p>
          <w:pPr>
            <w:pStyle w:val="Contents6"/>
            <w:tabs>
              <w:tab w:val="clear" w:pos="7609"/>
              <w:tab w:val="right" w:pos="9026" w:leader="dot"/>
            </w:tabs>
            <w:rPr/>
          </w:pPr>
          <w:hyperlink w:anchor="__RefHeading___Toc3766983_3650668749">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3766985_3650668749">
            <w:r>
              <w:rPr>
                <w:webHidden/>
                <w:rStyle w:val="IndexLink"/>
                <w:rtl w:val="true"/>
              </w:rPr>
              <w:t xml:space="preserve">يك </w:t>
            </w:r>
            <w:r>
              <w:rPr>
                <w:rStyle w:val="IndexLink"/>
                <w:rtl w:val="true"/>
              </w:rPr>
              <w:t xml:space="preserve">- </w:t>
            </w:r>
            <w:r>
              <w:rPr>
                <w:rStyle w:val="IndexLink"/>
                <w:rtl w:val="true"/>
              </w:rPr>
              <w:t xml:space="preserve">اتّصال احاديث شيعه به‌رسول‌الله </w:t>
            </w:r>
            <w:r>
              <w:rPr>
                <w:rStyle w:val="IndexLink"/>
                <w:rtl w:val="true"/>
              </w:rPr>
              <w:t>(</w:t>
            </w:r>
            <w:r>
              <w:rPr>
                <w:rStyle w:val="IndexLink"/>
                <w:rtl w:val="true"/>
              </w:rPr>
              <w:t>ص</w:t>
            </w:r>
            <w:r>
              <w:rPr>
                <w:rStyle w:val="IndexLink"/>
                <w:rtl w:val="true"/>
              </w:rPr>
              <w:t>)</w:t>
              <w:tab/>
            </w:r>
            <w:r>
              <w:rPr>
                <w:rStyle w:val="IndexLink"/>
              </w:rPr>
              <w:t>117</w:t>
            </w:r>
          </w:hyperlink>
        </w:p>
        <w:p>
          <w:pPr>
            <w:pStyle w:val="Contents6"/>
            <w:tabs>
              <w:tab w:val="clear" w:pos="7609"/>
              <w:tab w:val="right" w:pos="9026" w:leader="dot"/>
            </w:tabs>
            <w:rPr/>
          </w:pPr>
          <w:hyperlink w:anchor="__RefHeading___Toc3766987_3650668749">
            <w:r>
              <w:rPr>
                <w:webHidden/>
                <w:rStyle w:val="IndexLink"/>
                <w:rtl w:val="true"/>
              </w:rPr>
              <w:t xml:space="preserve">دو </w:t>
            </w:r>
            <w:r>
              <w:rPr>
                <w:rStyle w:val="IndexLink"/>
                <w:rtl w:val="true"/>
              </w:rPr>
              <w:t xml:space="preserve">- </w:t>
            </w:r>
            <w:r>
              <w:rPr>
                <w:rStyle w:val="IndexLink"/>
                <w:rtl w:val="true"/>
              </w:rPr>
              <w:t xml:space="preserve">عدم اتصال همه روايات مكتب خلفاء به‌رسول‌الله </w:t>
            </w:r>
            <w:r>
              <w:rPr>
                <w:rStyle w:val="IndexLink"/>
                <w:rtl w:val="true"/>
              </w:rPr>
              <w:t>(</w:t>
            </w:r>
            <w:r>
              <w:rPr>
                <w:rStyle w:val="IndexLink"/>
                <w:rtl w:val="true"/>
              </w:rPr>
              <w:t>ص</w:t>
            </w:r>
            <w:r>
              <w:rPr>
                <w:rStyle w:val="IndexLink"/>
                <w:rtl w:val="true"/>
              </w:rPr>
              <w:t>)</w:t>
              <w:tab/>
            </w:r>
            <w:r>
              <w:rPr>
                <w:rStyle w:val="IndexLink"/>
              </w:rPr>
              <w:t>121</w:t>
            </w:r>
          </w:hyperlink>
        </w:p>
        <w:p>
          <w:pPr>
            <w:pStyle w:val="Contents6"/>
            <w:tabs>
              <w:tab w:val="clear" w:pos="7609"/>
              <w:tab w:val="right" w:pos="9026" w:leader="dot"/>
            </w:tabs>
            <w:rPr/>
          </w:pPr>
          <w:hyperlink w:anchor="__RefHeading___Toc3766989_3650668749">
            <w:r>
              <w:rPr>
                <w:webHidden/>
                <w:rStyle w:val="IndexLink"/>
                <w:rtl w:val="true"/>
              </w:rPr>
              <w:t>ج</w:t>
            </w:r>
            <w:r>
              <w:rPr>
                <w:rStyle w:val="IndexLink"/>
                <w:rtl w:val="true"/>
              </w:rPr>
              <w:t xml:space="preserve">) </w:t>
            </w:r>
            <w:r>
              <w:rPr>
                <w:rStyle w:val="IndexLink"/>
                <w:rtl w:val="true"/>
              </w:rPr>
              <w:t>فقدان معيار شناخت حديث صحيح از ناصحيح</w:t>
            </w:r>
            <w:r>
              <w:rPr>
                <w:rStyle w:val="IndexLink"/>
                <w:rtl w:val="true"/>
              </w:rPr>
              <w:t>!</w:t>
              <w:tab/>
            </w:r>
            <w:r>
              <w:rPr>
                <w:rStyle w:val="IndexLink"/>
              </w:rPr>
              <w:t>123</w:t>
            </w:r>
          </w:hyperlink>
        </w:p>
        <w:p>
          <w:pPr>
            <w:pStyle w:val="Contents6"/>
            <w:tabs>
              <w:tab w:val="clear" w:pos="7609"/>
              <w:tab w:val="right" w:pos="9026" w:leader="dot"/>
            </w:tabs>
            <w:rPr/>
          </w:pPr>
          <w:hyperlink w:anchor="__RefHeading___Toc3766991_3650668749">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3766993_3650668749">
            <w:r>
              <w:rPr>
                <w:webHidden/>
                <w:rStyle w:val="IndexLink"/>
                <w:rtl w:val="true"/>
              </w:rPr>
              <w:t xml:space="preserve">يك </w:t>
            </w:r>
            <w:r>
              <w:rPr>
                <w:rStyle w:val="IndexLink"/>
                <w:rtl w:val="true"/>
              </w:rPr>
              <w:t xml:space="preserve">- </w:t>
            </w:r>
            <w:r>
              <w:rPr>
                <w:rStyle w:val="IndexLink"/>
                <w:rtl w:val="true"/>
              </w:rPr>
              <w:t xml:space="preserve">تقدُّم تدوين حديث در مكتب اهل‌بيت </w:t>
            </w:r>
            <w:r>
              <w:rPr>
                <w:rStyle w:val="IndexLink"/>
                <w:rtl w:val="true"/>
              </w:rPr>
              <w:t>(</w:t>
            </w:r>
            <w:r>
              <w:rPr>
                <w:rStyle w:val="IndexLink"/>
                <w:rtl w:val="true"/>
              </w:rPr>
              <w:t>عليهم السلام</w:t>
            </w:r>
            <w:r>
              <w:rPr>
                <w:rStyle w:val="IndexLink"/>
                <w:rtl w:val="true"/>
              </w:rPr>
              <w:t>)</w:t>
              <w:tab/>
            </w:r>
            <w:r>
              <w:rPr>
                <w:rStyle w:val="IndexLink"/>
              </w:rPr>
              <w:t>123</w:t>
            </w:r>
          </w:hyperlink>
        </w:p>
        <w:p>
          <w:pPr>
            <w:pStyle w:val="Contents6"/>
            <w:tabs>
              <w:tab w:val="clear" w:pos="7609"/>
              <w:tab w:val="right" w:pos="9026" w:leader="dot"/>
            </w:tabs>
            <w:rPr/>
          </w:pPr>
          <w:hyperlink w:anchor="__RefHeading___Toc3766995_3650668749">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3766997_3650668749">
            <w:r>
              <w:rPr>
                <w:webHidden/>
                <w:rStyle w:val="IndexLink"/>
                <w:rtl w:val="true"/>
              </w:rPr>
              <w:t>اوّل</w:t>
            </w:r>
            <w:r>
              <w:rPr>
                <w:rStyle w:val="IndexLink"/>
                <w:rtl w:val="true"/>
              </w:rPr>
              <w:t xml:space="preserve">: </w:t>
            </w:r>
            <w:r>
              <w:rPr>
                <w:rStyle w:val="IndexLink"/>
                <w:rtl w:val="true"/>
              </w:rPr>
              <w:t xml:space="preserve">مكتوبات اميرالمؤمنين </w:t>
            </w:r>
            <w:r>
              <w:rPr>
                <w:rStyle w:val="IndexLink"/>
                <w:rtl w:val="true"/>
              </w:rPr>
              <w:t>(</w:t>
            </w:r>
            <w:r>
              <w:rPr>
                <w:rStyle w:val="IndexLink"/>
                <w:rtl w:val="true"/>
              </w:rPr>
              <w:t>ع</w:t>
            </w:r>
            <w:r>
              <w:rPr>
                <w:rStyle w:val="IndexLink"/>
                <w:rtl w:val="true"/>
              </w:rPr>
              <w:t>)</w:t>
              <w:tab/>
            </w:r>
            <w:r>
              <w:rPr>
                <w:rStyle w:val="IndexLink"/>
              </w:rPr>
              <w:t>124</w:t>
            </w:r>
          </w:hyperlink>
        </w:p>
        <w:p>
          <w:pPr>
            <w:pStyle w:val="Contents6"/>
            <w:tabs>
              <w:tab w:val="clear" w:pos="7609"/>
              <w:tab w:val="right" w:pos="9026" w:leader="dot"/>
            </w:tabs>
            <w:rPr/>
          </w:pPr>
          <w:hyperlink w:anchor="__RefHeading___Toc3766999_3650668749">
            <w:r>
              <w:rPr>
                <w:webHidden/>
                <w:rStyle w:val="IndexLink"/>
                <w:rtl w:val="true"/>
              </w:rPr>
              <w:t>دوم</w:t>
            </w:r>
            <w:r>
              <w:rPr>
                <w:rStyle w:val="IndexLink"/>
                <w:rtl w:val="true"/>
              </w:rPr>
              <w:t xml:space="preserve">: </w:t>
            </w:r>
            <w:r>
              <w:rPr>
                <w:rStyle w:val="IndexLink"/>
                <w:rtl w:val="true"/>
              </w:rPr>
              <w:t xml:space="preserve">صحيفه‌هاى مكتوب پس از على </w:t>
            </w:r>
            <w:r>
              <w:rPr>
                <w:rStyle w:val="IndexLink"/>
                <w:rtl w:val="true"/>
              </w:rPr>
              <w:t>(</w:t>
            </w:r>
            <w:r>
              <w:rPr>
                <w:rStyle w:val="IndexLink"/>
                <w:rtl w:val="true"/>
              </w:rPr>
              <w:t>ع</w:t>
            </w:r>
            <w:r>
              <w:rPr>
                <w:rStyle w:val="IndexLink"/>
                <w:rtl w:val="true"/>
              </w:rPr>
              <w:t>)</w:t>
              <w:tab/>
            </w:r>
            <w:r>
              <w:rPr>
                <w:rStyle w:val="IndexLink"/>
              </w:rPr>
              <w:t>127</w:t>
            </w:r>
          </w:hyperlink>
        </w:p>
        <w:p>
          <w:pPr>
            <w:pStyle w:val="Contents6"/>
            <w:tabs>
              <w:tab w:val="clear" w:pos="7609"/>
              <w:tab w:val="right" w:pos="9026" w:leader="dot"/>
            </w:tabs>
            <w:rPr/>
          </w:pPr>
          <w:hyperlink w:anchor="__RefHeading___Toc3767001_3650668749">
            <w:r>
              <w:rPr>
                <w:webHidden/>
                <w:rStyle w:val="IndexLink"/>
                <w:rtl w:val="true"/>
              </w:rPr>
              <w:t xml:space="preserve">دو </w:t>
            </w:r>
            <w:r>
              <w:rPr>
                <w:rStyle w:val="IndexLink"/>
                <w:rtl w:val="true"/>
              </w:rPr>
              <w:t xml:space="preserve">- </w:t>
            </w:r>
            <w:r>
              <w:rPr>
                <w:rStyle w:val="IndexLink"/>
                <w:rtl w:val="true"/>
              </w:rPr>
              <w:t xml:space="preserve">نقش امام‌صادق </w:t>
            </w:r>
            <w:r>
              <w:rPr>
                <w:rStyle w:val="IndexLink"/>
                <w:rtl w:val="true"/>
              </w:rPr>
              <w:t>(</w:t>
            </w:r>
            <w:r>
              <w:rPr>
                <w:rStyle w:val="IndexLink"/>
                <w:rtl w:val="true"/>
              </w:rPr>
              <w:t>ع</w:t>
            </w:r>
            <w:r>
              <w:rPr>
                <w:rStyle w:val="IndexLink"/>
                <w:rtl w:val="true"/>
              </w:rPr>
              <w:t xml:space="preserve">) </w:t>
            </w:r>
            <w:r>
              <w:rPr>
                <w:rStyle w:val="IndexLink"/>
                <w:rtl w:val="true"/>
              </w:rPr>
              <w:t>در تدوين و انتقال حديث</w:t>
            </w:r>
            <w:r>
              <w:rPr>
                <w:rStyle w:val="IndexLink"/>
                <w:rtl w:val="true"/>
              </w:rPr>
              <w:tab/>
            </w:r>
            <w:r>
              <w:rPr>
                <w:rStyle w:val="IndexLink"/>
              </w:rPr>
              <w:t>130</w:t>
            </w:r>
          </w:hyperlink>
        </w:p>
        <w:p>
          <w:pPr>
            <w:pStyle w:val="Contents6"/>
            <w:tabs>
              <w:tab w:val="clear" w:pos="7609"/>
              <w:tab w:val="right" w:pos="9026" w:leader="dot"/>
            </w:tabs>
            <w:rPr/>
          </w:pPr>
          <w:hyperlink w:anchor="__RefHeading___Toc3767003_3650668749">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3767005_3650668749">
            <w:r>
              <w:rPr>
                <w:webHidden/>
                <w:rStyle w:val="IndexLink"/>
                <w:rtl w:val="true"/>
              </w:rPr>
              <w:t xml:space="preserve">اول </w:t>
            </w:r>
            <w:r>
              <w:rPr>
                <w:rStyle w:val="IndexLink"/>
                <w:rtl w:val="true"/>
              </w:rPr>
              <w:t xml:space="preserve">- </w:t>
            </w:r>
            <w:r>
              <w:rPr>
                <w:rStyle w:val="IndexLink"/>
                <w:rtl w:val="true"/>
              </w:rPr>
              <w:t>جايگاه امام‌صادق نزد عالمان اهل‌سنّت</w:t>
            </w:r>
            <w:r>
              <w:rPr>
                <w:rStyle w:val="IndexLink"/>
                <w:rtl w:val="true"/>
              </w:rPr>
              <w:tab/>
            </w:r>
            <w:r>
              <w:rPr>
                <w:rStyle w:val="IndexLink"/>
              </w:rPr>
              <w:t>130</w:t>
            </w:r>
          </w:hyperlink>
        </w:p>
        <w:p>
          <w:pPr>
            <w:pStyle w:val="Contents6"/>
            <w:tabs>
              <w:tab w:val="clear" w:pos="7609"/>
              <w:tab w:val="right" w:pos="9026" w:leader="dot"/>
            </w:tabs>
            <w:rPr/>
          </w:pPr>
          <w:hyperlink w:anchor="__RefHeading___Toc3767007_3650668749">
            <w:r>
              <w:rPr>
                <w:webHidden/>
                <w:rStyle w:val="IndexLink"/>
                <w:rtl w:val="true"/>
              </w:rPr>
              <w:t>دوم</w:t>
            </w:r>
            <w:r>
              <w:rPr>
                <w:rStyle w:val="IndexLink"/>
                <w:rtl w:val="true"/>
              </w:rPr>
              <w:t xml:space="preserve">: </w:t>
            </w:r>
            <w:r>
              <w:rPr>
                <w:rStyle w:val="IndexLink"/>
                <w:rtl w:val="true"/>
              </w:rPr>
              <w:t xml:space="preserve">تربيت يافتگان مكتب امام‌صادق </w:t>
            </w:r>
            <w:r>
              <w:rPr>
                <w:rStyle w:val="IndexLink"/>
                <w:rtl w:val="true"/>
              </w:rPr>
              <w:t>(</w:t>
            </w:r>
            <w:r>
              <w:rPr>
                <w:rStyle w:val="IndexLink"/>
                <w:rtl w:val="true"/>
              </w:rPr>
              <w:t>ع</w:t>
            </w:r>
            <w:r>
              <w:rPr>
                <w:rStyle w:val="IndexLink"/>
                <w:rtl w:val="true"/>
              </w:rPr>
              <w:t>)</w:t>
              <w:tab/>
            </w:r>
            <w:r>
              <w:rPr>
                <w:rStyle w:val="IndexLink"/>
              </w:rPr>
              <w:t>132</w:t>
            </w:r>
          </w:hyperlink>
        </w:p>
        <w:p>
          <w:pPr>
            <w:pStyle w:val="Contents6"/>
            <w:tabs>
              <w:tab w:val="clear" w:pos="7609"/>
              <w:tab w:val="right" w:pos="9026" w:leader="dot"/>
            </w:tabs>
            <w:rPr/>
          </w:pPr>
          <w:hyperlink w:anchor="__RefHeading___Toc3767009_3650668749">
            <w:r>
              <w:rPr>
                <w:webHidden/>
                <w:rStyle w:val="IndexLink"/>
                <w:rtl w:val="true"/>
              </w:rPr>
              <w:t xml:space="preserve">سه </w:t>
            </w:r>
            <w:r>
              <w:rPr>
                <w:rStyle w:val="IndexLink"/>
                <w:rtl w:val="true"/>
              </w:rPr>
              <w:t xml:space="preserve">- </w:t>
            </w:r>
            <w:r>
              <w:rPr>
                <w:rStyle w:val="IndexLink"/>
                <w:rtl w:val="true"/>
              </w:rPr>
              <w:t xml:space="preserve">تدوين دانش رجال در مكتب اهل‌بيت </w:t>
            </w:r>
            <w:r>
              <w:rPr>
                <w:rStyle w:val="IndexLink"/>
                <w:rtl w:val="true"/>
              </w:rPr>
              <w:t>(</w:t>
            </w:r>
            <w:r>
              <w:rPr>
                <w:rStyle w:val="IndexLink"/>
                <w:rtl w:val="true"/>
              </w:rPr>
              <w:t>عليهم السلام</w:t>
            </w:r>
            <w:r>
              <w:rPr>
                <w:rStyle w:val="IndexLink"/>
                <w:rtl w:val="true"/>
              </w:rPr>
              <w:t>)</w:t>
              <w:tab/>
            </w:r>
            <w:r>
              <w:rPr>
                <w:rStyle w:val="IndexLink"/>
              </w:rPr>
              <w:t>134</w:t>
            </w:r>
          </w:hyperlink>
        </w:p>
        <w:p>
          <w:pPr>
            <w:pStyle w:val="Contents6"/>
            <w:tabs>
              <w:tab w:val="clear" w:pos="7609"/>
              <w:tab w:val="right" w:pos="9026" w:leader="dot"/>
            </w:tabs>
            <w:rPr/>
          </w:pPr>
          <w:hyperlink w:anchor="__RefHeading___Toc3767011_3650668749">
            <w:r>
              <w:rPr>
                <w:webHidden/>
                <w:rStyle w:val="IndexLink"/>
                <w:rtl w:val="true"/>
              </w:rPr>
              <w:t xml:space="preserve">چهار </w:t>
            </w:r>
            <w:r>
              <w:rPr>
                <w:rStyle w:val="IndexLink"/>
                <w:rtl w:val="true"/>
              </w:rPr>
              <w:t xml:space="preserve">- </w:t>
            </w:r>
            <w:r>
              <w:rPr>
                <w:rStyle w:val="IndexLink"/>
                <w:rtl w:val="true"/>
              </w:rPr>
              <w:t>پيامد منع تدوين ونقل حديث</w:t>
            </w:r>
            <w:r>
              <w:rPr>
                <w:rStyle w:val="IndexLink"/>
                <w:rtl w:val="true"/>
              </w:rPr>
              <w:tab/>
            </w:r>
            <w:r>
              <w:rPr>
                <w:rStyle w:val="IndexLink"/>
              </w:rPr>
              <w:t>138</w:t>
            </w:r>
          </w:hyperlink>
        </w:p>
        <w:p>
          <w:pPr>
            <w:pStyle w:val="Contents6"/>
            <w:tabs>
              <w:tab w:val="clear" w:pos="7609"/>
              <w:tab w:val="right" w:pos="9026" w:leader="dot"/>
            </w:tabs>
            <w:rPr/>
          </w:pPr>
          <w:hyperlink w:anchor="__RefHeading___Toc3767013_3650668749">
            <w:r>
              <w:rPr>
                <w:webHidden/>
                <w:rStyle w:val="IndexLink"/>
                <w:rtl w:val="true"/>
              </w:rPr>
              <w:t xml:space="preserve">اول </w:t>
            </w:r>
            <w:r>
              <w:rPr>
                <w:rStyle w:val="IndexLink"/>
                <w:rtl w:val="true"/>
              </w:rPr>
              <w:t xml:space="preserve">- </w:t>
            </w:r>
            <w:r>
              <w:rPr>
                <w:rStyle w:val="IndexLink"/>
                <w:rtl w:val="true"/>
              </w:rPr>
              <w:t>فرمان منع تدوين حديث</w:t>
            </w:r>
            <w:r>
              <w:rPr>
                <w:rStyle w:val="IndexLink"/>
                <w:rtl w:val="true"/>
              </w:rPr>
              <w:tab/>
            </w:r>
            <w:r>
              <w:rPr>
                <w:rStyle w:val="IndexLink"/>
              </w:rPr>
              <w:t>138</w:t>
            </w:r>
          </w:hyperlink>
        </w:p>
        <w:p>
          <w:pPr>
            <w:pStyle w:val="Contents6"/>
            <w:tabs>
              <w:tab w:val="clear" w:pos="7609"/>
              <w:tab w:val="right" w:pos="9026" w:leader="dot"/>
            </w:tabs>
            <w:rPr/>
          </w:pPr>
          <w:hyperlink w:anchor="__RefHeading___Toc3767015_3650668749">
            <w:r>
              <w:rPr>
                <w:webHidden/>
                <w:rStyle w:val="IndexLink"/>
                <w:rtl w:val="true"/>
              </w:rPr>
              <w:t xml:space="preserve">دوم </w:t>
            </w:r>
            <w:r>
              <w:rPr>
                <w:rStyle w:val="IndexLink"/>
                <w:rtl w:val="true"/>
              </w:rPr>
              <w:t xml:space="preserve">- </w:t>
            </w:r>
            <w:r>
              <w:rPr>
                <w:rStyle w:val="IndexLink"/>
                <w:rtl w:val="true"/>
              </w:rPr>
              <w:t xml:space="preserve">نابودكردن احاديث رسول‌الله </w:t>
            </w:r>
            <w:r>
              <w:rPr>
                <w:rStyle w:val="IndexLink"/>
                <w:rtl w:val="true"/>
              </w:rPr>
              <w:t>(</w:t>
            </w:r>
            <w:r>
              <w:rPr>
                <w:rStyle w:val="IndexLink"/>
                <w:rtl w:val="true"/>
              </w:rPr>
              <w:t>ص</w:t>
            </w:r>
            <w:r>
              <w:rPr>
                <w:rStyle w:val="IndexLink"/>
                <w:rtl w:val="true"/>
              </w:rPr>
              <w:t>)</w:t>
              <w:tab/>
            </w:r>
            <w:r>
              <w:rPr>
                <w:rStyle w:val="IndexLink"/>
              </w:rPr>
              <w:t>141</w:t>
            </w:r>
          </w:hyperlink>
        </w:p>
        <w:p>
          <w:pPr>
            <w:pStyle w:val="Contents6"/>
            <w:tabs>
              <w:tab w:val="clear" w:pos="7609"/>
              <w:tab w:val="right" w:pos="9026" w:leader="dot"/>
            </w:tabs>
            <w:rPr/>
          </w:pPr>
          <w:hyperlink w:anchor="__RefHeading___Toc3767017_3650668749">
            <w:r>
              <w:rPr>
                <w:webHidden/>
                <w:rStyle w:val="IndexLink"/>
                <w:rtl w:val="true"/>
              </w:rPr>
              <w:t xml:space="preserve">سوم </w:t>
            </w:r>
            <w:r>
              <w:rPr>
                <w:rStyle w:val="IndexLink"/>
                <w:rtl w:val="true"/>
              </w:rPr>
              <w:t xml:space="preserve">- </w:t>
            </w:r>
            <w:r>
              <w:rPr>
                <w:rStyle w:val="IndexLink"/>
                <w:rtl w:val="true"/>
              </w:rPr>
              <w:t>ظهور جاعلان حديث</w:t>
            </w:r>
            <w:r>
              <w:rPr>
                <w:rStyle w:val="IndexLink"/>
                <w:rtl w:val="true"/>
              </w:rPr>
              <w:tab/>
            </w:r>
            <w:r>
              <w:rPr>
                <w:rStyle w:val="IndexLink"/>
              </w:rPr>
              <w:t>142</w:t>
            </w:r>
          </w:hyperlink>
        </w:p>
        <w:p>
          <w:pPr>
            <w:pStyle w:val="Contents5"/>
            <w:tabs>
              <w:tab w:val="clear" w:pos="7892"/>
              <w:tab w:val="right" w:pos="9026" w:leader="dot"/>
            </w:tabs>
            <w:rPr/>
          </w:pPr>
          <w:hyperlink w:anchor="__RefHeading___Toc3767019_3650668749">
            <w:r>
              <w:rPr>
                <w:webHidden/>
                <w:rStyle w:val="IndexLink"/>
              </w:rPr>
              <w:t>٢</w:t>
            </w:r>
            <w:r>
              <w:rPr>
                <w:rStyle w:val="IndexLink"/>
                <w:rtl w:val="true"/>
              </w:rPr>
              <w:t xml:space="preserve">. </w:t>
            </w:r>
            <w:r>
              <w:rPr>
                <w:rStyle w:val="IndexLink"/>
                <w:rtl w:val="true"/>
              </w:rPr>
              <w:t>اضافه شدن بر تعداد كتاب هاى كافى</w:t>
            </w:r>
            <w:r>
              <w:rPr>
                <w:rStyle w:val="IndexLink"/>
                <w:rtl w:val="true"/>
              </w:rPr>
              <w:tab/>
            </w:r>
            <w:r>
              <w:rPr>
                <w:rStyle w:val="IndexLink"/>
              </w:rPr>
              <w:t>144</w:t>
            </w:r>
          </w:hyperlink>
        </w:p>
        <w:p>
          <w:pPr>
            <w:pStyle w:val="Contents6"/>
            <w:tabs>
              <w:tab w:val="clear" w:pos="7609"/>
              <w:tab w:val="right" w:pos="9026" w:leader="dot"/>
            </w:tabs>
            <w:rPr/>
          </w:pPr>
          <w:hyperlink w:anchor="__RefHeading___Toc3767021_3650668749">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3767023_3650668749">
            <w:r>
              <w:rPr>
                <w:webHidden/>
                <w:rStyle w:val="IndexLink"/>
                <w:rtl w:val="true"/>
              </w:rPr>
              <w:t>الف</w:t>
            </w:r>
            <w:r>
              <w:rPr>
                <w:rStyle w:val="IndexLink"/>
                <w:rtl w:val="true"/>
              </w:rPr>
              <w:t xml:space="preserve">) </w:t>
            </w:r>
            <w:r>
              <w:rPr>
                <w:rStyle w:val="IndexLink"/>
                <w:rtl w:val="true"/>
              </w:rPr>
              <w:t>طرح اصل اتّهام</w:t>
            </w:r>
            <w:r>
              <w:rPr>
                <w:rStyle w:val="IndexLink"/>
                <w:rtl w:val="true"/>
              </w:rPr>
              <w:tab/>
            </w:r>
            <w:r>
              <w:rPr>
                <w:rStyle w:val="IndexLink"/>
              </w:rPr>
              <w:t>145</w:t>
            </w:r>
          </w:hyperlink>
        </w:p>
        <w:p>
          <w:pPr>
            <w:pStyle w:val="Contents6"/>
            <w:tabs>
              <w:tab w:val="clear" w:pos="7609"/>
              <w:tab w:val="right" w:pos="9026" w:leader="dot"/>
            </w:tabs>
            <w:rPr/>
          </w:pPr>
          <w:hyperlink w:anchor="__RefHeading___Toc3767025_3650668749">
            <w:r>
              <w:rPr>
                <w:webHidden/>
                <w:rStyle w:val="IndexLink"/>
                <w:rtl w:val="true"/>
              </w:rPr>
              <w:t>ب</w:t>
            </w:r>
            <w:r>
              <w:rPr>
                <w:rStyle w:val="IndexLink"/>
                <w:rtl w:val="true"/>
              </w:rPr>
              <w:t xml:space="preserve">) </w:t>
            </w:r>
            <w:r>
              <w:rPr>
                <w:rStyle w:val="IndexLink"/>
                <w:rtl w:val="true"/>
              </w:rPr>
              <w:t>بررسى و نقدِ افزودن بركتاب‌هاى كافى</w:t>
            </w:r>
            <w:r>
              <w:rPr>
                <w:rStyle w:val="IndexLink"/>
                <w:rtl w:val="true"/>
              </w:rPr>
              <w:tab/>
            </w:r>
            <w:r>
              <w:rPr>
                <w:rStyle w:val="IndexLink"/>
              </w:rPr>
              <w:t>146</w:t>
            </w:r>
          </w:hyperlink>
        </w:p>
        <w:p>
          <w:pPr>
            <w:pStyle w:val="Contents6"/>
            <w:tabs>
              <w:tab w:val="clear" w:pos="7609"/>
              <w:tab w:val="right" w:pos="9026" w:leader="dot"/>
            </w:tabs>
            <w:rPr/>
          </w:pPr>
          <w:hyperlink w:anchor="__RefHeading___Toc3767027_3650668749">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3767029_3650668749">
            <w:r>
              <w:rPr>
                <w:webHidden/>
                <w:rStyle w:val="IndexLink"/>
                <w:rtl w:val="true"/>
              </w:rPr>
              <w:t xml:space="preserve">يك </w:t>
            </w:r>
            <w:r>
              <w:rPr>
                <w:rStyle w:val="IndexLink"/>
                <w:rtl w:val="true"/>
              </w:rPr>
              <w:t xml:space="preserve">- </w:t>
            </w:r>
            <w:r>
              <w:rPr>
                <w:rStyle w:val="IndexLink"/>
                <w:rtl w:val="true"/>
              </w:rPr>
              <w:t>اظهار نظرهاى متفاوت</w:t>
            </w:r>
            <w:r>
              <w:rPr>
                <w:rStyle w:val="IndexLink"/>
                <w:rtl w:val="true"/>
              </w:rPr>
              <w:tab/>
            </w:r>
            <w:r>
              <w:rPr>
                <w:rStyle w:val="IndexLink"/>
              </w:rPr>
              <w:t>146</w:t>
            </w:r>
          </w:hyperlink>
        </w:p>
        <w:p>
          <w:pPr>
            <w:pStyle w:val="Contents6"/>
            <w:tabs>
              <w:tab w:val="clear" w:pos="7609"/>
              <w:tab w:val="right" w:pos="9026" w:leader="dot"/>
            </w:tabs>
            <w:rPr/>
          </w:pPr>
          <w:hyperlink w:anchor="__RefHeading___Toc3767031_3650668749">
            <w:r>
              <w:rPr>
                <w:webHidden/>
                <w:rStyle w:val="IndexLink"/>
                <w:rtl w:val="true"/>
              </w:rPr>
              <w:t xml:space="preserve">دو </w:t>
            </w:r>
            <w:r>
              <w:rPr>
                <w:rStyle w:val="IndexLink"/>
                <w:rtl w:val="true"/>
              </w:rPr>
              <w:t xml:space="preserve">- </w:t>
            </w:r>
            <w:r>
              <w:rPr>
                <w:rStyle w:val="IndexLink"/>
                <w:rtl w:val="true"/>
              </w:rPr>
              <w:t>عدم تأييد عدد پنجاه</w:t>
            </w:r>
            <w:r>
              <w:rPr>
                <w:rStyle w:val="IndexLink"/>
                <w:rtl w:val="true"/>
              </w:rPr>
              <w:tab/>
            </w:r>
            <w:r>
              <w:rPr>
                <w:rStyle w:val="IndexLink"/>
              </w:rPr>
              <w:t>147</w:t>
            </w:r>
          </w:hyperlink>
        </w:p>
        <w:p>
          <w:pPr>
            <w:pStyle w:val="Contents6"/>
            <w:tabs>
              <w:tab w:val="clear" w:pos="7609"/>
              <w:tab w:val="right" w:pos="9026" w:leader="dot"/>
            </w:tabs>
            <w:rPr/>
          </w:pPr>
          <w:hyperlink w:anchor="__RefHeading___Toc3767033_3650668749">
            <w:r>
              <w:rPr>
                <w:webHidden/>
                <w:rStyle w:val="IndexLink"/>
                <w:rtl w:val="true"/>
              </w:rPr>
              <w:t xml:space="preserve">سه </w:t>
            </w:r>
            <w:r>
              <w:rPr>
                <w:rStyle w:val="IndexLink"/>
                <w:rtl w:val="true"/>
              </w:rPr>
              <w:t xml:space="preserve">- </w:t>
            </w:r>
            <w:r>
              <w:rPr>
                <w:rStyle w:val="IndexLink"/>
                <w:rtl w:val="true"/>
              </w:rPr>
              <w:t>سليقه‌هاى مختلف در شمارش</w:t>
            </w:r>
            <w:r>
              <w:rPr>
                <w:rStyle w:val="IndexLink"/>
                <w:rtl w:val="true"/>
              </w:rPr>
              <w:tab/>
            </w:r>
            <w:r>
              <w:rPr>
                <w:rStyle w:val="IndexLink"/>
              </w:rPr>
              <w:t>148</w:t>
            </w:r>
          </w:hyperlink>
        </w:p>
        <w:p>
          <w:pPr>
            <w:pStyle w:val="Contents6"/>
            <w:tabs>
              <w:tab w:val="clear" w:pos="7609"/>
              <w:tab w:val="right" w:pos="9026" w:leader="dot"/>
            </w:tabs>
            <w:rPr/>
          </w:pPr>
          <w:hyperlink w:anchor="__RefHeading___Toc3767035_3650668749">
            <w:r>
              <w:rPr>
                <w:webHidden/>
                <w:rStyle w:val="IndexLink"/>
                <w:rtl w:val="true"/>
              </w:rPr>
              <w:t xml:space="preserve">چهار </w:t>
            </w:r>
            <w:r>
              <w:rPr>
                <w:rStyle w:val="IndexLink"/>
                <w:rtl w:val="true"/>
              </w:rPr>
              <w:t xml:space="preserve">- </w:t>
            </w:r>
            <w:r>
              <w:rPr>
                <w:rStyle w:val="IndexLink"/>
                <w:rtl w:val="true"/>
              </w:rPr>
              <w:t>راه‌حل نهايى</w:t>
            </w:r>
            <w:r>
              <w:rPr>
                <w:rStyle w:val="IndexLink"/>
                <w:rtl w:val="true"/>
              </w:rPr>
              <w:tab/>
            </w:r>
            <w:r>
              <w:rPr>
                <w:rStyle w:val="IndexLink"/>
              </w:rPr>
              <w:t>151</w:t>
            </w:r>
          </w:hyperlink>
        </w:p>
        <w:p>
          <w:pPr>
            <w:pStyle w:val="Contents5"/>
            <w:tabs>
              <w:tab w:val="clear" w:pos="7892"/>
              <w:tab w:val="right" w:pos="9026" w:leader="dot"/>
            </w:tabs>
            <w:rPr/>
          </w:pPr>
          <w:hyperlink w:anchor="__RefHeading___Toc3767037_3650668749">
            <w:r>
              <w:rPr>
                <w:webHidden/>
                <w:rStyle w:val="IndexLink"/>
              </w:rPr>
              <w:t>٣</w:t>
            </w:r>
            <w:r>
              <w:rPr>
                <w:rStyle w:val="IndexLink"/>
                <w:rtl w:val="true"/>
              </w:rPr>
              <w:t xml:space="preserve">. </w:t>
            </w:r>
            <w:r>
              <w:rPr>
                <w:rStyle w:val="IndexLink"/>
                <w:rtl w:val="true"/>
              </w:rPr>
              <w:t>ترديد در روضۀ كافى</w:t>
            </w:r>
            <w:r>
              <w:rPr>
                <w:rStyle w:val="IndexLink"/>
                <w:rtl w:val="true"/>
              </w:rPr>
              <w:tab/>
            </w:r>
            <w:r>
              <w:rPr>
                <w:rStyle w:val="IndexLink"/>
              </w:rPr>
              <w:t>154</w:t>
            </w:r>
          </w:hyperlink>
        </w:p>
        <w:p>
          <w:pPr>
            <w:pStyle w:val="Contents6"/>
            <w:tabs>
              <w:tab w:val="clear" w:pos="7609"/>
              <w:tab w:val="right" w:pos="9026" w:leader="dot"/>
            </w:tabs>
            <w:rPr/>
          </w:pPr>
          <w:hyperlink w:anchor="__RefHeading___Toc3767039_3650668749">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3767041_3650668749">
            <w:r>
              <w:rPr>
                <w:webHidden/>
                <w:rStyle w:val="IndexLink"/>
                <w:rtl w:val="true"/>
              </w:rPr>
              <w:t>بررسى و نقد ترديد در روضۀ كافى</w:t>
            </w:r>
            <w:r>
              <w:rPr>
                <w:rStyle w:val="IndexLink"/>
                <w:rtl w:val="true"/>
              </w:rPr>
              <w:tab/>
            </w:r>
            <w:r>
              <w:rPr>
                <w:rStyle w:val="IndexLink"/>
              </w:rPr>
              <w:t>155</w:t>
            </w:r>
          </w:hyperlink>
        </w:p>
        <w:p>
          <w:pPr>
            <w:pStyle w:val="Contents6"/>
            <w:tabs>
              <w:tab w:val="clear" w:pos="7609"/>
              <w:tab w:val="right" w:pos="9026" w:leader="dot"/>
            </w:tabs>
            <w:rPr/>
          </w:pPr>
          <w:hyperlink w:anchor="__RefHeading___Toc3767043_3650668749">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3767045_3650668749">
            <w:r>
              <w:rPr>
                <w:webHidden/>
                <w:rStyle w:val="IndexLink"/>
                <w:rtl w:val="true"/>
              </w:rPr>
              <w:t>الف</w:t>
            </w:r>
            <w:r>
              <w:rPr>
                <w:rStyle w:val="IndexLink"/>
                <w:rtl w:val="true"/>
              </w:rPr>
              <w:t xml:space="preserve">) </w:t>
            </w:r>
            <w:r>
              <w:rPr>
                <w:rStyle w:val="IndexLink"/>
                <w:rtl w:val="true"/>
              </w:rPr>
              <w:t>تعمّق در سند</w:t>
            </w:r>
            <w:r>
              <w:rPr>
                <w:rStyle w:val="IndexLink"/>
                <w:rtl w:val="true"/>
              </w:rPr>
              <w:tab/>
            </w:r>
            <w:r>
              <w:rPr>
                <w:rStyle w:val="IndexLink"/>
              </w:rPr>
              <w:t>155</w:t>
            </w:r>
          </w:hyperlink>
        </w:p>
        <w:p>
          <w:pPr>
            <w:pStyle w:val="Contents6"/>
            <w:tabs>
              <w:tab w:val="clear" w:pos="7609"/>
              <w:tab w:val="right" w:pos="9026" w:leader="dot"/>
            </w:tabs>
            <w:rPr/>
          </w:pPr>
          <w:hyperlink w:anchor="__RefHeading___Toc3767047_3650668749">
            <w:r>
              <w:rPr>
                <w:webHidden/>
                <w:rStyle w:val="IndexLink"/>
                <w:rtl w:val="true"/>
              </w:rPr>
              <w:t>ب</w:t>
            </w:r>
            <w:r>
              <w:rPr>
                <w:rStyle w:val="IndexLink"/>
                <w:rtl w:val="true"/>
              </w:rPr>
              <w:t xml:space="preserve">) </w:t>
            </w:r>
            <w:r>
              <w:rPr>
                <w:rStyle w:val="IndexLink"/>
                <w:rtl w:val="true"/>
              </w:rPr>
              <w:t>بررسى موارد استناد</w:t>
            </w:r>
            <w:r>
              <w:rPr>
                <w:rStyle w:val="IndexLink"/>
                <w:rtl w:val="true"/>
              </w:rPr>
              <w:tab/>
            </w:r>
            <w:r>
              <w:rPr>
                <w:rStyle w:val="IndexLink"/>
              </w:rPr>
              <w:t>157</w:t>
            </w:r>
          </w:hyperlink>
        </w:p>
        <w:p>
          <w:pPr>
            <w:pStyle w:val="Contents6"/>
            <w:tabs>
              <w:tab w:val="clear" w:pos="7609"/>
              <w:tab w:val="right" w:pos="9026" w:leader="dot"/>
            </w:tabs>
            <w:rPr/>
          </w:pPr>
          <w:hyperlink w:anchor="__RefHeading___Toc3767049_3650668749">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3767051_3650668749">
            <w:r>
              <w:rPr>
                <w:webHidden/>
                <w:rStyle w:val="IndexLink"/>
                <w:rtl w:val="true"/>
              </w:rPr>
              <w:t xml:space="preserve">يك </w:t>
            </w:r>
            <w:r>
              <w:rPr>
                <w:rStyle w:val="IndexLink"/>
                <w:rtl w:val="true"/>
              </w:rPr>
              <w:t xml:space="preserve">- </w:t>
            </w:r>
            <w:r>
              <w:rPr>
                <w:rStyle w:val="IndexLink"/>
                <w:rtl w:val="true"/>
              </w:rPr>
              <w:t>ادعاى خلاف واقع ابوزهره</w:t>
            </w:r>
            <w:r>
              <w:rPr>
                <w:rStyle w:val="IndexLink"/>
                <w:rtl w:val="true"/>
              </w:rPr>
              <w:t>!</w:t>
              <w:tab/>
            </w:r>
            <w:r>
              <w:rPr>
                <w:rStyle w:val="IndexLink"/>
              </w:rPr>
              <w:t>157</w:t>
            </w:r>
          </w:hyperlink>
        </w:p>
        <w:p>
          <w:pPr>
            <w:pStyle w:val="Contents6"/>
            <w:tabs>
              <w:tab w:val="clear" w:pos="7609"/>
              <w:tab w:val="right" w:pos="9026" w:leader="dot"/>
            </w:tabs>
            <w:rPr/>
          </w:pPr>
          <w:hyperlink w:anchor="__RefHeading___Toc3767053_3650668749">
            <w:r>
              <w:rPr>
                <w:webHidden/>
                <w:rStyle w:val="IndexLink"/>
                <w:rtl w:val="true"/>
              </w:rPr>
              <w:t xml:space="preserve">دو </w:t>
            </w:r>
            <w:r>
              <w:rPr>
                <w:rStyle w:val="IndexLink"/>
                <w:rtl w:val="true"/>
              </w:rPr>
              <w:t xml:space="preserve">- </w:t>
            </w:r>
            <w:r>
              <w:rPr>
                <w:rStyle w:val="IndexLink"/>
                <w:rtl w:val="true"/>
              </w:rPr>
              <w:t>شواهدى بر صحت استناد روضه به كلينى</w:t>
            </w:r>
            <w:r>
              <w:rPr>
                <w:rStyle w:val="IndexLink"/>
                <w:rtl w:val="true"/>
              </w:rPr>
              <w:tab/>
            </w:r>
            <w:r>
              <w:rPr>
                <w:rStyle w:val="IndexLink"/>
              </w:rPr>
              <w:t>160</w:t>
            </w:r>
          </w:hyperlink>
        </w:p>
        <w:p>
          <w:pPr>
            <w:pStyle w:val="Contents6"/>
            <w:tabs>
              <w:tab w:val="clear" w:pos="7609"/>
              <w:tab w:val="right" w:pos="9026" w:leader="dot"/>
            </w:tabs>
            <w:rPr/>
          </w:pPr>
          <w:hyperlink w:anchor="__RefHeading___Toc3767055_3650668749">
            <w:r>
              <w:rPr>
                <w:webHidden/>
                <w:rStyle w:val="IndexLink"/>
                <w:rtl w:val="true"/>
              </w:rPr>
              <w:t>نتيجه‌گيرى</w:t>
            </w:r>
            <w:r>
              <w:rPr>
                <w:rStyle w:val="IndexLink"/>
                <w:rtl w:val="true"/>
              </w:rPr>
              <w:tab/>
            </w:r>
            <w:r>
              <w:rPr>
                <w:rStyle w:val="IndexLink"/>
              </w:rPr>
              <w:t>163</w:t>
            </w:r>
          </w:hyperlink>
        </w:p>
        <w:p>
          <w:pPr>
            <w:pStyle w:val="Contents2"/>
            <w:tabs>
              <w:tab w:val="clear" w:pos="8743"/>
              <w:tab w:val="right" w:pos="9026" w:leader="dot"/>
            </w:tabs>
            <w:rPr/>
          </w:pPr>
          <w:hyperlink w:anchor="__RefHeading___Toc3767057_3650668749">
            <w:r>
              <w:rPr>
                <w:webHidden/>
                <w:rStyle w:val="IndexLink"/>
                <w:rtl w:val="true"/>
              </w:rPr>
              <w:t>بخش سوم</w:t>
            </w:r>
            <w:r>
              <w:rPr>
                <w:rStyle w:val="IndexLink"/>
                <w:rtl w:val="true"/>
              </w:rPr>
              <w:t xml:space="preserve">: </w:t>
            </w:r>
            <w:r>
              <w:rPr>
                <w:rStyle w:val="IndexLink"/>
                <w:rtl w:val="true"/>
              </w:rPr>
              <w:t>بررسى و نقد ادعاى تحريف قرآن كريم به روايت كلينى</w:t>
            </w:r>
            <w:r>
              <w:rPr>
                <w:rStyle w:val="IndexLink"/>
                <w:rtl w:val="true"/>
              </w:rPr>
              <w:tab/>
            </w:r>
            <w:r>
              <w:rPr>
                <w:rStyle w:val="IndexLink"/>
              </w:rPr>
              <w:t>165</w:t>
            </w:r>
          </w:hyperlink>
        </w:p>
        <w:p>
          <w:pPr>
            <w:pStyle w:val="Contents3"/>
            <w:tabs>
              <w:tab w:val="clear" w:pos="8459"/>
              <w:tab w:val="right" w:pos="9026" w:leader="dot"/>
            </w:tabs>
            <w:rPr/>
          </w:pPr>
          <w:hyperlink w:anchor="__RefHeading___Toc3767059_3650668749">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3767061_3650668749">
            <w:r>
              <w:rPr>
                <w:webHidden/>
                <w:rStyle w:val="IndexLink"/>
                <w:rtl w:val="true"/>
              </w:rPr>
              <w:t>مقدمه</w:t>
            </w:r>
            <w:r>
              <w:rPr>
                <w:rStyle w:val="IndexLink"/>
                <w:rtl w:val="true"/>
              </w:rPr>
              <w:tab/>
            </w:r>
            <w:r>
              <w:rPr>
                <w:rStyle w:val="IndexLink"/>
              </w:rPr>
              <w:t>168</w:t>
            </w:r>
          </w:hyperlink>
        </w:p>
        <w:p>
          <w:pPr>
            <w:pStyle w:val="Contents3"/>
            <w:tabs>
              <w:tab w:val="clear" w:pos="8459"/>
              <w:tab w:val="right" w:pos="9026" w:leader="dot"/>
            </w:tabs>
            <w:rPr/>
          </w:pPr>
          <w:hyperlink w:anchor="__RefHeading___Toc3767063_3650668749">
            <w:r>
              <w:rPr>
                <w:webHidden/>
                <w:rStyle w:val="IndexLink"/>
                <w:rtl w:val="true"/>
              </w:rPr>
              <w:t>فصل اول</w:t>
            </w:r>
            <w:r>
              <w:rPr>
                <w:rStyle w:val="IndexLink"/>
                <w:rtl w:val="true"/>
              </w:rPr>
              <w:t xml:space="preserve">: </w:t>
            </w:r>
            <w:r>
              <w:rPr>
                <w:rStyle w:val="IndexLink"/>
                <w:rtl w:val="true"/>
              </w:rPr>
              <w:t>اعتقاد شيعه به‌تحريف قرآن كريم</w:t>
            </w:r>
            <w:r>
              <w:rPr>
                <w:rStyle w:val="IndexLink"/>
                <w:rtl w:val="true"/>
              </w:rPr>
              <w:tab/>
            </w:r>
            <w:r>
              <w:rPr>
                <w:rStyle w:val="IndexLink"/>
              </w:rPr>
              <w:t>169</w:t>
            </w:r>
          </w:hyperlink>
        </w:p>
        <w:p>
          <w:pPr>
            <w:pStyle w:val="Contents4"/>
            <w:tabs>
              <w:tab w:val="clear" w:pos="8176"/>
              <w:tab w:val="right" w:pos="9026" w:leader="dot"/>
            </w:tabs>
            <w:rPr/>
          </w:pPr>
          <w:hyperlink w:anchor="__RefHeading___Toc3767065_365066874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3767067_3650668749">
            <w:r>
              <w:rPr>
                <w:webHidden/>
                <w:rStyle w:val="IndexLink"/>
              </w:rPr>
              <w:t>١</w:t>
            </w:r>
            <w:r>
              <w:rPr>
                <w:rStyle w:val="IndexLink"/>
                <w:rtl w:val="true"/>
              </w:rPr>
              <w:t xml:space="preserve">. </w:t>
            </w:r>
            <w:r>
              <w:rPr>
                <w:rStyle w:val="IndexLink"/>
                <w:rtl w:val="true"/>
              </w:rPr>
              <w:t>طرح اتهام شيعه به تحريف قرآن</w:t>
            </w:r>
            <w:r>
              <w:rPr>
                <w:rStyle w:val="IndexLink"/>
                <w:rtl w:val="true"/>
              </w:rPr>
              <w:tab/>
            </w:r>
            <w:r>
              <w:rPr>
                <w:rStyle w:val="IndexLink"/>
              </w:rPr>
              <w:t>169</w:t>
            </w:r>
          </w:hyperlink>
        </w:p>
        <w:p>
          <w:pPr>
            <w:pStyle w:val="Contents4"/>
            <w:tabs>
              <w:tab w:val="clear" w:pos="8176"/>
              <w:tab w:val="right" w:pos="9026" w:leader="dot"/>
            </w:tabs>
            <w:rPr/>
          </w:pPr>
          <w:hyperlink w:anchor="__RefHeading___Toc3767069_3650668749">
            <w:r>
              <w:rPr>
                <w:webHidden/>
                <w:rStyle w:val="IndexLink"/>
              </w:rPr>
              <w:t>٢</w:t>
            </w:r>
            <w:r>
              <w:rPr>
                <w:rStyle w:val="IndexLink"/>
                <w:rtl w:val="true"/>
              </w:rPr>
              <w:t xml:space="preserve">. </w:t>
            </w:r>
            <w:r>
              <w:rPr>
                <w:rStyle w:val="IndexLink"/>
                <w:rtl w:val="true"/>
              </w:rPr>
              <w:t>بررسى و نقد اتهام تحريف</w:t>
            </w:r>
            <w:r>
              <w:rPr>
                <w:rStyle w:val="IndexLink"/>
                <w:rtl w:val="true"/>
              </w:rPr>
              <w:tab/>
            </w:r>
            <w:r>
              <w:rPr>
                <w:rStyle w:val="IndexLink"/>
              </w:rPr>
              <w:t>170</w:t>
            </w:r>
          </w:hyperlink>
        </w:p>
        <w:p>
          <w:pPr>
            <w:pStyle w:val="Contents5"/>
            <w:tabs>
              <w:tab w:val="clear" w:pos="7892"/>
              <w:tab w:val="right" w:pos="9026" w:leader="dot"/>
            </w:tabs>
            <w:rPr/>
          </w:pPr>
          <w:hyperlink w:anchor="__RefHeading___Toc3767071_3650668749">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3767073_3650668749">
            <w:r>
              <w:rPr>
                <w:webHidden/>
                <w:rStyle w:val="IndexLink"/>
                <w:rtl w:val="true"/>
              </w:rPr>
              <w:t>الف</w:t>
            </w:r>
            <w:r>
              <w:rPr>
                <w:rStyle w:val="IndexLink"/>
                <w:rtl w:val="true"/>
              </w:rPr>
              <w:t xml:space="preserve">) </w:t>
            </w:r>
            <w:r>
              <w:rPr>
                <w:rStyle w:val="IndexLink"/>
                <w:rtl w:val="true"/>
              </w:rPr>
              <w:t>مفهوم تحريف</w:t>
            </w:r>
            <w:r>
              <w:rPr>
                <w:rStyle w:val="IndexLink"/>
                <w:rtl w:val="true"/>
              </w:rPr>
              <w:tab/>
            </w:r>
            <w:r>
              <w:rPr>
                <w:rStyle w:val="IndexLink"/>
              </w:rPr>
              <w:t>170</w:t>
            </w:r>
          </w:hyperlink>
        </w:p>
        <w:p>
          <w:pPr>
            <w:pStyle w:val="Contents6"/>
            <w:tabs>
              <w:tab w:val="clear" w:pos="7609"/>
              <w:tab w:val="right" w:pos="9026" w:leader="dot"/>
            </w:tabs>
            <w:rPr/>
          </w:pPr>
          <w:hyperlink w:anchor="__RefHeading___Toc3767075_3650668749">
            <w:r>
              <w:rPr>
                <w:webHidden/>
                <w:rStyle w:val="IndexLink"/>
                <w:rtl w:val="true"/>
              </w:rPr>
              <w:t xml:space="preserve">يك </w:t>
            </w:r>
            <w:r>
              <w:rPr>
                <w:rStyle w:val="IndexLink"/>
                <w:rtl w:val="true"/>
              </w:rPr>
              <w:t xml:space="preserve">- </w:t>
            </w:r>
            <w:r>
              <w:rPr>
                <w:rStyle w:val="IndexLink"/>
                <w:rtl w:val="true"/>
              </w:rPr>
              <w:t>تحريف در لغت</w:t>
            </w:r>
            <w:r>
              <w:rPr>
                <w:rStyle w:val="IndexLink"/>
                <w:rtl w:val="true"/>
              </w:rPr>
              <w:tab/>
            </w:r>
            <w:r>
              <w:rPr>
                <w:rStyle w:val="IndexLink"/>
              </w:rPr>
              <w:t>170</w:t>
            </w:r>
          </w:hyperlink>
        </w:p>
        <w:p>
          <w:pPr>
            <w:pStyle w:val="Contents6"/>
            <w:tabs>
              <w:tab w:val="clear" w:pos="7609"/>
              <w:tab w:val="right" w:pos="9026" w:leader="dot"/>
            </w:tabs>
            <w:rPr/>
          </w:pPr>
          <w:hyperlink w:anchor="__RefHeading___Toc3767077_3650668749">
            <w:r>
              <w:rPr>
                <w:webHidden/>
                <w:rStyle w:val="IndexLink"/>
                <w:rtl w:val="true"/>
              </w:rPr>
              <w:t xml:space="preserve">دو </w:t>
            </w:r>
            <w:r>
              <w:rPr>
                <w:rStyle w:val="IndexLink"/>
                <w:rtl w:val="true"/>
              </w:rPr>
              <w:t xml:space="preserve">- </w:t>
            </w:r>
            <w:r>
              <w:rPr>
                <w:rStyle w:val="IndexLink"/>
                <w:rtl w:val="true"/>
              </w:rPr>
              <w:t>تحريف در اصطلاح</w:t>
            </w:r>
            <w:r>
              <w:rPr>
                <w:rStyle w:val="IndexLink"/>
                <w:rtl w:val="true"/>
              </w:rPr>
              <w:tab/>
            </w:r>
            <w:r>
              <w:rPr>
                <w:rStyle w:val="IndexLink"/>
              </w:rPr>
              <w:t>171</w:t>
            </w:r>
          </w:hyperlink>
        </w:p>
        <w:p>
          <w:pPr>
            <w:pStyle w:val="Contents5"/>
            <w:tabs>
              <w:tab w:val="clear" w:pos="7892"/>
              <w:tab w:val="right" w:pos="9026" w:leader="dot"/>
            </w:tabs>
            <w:rPr/>
          </w:pPr>
          <w:hyperlink w:anchor="__RefHeading___Toc3767079_3650668749">
            <w:r>
              <w:rPr>
                <w:webHidden/>
                <w:rStyle w:val="IndexLink"/>
                <w:rtl w:val="true"/>
              </w:rPr>
              <w:t>ب</w:t>
            </w:r>
            <w:r>
              <w:rPr>
                <w:rStyle w:val="IndexLink"/>
                <w:rtl w:val="true"/>
              </w:rPr>
              <w:t xml:space="preserve">) </w:t>
            </w:r>
            <w:r>
              <w:rPr>
                <w:rStyle w:val="IndexLink"/>
                <w:rtl w:val="true"/>
              </w:rPr>
              <w:t>شيعه و اعتقاد به‌تحريف</w:t>
            </w:r>
            <w:r>
              <w:rPr>
                <w:rStyle w:val="IndexLink"/>
                <w:rtl w:val="true"/>
              </w:rPr>
              <w:tab/>
            </w:r>
            <w:r>
              <w:rPr>
                <w:rStyle w:val="IndexLink"/>
              </w:rPr>
              <w:t>172</w:t>
            </w:r>
          </w:hyperlink>
        </w:p>
        <w:p>
          <w:pPr>
            <w:pStyle w:val="Contents6"/>
            <w:tabs>
              <w:tab w:val="clear" w:pos="7609"/>
              <w:tab w:val="right" w:pos="9026" w:leader="dot"/>
            </w:tabs>
            <w:rPr/>
          </w:pPr>
          <w:hyperlink w:anchor="__RefHeading___Toc3767081_3650668749">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3767083_3650668749">
            <w:r>
              <w:rPr>
                <w:webHidden/>
                <w:rStyle w:val="IndexLink"/>
                <w:rtl w:val="true"/>
              </w:rPr>
              <w:t xml:space="preserve">يك </w:t>
            </w:r>
            <w:r>
              <w:rPr>
                <w:rStyle w:val="IndexLink"/>
                <w:rtl w:val="true"/>
              </w:rPr>
              <w:t xml:space="preserve">- </w:t>
            </w:r>
            <w:r>
              <w:rPr>
                <w:rStyle w:val="IndexLink"/>
                <w:rtl w:val="true"/>
              </w:rPr>
              <w:t>ضرورت مذهب شيعه بر عدم تحريف</w:t>
            </w:r>
            <w:r>
              <w:rPr>
                <w:rStyle w:val="IndexLink"/>
                <w:rtl w:val="true"/>
              </w:rPr>
              <w:tab/>
            </w:r>
            <w:r>
              <w:rPr>
                <w:rStyle w:val="IndexLink"/>
              </w:rPr>
              <w:t>173</w:t>
            </w:r>
          </w:hyperlink>
        </w:p>
        <w:p>
          <w:pPr>
            <w:pStyle w:val="Contents6"/>
            <w:tabs>
              <w:tab w:val="clear" w:pos="7609"/>
              <w:tab w:val="right" w:pos="9026" w:leader="dot"/>
            </w:tabs>
            <w:rPr/>
          </w:pPr>
          <w:hyperlink w:anchor="__RefHeading___Toc3767085_3650668749">
            <w:r>
              <w:rPr>
                <w:webHidden/>
                <w:rStyle w:val="IndexLink"/>
                <w:rtl w:val="true"/>
              </w:rPr>
              <w:t xml:space="preserve">دو </w:t>
            </w:r>
            <w:r>
              <w:rPr>
                <w:rStyle w:val="IndexLink"/>
                <w:rtl w:val="true"/>
              </w:rPr>
              <w:t xml:space="preserve">- </w:t>
            </w:r>
            <w:r>
              <w:rPr>
                <w:rStyle w:val="IndexLink"/>
                <w:rtl w:val="true"/>
              </w:rPr>
              <w:t xml:space="preserve">قرآن و امامان معصوم شيعه </w:t>
            </w:r>
            <w:r>
              <w:rPr>
                <w:rStyle w:val="IndexLink"/>
                <w:rtl w:val="true"/>
              </w:rPr>
              <w:t>(</w:t>
            </w:r>
            <w:r>
              <w:rPr>
                <w:rStyle w:val="IndexLink"/>
                <w:rtl w:val="true"/>
              </w:rPr>
              <w:t>عليهم السلام</w:t>
            </w:r>
            <w:r>
              <w:rPr>
                <w:rStyle w:val="IndexLink"/>
                <w:rtl w:val="true"/>
              </w:rPr>
              <w:t>)</w:t>
              <w:tab/>
            </w:r>
            <w:r>
              <w:rPr>
                <w:rStyle w:val="IndexLink"/>
              </w:rPr>
              <w:t>174</w:t>
            </w:r>
          </w:hyperlink>
        </w:p>
        <w:p>
          <w:pPr>
            <w:pStyle w:val="Contents6"/>
            <w:tabs>
              <w:tab w:val="clear" w:pos="7609"/>
              <w:tab w:val="right" w:pos="9026" w:leader="dot"/>
            </w:tabs>
            <w:rPr/>
          </w:pPr>
          <w:hyperlink w:anchor="__RefHeading___Toc3767087_3650668749">
            <w:r>
              <w:rPr>
                <w:webHidden/>
                <w:rStyle w:val="IndexLink"/>
                <w:rtl w:val="true"/>
              </w:rPr>
              <w:t xml:space="preserve">سه </w:t>
            </w:r>
            <w:r>
              <w:rPr>
                <w:rStyle w:val="IndexLink"/>
                <w:rtl w:val="true"/>
              </w:rPr>
              <w:t xml:space="preserve">- </w:t>
            </w:r>
            <w:r>
              <w:rPr>
                <w:rStyle w:val="IndexLink"/>
                <w:rtl w:val="true"/>
              </w:rPr>
              <w:t>تحريف‌ناپذيرى قرآن از نگاهِ عالمانِ مؤثّر شيعه</w:t>
            </w:r>
            <w:r>
              <w:rPr>
                <w:rStyle w:val="IndexLink"/>
                <w:rtl w:val="true"/>
              </w:rPr>
              <w:tab/>
            </w:r>
            <w:r>
              <w:rPr>
                <w:rStyle w:val="IndexLink"/>
              </w:rPr>
              <w:t>177</w:t>
            </w:r>
          </w:hyperlink>
        </w:p>
        <w:p>
          <w:pPr>
            <w:pStyle w:val="Contents3"/>
            <w:tabs>
              <w:tab w:val="clear" w:pos="8459"/>
              <w:tab w:val="right" w:pos="9026" w:leader="dot"/>
            </w:tabs>
            <w:rPr/>
          </w:pPr>
          <w:hyperlink w:anchor="__RefHeading___Toc3767089_3650668749">
            <w:r>
              <w:rPr>
                <w:webHidden/>
                <w:rStyle w:val="IndexLink"/>
                <w:rtl w:val="true"/>
              </w:rPr>
              <w:t>فصل دوم</w:t>
            </w:r>
            <w:r>
              <w:rPr>
                <w:rStyle w:val="IndexLink"/>
                <w:rtl w:val="true"/>
              </w:rPr>
              <w:t xml:space="preserve">: </w:t>
            </w:r>
            <w:r>
              <w:rPr>
                <w:rStyle w:val="IndexLink"/>
                <w:rtl w:val="true"/>
              </w:rPr>
              <w:t>كلينى و اعتقاد به‌تحريف قرآن</w:t>
            </w:r>
            <w:r>
              <w:rPr>
                <w:rStyle w:val="IndexLink"/>
                <w:rtl w:val="true"/>
              </w:rPr>
              <w:tab/>
            </w:r>
            <w:r>
              <w:rPr>
                <w:rStyle w:val="IndexLink"/>
              </w:rPr>
              <w:t>191</w:t>
            </w:r>
          </w:hyperlink>
        </w:p>
        <w:p>
          <w:pPr>
            <w:pStyle w:val="Contents4"/>
            <w:tabs>
              <w:tab w:val="clear" w:pos="8176"/>
              <w:tab w:val="right" w:pos="9026" w:leader="dot"/>
            </w:tabs>
            <w:rPr/>
          </w:pPr>
          <w:hyperlink w:anchor="__RefHeading___Toc3767091_3650668749">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3767093_3650668749">
            <w:r>
              <w:rPr>
                <w:webHidden/>
                <w:rStyle w:val="IndexLink"/>
              </w:rPr>
              <w:t>١</w:t>
            </w:r>
            <w:r>
              <w:rPr>
                <w:rStyle w:val="IndexLink"/>
                <w:rtl w:val="true"/>
              </w:rPr>
              <w:t xml:space="preserve">. </w:t>
            </w:r>
            <w:r>
              <w:rPr>
                <w:rStyle w:val="IndexLink"/>
                <w:rtl w:val="true"/>
              </w:rPr>
              <w:t>طرح اتّهام تحريف</w:t>
            </w:r>
            <w:r>
              <w:rPr>
                <w:rStyle w:val="IndexLink"/>
                <w:rtl w:val="true"/>
              </w:rPr>
              <w:tab/>
            </w:r>
            <w:r>
              <w:rPr>
                <w:rStyle w:val="IndexLink"/>
              </w:rPr>
              <w:t>191</w:t>
            </w:r>
          </w:hyperlink>
        </w:p>
        <w:p>
          <w:pPr>
            <w:pStyle w:val="Contents4"/>
            <w:tabs>
              <w:tab w:val="clear" w:pos="8176"/>
              <w:tab w:val="right" w:pos="9026" w:leader="dot"/>
            </w:tabs>
            <w:rPr/>
          </w:pPr>
          <w:hyperlink w:anchor="__RefHeading___Toc3767095_3650668749">
            <w:r>
              <w:rPr>
                <w:webHidden/>
                <w:rStyle w:val="IndexLink"/>
              </w:rPr>
              <w:t>٢</w:t>
            </w:r>
            <w:r>
              <w:rPr>
                <w:rStyle w:val="IndexLink"/>
                <w:rtl w:val="true"/>
              </w:rPr>
              <w:t xml:space="preserve">. </w:t>
            </w:r>
            <w:r>
              <w:rPr>
                <w:rStyle w:val="IndexLink"/>
                <w:rtl w:val="true"/>
              </w:rPr>
              <w:t>بررسى و نقد اتهام تحريف قرآن نسبت به‌كافى</w:t>
            </w:r>
            <w:r>
              <w:rPr>
                <w:rStyle w:val="IndexLink"/>
                <w:rtl w:val="true"/>
              </w:rPr>
              <w:tab/>
            </w:r>
            <w:r>
              <w:rPr>
                <w:rStyle w:val="IndexLink"/>
              </w:rPr>
              <w:t>194</w:t>
            </w:r>
          </w:hyperlink>
        </w:p>
        <w:p>
          <w:pPr>
            <w:pStyle w:val="Contents5"/>
            <w:tabs>
              <w:tab w:val="clear" w:pos="7892"/>
              <w:tab w:val="right" w:pos="9026" w:leader="dot"/>
            </w:tabs>
            <w:rPr/>
          </w:pPr>
          <w:hyperlink w:anchor="__RefHeading___Toc3767097_3650668749">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3767099_3650668749">
            <w:r>
              <w:rPr>
                <w:webHidden/>
                <w:rStyle w:val="IndexLink"/>
                <w:rtl w:val="true"/>
              </w:rPr>
              <w:t>مرحله اول</w:t>
            </w:r>
            <w:r>
              <w:rPr>
                <w:rStyle w:val="IndexLink"/>
                <w:rtl w:val="true"/>
              </w:rPr>
              <w:t xml:space="preserve">: </w:t>
            </w:r>
            <w:r>
              <w:rPr>
                <w:rStyle w:val="IndexLink"/>
                <w:rtl w:val="true"/>
              </w:rPr>
              <w:t>پاسخ نقضى</w:t>
            </w:r>
            <w:r>
              <w:rPr>
                <w:rStyle w:val="IndexLink"/>
                <w:rtl w:val="true"/>
              </w:rPr>
              <w:tab/>
            </w:r>
            <w:r>
              <w:rPr>
                <w:rStyle w:val="IndexLink"/>
              </w:rPr>
              <w:t>196</w:t>
            </w:r>
          </w:hyperlink>
        </w:p>
        <w:p>
          <w:pPr>
            <w:pStyle w:val="Contents6"/>
            <w:tabs>
              <w:tab w:val="clear" w:pos="7609"/>
              <w:tab w:val="right" w:pos="9026" w:leader="dot"/>
            </w:tabs>
            <w:rPr/>
          </w:pPr>
          <w:hyperlink w:anchor="__RefHeading___Toc3767101_3650668749">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3767103_3650668749">
            <w:r>
              <w:rPr>
                <w:webHidden/>
                <w:rStyle w:val="IndexLink"/>
                <w:rtl w:val="true"/>
              </w:rPr>
              <w:t>الف</w:t>
            </w:r>
            <w:r>
              <w:rPr>
                <w:rStyle w:val="IndexLink"/>
                <w:rtl w:val="true"/>
              </w:rPr>
              <w:t xml:space="preserve">) </w:t>
            </w:r>
            <w:r>
              <w:rPr>
                <w:rStyle w:val="IndexLink"/>
                <w:rtl w:val="true"/>
              </w:rPr>
              <w:t>نقص و دگرگونى در الفاظ و حروف قرآن</w:t>
            </w:r>
            <w:r>
              <w:rPr>
                <w:rStyle w:val="IndexLink"/>
                <w:rtl w:val="true"/>
              </w:rPr>
              <w:tab/>
            </w:r>
            <w:r>
              <w:rPr>
                <w:rStyle w:val="IndexLink"/>
              </w:rPr>
              <w:t>197</w:t>
            </w:r>
          </w:hyperlink>
        </w:p>
        <w:p>
          <w:pPr>
            <w:pStyle w:val="Contents6"/>
            <w:tabs>
              <w:tab w:val="clear" w:pos="7609"/>
              <w:tab w:val="right" w:pos="9026" w:leader="dot"/>
            </w:tabs>
            <w:rPr/>
          </w:pPr>
          <w:hyperlink w:anchor="__RefHeading___Toc3767105_3650668749">
            <w:r>
              <w:rPr>
                <w:webHidden/>
                <w:rStyle w:val="IndexLink"/>
                <w:rtl w:val="true"/>
              </w:rPr>
              <w:t>ب</w:t>
            </w:r>
            <w:r>
              <w:rPr>
                <w:rStyle w:val="IndexLink"/>
                <w:rtl w:val="true"/>
              </w:rPr>
              <w:t xml:space="preserve">) </w:t>
            </w:r>
            <w:r>
              <w:rPr>
                <w:rStyle w:val="IndexLink"/>
                <w:rtl w:val="true"/>
              </w:rPr>
              <w:t>نقص و تغيير در تعداد آيات قرآن</w:t>
            </w:r>
            <w:r>
              <w:rPr>
                <w:rStyle w:val="IndexLink"/>
                <w:rtl w:val="true"/>
              </w:rPr>
              <w:tab/>
            </w:r>
            <w:r>
              <w:rPr>
                <w:rStyle w:val="IndexLink"/>
              </w:rPr>
              <w:t>198</w:t>
            </w:r>
          </w:hyperlink>
        </w:p>
        <w:p>
          <w:pPr>
            <w:pStyle w:val="Contents6"/>
            <w:tabs>
              <w:tab w:val="clear" w:pos="7609"/>
              <w:tab w:val="right" w:pos="9026" w:leader="dot"/>
            </w:tabs>
            <w:rPr/>
          </w:pPr>
          <w:hyperlink w:anchor="__RefHeading___Toc3767107_3650668749">
            <w:r>
              <w:rPr>
                <w:webHidden/>
                <w:rStyle w:val="IndexLink"/>
                <w:rtl w:val="true"/>
              </w:rPr>
              <w:t>ج</w:t>
            </w:r>
            <w:r>
              <w:rPr>
                <w:rStyle w:val="IndexLink"/>
                <w:rtl w:val="true"/>
              </w:rPr>
              <w:t xml:space="preserve">) </w:t>
            </w:r>
            <w:r>
              <w:rPr>
                <w:rStyle w:val="IndexLink"/>
                <w:rtl w:val="true"/>
              </w:rPr>
              <w:t>نقص و زيادى در تعداد سوره‌ها</w:t>
            </w:r>
            <w:r>
              <w:rPr>
                <w:rStyle w:val="IndexLink"/>
                <w:rtl w:val="true"/>
              </w:rPr>
              <w:tab/>
            </w:r>
            <w:r>
              <w:rPr>
                <w:rStyle w:val="IndexLink"/>
              </w:rPr>
              <w:t>206</w:t>
            </w:r>
          </w:hyperlink>
        </w:p>
        <w:p>
          <w:pPr>
            <w:pStyle w:val="Contents6"/>
            <w:tabs>
              <w:tab w:val="clear" w:pos="7609"/>
              <w:tab w:val="right" w:pos="9026" w:leader="dot"/>
            </w:tabs>
            <w:rPr/>
          </w:pPr>
          <w:hyperlink w:anchor="__RefHeading___Toc3767109_3650668749">
            <w:r>
              <w:rPr>
                <w:webHidden/>
                <w:rStyle w:val="IndexLink"/>
                <w:rtl w:val="true"/>
              </w:rPr>
              <w:t>د</w:t>
            </w:r>
            <w:r>
              <w:rPr>
                <w:rStyle w:val="IndexLink"/>
                <w:rtl w:val="true"/>
              </w:rPr>
              <w:t xml:space="preserve">) </w:t>
            </w:r>
            <w:r>
              <w:rPr>
                <w:rStyle w:val="IndexLink"/>
                <w:rtl w:val="true"/>
              </w:rPr>
              <w:t>تحريف در متن آيات</w:t>
            </w:r>
            <w:r>
              <w:rPr>
                <w:rStyle w:val="IndexLink"/>
                <w:rtl w:val="true"/>
              </w:rPr>
              <w:tab/>
            </w:r>
            <w:r>
              <w:rPr>
                <w:rStyle w:val="IndexLink"/>
              </w:rPr>
              <w:t>208</w:t>
            </w:r>
          </w:hyperlink>
        </w:p>
        <w:p>
          <w:pPr>
            <w:pStyle w:val="Contents6"/>
            <w:tabs>
              <w:tab w:val="clear" w:pos="7609"/>
              <w:tab w:val="right" w:pos="9026" w:leader="dot"/>
            </w:tabs>
            <w:rPr/>
          </w:pPr>
          <w:hyperlink w:anchor="__RefHeading___Toc3767111_3650668749">
            <w:r>
              <w:rPr>
                <w:webHidden/>
                <w:rStyle w:val="IndexLink"/>
                <w:rtl w:val="true"/>
              </w:rPr>
              <w:t>ه</w:t>
            </w:r>
            <w:r>
              <w:rPr>
                <w:rStyle w:val="IndexLink"/>
                <w:rtl w:val="true"/>
              </w:rPr>
              <w:t xml:space="preserve">) </w:t>
            </w:r>
            <w:r>
              <w:rPr>
                <w:rStyle w:val="IndexLink"/>
                <w:rtl w:val="true"/>
              </w:rPr>
              <w:t>حذف بخشى از آيات قرآن</w:t>
            </w:r>
            <w:r>
              <w:rPr>
                <w:rStyle w:val="IndexLink"/>
                <w:rtl w:val="true"/>
              </w:rPr>
              <w:tab/>
            </w:r>
            <w:r>
              <w:rPr>
                <w:rStyle w:val="IndexLink"/>
              </w:rPr>
              <w:t>211</w:t>
            </w:r>
          </w:hyperlink>
        </w:p>
        <w:p>
          <w:pPr>
            <w:pStyle w:val="Contents5"/>
            <w:tabs>
              <w:tab w:val="clear" w:pos="7892"/>
              <w:tab w:val="right" w:pos="9026" w:leader="dot"/>
            </w:tabs>
            <w:rPr/>
          </w:pPr>
          <w:hyperlink w:anchor="__RefHeading___Toc3767113_3650668749">
            <w:r>
              <w:rPr>
                <w:webHidden/>
                <w:rStyle w:val="IndexLink"/>
                <w:rtl w:val="true"/>
              </w:rPr>
              <w:t>مرحله دوم</w:t>
            </w:r>
            <w:r>
              <w:rPr>
                <w:rStyle w:val="IndexLink"/>
                <w:rtl w:val="true"/>
              </w:rPr>
              <w:t xml:space="preserve">: </w:t>
            </w:r>
            <w:r>
              <w:rPr>
                <w:rStyle w:val="IndexLink"/>
                <w:rtl w:val="true"/>
              </w:rPr>
              <w:t>پاسخ حلّى به تحريف قرآن</w:t>
            </w:r>
            <w:r>
              <w:rPr>
                <w:rStyle w:val="IndexLink"/>
                <w:rtl w:val="true"/>
              </w:rPr>
              <w:tab/>
            </w:r>
            <w:r>
              <w:rPr>
                <w:rStyle w:val="IndexLink"/>
              </w:rPr>
              <w:t>213</w:t>
            </w:r>
          </w:hyperlink>
        </w:p>
        <w:p>
          <w:pPr>
            <w:pStyle w:val="Contents6"/>
            <w:tabs>
              <w:tab w:val="clear" w:pos="7609"/>
              <w:tab w:val="right" w:pos="9026" w:leader="dot"/>
            </w:tabs>
            <w:rPr/>
          </w:pPr>
          <w:hyperlink w:anchor="__RefHeading___Toc3767115_3650668749">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3767117_3650668749">
            <w:r>
              <w:rPr>
                <w:webHidden/>
                <w:rStyle w:val="IndexLink"/>
                <w:rtl w:val="true"/>
              </w:rPr>
              <w:t>نكته اول</w:t>
            </w:r>
            <w:r>
              <w:rPr>
                <w:rStyle w:val="IndexLink"/>
                <w:rtl w:val="true"/>
              </w:rPr>
              <w:t xml:space="preserve">: </w:t>
            </w:r>
            <w:r>
              <w:rPr>
                <w:rStyle w:val="IndexLink"/>
                <w:rtl w:val="true"/>
              </w:rPr>
              <w:t>آغاز و زمينه تهمت تحريف، به‌كلينى</w:t>
            </w:r>
            <w:r>
              <w:rPr>
                <w:rStyle w:val="IndexLink"/>
                <w:rtl w:val="true"/>
              </w:rPr>
              <w:tab/>
            </w:r>
            <w:r>
              <w:rPr>
                <w:rStyle w:val="IndexLink"/>
              </w:rPr>
              <w:t>214</w:t>
            </w:r>
          </w:hyperlink>
        </w:p>
        <w:p>
          <w:pPr>
            <w:pStyle w:val="Contents6"/>
            <w:tabs>
              <w:tab w:val="clear" w:pos="7609"/>
              <w:tab w:val="right" w:pos="9026" w:leader="dot"/>
            </w:tabs>
            <w:rPr/>
          </w:pPr>
          <w:hyperlink w:anchor="__RefHeading___Toc3767119_3650668749">
            <w:r>
              <w:rPr>
                <w:webHidden/>
                <w:rStyle w:val="IndexLink"/>
                <w:rtl w:val="true"/>
              </w:rPr>
              <w:t>نكته دوم</w:t>
            </w:r>
            <w:r>
              <w:rPr>
                <w:rStyle w:val="IndexLink"/>
                <w:rtl w:val="true"/>
              </w:rPr>
              <w:t xml:space="preserve">: </w:t>
            </w:r>
            <w:r>
              <w:rPr>
                <w:rStyle w:val="IndexLink"/>
                <w:rtl w:val="true"/>
              </w:rPr>
              <w:t>ادعاى كافى صحيح‌ترين كتاب</w:t>
            </w:r>
            <w:r>
              <w:rPr>
                <w:rStyle w:val="IndexLink"/>
                <w:rtl w:val="true"/>
              </w:rPr>
              <w:t>!</w:t>
              <w:tab/>
            </w:r>
            <w:r>
              <w:rPr>
                <w:rStyle w:val="IndexLink"/>
              </w:rPr>
              <w:t>217</w:t>
            </w:r>
          </w:hyperlink>
        </w:p>
        <w:p>
          <w:pPr>
            <w:pStyle w:val="Contents6"/>
            <w:tabs>
              <w:tab w:val="clear" w:pos="7609"/>
              <w:tab w:val="right" w:pos="9026" w:leader="dot"/>
            </w:tabs>
            <w:rPr/>
          </w:pPr>
          <w:hyperlink w:anchor="__RefHeading___Toc3767121_3650668749">
            <w:r>
              <w:rPr>
                <w:webHidden/>
                <w:rStyle w:val="IndexLink"/>
                <w:rtl w:val="true"/>
              </w:rPr>
              <w:t>موضع كلينى نسبت به‌احاديث نشان‌دهنده تحريف</w:t>
            </w:r>
            <w:r>
              <w:rPr>
                <w:rStyle w:val="IndexLink"/>
                <w:rtl w:val="true"/>
              </w:rPr>
              <w:tab/>
            </w:r>
            <w:r>
              <w:rPr>
                <w:rStyle w:val="IndexLink"/>
              </w:rPr>
              <w:t>220</w:t>
            </w:r>
          </w:hyperlink>
        </w:p>
        <w:p>
          <w:pPr>
            <w:pStyle w:val="Contents6"/>
            <w:tabs>
              <w:tab w:val="clear" w:pos="7609"/>
              <w:tab w:val="right" w:pos="9026" w:leader="dot"/>
            </w:tabs>
            <w:rPr/>
          </w:pPr>
          <w:hyperlink w:anchor="__RefHeading___Toc3767123_3650668749">
            <w:r>
              <w:rPr>
                <w:webHidden/>
                <w:rStyle w:val="IndexLink"/>
                <w:rtl w:val="true"/>
              </w:rPr>
              <w:t>عناوين و روايات موهم تحريف</w:t>
            </w:r>
            <w:r>
              <w:rPr>
                <w:rStyle w:val="IndexLink"/>
                <w:rtl w:val="true"/>
              </w:rPr>
              <w:tab/>
            </w:r>
            <w:r>
              <w:rPr>
                <w:rStyle w:val="IndexLink"/>
              </w:rPr>
              <w:t>223</w:t>
            </w:r>
          </w:hyperlink>
        </w:p>
        <w:p>
          <w:pPr>
            <w:pStyle w:val="Contents6"/>
            <w:tabs>
              <w:tab w:val="clear" w:pos="7609"/>
              <w:tab w:val="right" w:pos="9026" w:leader="dot"/>
            </w:tabs>
            <w:rPr/>
          </w:pPr>
          <w:hyperlink w:anchor="__RefHeading___Toc3767125_3650668749">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3767127_3650668749">
            <w:r>
              <w:rPr>
                <w:webHidden/>
                <w:rStyle w:val="IndexLink"/>
                <w:rtl w:val="true"/>
              </w:rPr>
              <w:t xml:space="preserve">يك </w:t>
            </w:r>
            <w:r>
              <w:rPr>
                <w:rStyle w:val="IndexLink"/>
                <w:rtl w:val="true"/>
              </w:rPr>
              <w:t xml:space="preserve">- </w:t>
            </w:r>
            <w:r>
              <w:rPr>
                <w:rStyle w:val="IndexLink"/>
                <w:rtl w:val="true"/>
              </w:rPr>
              <w:t>عناوين، پيام‌آور تحريف</w:t>
            </w:r>
            <w:r>
              <w:rPr>
                <w:rStyle w:val="IndexLink"/>
                <w:rtl w:val="true"/>
              </w:rPr>
              <w:tab/>
            </w:r>
            <w:r>
              <w:rPr>
                <w:rStyle w:val="IndexLink"/>
              </w:rPr>
              <w:t>223</w:t>
            </w:r>
          </w:hyperlink>
        </w:p>
        <w:p>
          <w:pPr>
            <w:pStyle w:val="Contents6"/>
            <w:tabs>
              <w:tab w:val="clear" w:pos="7609"/>
              <w:tab w:val="right" w:pos="9026" w:leader="dot"/>
            </w:tabs>
            <w:rPr/>
          </w:pPr>
          <w:hyperlink w:anchor="__RefHeading___Toc3767129_3650668749">
            <w:r>
              <w:rPr>
                <w:webHidden/>
                <w:rStyle w:val="IndexLink"/>
                <w:rtl w:val="true"/>
              </w:rPr>
              <w:t xml:space="preserve">دو </w:t>
            </w:r>
            <w:r>
              <w:rPr>
                <w:rStyle w:val="IndexLink"/>
                <w:rtl w:val="true"/>
              </w:rPr>
              <w:t xml:space="preserve">- </w:t>
            </w:r>
            <w:r>
              <w:rPr>
                <w:rStyle w:val="IndexLink"/>
                <w:rtl w:val="true"/>
              </w:rPr>
              <w:t>روايات نشان‌دهنده تحريف</w:t>
            </w:r>
            <w:r>
              <w:rPr>
                <w:rStyle w:val="IndexLink"/>
                <w:rtl w:val="true"/>
              </w:rPr>
              <w:tab/>
            </w:r>
            <w:r>
              <w:rPr>
                <w:rStyle w:val="IndexLink"/>
              </w:rPr>
              <w:t>223</w:t>
            </w:r>
          </w:hyperlink>
        </w:p>
        <w:p>
          <w:pPr>
            <w:pStyle w:val="Contents6"/>
            <w:tabs>
              <w:tab w:val="clear" w:pos="7609"/>
              <w:tab w:val="right" w:pos="9026" w:leader="dot"/>
            </w:tabs>
            <w:rPr/>
          </w:pPr>
          <w:hyperlink w:anchor="__RefHeading___Toc3767131_3650668749">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3767133_3650668749">
            <w:r>
              <w:rPr>
                <w:webHidden/>
                <w:rStyle w:val="IndexLink"/>
                <w:rtl w:val="true"/>
              </w:rPr>
              <w:t xml:space="preserve">اول </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ولايت</w:t>
            </w:r>
            <w:r>
              <w:rPr>
                <w:rStyle w:val="IndexLink"/>
                <w:rtl w:val="true"/>
              </w:rPr>
              <w:tab/>
            </w:r>
            <w:r>
              <w:rPr>
                <w:rStyle w:val="IndexLink"/>
              </w:rPr>
              <w:t>223</w:t>
            </w:r>
          </w:hyperlink>
        </w:p>
        <w:p>
          <w:pPr>
            <w:pStyle w:val="Contents6"/>
            <w:tabs>
              <w:tab w:val="clear" w:pos="7609"/>
              <w:tab w:val="right" w:pos="9026" w:leader="dot"/>
            </w:tabs>
            <w:rPr/>
          </w:pPr>
          <w:hyperlink w:anchor="__RefHeading___Toc3767135_3650668749">
            <w:r>
              <w:rPr>
                <w:webHidden/>
                <w:rStyle w:val="IndexLink"/>
                <w:rtl w:val="true"/>
              </w:rPr>
              <w:t xml:space="preserve">دوم </w:t>
            </w:r>
            <w:r>
              <w:rPr>
                <w:rStyle w:val="IndexLink"/>
                <w:rtl w:val="true"/>
              </w:rPr>
              <w:t xml:space="preserve">- </w:t>
            </w:r>
            <w:r>
              <w:rPr>
                <w:rStyle w:val="IndexLink"/>
                <w:rtl w:val="true"/>
              </w:rPr>
              <w:t xml:space="preserve">اهل بيت </w:t>
            </w:r>
            <w:r>
              <w:rPr>
                <w:rStyle w:val="IndexLink"/>
                <w:rtl w:val="true"/>
              </w:rPr>
              <w:t>(</w:t>
            </w:r>
            <w:r>
              <w:rPr>
                <w:rStyle w:val="IndexLink"/>
                <w:rtl w:val="true"/>
              </w:rPr>
              <w:t>عليهم السلام</w:t>
            </w:r>
            <w:r>
              <w:rPr>
                <w:rStyle w:val="IndexLink"/>
                <w:rtl w:val="true"/>
              </w:rPr>
              <w:t>)</w:t>
              <w:tab/>
            </w:r>
            <w:r>
              <w:rPr>
                <w:rStyle w:val="IndexLink"/>
              </w:rPr>
              <w:t>225</w:t>
            </w:r>
          </w:hyperlink>
        </w:p>
        <w:p>
          <w:pPr>
            <w:pStyle w:val="Contents6"/>
            <w:tabs>
              <w:tab w:val="clear" w:pos="7609"/>
              <w:tab w:val="right" w:pos="9026" w:leader="dot"/>
            </w:tabs>
            <w:rPr/>
          </w:pPr>
          <w:hyperlink w:anchor="__RefHeading___Toc3767137_3650668749">
            <w:r>
              <w:rPr>
                <w:webHidden/>
                <w:rStyle w:val="IndexLink"/>
                <w:rtl w:val="true"/>
              </w:rPr>
              <w:t>مهم‌ترين روايات دالّ بر تحريف و نقصان قرآن</w:t>
            </w:r>
            <w:r>
              <w:rPr>
                <w:rStyle w:val="IndexLink"/>
                <w:rtl w:val="true"/>
              </w:rPr>
              <w:tab/>
            </w:r>
            <w:r>
              <w:rPr>
                <w:rStyle w:val="IndexLink"/>
              </w:rPr>
              <w:t>226</w:t>
            </w:r>
          </w:hyperlink>
        </w:p>
        <w:p>
          <w:pPr>
            <w:pStyle w:val="Contents6"/>
            <w:tabs>
              <w:tab w:val="clear" w:pos="7609"/>
              <w:tab w:val="right" w:pos="9026" w:leader="dot"/>
            </w:tabs>
            <w:rPr/>
          </w:pPr>
          <w:hyperlink w:anchor="__RefHeading___Toc3767139_3650668749">
            <w:r>
              <w:rPr>
                <w:webHidden/>
                <w:rStyle w:val="IndexLink"/>
                <w:rtl w:val="true"/>
              </w:rPr>
              <w:t>بررسى و نقد افتراى تحريف قرآن</w:t>
            </w:r>
            <w:r>
              <w:rPr>
                <w:rStyle w:val="IndexLink"/>
                <w:rtl w:val="true"/>
              </w:rPr>
              <w:tab/>
            </w:r>
            <w:r>
              <w:rPr>
                <w:rStyle w:val="IndexLink"/>
              </w:rPr>
              <w:t>228</w:t>
            </w:r>
          </w:hyperlink>
        </w:p>
        <w:p>
          <w:pPr>
            <w:pStyle w:val="Contents6"/>
            <w:tabs>
              <w:tab w:val="clear" w:pos="7609"/>
              <w:tab w:val="right" w:pos="9026" w:leader="dot"/>
            </w:tabs>
            <w:rPr/>
          </w:pPr>
          <w:hyperlink w:anchor="__RefHeading___Toc3767141_3650668749">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3767143_3650668749">
            <w:r>
              <w:rPr>
                <w:webHidden/>
                <w:rStyle w:val="IndexLink"/>
                <w:rtl w:val="true"/>
              </w:rPr>
              <w:t xml:space="preserve">يك </w:t>
            </w:r>
            <w:r>
              <w:rPr>
                <w:rStyle w:val="IndexLink"/>
                <w:rtl w:val="true"/>
              </w:rPr>
              <w:t xml:space="preserve">- </w:t>
            </w:r>
            <w:r>
              <w:rPr>
                <w:rStyle w:val="IndexLink"/>
                <w:rtl w:val="true"/>
              </w:rPr>
              <w:t>بازخوانى عناوين كافى</w:t>
            </w:r>
            <w:r>
              <w:rPr>
                <w:rStyle w:val="IndexLink"/>
                <w:rtl w:val="true"/>
              </w:rPr>
              <w:tab/>
            </w:r>
            <w:r>
              <w:rPr>
                <w:rStyle w:val="IndexLink"/>
              </w:rPr>
              <w:t>228</w:t>
            </w:r>
          </w:hyperlink>
        </w:p>
        <w:p>
          <w:pPr>
            <w:pStyle w:val="Contents6"/>
            <w:tabs>
              <w:tab w:val="clear" w:pos="7609"/>
              <w:tab w:val="right" w:pos="9026" w:leader="dot"/>
            </w:tabs>
            <w:rPr/>
          </w:pPr>
          <w:hyperlink w:anchor="__RefHeading___Toc3767145_3650668749">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3767147_3650668749">
            <w:r>
              <w:rPr>
                <w:webHidden/>
                <w:rStyle w:val="IndexLink"/>
                <w:rtl w:val="true"/>
              </w:rPr>
              <w:t xml:space="preserve">اول </w:t>
            </w:r>
            <w:r>
              <w:rPr>
                <w:rStyle w:val="IndexLink"/>
                <w:rtl w:val="true"/>
              </w:rPr>
              <w:t xml:space="preserve">- </w:t>
            </w:r>
            <w:r>
              <w:rPr>
                <w:rStyle w:val="IndexLink"/>
                <w:rtl w:val="true"/>
              </w:rPr>
              <w:t>خطبه مؤلِّف و مهم‌ترين نكات</w:t>
            </w:r>
            <w:r>
              <w:rPr>
                <w:rStyle w:val="IndexLink"/>
                <w:rtl w:val="true"/>
              </w:rPr>
              <w:tab/>
            </w:r>
            <w:r>
              <w:rPr>
                <w:rStyle w:val="IndexLink"/>
              </w:rPr>
              <w:t>229</w:t>
            </w:r>
          </w:hyperlink>
        </w:p>
        <w:p>
          <w:pPr>
            <w:pStyle w:val="Contents6"/>
            <w:tabs>
              <w:tab w:val="clear" w:pos="7609"/>
              <w:tab w:val="right" w:pos="9026" w:leader="dot"/>
            </w:tabs>
            <w:rPr/>
          </w:pPr>
          <w:hyperlink w:anchor="__RefHeading___Toc3767149_3650668749">
            <w:r>
              <w:rPr>
                <w:webHidden/>
                <w:rStyle w:val="IndexLink"/>
                <w:rtl w:val="true"/>
              </w:rPr>
              <w:t xml:space="preserve">دوم </w:t>
            </w:r>
            <w:r>
              <w:rPr>
                <w:rStyle w:val="IndexLink"/>
                <w:rtl w:val="true"/>
              </w:rPr>
              <w:t xml:space="preserve">- </w:t>
            </w:r>
            <w:r>
              <w:rPr>
                <w:rStyle w:val="IndexLink"/>
                <w:rtl w:val="true"/>
              </w:rPr>
              <w:t>دفع اتّهام براساس عناوين</w:t>
            </w:r>
            <w:r>
              <w:rPr>
                <w:rStyle w:val="IndexLink"/>
                <w:rtl w:val="true"/>
              </w:rPr>
              <w:tab/>
            </w:r>
            <w:r>
              <w:rPr>
                <w:rStyle w:val="IndexLink"/>
              </w:rPr>
              <w:t>230</w:t>
            </w:r>
          </w:hyperlink>
        </w:p>
        <w:p>
          <w:pPr>
            <w:pStyle w:val="Contents6"/>
            <w:tabs>
              <w:tab w:val="clear" w:pos="7609"/>
              <w:tab w:val="right" w:pos="9026" w:leader="dot"/>
            </w:tabs>
            <w:rPr/>
          </w:pPr>
          <w:hyperlink w:anchor="__RefHeading___Toc3767151_3650668749">
            <w:r>
              <w:rPr>
                <w:webHidden/>
                <w:rStyle w:val="IndexLink"/>
                <w:rtl w:val="true"/>
              </w:rPr>
              <w:t xml:space="preserve">دو </w:t>
            </w:r>
            <w:r>
              <w:rPr>
                <w:rStyle w:val="IndexLink"/>
                <w:rtl w:val="true"/>
              </w:rPr>
              <w:t xml:space="preserve">- </w:t>
            </w:r>
            <w:r>
              <w:rPr>
                <w:rStyle w:val="IndexLink"/>
                <w:rtl w:val="true"/>
              </w:rPr>
              <w:t>متن روايات دال بر تحريف</w:t>
            </w:r>
            <w:r>
              <w:rPr>
                <w:rStyle w:val="IndexLink"/>
                <w:rtl w:val="true"/>
              </w:rPr>
              <w:tab/>
            </w:r>
            <w:r>
              <w:rPr>
                <w:rStyle w:val="IndexLink"/>
              </w:rPr>
              <w:t>234</w:t>
            </w:r>
          </w:hyperlink>
        </w:p>
        <w:p>
          <w:pPr>
            <w:pStyle w:val="Contents6"/>
            <w:tabs>
              <w:tab w:val="clear" w:pos="7609"/>
              <w:tab w:val="right" w:pos="9026" w:leader="dot"/>
            </w:tabs>
            <w:rPr/>
          </w:pPr>
          <w:hyperlink w:anchor="__RefHeading___Toc3767153_3650668749">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3767155_3650668749">
            <w:r>
              <w:rPr>
                <w:webHidden/>
                <w:rStyle w:val="IndexLink"/>
                <w:rtl w:val="true"/>
              </w:rPr>
              <w:t xml:space="preserve">اول </w:t>
            </w:r>
            <w:r>
              <w:rPr>
                <w:rStyle w:val="IndexLink"/>
                <w:rtl w:val="true"/>
              </w:rPr>
              <w:t xml:space="preserve">- </w:t>
            </w:r>
            <w:r>
              <w:rPr>
                <w:rStyle w:val="IndexLink"/>
                <w:rtl w:val="true"/>
              </w:rPr>
              <w:t xml:space="preserve">احاديث على </w:t>
            </w:r>
            <w:r>
              <w:rPr>
                <w:rStyle w:val="IndexLink"/>
                <w:rtl w:val="true"/>
              </w:rPr>
              <w:t>(</w:t>
            </w:r>
            <w:r>
              <w:rPr>
                <w:rStyle w:val="IndexLink"/>
                <w:rtl w:val="true"/>
              </w:rPr>
              <w:t>ع</w:t>
            </w:r>
            <w:r>
              <w:rPr>
                <w:rStyle w:val="IndexLink"/>
                <w:rtl w:val="true"/>
              </w:rPr>
              <w:t xml:space="preserve">) </w:t>
            </w:r>
            <w:r>
              <w:rPr>
                <w:rStyle w:val="IndexLink"/>
                <w:rtl w:val="true"/>
              </w:rPr>
              <w:t>و ولايت</w:t>
            </w:r>
            <w:r>
              <w:rPr>
                <w:rStyle w:val="IndexLink"/>
                <w:rtl w:val="true"/>
              </w:rPr>
              <w:tab/>
            </w:r>
            <w:r>
              <w:rPr>
                <w:rStyle w:val="IndexLink"/>
              </w:rPr>
              <w:t>234</w:t>
            </w:r>
          </w:hyperlink>
        </w:p>
        <w:p>
          <w:pPr>
            <w:pStyle w:val="Contents6"/>
            <w:tabs>
              <w:tab w:val="clear" w:pos="7609"/>
              <w:tab w:val="right" w:pos="9026" w:leader="dot"/>
            </w:tabs>
            <w:rPr/>
          </w:pPr>
          <w:hyperlink w:anchor="__RefHeading___Toc3767157_3650668749">
            <w:r>
              <w:rPr>
                <w:webHidden/>
                <w:rStyle w:val="IndexLink"/>
                <w:rtl w:val="true"/>
              </w:rPr>
              <w:t>دوم</w:t>
            </w:r>
            <w:r>
              <w:rPr>
                <w:rStyle w:val="IndexLink"/>
                <w:rtl w:val="true"/>
              </w:rPr>
              <w:t xml:space="preserve">: </w:t>
            </w:r>
            <w:r>
              <w:rPr>
                <w:rStyle w:val="IndexLink"/>
                <w:rtl w:val="true"/>
              </w:rPr>
              <w:t xml:space="preserve">احاديث اهل‌البيت </w:t>
            </w:r>
            <w:r>
              <w:rPr>
                <w:rStyle w:val="IndexLink"/>
                <w:rtl w:val="true"/>
              </w:rPr>
              <w:t>(</w:t>
            </w:r>
            <w:r>
              <w:rPr>
                <w:rStyle w:val="IndexLink"/>
                <w:rtl w:val="true"/>
              </w:rPr>
              <w:t>عليهم السلام</w:t>
            </w:r>
            <w:r>
              <w:rPr>
                <w:rStyle w:val="IndexLink"/>
                <w:rtl w:val="true"/>
              </w:rPr>
              <w:t>)</w:t>
              <w:tab/>
            </w:r>
            <w:r>
              <w:rPr>
                <w:rStyle w:val="IndexLink"/>
              </w:rPr>
              <w:t>246</w:t>
            </w:r>
          </w:hyperlink>
        </w:p>
        <w:p>
          <w:pPr>
            <w:pStyle w:val="Contents6"/>
            <w:tabs>
              <w:tab w:val="clear" w:pos="7609"/>
              <w:tab w:val="right" w:pos="9026" w:leader="dot"/>
            </w:tabs>
            <w:rPr/>
          </w:pPr>
          <w:hyperlink w:anchor="__RefHeading___Toc3767159_3650668749">
            <w:r>
              <w:rPr>
                <w:webHidden/>
                <w:rStyle w:val="IndexLink"/>
                <w:rtl w:val="true"/>
              </w:rPr>
              <w:t xml:space="preserve">سوم </w:t>
            </w:r>
            <w:r>
              <w:rPr>
                <w:rStyle w:val="IndexLink"/>
                <w:rtl w:val="true"/>
              </w:rPr>
              <w:t xml:space="preserve">- </w:t>
            </w:r>
            <w:r>
              <w:rPr>
                <w:rStyle w:val="IndexLink"/>
                <w:rtl w:val="true"/>
              </w:rPr>
              <w:t>پاسخ روايات تحريف</w:t>
            </w:r>
            <w:r>
              <w:rPr>
                <w:rStyle w:val="IndexLink"/>
                <w:rtl w:val="true"/>
              </w:rPr>
              <w:tab/>
            </w:r>
            <w:r>
              <w:rPr>
                <w:rStyle w:val="IndexLink"/>
              </w:rPr>
              <w:t>251</w:t>
            </w:r>
          </w:hyperlink>
        </w:p>
        <w:p>
          <w:pPr>
            <w:pStyle w:val="Contents3"/>
            <w:tabs>
              <w:tab w:val="clear" w:pos="8459"/>
              <w:tab w:val="right" w:pos="9026" w:leader="dot"/>
            </w:tabs>
            <w:rPr/>
          </w:pPr>
          <w:hyperlink w:anchor="__RefHeading___Toc3767161_3650668749">
            <w:r>
              <w:rPr>
                <w:webHidden/>
                <w:rStyle w:val="IndexLink"/>
                <w:rtl w:val="true"/>
              </w:rPr>
              <w:t>فصل سوم</w:t>
            </w:r>
            <w:r>
              <w:rPr>
                <w:rStyle w:val="IndexLink"/>
                <w:rtl w:val="true"/>
              </w:rPr>
              <w:t xml:space="preserve">: </w:t>
            </w:r>
            <w:r>
              <w:rPr>
                <w:rStyle w:val="IndexLink"/>
                <w:rtl w:val="true"/>
              </w:rPr>
              <w:t xml:space="preserve">مصحف اميرالمؤمنين </w:t>
            </w:r>
            <w:r>
              <w:rPr>
                <w:rStyle w:val="IndexLink"/>
                <w:rtl w:val="true"/>
              </w:rPr>
              <w:t>(</w:t>
            </w:r>
            <w:r>
              <w:rPr>
                <w:rStyle w:val="IndexLink"/>
                <w:rtl w:val="true"/>
              </w:rPr>
              <w:t>ع</w:t>
            </w:r>
            <w:r>
              <w:rPr>
                <w:rStyle w:val="IndexLink"/>
                <w:rtl w:val="true"/>
              </w:rPr>
              <w:t xml:space="preserve">) </w:t>
            </w:r>
            <w:r>
              <w:rPr>
                <w:rStyle w:val="IndexLink"/>
                <w:rtl w:val="true"/>
              </w:rPr>
              <w:t>حقيقت يا توهم؟</w:t>
            </w:r>
            <w:r>
              <w:rPr>
                <w:rStyle w:val="IndexLink"/>
                <w:rtl w:val="true"/>
              </w:rPr>
              <w:tab/>
            </w:r>
            <w:r>
              <w:rPr>
                <w:rStyle w:val="IndexLink"/>
              </w:rPr>
              <w:t>271</w:t>
            </w:r>
          </w:hyperlink>
        </w:p>
        <w:p>
          <w:pPr>
            <w:pStyle w:val="Contents4"/>
            <w:tabs>
              <w:tab w:val="clear" w:pos="8176"/>
              <w:tab w:val="right" w:pos="9026" w:leader="dot"/>
            </w:tabs>
            <w:rPr/>
          </w:pPr>
          <w:hyperlink w:anchor="__RefHeading___Toc3767163_3650668749">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3767165_3650668749">
            <w:r>
              <w:rPr>
                <w:webHidden/>
                <w:rStyle w:val="IndexLink"/>
              </w:rPr>
              <w:t>١</w:t>
            </w:r>
            <w:r>
              <w:rPr>
                <w:rStyle w:val="IndexLink"/>
                <w:rtl w:val="true"/>
              </w:rPr>
              <w:t xml:space="preserve">. </w:t>
            </w:r>
            <w:r>
              <w:rPr>
                <w:rStyle w:val="IndexLink"/>
                <w:rtl w:val="true"/>
              </w:rPr>
              <w:t xml:space="preserve">طرح اشكال بر مصحف على </w:t>
            </w:r>
            <w:r>
              <w:rPr>
                <w:rStyle w:val="IndexLink"/>
                <w:rtl w:val="true"/>
              </w:rPr>
              <w:t>(</w:t>
            </w:r>
            <w:r>
              <w:rPr>
                <w:rStyle w:val="IndexLink"/>
                <w:rtl w:val="true"/>
              </w:rPr>
              <w:t>ع</w:t>
            </w:r>
            <w:r>
              <w:rPr>
                <w:rStyle w:val="IndexLink"/>
                <w:rtl w:val="true"/>
              </w:rPr>
              <w:t>)</w:t>
              <w:tab/>
            </w:r>
            <w:r>
              <w:rPr>
                <w:rStyle w:val="IndexLink"/>
              </w:rPr>
              <w:t>271</w:t>
            </w:r>
          </w:hyperlink>
        </w:p>
        <w:p>
          <w:pPr>
            <w:pStyle w:val="Contents4"/>
            <w:tabs>
              <w:tab w:val="clear" w:pos="8176"/>
              <w:tab w:val="right" w:pos="9026" w:leader="dot"/>
            </w:tabs>
            <w:rPr/>
          </w:pPr>
          <w:hyperlink w:anchor="__RefHeading___Toc3767167_3650668749">
            <w:r>
              <w:rPr>
                <w:webHidden/>
                <w:rStyle w:val="IndexLink"/>
              </w:rPr>
              <w:t>٢</w:t>
            </w:r>
            <w:r>
              <w:rPr>
                <w:rStyle w:val="IndexLink"/>
                <w:rtl w:val="true"/>
              </w:rPr>
              <w:t xml:space="preserve">. </w:t>
            </w:r>
            <w:r>
              <w:rPr>
                <w:rStyle w:val="IndexLink"/>
                <w:rtl w:val="true"/>
              </w:rPr>
              <w:t xml:space="preserve">بررسى و نقد مزعوم خواندن مصحف على </w:t>
            </w:r>
            <w:r>
              <w:rPr>
                <w:rStyle w:val="IndexLink"/>
                <w:rtl w:val="true"/>
              </w:rPr>
              <w:t>(</w:t>
            </w:r>
            <w:r>
              <w:rPr>
                <w:rStyle w:val="IndexLink"/>
                <w:rtl w:val="true"/>
              </w:rPr>
              <w:t>ع</w:t>
            </w:r>
            <w:r>
              <w:rPr>
                <w:rStyle w:val="IndexLink"/>
                <w:rtl w:val="true"/>
              </w:rPr>
              <w:t>)</w:t>
              <w:tab/>
            </w:r>
            <w:r>
              <w:rPr>
                <w:rStyle w:val="IndexLink"/>
              </w:rPr>
              <w:t>274</w:t>
            </w:r>
          </w:hyperlink>
        </w:p>
        <w:p>
          <w:pPr>
            <w:pStyle w:val="Contents5"/>
            <w:tabs>
              <w:tab w:val="clear" w:pos="7892"/>
              <w:tab w:val="right" w:pos="9026" w:leader="dot"/>
            </w:tabs>
            <w:rPr/>
          </w:pPr>
          <w:hyperlink w:anchor="__RefHeading___Toc3767169_3650668749">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3767171_3650668749">
            <w:r>
              <w:rPr>
                <w:webHidden/>
                <w:rStyle w:val="IndexLink"/>
                <w:rtl w:val="true"/>
              </w:rPr>
              <w:t>الف</w:t>
            </w:r>
            <w:r>
              <w:rPr>
                <w:rStyle w:val="IndexLink"/>
                <w:rtl w:val="true"/>
              </w:rPr>
              <w:t xml:space="preserve">) </w:t>
            </w:r>
            <w:r>
              <w:rPr>
                <w:rStyle w:val="IndexLink"/>
                <w:rtl w:val="true"/>
              </w:rPr>
              <w:t>آيا مصحف على مزعوم، موهوم و خيال است؟</w:t>
            </w:r>
            <w:r>
              <w:rPr>
                <w:rStyle w:val="IndexLink"/>
                <w:rtl w:val="true"/>
              </w:rPr>
              <w:tab/>
            </w:r>
            <w:r>
              <w:rPr>
                <w:rStyle w:val="IndexLink"/>
              </w:rPr>
              <w:t>275</w:t>
            </w:r>
          </w:hyperlink>
        </w:p>
        <w:p>
          <w:pPr>
            <w:pStyle w:val="Contents6"/>
            <w:tabs>
              <w:tab w:val="clear" w:pos="7609"/>
              <w:tab w:val="right" w:pos="9026" w:leader="dot"/>
            </w:tabs>
            <w:rPr/>
          </w:pPr>
          <w:hyperlink w:anchor="__RefHeading___Toc3767173_3650668749">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3767175_3650668749">
            <w:r>
              <w:rPr>
                <w:webHidden/>
                <w:rStyle w:val="IndexLink"/>
                <w:rtl w:val="true"/>
              </w:rPr>
              <w:t xml:space="preserve">يك </w:t>
            </w:r>
            <w:r>
              <w:rPr>
                <w:rStyle w:val="IndexLink"/>
                <w:rtl w:val="true"/>
              </w:rPr>
              <w:t xml:space="preserve">- </w:t>
            </w:r>
            <w:r>
              <w:rPr>
                <w:rStyle w:val="IndexLink"/>
                <w:rtl w:val="true"/>
              </w:rPr>
              <w:t xml:space="preserve">گزارش از مصحف على </w:t>
            </w:r>
            <w:r>
              <w:rPr>
                <w:rStyle w:val="IndexLink"/>
                <w:rtl w:val="true"/>
              </w:rPr>
              <w:t>(</w:t>
            </w:r>
            <w:r>
              <w:rPr>
                <w:rStyle w:val="IndexLink"/>
                <w:rtl w:val="true"/>
              </w:rPr>
              <w:t>ع</w:t>
            </w:r>
            <w:r>
              <w:rPr>
                <w:rStyle w:val="IndexLink"/>
                <w:rtl w:val="true"/>
              </w:rPr>
              <w:t xml:space="preserve">) </w:t>
            </w:r>
            <w:r>
              <w:rPr>
                <w:rStyle w:val="IndexLink"/>
                <w:rtl w:val="true"/>
              </w:rPr>
              <w:t>در منابع اهل‌سنت</w:t>
            </w:r>
            <w:r>
              <w:rPr>
                <w:rStyle w:val="IndexLink"/>
                <w:rtl w:val="true"/>
              </w:rPr>
              <w:tab/>
            </w:r>
            <w:r>
              <w:rPr>
                <w:rStyle w:val="IndexLink"/>
              </w:rPr>
              <w:t>275</w:t>
            </w:r>
          </w:hyperlink>
        </w:p>
        <w:p>
          <w:pPr>
            <w:pStyle w:val="Contents6"/>
            <w:tabs>
              <w:tab w:val="clear" w:pos="7609"/>
              <w:tab w:val="right" w:pos="9026" w:leader="dot"/>
            </w:tabs>
            <w:rPr/>
          </w:pPr>
          <w:hyperlink w:anchor="__RefHeading___Toc3767177_3650668749">
            <w:r>
              <w:rPr>
                <w:webHidden/>
                <w:rStyle w:val="IndexLink"/>
                <w:rtl w:val="true"/>
              </w:rPr>
              <w:t xml:space="preserve">دو </w:t>
            </w:r>
            <w:r>
              <w:rPr>
                <w:rStyle w:val="IndexLink"/>
                <w:rtl w:val="true"/>
              </w:rPr>
              <w:t xml:space="preserve">- </w:t>
            </w:r>
            <w:r>
              <w:rPr>
                <w:rStyle w:val="IndexLink"/>
                <w:rtl w:val="true"/>
              </w:rPr>
              <w:t xml:space="preserve">نادرست بودن تضعيف خبر مصحف على </w:t>
            </w:r>
            <w:r>
              <w:rPr>
                <w:rStyle w:val="IndexLink"/>
                <w:rtl w:val="true"/>
              </w:rPr>
              <w:t>(</w:t>
            </w:r>
            <w:r>
              <w:rPr>
                <w:rStyle w:val="IndexLink"/>
                <w:rtl w:val="true"/>
              </w:rPr>
              <w:t>ع</w:t>
            </w:r>
            <w:r>
              <w:rPr>
                <w:rStyle w:val="IndexLink"/>
                <w:rtl w:val="true"/>
              </w:rPr>
              <w:t>)</w:t>
              <w:tab/>
            </w:r>
            <w:r>
              <w:rPr>
                <w:rStyle w:val="IndexLink"/>
              </w:rPr>
              <w:t>277</w:t>
            </w:r>
          </w:hyperlink>
        </w:p>
        <w:p>
          <w:pPr>
            <w:pStyle w:val="Contents6"/>
            <w:tabs>
              <w:tab w:val="clear" w:pos="7609"/>
              <w:tab w:val="right" w:pos="9026" w:leader="dot"/>
            </w:tabs>
            <w:rPr/>
          </w:pPr>
          <w:hyperlink w:anchor="__RefHeading___Toc3767179_3650668749">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3767181_3650668749">
            <w:r>
              <w:rPr>
                <w:webHidden/>
                <w:rStyle w:val="IndexLink"/>
                <w:rtl w:val="true"/>
              </w:rPr>
              <w:t>ارزيابى و نقد اشكالات</w:t>
            </w:r>
            <w:r>
              <w:rPr>
                <w:rStyle w:val="IndexLink"/>
                <w:rtl w:val="true"/>
              </w:rPr>
              <w:tab/>
            </w:r>
            <w:r>
              <w:rPr>
                <w:rStyle w:val="IndexLink"/>
              </w:rPr>
              <w:t>279</w:t>
            </w:r>
          </w:hyperlink>
        </w:p>
        <w:p>
          <w:pPr>
            <w:pStyle w:val="Contents5"/>
            <w:tabs>
              <w:tab w:val="clear" w:pos="7892"/>
              <w:tab w:val="right" w:pos="9026" w:leader="dot"/>
            </w:tabs>
            <w:rPr/>
          </w:pPr>
          <w:hyperlink w:anchor="__RefHeading___Toc3767183_3650668749">
            <w:r>
              <w:rPr>
                <w:webHidden/>
                <w:rStyle w:val="IndexLink"/>
                <w:rtl w:val="true"/>
              </w:rPr>
              <w:t>ب</w:t>
            </w:r>
            <w:r>
              <w:rPr>
                <w:rStyle w:val="IndexLink"/>
                <w:rtl w:val="true"/>
              </w:rPr>
              <w:t xml:space="preserve">) </w:t>
            </w:r>
            <w:r>
              <w:rPr>
                <w:rStyle w:val="IndexLink"/>
                <w:rtl w:val="true"/>
              </w:rPr>
              <w:t xml:space="preserve">محتواى مصحف على </w:t>
            </w:r>
            <w:r>
              <w:rPr>
                <w:rStyle w:val="IndexLink"/>
                <w:rtl w:val="true"/>
              </w:rPr>
              <w:t>(</w:t>
            </w:r>
            <w:r>
              <w:rPr>
                <w:rStyle w:val="IndexLink"/>
                <w:rtl w:val="true"/>
              </w:rPr>
              <w:t>ع</w:t>
            </w:r>
            <w:r>
              <w:rPr>
                <w:rStyle w:val="IndexLink"/>
                <w:rtl w:val="true"/>
              </w:rPr>
              <w:t>)</w:t>
              <w:tab/>
            </w:r>
            <w:r>
              <w:rPr>
                <w:rStyle w:val="IndexLink"/>
              </w:rPr>
              <w:t>282</w:t>
            </w:r>
          </w:hyperlink>
        </w:p>
        <w:p>
          <w:pPr>
            <w:pStyle w:val="Contents5"/>
            <w:tabs>
              <w:tab w:val="clear" w:pos="7892"/>
              <w:tab w:val="right" w:pos="9026" w:leader="dot"/>
            </w:tabs>
            <w:rPr/>
          </w:pPr>
          <w:hyperlink w:anchor="__RefHeading___Toc3767185_3650668749">
            <w:r>
              <w:rPr>
                <w:webHidden/>
                <w:rStyle w:val="IndexLink"/>
                <w:rtl w:val="true"/>
              </w:rPr>
              <w:t>ج</w:t>
            </w:r>
            <w:r>
              <w:rPr>
                <w:rStyle w:val="IndexLink"/>
                <w:rtl w:val="true"/>
              </w:rPr>
              <w:t xml:space="preserve">) </w:t>
            </w:r>
            <w:r>
              <w:rPr>
                <w:rStyle w:val="IndexLink"/>
                <w:rtl w:val="true"/>
              </w:rPr>
              <w:t xml:space="preserve">نقش كلينى در ترويج مصحف على </w:t>
            </w:r>
            <w:r>
              <w:rPr>
                <w:rStyle w:val="IndexLink"/>
                <w:rtl w:val="true"/>
              </w:rPr>
              <w:t>(</w:t>
            </w:r>
            <w:r>
              <w:rPr>
                <w:rStyle w:val="IndexLink"/>
                <w:rtl w:val="true"/>
              </w:rPr>
              <w:t>ع</w:t>
            </w:r>
            <w:r>
              <w:rPr>
                <w:rStyle w:val="IndexLink"/>
                <w:rtl w:val="true"/>
              </w:rPr>
              <w:t>)</w:t>
              <w:tab/>
            </w:r>
            <w:r>
              <w:rPr>
                <w:rStyle w:val="IndexLink"/>
              </w:rPr>
              <w:t>287</w:t>
            </w:r>
          </w:hyperlink>
        </w:p>
        <w:p>
          <w:pPr>
            <w:pStyle w:val="Contents5"/>
            <w:tabs>
              <w:tab w:val="clear" w:pos="7892"/>
              <w:tab w:val="right" w:pos="9026" w:leader="dot"/>
            </w:tabs>
            <w:rPr/>
          </w:pPr>
          <w:hyperlink w:anchor="__RefHeading___Toc3767187_3650668749">
            <w:r>
              <w:rPr>
                <w:webHidden/>
                <w:rStyle w:val="IndexLink"/>
                <w:rtl w:val="true"/>
              </w:rPr>
              <w:t>د</w:t>
            </w:r>
            <w:r>
              <w:rPr>
                <w:rStyle w:val="IndexLink"/>
                <w:rtl w:val="true"/>
              </w:rPr>
              <w:t xml:space="preserve">) </w:t>
            </w:r>
            <w:r>
              <w:rPr>
                <w:rStyle w:val="IndexLink"/>
                <w:rtl w:val="true"/>
              </w:rPr>
              <w:t>كتاب سُليم بن قيس</w:t>
            </w:r>
            <w:r>
              <w:rPr>
                <w:rStyle w:val="IndexLink"/>
                <w:rtl w:val="true"/>
              </w:rPr>
              <w:t>. . .</w:t>
              <w:tab/>
            </w:r>
            <w:r>
              <w:rPr>
                <w:rStyle w:val="IndexLink"/>
              </w:rPr>
              <w:t>287</w:t>
            </w:r>
          </w:hyperlink>
        </w:p>
        <w:p>
          <w:pPr>
            <w:pStyle w:val="Contents5"/>
            <w:tabs>
              <w:tab w:val="clear" w:pos="7892"/>
              <w:tab w:val="right" w:pos="9026" w:leader="dot"/>
            </w:tabs>
            <w:rPr/>
          </w:pPr>
          <w:hyperlink w:anchor="__RefHeading___Toc3767189_3650668749">
            <w:r>
              <w:rPr>
                <w:webHidden/>
                <w:rStyle w:val="IndexLink"/>
                <w:rtl w:val="true"/>
              </w:rPr>
              <w:t>ه</w:t>
            </w:r>
            <w:r>
              <w:rPr>
                <w:rStyle w:val="IndexLink"/>
                <w:rtl w:val="true"/>
              </w:rPr>
              <w:t xml:space="preserve">) </w:t>
            </w:r>
            <w:r>
              <w:rPr>
                <w:rStyle w:val="IndexLink"/>
                <w:rtl w:val="true"/>
              </w:rPr>
              <w:t>منع از كتابت جز قرآن</w:t>
            </w:r>
            <w:r>
              <w:rPr>
                <w:rStyle w:val="IndexLink"/>
                <w:rtl w:val="true"/>
              </w:rPr>
              <w:tab/>
            </w:r>
            <w:r>
              <w:rPr>
                <w:rStyle w:val="IndexLink"/>
              </w:rPr>
              <w:t>289</w:t>
            </w:r>
          </w:hyperlink>
        </w:p>
        <w:p>
          <w:pPr>
            <w:pStyle w:val="Contents5"/>
            <w:tabs>
              <w:tab w:val="clear" w:pos="7892"/>
              <w:tab w:val="right" w:pos="9026" w:leader="dot"/>
            </w:tabs>
            <w:rPr/>
          </w:pPr>
          <w:hyperlink w:anchor="__RefHeading___Toc3767191_3650668749">
            <w:r>
              <w:rPr>
                <w:webHidden/>
                <w:rStyle w:val="IndexLink"/>
                <w:rtl w:val="true"/>
              </w:rPr>
              <w:t>و</w:t>
            </w:r>
            <w:r>
              <w:rPr>
                <w:rStyle w:val="IndexLink"/>
                <w:rtl w:val="true"/>
              </w:rPr>
              <w:t xml:space="preserve">) </w:t>
            </w:r>
            <w:r>
              <w:rPr>
                <w:rStyle w:val="IndexLink"/>
                <w:rtl w:val="true"/>
              </w:rPr>
              <w:t xml:space="preserve">لازمۀ مصحف على </w:t>
            </w:r>
            <w:r>
              <w:rPr>
                <w:rStyle w:val="IndexLink"/>
                <w:rtl w:val="true"/>
              </w:rPr>
              <w:t>(</w:t>
            </w:r>
            <w:r>
              <w:rPr>
                <w:rStyle w:val="IndexLink"/>
                <w:rtl w:val="true"/>
              </w:rPr>
              <w:t>ع</w:t>
            </w:r>
            <w:r>
              <w:rPr>
                <w:rStyle w:val="IndexLink"/>
                <w:rtl w:val="true"/>
              </w:rPr>
              <w:t xml:space="preserve">) </w:t>
            </w:r>
            <w:r>
              <w:rPr>
                <w:rStyle w:val="IndexLink"/>
                <w:rtl w:val="true"/>
              </w:rPr>
              <w:t>كوتاهى در امر تبليغ</w:t>
            </w:r>
            <w:r>
              <w:rPr>
                <w:rStyle w:val="IndexLink"/>
                <w:rtl w:val="true"/>
              </w:rPr>
              <w:t xml:space="preserve">! </w:t>
            </w:r>
            <w:r>
              <w:rPr>
                <w:rStyle w:val="IndexLink"/>
                <w:rtl w:val="true"/>
              </w:rPr>
              <w:t>نيست</w:t>
            </w:r>
            <w:r>
              <w:rPr>
                <w:rStyle w:val="IndexLink"/>
                <w:rtl w:val="true"/>
              </w:rPr>
              <w:tab/>
            </w:r>
            <w:r>
              <w:rPr>
                <w:rStyle w:val="IndexLink"/>
              </w:rPr>
              <w:t>296</w:t>
            </w:r>
          </w:hyperlink>
        </w:p>
        <w:p>
          <w:pPr>
            <w:pStyle w:val="Contents5"/>
            <w:tabs>
              <w:tab w:val="clear" w:pos="7892"/>
              <w:tab w:val="right" w:pos="9026" w:leader="dot"/>
            </w:tabs>
            <w:rPr/>
          </w:pPr>
          <w:hyperlink w:anchor="__RefHeading___Toc3767193_3650668749">
            <w:r>
              <w:rPr>
                <w:webHidden/>
                <w:rStyle w:val="IndexLink"/>
                <w:rtl w:val="true"/>
              </w:rPr>
              <w:t>ز</w:t>
            </w:r>
            <w:r>
              <w:rPr>
                <w:rStyle w:val="IndexLink"/>
                <w:rtl w:val="true"/>
              </w:rPr>
              <w:t xml:space="preserve">) </w:t>
            </w:r>
            <w:r>
              <w:rPr>
                <w:rStyle w:val="IndexLink"/>
                <w:rtl w:val="true"/>
              </w:rPr>
              <w:t>وضعيت فعلى مصحف</w:t>
            </w:r>
            <w:r>
              <w:rPr>
                <w:rStyle w:val="IndexLink"/>
                <w:rtl w:val="true"/>
              </w:rPr>
              <w:tab/>
            </w:r>
            <w:r>
              <w:rPr>
                <w:rStyle w:val="IndexLink"/>
              </w:rPr>
              <w:t>297</w:t>
            </w:r>
          </w:hyperlink>
        </w:p>
        <w:p>
          <w:pPr>
            <w:pStyle w:val="Contents4"/>
            <w:tabs>
              <w:tab w:val="clear" w:pos="8176"/>
              <w:tab w:val="right" w:pos="9026" w:leader="dot"/>
            </w:tabs>
            <w:rPr/>
          </w:pPr>
          <w:hyperlink w:anchor="__RefHeading___Toc3767195_3650668749">
            <w:r>
              <w:rPr>
                <w:webHidden/>
                <w:rStyle w:val="IndexLink"/>
                <w:rtl w:val="true"/>
              </w:rPr>
              <w:t>نتيجه‌گيرى</w:t>
            </w:r>
            <w:r>
              <w:rPr>
                <w:rStyle w:val="IndexLink"/>
                <w:rtl w:val="true"/>
              </w:rPr>
              <w:tab/>
            </w:r>
            <w:r>
              <w:rPr>
                <w:rStyle w:val="IndexLink"/>
              </w:rPr>
              <w:t>299</w:t>
            </w:r>
          </w:hyperlink>
        </w:p>
        <w:p>
          <w:pPr>
            <w:pStyle w:val="Contents2"/>
            <w:tabs>
              <w:tab w:val="clear" w:pos="8743"/>
              <w:tab w:val="right" w:pos="9026" w:leader="dot"/>
            </w:tabs>
            <w:rPr/>
          </w:pPr>
          <w:hyperlink w:anchor="__RefHeading___Toc3767197_3650668749">
            <w:r>
              <w:rPr>
                <w:webHidden/>
                <w:rStyle w:val="IndexLink"/>
                <w:rtl w:val="true"/>
              </w:rPr>
              <w:t>بخش چهارم</w:t>
            </w:r>
            <w:r>
              <w:rPr>
                <w:rStyle w:val="IndexLink"/>
                <w:rtl w:val="true"/>
              </w:rPr>
              <w:t xml:space="preserve">: </w:t>
            </w:r>
            <w:r>
              <w:rPr>
                <w:rStyle w:val="IndexLink"/>
                <w:rtl w:val="true"/>
              </w:rPr>
              <w:t>غلوّ در امامت به‌روايت كافى</w:t>
            </w:r>
            <w:r>
              <w:rPr>
                <w:rStyle w:val="IndexLink"/>
                <w:rtl w:val="true"/>
              </w:rPr>
              <w:tab/>
            </w:r>
            <w:r>
              <w:rPr>
                <w:rStyle w:val="IndexLink"/>
              </w:rPr>
              <w:t>301</w:t>
            </w:r>
          </w:hyperlink>
        </w:p>
        <w:p>
          <w:pPr>
            <w:pStyle w:val="Contents3"/>
            <w:tabs>
              <w:tab w:val="clear" w:pos="8459"/>
              <w:tab w:val="right" w:pos="9026" w:leader="dot"/>
            </w:tabs>
            <w:rPr/>
          </w:pPr>
          <w:hyperlink w:anchor="__RefHeading___Toc3767199_3650668749">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3767201_3650668749">
            <w:r>
              <w:rPr>
                <w:webHidden/>
                <w:rStyle w:val="IndexLink"/>
                <w:rtl w:val="true"/>
              </w:rPr>
              <w:t>مقدمه</w:t>
            </w:r>
            <w:r>
              <w:rPr>
                <w:rStyle w:val="IndexLink"/>
                <w:rtl w:val="true"/>
              </w:rPr>
              <w:tab/>
            </w:r>
            <w:r>
              <w:rPr>
                <w:rStyle w:val="IndexLink"/>
              </w:rPr>
              <w:t>303</w:t>
            </w:r>
          </w:hyperlink>
        </w:p>
        <w:p>
          <w:pPr>
            <w:pStyle w:val="Contents3"/>
            <w:tabs>
              <w:tab w:val="clear" w:pos="8459"/>
              <w:tab w:val="right" w:pos="9026" w:leader="dot"/>
            </w:tabs>
            <w:rPr/>
          </w:pPr>
          <w:hyperlink w:anchor="__RefHeading___Toc3767203_3650668749">
            <w:r>
              <w:rPr>
                <w:webHidden/>
                <w:rStyle w:val="IndexLink"/>
                <w:rtl w:val="true"/>
              </w:rPr>
              <w:t>فصل اول</w:t>
            </w:r>
            <w:r>
              <w:rPr>
                <w:rStyle w:val="IndexLink"/>
                <w:rtl w:val="true"/>
              </w:rPr>
              <w:t xml:space="preserve">: </w:t>
            </w:r>
            <w:r>
              <w:rPr>
                <w:rStyle w:val="IndexLink"/>
                <w:rtl w:val="true"/>
              </w:rPr>
              <w:t>طرح انديشه امامت، از سوى عبدالله‌بن‌سبأ</w:t>
            </w:r>
            <w:r>
              <w:rPr>
                <w:rStyle w:val="IndexLink"/>
                <w:rtl w:val="true"/>
              </w:rPr>
              <w:tab/>
            </w:r>
            <w:r>
              <w:rPr>
                <w:rStyle w:val="IndexLink"/>
              </w:rPr>
              <w:t>305</w:t>
            </w:r>
          </w:hyperlink>
        </w:p>
        <w:p>
          <w:pPr>
            <w:pStyle w:val="Contents4"/>
            <w:tabs>
              <w:tab w:val="clear" w:pos="8176"/>
              <w:tab w:val="right" w:pos="9026" w:leader="dot"/>
            </w:tabs>
            <w:rPr/>
          </w:pPr>
          <w:hyperlink w:anchor="__RefHeading___Toc3767205_3650668749">
            <w:r>
              <w:rPr>
                <w:webHidden/>
                <w:rStyle w:val="IndexLink"/>
              </w:rPr>
              <w:t>١</w:t>
            </w:r>
            <w:r>
              <w:rPr>
                <w:rStyle w:val="IndexLink"/>
                <w:rtl w:val="true"/>
              </w:rPr>
              <w:t xml:space="preserve">. </w:t>
            </w:r>
            <w:r>
              <w:rPr>
                <w:rStyle w:val="IndexLink"/>
                <w:rtl w:val="true"/>
              </w:rPr>
              <w:t>طرح اتهام</w:t>
            </w:r>
            <w:r>
              <w:rPr>
                <w:rStyle w:val="IndexLink"/>
                <w:rtl w:val="true"/>
              </w:rPr>
              <w:tab/>
            </w:r>
            <w:r>
              <w:rPr>
                <w:rStyle w:val="IndexLink"/>
              </w:rPr>
              <w:t>305</w:t>
            </w:r>
          </w:hyperlink>
        </w:p>
        <w:p>
          <w:pPr>
            <w:pStyle w:val="Contents4"/>
            <w:tabs>
              <w:tab w:val="clear" w:pos="8176"/>
              <w:tab w:val="right" w:pos="9026" w:leader="dot"/>
            </w:tabs>
            <w:rPr/>
          </w:pPr>
          <w:hyperlink w:anchor="__RefHeading___Toc3767207_3650668749">
            <w:r>
              <w:rPr>
                <w:webHidden/>
                <w:rStyle w:val="IndexLink"/>
              </w:rPr>
              <w:t>٢</w:t>
            </w:r>
            <w:r>
              <w:rPr>
                <w:rStyle w:val="IndexLink"/>
                <w:rtl w:val="true"/>
              </w:rPr>
              <w:t xml:space="preserve">. </w:t>
            </w:r>
            <w:r>
              <w:rPr>
                <w:rStyle w:val="IndexLink"/>
                <w:rtl w:val="true"/>
              </w:rPr>
              <w:t>بررسى و نقد ادعاى دسيسه ابن‌سبأ</w:t>
            </w:r>
            <w:r>
              <w:rPr>
                <w:rStyle w:val="IndexLink"/>
                <w:rtl w:val="true"/>
              </w:rPr>
              <w:tab/>
            </w:r>
            <w:r>
              <w:rPr>
                <w:rStyle w:val="IndexLink"/>
              </w:rPr>
              <w:t>307</w:t>
            </w:r>
          </w:hyperlink>
        </w:p>
        <w:p>
          <w:pPr>
            <w:pStyle w:val="Contents5"/>
            <w:tabs>
              <w:tab w:val="clear" w:pos="7892"/>
              <w:tab w:val="right" w:pos="9026" w:leader="dot"/>
            </w:tabs>
            <w:rPr/>
          </w:pPr>
          <w:hyperlink w:anchor="__RefHeading___Toc3767209_3650668749">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3767211_3650668749">
            <w:r>
              <w:rPr>
                <w:webHidden/>
                <w:rStyle w:val="IndexLink"/>
                <w:rtl w:val="true"/>
              </w:rPr>
              <w:t>الف</w:t>
            </w:r>
            <w:r>
              <w:rPr>
                <w:rStyle w:val="IndexLink"/>
                <w:rtl w:val="true"/>
              </w:rPr>
              <w:t xml:space="preserve">) </w:t>
            </w:r>
            <w:r>
              <w:rPr>
                <w:rStyle w:val="IndexLink"/>
                <w:rtl w:val="true"/>
              </w:rPr>
              <w:t xml:space="preserve">مفهوم </w:t>
            </w:r>
            <w:r>
              <w:rPr>
                <w:rStyle w:val="IndexLink"/>
                <w:rtl w:val="true"/>
              </w:rPr>
              <w:t>«</w:t>
            </w:r>
            <w:r>
              <w:rPr>
                <w:rStyle w:val="IndexLink"/>
                <w:rtl w:val="true"/>
              </w:rPr>
              <w:t>شيعه</w:t>
            </w:r>
            <w:r>
              <w:rPr>
                <w:rStyle w:val="IndexLink"/>
                <w:rtl w:val="true"/>
              </w:rPr>
              <w:t>»</w:t>
              <w:tab/>
            </w:r>
            <w:r>
              <w:rPr>
                <w:rStyle w:val="IndexLink"/>
              </w:rPr>
              <w:t>308</w:t>
            </w:r>
          </w:hyperlink>
        </w:p>
        <w:p>
          <w:pPr>
            <w:pStyle w:val="Contents6"/>
            <w:tabs>
              <w:tab w:val="clear" w:pos="7609"/>
              <w:tab w:val="right" w:pos="9026" w:leader="dot"/>
            </w:tabs>
            <w:rPr/>
          </w:pPr>
          <w:hyperlink w:anchor="__RefHeading___Toc3767213_3650668749">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3767215_3650668749">
            <w:r>
              <w:rPr>
                <w:webHidden/>
                <w:rStyle w:val="IndexLink"/>
                <w:rtl w:val="true"/>
              </w:rPr>
              <w:t xml:space="preserve">يك </w:t>
            </w:r>
            <w:r>
              <w:rPr>
                <w:rStyle w:val="IndexLink"/>
                <w:rtl w:val="true"/>
              </w:rPr>
              <w:t xml:space="preserve">- </w:t>
            </w:r>
            <w:r>
              <w:rPr>
                <w:rStyle w:val="IndexLink"/>
                <w:rtl w:val="true"/>
              </w:rPr>
              <w:t>شيعه در لغت</w:t>
            </w:r>
            <w:r>
              <w:rPr>
                <w:rStyle w:val="IndexLink"/>
                <w:rtl w:val="true"/>
              </w:rPr>
              <w:tab/>
            </w:r>
            <w:r>
              <w:rPr>
                <w:rStyle w:val="IndexLink"/>
              </w:rPr>
              <w:t>308</w:t>
            </w:r>
          </w:hyperlink>
        </w:p>
        <w:p>
          <w:pPr>
            <w:pStyle w:val="Contents6"/>
            <w:tabs>
              <w:tab w:val="clear" w:pos="7609"/>
              <w:tab w:val="right" w:pos="9026" w:leader="dot"/>
            </w:tabs>
            <w:rPr/>
          </w:pPr>
          <w:hyperlink w:anchor="__RefHeading___Toc3767217_3650668749">
            <w:r>
              <w:rPr>
                <w:webHidden/>
                <w:rStyle w:val="IndexLink"/>
                <w:rtl w:val="true"/>
              </w:rPr>
              <w:t xml:space="preserve">دو </w:t>
            </w:r>
            <w:r>
              <w:rPr>
                <w:rStyle w:val="IndexLink"/>
                <w:rtl w:val="true"/>
              </w:rPr>
              <w:t xml:space="preserve">- </w:t>
            </w:r>
            <w:r>
              <w:rPr>
                <w:rStyle w:val="IndexLink"/>
                <w:rtl w:val="true"/>
              </w:rPr>
              <w:t>شيعه در اصطلاح</w:t>
            </w:r>
            <w:r>
              <w:rPr>
                <w:rStyle w:val="IndexLink"/>
                <w:rtl w:val="true"/>
              </w:rPr>
              <w:tab/>
            </w:r>
            <w:r>
              <w:rPr>
                <w:rStyle w:val="IndexLink"/>
              </w:rPr>
              <w:t>309</w:t>
            </w:r>
          </w:hyperlink>
        </w:p>
        <w:p>
          <w:pPr>
            <w:pStyle w:val="Contents5"/>
            <w:tabs>
              <w:tab w:val="clear" w:pos="7892"/>
              <w:tab w:val="right" w:pos="9026" w:leader="dot"/>
            </w:tabs>
            <w:rPr/>
          </w:pPr>
          <w:hyperlink w:anchor="__RefHeading___Toc3767219_3650668749">
            <w:r>
              <w:rPr>
                <w:webHidden/>
                <w:rStyle w:val="IndexLink"/>
                <w:rtl w:val="true"/>
              </w:rPr>
              <w:t>ب</w:t>
            </w:r>
            <w:r>
              <w:rPr>
                <w:rStyle w:val="IndexLink"/>
                <w:rtl w:val="true"/>
              </w:rPr>
              <w:t xml:space="preserve">) </w:t>
            </w:r>
            <w:r>
              <w:rPr>
                <w:rStyle w:val="IndexLink"/>
                <w:rtl w:val="true"/>
              </w:rPr>
              <w:t>پيدايش و ظهور شيعه</w:t>
            </w:r>
            <w:r>
              <w:rPr>
                <w:rStyle w:val="IndexLink"/>
                <w:rtl w:val="true"/>
              </w:rPr>
              <w:tab/>
            </w:r>
            <w:r>
              <w:rPr>
                <w:rStyle w:val="IndexLink"/>
              </w:rPr>
              <w:t>311</w:t>
            </w:r>
          </w:hyperlink>
        </w:p>
        <w:p>
          <w:pPr>
            <w:pStyle w:val="Contents6"/>
            <w:tabs>
              <w:tab w:val="clear" w:pos="7609"/>
              <w:tab w:val="right" w:pos="9026" w:leader="dot"/>
            </w:tabs>
            <w:rPr/>
          </w:pPr>
          <w:hyperlink w:anchor="__RefHeading___Toc3767221_3650668749">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3767223_3650668749">
            <w:r>
              <w:rPr>
                <w:webHidden/>
                <w:rStyle w:val="IndexLink"/>
                <w:rtl w:val="true"/>
              </w:rPr>
              <w:t xml:space="preserve">يك </w:t>
            </w:r>
            <w:r>
              <w:rPr>
                <w:rStyle w:val="IndexLink"/>
                <w:rtl w:val="true"/>
              </w:rPr>
              <w:t xml:space="preserve">- </w:t>
            </w:r>
            <w:r>
              <w:rPr>
                <w:rStyle w:val="IndexLink"/>
                <w:rtl w:val="true"/>
              </w:rPr>
              <w:t>قرآن و اصطلاح شيعه</w:t>
            </w:r>
            <w:r>
              <w:rPr>
                <w:rStyle w:val="IndexLink"/>
                <w:rtl w:val="true"/>
              </w:rPr>
              <w:tab/>
            </w:r>
            <w:r>
              <w:rPr>
                <w:rStyle w:val="IndexLink"/>
              </w:rPr>
              <w:t>312</w:t>
            </w:r>
          </w:hyperlink>
        </w:p>
        <w:p>
          <w:pPr>
            <w:pStyle w:val="Contents6"/>
            <w:tabs>
              <w:tab w:val="clear" w:pos="7609"/>
              <w:tab w:val="right" w:pos="9026" w:leader="dot"/>
            </w:tabs>
            <w:rPr/>
          </w:pPr>
          <w:hyperlink w:anchor="__RefHeading___Toc3767225_3650668749">
            <w:r>
              <w:rPr>
                <w:webHidden/>
                <w:rStyle w:val="IndexLink"/>
                <w:rtl w:val="true"/>
              </w:rPr>
              <w:t xml:space="preserve">دو </w:t>
            </w:r>
            <w:r>
              <w:rPr>
                <w:rStyle w:val="IndexLink"/>
                <w:rtl w:val="true"/>
              </w:rPr>
              <w:t xml:space="preserve">- </w:t>
            </w:r>
            <w:r>
              <w:rPr>
                <w:rStyle w:val="IndexLink"/>
                <w:rtl w:val="true"/>
              </w:rPr>
              <w:t xml:space="preserve">جلوه‌گاه عينى شيعه در عصر رسول‌الله </w:t>
            </w:r>
            <w:r>
              <w:rPr>
                <w:rStyle w:val="IndexLink"/>
                <w:rtl w:val="true"/>
              </w:rPr>
              <w:t>(</w:t>
            </w:r>
            <w:r>
              <w:rPr>
                <w:rStyle w:val="IndexLink"/>
                <w:rtl w:val="true"/>
              </w:rPr>
              <w:t>ص</w:t>
            </w:r>
            <w:r>
              <w:rPr>
                <w:rStyle w:val="IndexLink"/>
                <w:rtl w:val="true"/>
              </w:rPr>
              <w:t>)</w:t>
              <w:tab/>
            </w:r>
            <w:r>
              <w:rPr>
                <w:rStyle w:val="IndexLink"/>
              </w:rPr>
              <w:t>317</w:t>
            </w:r>
          </w:hyperlink>
        </w:p>
        <w:p>
          <w:pPr>
            <w:pStyle w:val="Contents6"/>
            <w:tabs>
              <w:tab w:val="clear" w:pos="7609"/>
              <w:tab w:val="right" w:pos="9026" w:leader="dot"/>
            </w:tabs>
            <w:rPr/>
          </w:pPr>
          <w:hyperlink w:anchor="__RefHeading___Toc3767227_3650668749">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3767229_3650668749">
            <w:r>
              <w:rPr>
                <w:webHidden/>
                <w:rStyle w:val="IndexLink"/>
                <w:rtl w:val="true"/>
              </w:rPr>
              <w:t xml:space="preserve">اول </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شيعيانش در بهشت</w:t>
            </w:r>
            <w:r>
              <w:rPr>
                <w:rStyle w:val="IndexLink"/>
                <w:rtl w:val="true"/>
              </w:rPr>
              <w:tab/>
            </w:r>
            <w:r>
              <w:rPr>
                <w:rStyle w:val="IndexLink"/>
              </w:rPr>
              <w:t>317</w:t>
            </w:r>
          </w:hyperlink>
        </w:p>
        <w:p>
          <w:pPr>
            <w:pStyle w:val="Contents6"/>
            <w:tabs>
              <w:tab w:val="clear" w:pos="7609"/>
              <w:tab w:val="right" w:pos="9026" w:leader="dot"/>
            </w:tabs>
            <w:rPr/>
          </w:pPr>
          <w:hyperlink w:anchor="__RefHeading___Toc3767231_3650668749">
            <w:r>
              <w:rPr>
                <w:webHidden/>
                <w:rStyle w:val="IndexLink"/>
                <w:rtl w:val="true"/>
              </w:rPr>
              <w:t xml:space="preserve">دوم </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شيعيانش رستگارانند</w:t>
            </w:r>
            <w:r>
              <w:rPr>
                <w:rStyle w:val="IndexLink"/>
                <w:rtl w:val="true"/>
              </w:rPr>
              <w:tab/>
            </w:r>
            <w:r>
              <w:rPr>
                <w:rStyle w:val="IndexLink"/>
              </w:rPr>
              <w:t>318</w:t>
            </w:r>
          </w:hyperlink>
        </w:p>
        <w:p>
          <w:pPr>
            <w:pStyle w:val="Contents6"/>
            <w:tabs>
              <w:tab w:val="clear" w:pos="7609"/>
              <w:tab w:val="right" w:pos="9026" w:leader="dot"/>
            </w:tabs>
            <w:rPr/>
          </w:pPr>
          <w:hyperlink w:anchor="__RefHeading___Toc3767233_3650668749">
            <w:r>
              <w:rPr>
                <w:webHidden/>
                <w:rStyle w:val="IndexLink"/>
                <w:rtl w:val="true"/>
              </w:rPr>
              <w:t>سوم</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شيعيانش روز قيامت راضى‌اند</w:t>
            </w:r>
            <w:r>
              <w:rPr>
                <w:rStyle w:val="IndexLink"/>
                <w:rtl w:val="true"/>
              </w:rPr>
              <w:tab/>
            </w:r>
            <w:r>
              <w:rPr>
                <w:rStyle w:val="IndexLink"/>
              </w:rPr>
              <w:t>319</w:t>
            </w:r>
          </w:hyperlink>
        </w:p>
        <w:p>
          <w:pPr>
            <w:pStyle w:val="Contents6"/>
            <w:tabs>
              <w:tab w:val="clear" w:pos="7609"/>
              <w:tab w:val="right" w:pos="9026" w:leader="dot"/>
            </w:tabs>
            <w:rPr/>
          </w:pPr>
          <w:hyperlink w:anchor="__RefHeading___Toc3767235_3650668749">
            <w:r>
              <w:rPr>
                <w:webHidden/>
                <w:rStyle w:val="IndexLink"/>
                <w:rtl w:val="true"/>
              </w:rPr>
              <w:t>چهارم</w:t>
            </w:r>
            <w:r>
              <w:rPr>
                <w:rStyle w:val="IndexLink"/>
                <w:rtl w:val="true"/>
              </w:rPr>
              <w:t xml:space="preserve">: </w:t>
            </w:r>
            <w:r>
              <w:rPr>
                <w:rStyle w:val="IndexLink"/>
                <w:rtl w:val="true"/>
              </w:rPr>
              <w:t xml:space="preserve">وعده‌گاه على </w:t>
            </w:r>
            <w:r>
              <w:rPr>
                <w:rStyle w:val="IndexLink"/>
                <w:rtl w:val="true"/>
              </w:rPr>
              <w:t>(</w:t>
            </w:r>
            <w:r>
              <w:rPr>
                <w:rStyle w:val="IndexLink"/>
                <w:rtl w:val="true"/>
              </w:rPr>
              <w:t>ع</w:t>
            </w:r>
            <w:r>
              <w:rPr>
                <w:rStyle w:val="IndexLink"/>
                <w:rtl w:val="true"/>
              </w:rPr>
              <w:t xml:space="preserve">) </w:t>
            </w:r>
            <w:r>
              <w:rPr>
                <w:rStyle w:val="IndexLink"/>
                <w:rtl w:val="true"/>
              </w:rPr>
              <w:t>و شيعيانش برحوض</w:t>
            </w:r>
            <w:r>
              <w:rPr>
                <w:rStyle w:val="IndexLink"/>
                <w:rtl w:val="true"/>
              </w:rPr>
              <w:t>. . .</w:t>
              <w:tab/>
            </w:r>
            <w:r>
              <w:rPr>
                <w:rStyle w:val="IndexLink"/>
              </w:rPr>
              <w:t>320</w:t>
            </w:r>
          </w:hyperlink>
        </w:p>
        <w:p>
          <w:pPr>
            <w:pStyle w:val="Contents6"/>
            <w:tabs>
              <w:tab w:val="clear" w:pos="7609"/>
              <w:tab w:val="right" w:pos="9026" w:leader="dot"/>
            </w:tabs>
            <w:rPr/>
          </w:pPr>
          <w:hyperlink w:anchor="__RefHeading___Toc3767237_3650668749">
            <w:r>
              <w:rPr>
                <w:webHidden/>
                <w:rStyle w:val="IndexLink"/>
                <w:rtl w:val="true"/>
              </w:rPr>
              <w:t>پنجم</w:t>
            </w:r>
            <w:r>
              <w:rPr>
                <w:rStyle w:val="IndexLink"/>
                <w:rtl w:val="true"/>
              </w:rPr>
              <w:t xml:space="preserve">: </w:t>
            </w:r>
            <w:r>
              <w:rPr>
                <w:rStyle w:val="IndexLink"/>
                <w:rtl w:val="true"/>
              </w:rPr>
              <w:t>شيعيان درحالى‌كه طرف راست و چپ اهل بيت هستند وارد بهشت مى‌شوند</w:t>
            </w:r>
            <w:r>
              <w:rPr>
                <w:rStyle w:val="IndexLink"/>
                <w:rtl w:val="true"/>
              </w:rPr>
              <w:tab/>
            </w:r>
            <w:r>
              <w:rPr>
                <w:rStyle w:val="IndexLink"/>
              </w:rPr>
              <w:t>320</w:t>
            </w:r>
          </w:hyperlink>
        </w:p>
        <w:p>
          <w:pPr>
            <w:pStyle w:val="Contents6"/>
            <w:tabs>
              <w:tab w:val="clear" w:pos="7609"/>
              <w:tab w:val="right" w:pos="9026" w:leader="dot"/>
            </w:tabs>
            <w:rPr/>
          </w:pPr>
          <w:hyperlink w:anchor="__RefHeading___Toc3767239_3650668749">
            <w:r>
              <w:rPr>
                <w:webHidden/>
                <w:rStyle w:val="IndexLink"/>
                <w:rtl w:val="true"/>
              </w:rPr>
              <w:t>ششم</w:t>
            </w:r>
            <w:r>
              <w:rPr>
                <w:rStyle w:val="IndexLink"/>
                <w:rtl w:val="true"/>
              </w:rPr>
              <w:t xml:space="preserve">: </w:t>
            </w:r>
            <w:r>
              <w:rPr>
                <w:rStyle w:val="IndexLink"/>
                <w:rtl w:val="true"/>
              </w:rPr>
              <w:t xml:space="preserve">شيعيان، دست به‌دامن على </w:t>
            </w:r>
            <w:r>
              <w:rPr>
                <w:rStyle w:val="IndexLink"/>
                <w:rtl w:val="true"/>
              </w:rPr>
              <w:t>(</w:t>
            </w:r>
            <w:r>
              <w:rPr>
                <w:rStyle w:val="IndexLink"/>
                <w:rtl w:val="true"/>
              </w:rPr>
              <w:t>ع</w:t>
            </w:r>
            <w:r>
              <w:rPr>
                <w:rStyle w:val="IndexLink"/>
                <w:rtl w:val="true"/>
              </w:rPr>
              <w:t>)</w:t>
              <w:tab/>
            </w:r>
            <w:r>
              <w:rPr>
                <w:rStyle w:val="IndexLink"/>
              </w:rPr>
              <w:t>320</w:t>
            </w:r>
          </w:hyperlink>
        </w:p>
        <w:p>
          <w:pPr>
            <w:pStyle w:val="Contents6"/>
            <w:tabs>
              <w:tab w:val="clear" w:pos="7609"/>
              <w:tab w:val="right" w:pos="9026" w:leader="dot"/>
            </w:tabs>
            <w:rPr/>
          </w:pPr>
          <w:hyperlink w:anchor="__RefHeading___Toc3767241_3650668749">
            <w:r>
              <w:rPr>
                <w:webHidden/>
                <w:rStyle w:val="IndexLink"/>
                <w:rtl w:val="true"/>
              </w:rPr>
              <w:t xml:space="preserve">سه </w:t>
            </w:r>
            <w:r>
              <w:rPr>
                <w:rStyle w:val="IndexLink"/>
                <w:rtl w:val="true"/>
              </w:rPr>
              <w:t xml:space="preserve">- </w:t>
            </w:r>
            <w:r>
              <w:rPr>
                <w:rStyle w:val="IndexLink"/>
                <w:rtl w:val="true"/>
              </w:rPr>
              <w:t xml:space="preserve">نمادها و شخصيت‌هاى شيعه در زمان رسول‌الله </w:t>
            </w:r>
            <w:r>
              <w:rPr>
                <w:rStyle w:val="IndexLink"/>
                <w:rtl w:val="true"/>
              </w:rPr>
              <w:t>(</w:t>
            </w:r>
            <w:r>
              <w:rPr>
                <w:rStyle w:val="IndexLink"/>
                <w:rtl w:val="true"/>
              </w:rPr>
              <w:t>ص</w:t>
            </w:r>
            <w:r>
              <w:rPr>
                <w:rStyle w:val="IndexLink"/>
                <w:rtl w:val="true"/>
              </w:rPr>
              <w:t>)</w:t>
              <w:tab/>
            </w:r>
            <w:r>
              <w:rPr>
                <w:rStyle w:val="IndexLink"/>
              </w:rPr>
              <w:t>323</w:t>
            </w:r>
          </w:hyperlink>
        </w:p>
        <w:p>
          <w:pPr>
            <w:pStyle w:val="Contents5"/>
            <w:tabs>
              <w:tab w:val="clear" w:pos="7892"/>
              <w:tab w:val="right" w:pos="9026" w:leader="dot"/>
            </w:tabs>
            <w:rPr/>
          </w:pPr>
          <w:hyperlink w:anchor="__RefHeading___Toc3767243_3650668749">
            <w:r>
              <w:rPr>
                <w:webHidden/>
                <w:rStyle w:val="IndexLink"/>
                <w:rtl w:val="true"/>
              </w:rPr>
              <w:t>ج</w:t>
            </w:r>
            <w:r>
              <w:rPr>
                <w:rStyle w:val="IndexLink"/>
                <w:rtl w:val="true"/>
              </w:rPr>
              <w:t xml:space="preserve">) </w:t>
            </w:r>
            <w:r>
              <w:rPr>
                <w:rStyle w:val="IndexLink"/>
                <w:rtl w:val="true"/>
              </w:rPr>
              <w:t>ابن‌سبأ، طرّاح امامت</w:t>
            </w:r>
            <w:r>
              <w:rPr>
                <w:rStyle w:val="IndexLink"/>
                <w:rtl w:val="true"/>
              </w:rPr>
              <w:t>!</w:t>
              <w:tab/>
            </w:r>
            <w:r>
              <w:rPr>
                <w:rStyle w:val="IndexLink"/>
              </w:rPr>
              <w:t>324</w:t>
            </w:r>
          </w:hyperlink>
        </w:p>
        <w:p>
          <w:pPr>
            <w:pStyle w:val="Contents5"/>
            <w:tabs>
              <w:tab w:val="clear" w:pos="7892"/>
              <w:tab w:val="right" w:pos="9026" w:leader="dot"/>
            </w:tabs>
            <w:rPr/>
          </w:pPr>
          <w:hyperlink w:anchor="__RefHeading___Toc3767245_3650668749">
            <w:r>
              <w:rPr>
                <w:webHidden/>
                <w:rStyle w:val="IndexLink"/>
                <w:rtl w:val="true"/>
              </w:rPr>
              <w:t>د</w:t>
            </w:r>
            <w:r>
              <w:rPr>
                <w:rStyle w:val="IndexLink"/>
                <w:rtl w:val="true"/>
              </w:rPr>
              <w:t xml:space="preserve">) </w:t>
            </w:r>
            <w:r>
              <w:rPr>
                <w:rStyle w:val="IndexLink"/>
                <w:rtl w:val="true"/>
              </w:rPr>
              <w:t>نقد اتّهام طرّاحى امامت، از سوى ابن‌سبأ</w:t>
            </w:r>
            <w:r>
              <w:rPr>
                <w:rStyle w:val="IndexLink"/>
                <w:rtl w:val="true"/>
              </w:rPr>
              <w:tab/>
            </w:r>
            <w:r>
              <w:rPr>
                <w:rStyle w:val="IndexLink"/>
              </w:rPr>
              <w:t>325</w:t>
            </w:r>
          </w:hyperlink>
        </w:p>
        <w:p>
          <w:pPr>
            <w:pStyle w:val="Contents6"/>
            <w:tabs>
              <w:tab w:val="clear" w:pos="7609"/>
              <w:tab w:val="right" w:pos="9026" w:leader="dot"/>
            </w:tabs>
            <w:rPr/>
          </w:pPr>
          <w:hyperlink w:anchor="__RefHeading___Toc3767247_3650668749">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3767249_3650668749">
            <w:r>
              <w:rPr>
                <w:webHidden/>
                <w:rStyle w:val="IndexLink"/>
                <w:rtl w:val="true"/>
              </w:rPr>
              <w:t xml:space="preserve">يك </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 وزير و وصى و جانشين پيامبر</w:t>
            </w:r>
            <w:r>
              <w:rPr>
                <w:rStyle w:val="IndexLink"/>
                <w:rtl w:val="true"/>
              </w:rPr>
              <w:tab/>
            </w:r>
            <w:r>
              <w:rPr>
                <w:rStyle w:val="IndexLink"/>
              </w:rPr>
              <w:t>326</w:t>
            </w:r>
          </w:hyperlink>
        </w:p>
        <w:p>
          <w:pPr>
            <w:pStyle w:val="Contents6"/>
            <w:tabs>
              <w:tab w:val="clear" w:pos="7609"/>
              <w:tab w:val="right" w:pos="9026" w:leader="dot"/>
            </w:tabs>
            <w:rPr/>
          </w:pPr>
          <w:hyperlink w:anchor="__RefHeading___Toc3767251_3650668749">
            <w:r>
              <w:rPr>
                <w:webHidden/>
                <w:rStyle w:val="IndexLink"/>
                <w:rtl w:val="true"/>
              </w:rPr>
              <w:t xml:space="preserve">دو </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ولى هرمؤمن</w:t>
            </w:r>
            <w:r>
              <w:rPr>
                <w:rStyle w:val="IndexLink"/>
                <w:rtl w:val="true"/>
              </w:rPr>
              <w:tab/>
            </w:r>
            <w:r>
              <w:rPr>
                <w:rStyle w:val="IndexLink"/>
              </w:rPr>
              <w:t>327</w:t>
            </w:r>
          </w:hyperlink>
        </w:p>
        <w:p>
          <w:pPr>
            <w:pStyle w:val="Contents6"/>
            <w:tabs>
              <w:tab w:val="clear" w:pos="7609"/>
              <w:tab w:val="right" w:pos="9026" w:leader="dot"/>
            </w:tabs>
            <w:rPr/>
          </w:pPr>
          <w:hyperlink w:anchor="__RefHeading___Toc3767253_3650668749">
            <w:r>
              <w:rPr>
                <w:webHidden/>
                <w:rStyle w:val="IndexLink"/>
                <w:rtl w:val="true"/>
              </w:rPr>
              <w:t xml:space="preserve">سه </w:t>
            </w:r>
            <w:r>
              <w:rPr>
                <w:rStyle w:val="IndexLink"/>
                <w:rtl w:val="true"/>
              </w:rPr>
              <w:t xml:space="preserve">- </w:t>
            </w:r>
            <w:r>
              <w:rPr>
                <w:rStyle w:val="IndexLink"/>
                <w:rtl w:val="true"/>
              </w:rPr>
              <w:t xml:space="preserve">اطاعت على </w:t>
            </w:r>
            <w:r>
              <w:rPr>
                <w:rStyle w:val="IndexLink"/>
                <w:rtl w:val="true"/>
              </w:rPr>
              <w:t>(</w:t>
            </w:r>
            <w:r>
              <w:rPr>
                <w:rStyle w:val="IndexLink"/>
                <w:rtl w:val="true"/>
              </w:rPr>
              <w:t>ع</w:t>
            </w:r>
            <w:r>
              <w:rPr>
                <w:rStyle w:val="IndexLink"/>
                <w:rtl w:val="true"/>
              </w:rPr>
              <w:t xml:space="preserve">) </w:t>
            </w:r>
            <w:r>
              <w:rPr>
                <w:rStyle w:val="IndexLink"/>
                <w:rtl w:val="true"/>
              </w:rPr>
              <w:t xml:space="preserve">، اطاعت رسول‌الله </w:t>
            </w:r>
            <w:r>
              <w:rPr>
                <w:rStyle w:val="IndexLink"/>
                <w:rtl w:val="true"/>
              </w:rPr>
              <w:t>(</w:t>
            </w:r>
            <w:r>
              <w:rPr>
                <w:rStyle w:val="IndexLink"/>
                <w:rtl w:val="true"/>
              </w:rPr>
              <w:t>ص</w:t>
            </w:r>
            <w:r>
              <w:rPr>
                <w:rStyle w:val="IndexLink"/>
                <w:rtl w:val="true"/>
              </w:rPr>
              <w:t>)</w:t>
              <w:tab/>
            </w:r>
            <w:r>
              <w:rPr>
                <w:rStyle w:val="IndexLink"/>
              </w:rPr>
              <w:t>328</w:t>
            </w:r>
          </w:hyperlink>
        </w:p>
        <w:p>
          <w:pPr>
            <w:pStyle w:val="Contents6"/>
            <w:tabs>
              <w:tab w:val="clear" w:pos="7609"/>
              <w:tab w:val="right" w:pos="9026" w:leader="dot"/>
            </w:tabs>
            <w:rPr/>
          </w:pPr>
          <w:hyperlink w:anchor="__RefHeading___Toc3767255_3650668749">
            <w:r>
              <w:rPr>
                <w:webHidden/>
                <w:rStyle w:val="IndexLink"/>
                <w:rtl w:val="true"/>
              </w:rPr>
              <w:t xml:space="preserve">چهار </w:t>
            </w:r>
            <w:r>
              <w:rPr>
                <w:rStyle w:val="IndexLink"/>
                <w:rtl w:val="true"/>
              </w:rPr>
              <w:t xml:space="preserve">- </w:t>
            </w:r>
            <w:r>
              <w:rPr>
                <w:rStyle w:val="IndexLink"/>
                <w:rtl w:val="true"/>
              </w:rPr>
              <w:t>سفارش آسمانى ويژه</w:t>
            </w:r>
            <w:r>
              <w:rPr>
                <w:rStyle w:val="IndexLink"/>
                <w:rtl w:val="true"/>
              </w:rPr>
              <w:tab/>
            </w:r>
            <w:r>
              <w:rPr>
                <w:rStyle w:val="IndexLink"/>
              </w:rPr>
              <w:t>328</w:t>
            </w:r>
          </w:hyperlink>
        </w:p>
        <w:p>
          <w:pPr>
            <w:pStyle w:val="Contents6"/>
            <w:tabs>
              <w:tab w:val="clear" w:pos="7609"/>
              <w:tab w:val="right" w:pos="9026" w:leader="dot"/>
            </w:tabs>
            <w:rPr/>
          </w:pPr>
          <w:hyperlink w:anchor="__RefHeading___Toc3767257_3650668749">
            <w:r>
              <w:rPr>
                <w:webHidden/>
                <w:rStyle w:val="IndexLink"/>
                <w:rtl w:val="true"/>
              </w:rPr>
              <w:t xml:space="preserve">پنج </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 سيد عرب</w:t>
            </w:r>
            <w:r>
              <w:rPr>
                <w:rStyle w:val="IndexLink"/>
                <w:rtl w:val="true"/>
              </w:rPr>
              <w:tab/>
            </w:r>
            <w:r>
              <w:rPr>
                <w:rStyle w:val="IndexLink"/>
              </w:rPr>
              <w:t>329</w:t>
            </w:r>
          </w:hyperlink>
        </w:p>
        <w:p>
          <w:pPr>
            <w:pStyle w:val="Contents6"/>
            <w:tabs>
              <w:tab w:val="clear" w:pos="7609"/>
              <w:tab w:val="right" w:pos="9026" w:leader="dot"/>
            </w:tabs>
            <w:rPr/>
          </w:pPr>
          <w:hyperlink w:anchor="__RefHeading___Toc3767259_3650668749">
            <w:r>
              <w:rPr>
                <w:webHidden/>
                <w:rStyle w:val="IndexLink"/>
                <w:rtl w:val="true"/>
              </w:rPr>
              <w:t xml:space="preserve">شش </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 روشنگر موارد اختلاف ميان امت</w:t>
            </w:r>
            <w:r>
              <w:rPr>
                <w:rStyle w:val="IndexLink"/>
                <w:rtl w:val="true"/>
              </w:rPr>
              <w:tab/>
            </w:r>
            <w:r>
              <w:rPr>
                <w:rStyle w:val="IndexLink"/>
              </w:rPr>
              <w:t>329</w:t>
            </w:r>
          </w:hyperlink>
        </w:p>
        <w:p>
          <w:pPr>
            <w:pStyle w:val="Contents6"/>
            <w:tabs>
              <w:tab w:val="clear" w:pos="7609"/>
              <w:tab w:val="right" w:pos="9026" w:leader="dot"/>
            </w:tabs>
            <w:rPr/>
          </w:pPr>
          <w:hyperlink w:anchor="__RefHeading___Toc3767261_3650668749">
            <w:r>
              <w:rPr>
                <w:webHidden/>
                <w:rStyle w:val="IndexLink"/>
                <w:rtl w:val="true"/>
              </w:rPr>
              <w:t xml:space="preserve">هفت </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 xml:space="preserve">، هارون رسول‌الله </w:t>
            </w:r>
            <w:r>
              <w:rPr>
                <w:rStyle w:val="IndexLink"/>
                <w:rtl w:val="true"/>
              </w:rPr>
              <w:t>(</w:t>
            </w:r>
            <w:r>
              <w:rPr>
                <w:rStyle w:val="IndexLink"/>
                <w:rtl w:val="true"/>
              </w:rPr>
              <w:t>ص</w:t>
            </w:r>
            <w:r>
              <w:rPr>
                <w:rStyle w:val="IndexLink"/>
                <w:rtl w:val="true"/>
              </w:rPr>
              <w:t>)</w:t>
              <w:tab/>
            </w:r>
            <w:r>
              <w:rPr>
                <w:rStyle w:val="IndexLink"/>
              </w:rPr>
              <w:t>329</w:t>
            </w:r>
          </w:hyperlink>
        </w:p>
        <w:p>
          <w:pPr>
            <w:pStyle w:val="Contents6"/>
            <w:tabs>
              <w:tab w:val="clear" w:pos="7609"/>
              <w:tab w:val="right" w:pos="9026" w:leader="dot"/>
            </w:tabs>
            <w:rPr/>
          </w:pPr>
          <w:hyperlink w:anchor="__RefHeading___Toc3767263_3650668749">
            <w:r>
              <w:rPr>
                <w:webHidden/>
                <w:rStyle w:val="IndexLink"/>
                <w:rtl w:val="true"/>
              </w:rPr>
              <w:t xml:space="preserve">هشت </w:t>
            </w:r>
            <w:r>
              <w:rPr>
                <w:rStyle w:val="IndexLink"/>
                <w:rtl w:val="true"/>
              </w:rPr>
              <w:t xml:space="preserve">- </w:t>
            </w:r>
            <w:r>
              <w:rPr>
                <w:rStyle w:val="IndexLink"/>
                <w:rtl w:val="true"/>
              </w:rPr>
              <w:t>دو امانت گرانسنگ و جداناپذير</w:t>
            </w:r>
            <w:r>
              <w:rPr>
                <w:rStyle w:val="IndexLink"/>
                <w:rtl w:val="true"/>
              </w:rPr>
              <w:tab/>
            </w:r>
            <w:r>
              <w:rPr>
                <w:rStyle w:val="IndexLink"/>
              </w:rPr>
              <w:t>330</w:t>
            </w:r>
          </w:hyperlink>
        </w:p>
        <w:p>
          <w:pPr>
            <w:pStyle w:val="Contents6"/>
            <w:tabs>
              <w:tab w:val="clear" w:pos="7609"/>
              <w:tab w:val="right" w:pos="9026" w:leader="dot"/>
            </w:tabs>
            <w:rPr/>
          </w:pPr>
          <w:hyperlink w:anchor="__RefHeading___Toc3767265_3650668749">
            <w:r>
              <w:rPr>
                <w:webHidden/>
                <w:rStyle w:val="IndexLink"/>
                <w:rtl w:val="true"/>
              </w:rPr>
              <w:t xml:space="preserve">نُه </w:t>
            </w:r>
            <w:r>
              <w:rPr>
                <w:rStyle w:val="IndexLink"/>
                <w:rtl w:val="true"/>
              </w:rPr>
              <w:t xml:space="preserve">- </w:t>
            </w:r>
            <w:r>
              <w:rPr>
                <w:rStyle w:val="IndexLink"/>
                <w:rtl w:val="true"/>
              </w:rPr>
              <w:t>حديث غدير، ماندگارترين</w:t>
            </w:r>
            <w:r>
              <w:rPr>
                <w:rStyle w:val="IndexLink"/>
                <w:rtl w:val="true"/>
              </w:rPr>
              <w:tab/>
            </w:r>
            <w:r>
              <w:rPr>
                <w:rStyle w:val="IndexLink"/>
              </w:rPr>
              <w:t>331</w:t>
            </w:r>
          </w:hyperlink>
        </w:p>
        <w:p>
          <w:pPr>
            <w:pStyle w:val="Contents3"/>
            <w:tabs>
              <w:tab w:val="clear" w:pos="8459"/>
              <w:tab w:val="right" w:pos="9026" w:leader="dot"/>
            </w:tabs>
            <w:rPr/>
          </w:pPr>
          <w:hyperlink w:anchor="__RefHeading___Toc3767267_3650668749">
            <w:r>
              <w:rPr>
                <w:webHidden/>
                <w:rStyle w:val="IndexLink"/>
                <w:rtl w:val="true"/>
              </w:rPr>
              <w:t>فصل دوم</w:t>
            </w:r>
            <w:r>
              <w:rPr>
                <w:rStyle w:val="IndexLink"/>
                <w:rtl w:val="true"/>
              </w:rPr>
              <w:t xml:space="preserve">: </w:t>
            </w:r>
            <w:r>
              <w:rPr>
                <w:rStyle w:val="IndexLink"/>
                <w:rtl w:val="true"/>
              </w:rPr>
              <w:t>غُلُوّ در امامت و ريشه‌هاى آن</w:t>
            </w:r>
            <w:r>
              <w:rPr>
                <w:rStyle w:val="IndexLink"/>
                <w:rtl w:val="true"/>
              </w:rPr>
              <w:tab/>
            </w:r>
            <w:r>
              <w:rPr>
                <w:rStyle w:val="IndexLink"/>
              </w:rPr>
              <w:t>339</w:t>
            </w:r>
          </w:hyperlink>
        </w:p>
        <w:p>
          <w:pPr>
            <w:pStyle w:val="Contents4"/>
            <w:tabs>
              <w:tab w:val="clear" w:pos="8176"/>
              <w:tab w:val="right" w:pos="9026" w:leader="dot"/>
            </w:tabs>
            <w:rPr/>
          </w:pPr>
          <w:hyperlink w:anchor="__RefHeading___Toc3767269_3650668749">
            <w:r>
              <w:rPr>
                <w:webHidden/>
                <w:rStyle w:val="IndexLink"/>
              </w:rPr>
              <w:t>١</w:t>
            </w:r>
            <w:r>
              <w:rPr>
                <w:rStyle w:val="IndexLink"/>
                <w:rtl w:val="true"/>
              </w:rPr>
              <w:t xml:space="preserve">. </w:t>
            </w:r>
            <w:r>
              <w:rPr>
                <w:rStyle w:val="IndexLink"/>
                <w:rtl w:val="true"/>
              </w:rPr>
              <w:t>طرح اصل اتهام</w:t>
            </w:r>
            <w:r>
              <w:rPr>
                <w:rStyle w:val="IndexLink"/>
                <w:rtl w:val="true"/>
              </w:rPr>
              <w:tab/>
            </w:r>
            <w:r>
              <w:rPr>
                <w:rStyle w:val="IndexLink"/>
              </w:rPr>
              <w:t>339</w:t>
            </w:r>
          </w:hyperlink>
        </w:p>
        <w:p>
          <w:pPr>
            <w:pStyle w:val="Contents4"/>
            <w:tabs>
              <w:tab w:val="clear" w:pos="8176"/>
              <w:tab w:val="right" w:pos="9026" w:leader="dot"/>
            </w:tabs>
            <w:rPr/>
          </w:pPr>
          <w:hyperlink w:anchor="__RefHeading___Toc3767271_3650668749">
            <w:r>
              <w:rPr>
                <w:webHidden/>
                <w:rStyle w:val="IndexLink"/>
              </w:rPr>
              <w:t>٢</w:t>
            </w:r>
            <w:r>
              <w:rPr>
                <w:rStyle w:val="IndexLink"/>
                <w:rtl w:val="true"/>
              </w:rPr>
              <w:t xml:space="preserve">. </w:t>
            </w:r>
            <w:r>
              <w:rPr>
                <w:rStyle w:val="IndexLink"/>
                <w:rtl w:val="true"/>
              </w:rPr>
              <w:t>بررسى و نقد يهودى بودن امامت</w:t>
            </w:r>
            <w:r>
              <w:rPr>
                <w:rStyle w:val="IndexLink"/>
                <w:rtl w:val="true"/>
              </w:rPr>
              <w:t xml:space="preserve">! </w:t>
            </w:r>
            <w:r>
              <w:rPr>
                <w:rStyle w:val="IndexLink"/>
                <w:rtl w:val="true"/>
              </w:rPr>
              <w:t>وغلوّ درآن</w:t>
            </w:r>
            <w:r>
              <w:rPr>
                <w:rStyle w:val="IndexLink"/>
                <w:rtl w:val="true"/>
              </w:rPr>
              <w:tab/>
            </w:r>
            <w:r>
              <w:rPr>
                <w:rStyle w:val="IndexLink"/>
              </w:rPr>
              <w:t>341</w:t>
            </w:r>
          </w:hyperlink>
        </w:p>
        <w:p>
          <w:pPr>
            <w:pStyle w:val="Contents5"/>
            <w:tabs>
              <w:tab w:val="clear" w:pos="7892"/>
              <w:tab w:val="right" w:pos="9026" w:leader="dot"/>
            </w:tabs>
            <w:rPr/>
          </w:pPr>
          <w:hyperlink w:anchor="__RefHeading___Toc3767273_3650668749">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3767275_3650668749">
            <w:r>
              <w:rPr>
                <w:webHidden/>
                <w:rStyle w:val="IndexLink"/>
                <w:rtl w:val="true"/>
              </w:rPr>
              <w:t>الف</w:t>
            </w:r>
            <w:r>
              <w:rPr>
                <w:rStyle w:val="IndexLink"/>
                <w:rtl w:val="true"/>
              </w:rPr>
              <w:t xml:space="preserve">) </w:t>
            </w:r>
            <w:r>
              <w:rPr>
                <w:rStyle w:val="IndexLink"/>
                <w:rtl w:val="true"/>
              </w:rPr>
              <w:t>هويتِ موهوم و ساختگى بودن ابن‌سبأ</w:t>
            </w:r>
            <w:r>
              <w:rPr>
                <w:rStyle w:val="IndexLink"/>
                <w:rtl w:val="true"/>
              </w:rPr>
              <w:tab/>
            </w:r>
            <w:r>
              <w:rPr>
                <w:rStyle w:val="IndexLink"/>
              </w:rPr>
              <w:t>341</w:t>
            </w:r>
          </w:hyperlink>
        </w:p>
        <w:p>
          <w:pPr>
            <w:pStyle w:val="Contents6"/>
            <w:tabs>
              <w:tab w:val="clear" w:pos="7609"/>
              <w:tab w:val="right" w:pos="9026" w:leader="dot"/>
            </w:tabs>
            <w:rPr/>
          </w:pPr>
          <w:hyperlink w:anchor="__RefHeading___Toc3767277_3650668749">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3767279_3650668749">
            <w:r>
              <w:rPr>
                <w:webHidden/>
                <w:rStyle w:val="IndexLink"/>
                <w:rtl w:val="true"/>
              </w:rPr>
              <w:t xml:space="preserve">يك </w:t>
            </w:r>
            <w:r>
              <w:rPr>
                <w:rStyle w:val="IndexLink"/>
                <w:rtl w:val="true"/>
              </w:rPr>
              <w:t xml:space="preserve">- </w:t>
            </w:r>
            <w:r>
              <w:rPr>
                <w:rStyle w:val="IndexLink"/>
                <w:rtl w:val="true"/>
              </w:rPr>
              <w:t>ترديد در هويت ابن‌سبأ</w:t>
            </w:r>
            <w:r>
              <w:rPr>
                <w:rStyle w:val="IndexLink"/>
                <w:rtl w:val="true"/>
              </w:rPr>
              <w:tab/>
            </w:r>
            <w:r>
              <w:rPr>
                <w:rStyle w:val="IndexLink"/>
              </w:rPr>
              <w:t>341</w:t>
            </w:r>
          </w:hyperlink>
        </w:p>
        <w:p>
          <w:pPr>
            <w:pStyle w:val="Contents6"/>
            <w:tabs>
              <w:tab w:val="clear" w:pos="7609"/>
              <w:tab w:val="right" w:pos="9026" w:leader="dot"/>
            </w:tabs>
            <w:rPr/>
          </w:pPr>
          <w:hyperlink w:anchor="__RefHeading___Toc3767281_3650668749">
            <w:r>
              <w:rPr>
                <w:webHidden/>
                <w:rStyle w:val="IndexLink"/>
                <w:rtl w:val="true"/>
              </w:rPr>
              <w:t xml:space="preserve">دو </w:t>
            </w:r>
            <w:r>
              <w:rPr>
                <w:rStyle w:val="IndexLink"/>
                <w:rtl w:val="true"/>
              </w:rPr>
              <w:t xml:space="preserve">- </w:t>
            </w:r>
            <w:r>
              <w:rPr>
                <w:rStyle w:val="IndexLink"/>
                <w:rtl w:val="true"/>
              </w:rPr>
              <w:t>ترديد در ملّيت و زادگاه ابن‌سبأ</w:t>
            </w:r>
            <w:r>
              <w:rPr>
                <w:rStyle w:val="IndexLink"/>
                <w:rtl w:val="true"/>
              </w:rPr>
              <w:tab/>
            </w:r>
            <w:r>
              <w:rPr>
                <w:rStyle w:val="IndexLink"/>
              </w:rPr>
              <w:t>343</w:t>
            </w:r>
          </w:hyperlink>
        </w:p>
        <w:p>
          <w:pPr>
            <w:pStyle w:val="Contents6"/>
            <w:tabs>
              <w:tab w:val="clear" w:pos="7609"/>
              <w:tab w:val="right" w:pos="9026" w:leader="dot"/>
            </w:tabs>
            <w:rPr/>
          </w:pPr>
          <w:hyperlink w:anchor="__RefHeading___Toc3767283_3650668749">
            <w:r>
              <w:rPr>
                <w:webHidden/>
                <w:rStyle w:val="IndexLink"/>
                <w:rtl w:val="true"/>
              </w:rPr>
              <w:t xml:space="preserve">سه </w:t>
            </w:r>
            <w:r>
              <w:rPr>
                <w:rStyle w:val="IndexLink"/>
                <w:rtl w:val="true"/>
              </w:rPr>
              <w:t xml:space="preserve">- </w:t>
            </w:r>
            <w:r>
              <w:rPr>
                <w:rStyle w:val="IndexLink"/>
                <w:rtl w:val="true"/>
              </w:rPr>
              <w:t>ترديد در نسب ابن‌سبأ</w:t>
            </w:r>
            <w:r>
              <w:rPr>
                <w:rStyle w:val="IndexLink"/>
                <w:rtl w:val="true"/>
              </w:rPr>
              <w:tab/>
            </w:r>
            <w:r>
              <w:rPr>
                <w:rStyle w:val="IndexLink"/>
              </w:rPr>
              <w:t>344</w:t>
            </w:r>
          </w:hyperlink>
        </w:p>
        <w:p>
          <w:pPr>
            <w:pStyle w:val="Contents6"/>
            <w:tabs>
              <w:tab w:val="clear" w:pos="7609"/>
              <w:tab w:val="right" w:pos="9026" w:leader="dot"/>
            </w:tabs>
            <w:rPr/>
          </w:pPr>
          <w:hyperlink w:anchor="__RefHeading___Toc3767285_3650668749">
            <w:r>
              <w:rPr>
                <w:webHidden/>
                <w:rStyle w:val="IndexLink"/>
                <w:rtl w:val="true"/>
              </w:rPr>
              <w:t xml:space="preserve">چهار </w:t>
            </w:r>
            <w:r>
              <w:rPr>
                <w:rStyle w:val="IndexLink"/>
                <w:rtl w:val="true"/>
              </w:rPr>
              <w:t xml:space="preserve">- </w:t>
            </w:r>
            <w:r>
              <w:rPr>
                <w:rStyle w:val="IndexLink"/>
                <w:rtl w:val="true"/>
              </w:rPr>
              <w:t>موهوم بودن سرانجام و اهداف ابن‌سبأ</w:t>
            </w:r>
            <w:r>
              <w:rPr>
                <w:rStyle w:val="IndexLink"/>
                <w:rtl w:val="true"/>
              </w:rPr>
              <w:tab/>
            </w:r>
            <w:r>
              <w:rPr>
                <w:rStyle w:val="IndexLink"/>
              </w:rPr>
              <w:t>344</w:t>
            </w:r>
          </w:hyperlink>
        </w:p>
        <w:p>
          <w:pPr>
            <w:pStyle w:val="Contents6"/>
            <w:tabs>
              <w:tab w:val="clear" w:pos="7609"/>
              <w:tab w:val="right" w:pos="9026" w:leader="dot"/>
            </w:tabs>
            <w:rPr/>
          </w:pPr>
          <w:hyperlink w:anchor="__RefHeading___Toc3767287_3650668749">
            <w:r>
              <w:rPr>
                <w:webHidden/>
                <w:rStyle w:val="IndexLink"/>
                <w:rtl w:val="true"/>
              </w:rPr>
              <w:t xml:space="preserve">پنج </w:t>
            </w:r>
            <w:r>
              <w:rPr>
                <w:rStyle w:val="IndexLink"/>
                <w:rtl w:val="true"/>
              </w:rPr>
              <w:t xml:space="preserve">- </w:t>
            </w:r>
            <w:r>
              <w:rPr>
                <w:rStyle w:val="IndexLink"/>
                <w:rtl w:val="true"/>
              </w:rPr>
              <w:t>تأثيرگذارى شگفت‌آميز ابن‌سبأ</w:t>
            </w:r>
            <w:r>
              <w:rPr>
                <w:rStyle w:val="IndexLink"/>
                <w:rtl w:val="true"/>
              </w:rPr>
              <w:tab/>
            </w:r>
            <w:r>
              <w:rPr>
                <w:rStyle w:val="IndexLink"/>
              </w:rPr>
              <w:t>347</w:t>
            </w:r>
          </w:hyperlink>
        </w:p>
        <w:p>
          <w:pPr>
            <w:pStyle w:val="Contents6"/>
            <w:tabs>
              <w:tab w:val="clear" w:pos="7609"/>
              <w:tab w:val="right" w:pos="9026" w:leader="dot"/>
            </w:tabs>
            <w:rPr/>
          </w:pPr>
          <w:hyperlink w:anchor="__RefHeading___Toc3767289_3650668749">
            <w:r>
              <w:rPr>
                <w:webHidden/>
                <w:rStyle w:val="IndexLink"/>
                <w:rtl w:val="true"/>
              </w:rPr>
              <w:t xml:space="preserve">شش </w:t>
            </w:r>
            <w:r>
              <w:rPr>
                <w:rStyle w:val="IndexLink"/>
                <w:rtl w:val="true"/>
              </w:rPr>
              <w:t xml:space="preserve">- </w:t>
            </w:r>
            <w:r>
              <w:rPr>
                <w:rStyle w:val="IndexLink"/>
                <w:rtl w:val="true"/>
              </w:rPr>
              <w:t>افسانه بودن ابن‌سبأ</w:t>
            </w:r>
            <w:r>
              <w:rPr>
                <w:rStyle w:val="IndexLink"/>
                <w:rtl w:val="true"/>
              </w:rPr>
              <w:tab/>
            </w:r>
            <w:r>
              <w:rPr>
                <w:rStyle w:val="IndexLink"/>
              </w:rPr>
              <w:t>350</w:t>
            </w:r>
          </w:hyperlink>
        </w:p>
        <w:p>
          <w:pPr>
            <w:pStyle w:val="Contents6"/>
            <w:tabs>
              <w:tab w:val="clear" w:pos="7609"/>
              <w:tab w:val="right" w:pos="9026" w:leader="dot"/>
            </w:tabs>
            <w:rPr/>
          </w:pPr>
          <w:hyperlink w:anchor="__RefHeading___Toc3767291_3650668749">
            <w:r>
              <w:rPr>
                <w:webHidden/>
                <w:rStyle w:val="IndexLink"/>
                <w:rtl w:val="true"/>
              </w:rPr>
              <w:t xml:space="preserve">هفت </w:t>
            </w:r>
            <w:r>
              <w:rPr>
                <w:rStyle w:val="IndexLink"/>
                <w:rtl w:val="true"/>
              </w:rPr>
              <w:t xml:space="preserve">- </w:t>
            </w:r>
            <w:r>
              <w:rPr>
                <w:rStyle w:val="IndexLink"/>
                <w:rtl w:val="true"/>
              </w:rPr>
              <w:t>ابن‌سبأ در منابع شيعه</w:t>
            </w:r>
            <w:r>
              <w:rPr>
                <w:rStyle w:val="IndexLink"/>
                <w:rtl w:val="true"/>
              </w:rPr>
              <w:tab/>
            </w:r>
            <w:r>
              <w:rPr>
                <w:rStyle w:val="IndexLink"/>
              </w:rPr>
              <w:t>355</w:t>
            </w:r>
          </w:hyperlink>
        </w:p>
        <w:p>
          <w:pPr>
            <w:pStyle w:val="Contents5"/>
            <w:tabs>
              <w:tab w:val="clear" w:pos="7892"/>
              <w:tab w:val="right" w:pos="9026" w:leader="dot"/>
            </w:tabs>
            <w:rPr/>
          </w:pPr>
          <w:hyperlink w:anchor="__RefHeading___Toc3767293_3650668749">
            <w:r>
              <w:rPr>
                <w:webHidden/>
                <w:rStyle w:val="IndexLink"/>
                <w:rtl w:val="true"/>
              </w:rPr>
              <w:t>ب</w:t>
            </w:r>
            <w:r>
              <w:rPr>
                <w:rStyle w:val="IndexLink"/>
                <w:rtl w:val="true"/>
              </w:rPr>
              <w:t xml:space="preserve">) </w:t>
            </w:r>
            <w:r>
              <w:rPr>
                <w:rStyle w:val="IndexLink"/>
                <w:rtl w:val="true"/>
              </w:rPr>
              <w:t>غُلُوّ در امامت، مفهوم و ملاك آن</w:t>
            </w:r>
            <w:r>
              <w:rPr>
                <w:rStyle w:val="IndexLink"/>
                <w:rtl w:val="true"/>
              </w:rPr>
              <w:tab/>
            </w:r>
            <w:r>
              <w:rPr>
                <w:rStyle w:val="IndexLink"/>
              </w:rPr>
              <w:t>361</w:t>
            </w:r>
          </w:hyperlink>
        </w:p>
        <w:p>
          <w:pPr>
            <w:pStyle w:val="Contents6"/>
            <w:tabs>
              <w:tab w:val="clear" w:pos="7609"/>
              <w:tab w:val="right" w:pos="9026" w:leader="dot"/>
            </w:tabs>
            <w:rPr/>
          </w:pPr>
          <w:hyperlink w:anchor="__RefHeading___Toc3767295_3650668749">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3767297_3650668749">
            <w:r>
              <w:rPr>
                <w:webHidden/>
                <w:rStyle w:val="IndexLink"/>
                <w:rtl w:val="true"/>
              </w:rPr>
              <w:t xml:space="preserve">يك </w:t>
            </w:r>
            <w:r>
              <w:rPr>
                <w:rStyle w:val="IndexLink"/>
                <w:rtl w:val="true"/>
              </w:rPr>
              <w:t xml:space="preserve">- </w:t>
            </w:r>
            <w:r>
              <w:rPr>
                <w:rStyle w:val="IndexLink"/>
                <w:rtl w:val="true"/>
              </w:rPr>
              <w:t>مفهوم‌شناسى غُلُوّ</w:t>
            </w:r>
            <w:r>
              <w:rPr>
                <w:rStyle w:val="IndexLink"/>
                <w:rtl w:val="true"/>
              </w:rPr>
              <w:tab/>
            </w:r>
            <w:r>
              <w:rPr>
                <w:rStyle w:val="IndexLink"/>
              </w:rPr>
              <w:t>362</w:t>
            </w:r>
          </w:hyperlink>
        </w:p>
        <w:p>
          <w:pPr>
            <w:pStyle w:val="Contents6"/>
            <w:tabs>
              <w:tab w:val="clear" w:pos="7609"/>
              <w:tab w:val="right" w:pos="9026" w:leader="dot"/>
            </w:tabs>
            <w:rPr/>
          </w:pPr>
          <w:hyperlink w:anchor="__RefHeading___Toc3767299_3650668749">
            <w:r>
              <w:rPr>
                <w:webHidden/>
                <w:rStyle w:val="IndexLink"/>
                <w:rtl w:val="true"/>
              </w:rPr>
              <w:t xml:space="preserve">دو </w:t>
            </w:r>
            <w:r>
              <w:rPr>
                <w:rStyle w:val="IndexLink"/>
                <w:rtl w:val="true"/>
              </w:rPr>
              <w:t xml:space="preserve">- </w:t>
            </w:r>
            <w:r>
              <w:rPr>
                <w:rStyle w:val="IndexLink"/>
                <w:rtl w:val="true"/>
              </w:rPr>
              <w:t>ملاك غُلُوّ</w:t>
            </w:r>
            <w:r>
              <w:rPr>
                <w:rStyle w:val="IndexLink"/>
                <w:rtl w:val="true"/>
              </w:rPr>
              <w:tab/>
            </w:r>
            <w:r>
              <w:rPr>
                <w:rStyle w:val="IndexLink"/>
              </w:rPr>
              <w:t>364</w:t>
            </w:r>
          </w:hyperlink>
        </w:p>
        <w:p>
          <w:pPr>
            <w:pStyle w:val="Contents5"/>
            <w:tabs>
              <w:tab w:val="clear" w:pos="7892"/>
              <w:tab w:val="right" w:pos="9026" w:leader="dot"/>
            </w:tabs>
            <w:rPr/>
          </w:pPr>
          <w:hyperlink w:anchor="__RefHeading___Toc3767301_3650668749">
            <w:r>
              <w:rPr>
                <w:webHidden/>
                <w:rStyle w:val="IndexLink"/>
                <w:rtl w:val="true"/>
              </w:rPr>
              <w:t>ج</w:t>
            </w:r>
            <w:r>
              <w:rPr>
                <w:rStyle w:val="IndexLink"/>
                <w:rtl w:val="true"/>
              </w:rPr>
              <w:t xml:space="preserve">) </w:t>
            </w:r>
            <w:r>
              <w:rPr>
                <w:rStyle w:val="IndexLink"/>
                <w:rtl w:val="true"/>
              </w:rPr>
              <w:t>غلو و غلات از نگاه شيعه</w:t>
            </w:r>
            <w:r>
              <w:rPr>
                <w:rStyle w:val="IndexLink"/>
                <w:rtl w:val="true"/>
              </w:rPr>
              <w:tab/>
            </w:r>
            <w:r>
              <w:rPr>
                <w:rStyle w:val="IndexLink"/>
              </w:rPr>
              <w:t>366</w:t>
            </w:r>
          </w:hyperlink>
        </w:p>
        <w:p>
          <w:pPr>
            <w:pStyle w:val="Contents6"/>
            <w:tabs>
              <w:tab w:val="clear" w:pos="7609"/>
              <w:tab w:val="right" w:pos="9026" w:leader="dot"/>
            </w:tabs>
            <w:rPr/>
          </w:pPr>
          <w:hyperlink w:anchor="__RefHeading___Toc3767303_3650668749">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3767305_3650668749">
            <w:r>
              <w:rPr>
                <w:webHidden/>
                <w:rStyle w:val="IndexLink"/>
                <w:rtl w:val="true"/>
              </w:rPr>
              <w:t xml:space="preserve">يك </w:t>
            </w:r>
            <w:r>
              <w:rPr>
                <w:rStyle w:val="IndexLink"/>
                <w:rtl w:val="true"/>
              </w:rPr>
              <w:t xml:space="preserve">- </w:t>
            </w:r>
            <w:r>
              <w:rPr>
                <w:rStyle w:val="IndexLink"/>
                <w:rtl w:val="true"/>
              </w:rPr>
              <w:t>موضع امامان شيعه</w:t>
            </w:r>
            <w:r>
              <w:rPr>
                <w:rStyle w:val="IndexLink"/>
                <w:rtl w:val="true"/>
              </w:rPr>
              <w:tab/>
            </w:r>
            <w:r>
              <w:rPr>
                <w:rStyle w:val="IndexLink"/>
              </w:rPr>
              <w:t>366</w:t>
            </w:r>
          </w:hyperlink>
        </w:p>
        <w:p>
          <w:pPr>
            <w:pStyle w:val="Contents6"/>
            <w:tabs>
              <w:tab w:val="clear" w:pos="7609"/>
              <w:tab w:val="right" w:pos="9026" w:leader="dot"/>
            </w:tabs>
            <w:rPr/>
          </w:pPr>
          <w:hyperlink w:anchor="__RefHeading___Toc3767307_3650668749">
            <w:r>
              <w:rPr>
                <w:webHidden/>
                <w:rStyle w:val="IndexLink"/>
                <w:rtl w:val="true"/>
              </w:rPr>
              <w:t xml:space="preserve">دو </w:t>
            </w:r>
            <w:r>
              <w:rPr>
                <w:rStyle w:val="IndexLink"/>
                <w:rtl w:val="true"/>
              </w:rPr>
              <w:t xml:space="preserve">- </w:t>
            </w:r>
            <w:r>
              <w:rPr>
                <w:rStyle w:val="IndexLink"/>
                <w:rtl w:val="true"/>
              </w:rPr>
              <w:t>موضع عالمان شيعه</w:t>
            </w:r>
            <w:r>
              <w:rPr>
                <w:rStyle w:val="IndexLink"/>
                <w:rtl w:val="true"/>
              </w:rPr>
              <w:tab/>
            </w:r>
            <w:r>
              <w:rPr>
                <w:rStyle w:val="IndexLink"/>
              </w:rPr>
              <w:t>367</w:t>
            </w:r>
          </w:hyperlink>
        </w:p>
        <w:p>
          <w:pPr>
            <w:pStyle w:val="Contents6"/>
            <w:tabs>
              <w:tab w:val="clear" w:pos="7609"/>
              <w:tab w:val="right" w:pos="9026" w:leader="dot"/>
            </w:tabs>
            <w:rPr/>
          </w:pPr>
          <w:hyperlink w:anchor="__RefHeading___Toc3767309_3650668749">
            <w:r>
              <w:rPr>
                <w:webHidden/>
                <w:rStyle w:val="IndexLink"/>
                <w:rtl w:val="true"/>
              </w:rPr>
              <w:t xml:space="preserve">سه </w:t>
            </w:r>
            <w:r>
              <w:rPr>
                <w:rStyle w:val="IndexLink"/>
                <w:rtl w:val="true"/>
              </w:rPr>
              <w:t xml:space="preserve">- </w:t>
            </w:r>
            <w:r>
              <w:rPr>
                <w:rStyle w:val="IndexLink"/>
                <w:rtl w:val="true"/>
              </w:rPr>
              <w:t>اتهام غلوّ به‌كدام شيعه؟</w:t>
            </w:r>
            <w:r>
              <w:rPr>
                <w:rStyle w:val="IndexLink"/>
                <w:rtl w:val="true"/>
              </w:rPr>
              <w:tab/>
            </w:r>
            <w:r>
              <w:rPr>
                <w:rStyle w:val="IndexLink"/>
              </w:rPr>
              <w:t>368</w:t>
            </w:r>
          </w:hyperlink>
        </w:p>
        <w:p>
          <w:pPr>
            <w:pStyle w:val="Contents3"/>
            <w:tabs>
              <w:tab w:val="clear" w:pos="8459"/>
              <w:tab w:val="right" w:pos="9026" w:leader="dot"/>
            </w:tabs>
            <w:rPr/>
          </w:pPr>
          <w:hyperlink w:anchor="__RefHeading___Toc3767311_3650668749">
            <w:r>
              <w:rPr>
                <w:webHidden/>
                <w:rStyle w:val="IndexLink"/>
                <w:rtl w:val="true"/>
              </w:rPr>
              <w:t>فصل سوم</w:t>
            </w:r>
            <w:r>
              <w:rPr>
                <w:rStyle w:val="IndexLink"/>
                <w:rtl w:val="true"/>
              </w:rPr>
              <w:t xml:space="preserve">: </w:t>
            </w:r>
            <w:r>
              <w:rPr>
                <w:rStyle w:val="IndexLink"/>
                <w:rtl w:val="true"/>
              </w:rPr>
              <w:t>بررسى مصاديق غلو در امامت، به‌روايت كافى</w:t>
            </w:r>
            <w:r>
              <w:rPr>
                <w:rStyle w:val="IndexLink"/>
                <w:rtl w:val="true"/>
              </w:rPr>
              <w:tab/>
            </w:r>
            <w:r>
              <w:rPr>
                <w:rStyle w:val="IndexLink"/>
              </w:rPr>
              <w:t>371</w:t>
            </w:r>
          </w:hyperlink>
        </w:p>
        <w:p>
          <w:pPr>
            <w:pStyle w:val="Contents4"/>
            <w:tabs>
              <w:tab w:val="clear" w:pos="8176"/>
              <w:tab w:val="right" w:pos="9026" w:leader="dot"/>
            </w:tabs>
            <w:rPr/>
          </w:pPr>
          <w:hyperlink w:anchor="__RefHeading___Toc3767313_3650668749">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3767315_3650668749">
            <w:r>
              <w:rPr>
                <w:webHidden/>
                <w:rStyle w:val="IndexLink"/>
              </w:rPr>
              <w:t>١</w:t>
            </w:r>
            <w:r>
              <w:rPr>
                <w:rStyle w:val="IndexLink"/>
                <w:rtl w:val="true"/>
              </w:rPr>
              <w:t xml:space="preserve">. </w:t>
            </w:r>
            <w:r>
              <w:rPr>
                <w:rStyle w:val="IndexLink"/>
                <w:rtl w:val="true"/>
              </w:rPr>
              <w:t>امامت و اصول دين</w:t>
            </w:r>
            <w:r>
              <w:rPr>
                <w:rStyle w:val="IndexLink"/>
                <w:rtl w:val="true"/>
              </w:rPr>
              <w:tab/>
            </w:r>
            <w:r>
              <w:rPr>
                <w:rStyle w:val="IndexLink"/>
              </w:rPr>
              <w:t>371</w:t>
            </w:r>
          </w:hyperlink>
        </w:p>
        <w:p>
          <w:pPr>
            <w:pStyle w:val="Contents5"/>
            <w:tabs>
              <w:tab w:val="clear" w:pos="7892"/>
              <w:tab w:val="right" w:pos="9026" w:leader="dot"/>
            </w:tabs>
            <w:rPr/>
          </w:pPr>
          <w:hyperlink w:anchor="__RefHeading___Toc3767317_3650668749">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3767319_3650668749">
            <w:r>
              <w:rPr>
                <w:webHidden/>
                <w:rStyle w:val="IndexLink"/>
                <w:rtl w:val="true"/>
              </w:rPr>
              <w:t>ارزيابى و فرو ريختن مبنا و بنا</w:t>
            </w:r>
            <w:r>
              <w:rPr>
                <w:rStyle w:val="IndexLink"/>
                <w:rtl w:val="true"/>
              </w:rPr>
              <w:tab/>
            </w:r>
            <w:r>
              <w:rPr>
                <w:rStyle w:val="IndexLink"/>
              </w:rPr>
              <w:t>372</w:t>
            </w:r>
          </w:hyperlink>
        </w:p>
        <w:p>
          <w:pPr>
            <w:pStyle w:val="Contents6"/>
            <w:tabs>
              <w:tab w:val="clear" w:pos="7609"/>
              <w:tab w:val="right" w:pos="9026" w:leader="dot"/>
            </w:tabs>
            <w:rPr/>
          </w:pPr>
          <w:hyperlink w:anchor="__RefHeading___Toc3767321_3650668749">
            <w:r>
              <w:rPr>
                <w:webHidden/>
                <w:rStyle w:val="IndexLink"/>
                <w:rtl w:val="true"/>
              </w:rPr>
              <w:t xml:space="preserve">يك </w:t>
            </w:r>
            <w:r>
              <w:rPr>
                <w:rStyle w:val="IndexLink"/>
                <w:rtl w:val="true"/>
              </w:rPr>
              <w:t xml:space="preserve">- </w:t>
            </w:r>
            <w:r>
              <w:rPr>
                <w:rStyle w:val="IndexLink"/>
                <w:rtl w:val="true"/>
              </w:rPr>
              <w:t>عدم غلو در اصل امامت</w:t>
            </w:r>
            <w:r>
              <w:rPr>
                <w:rStyle w:val="IndexLink"/>
                <w:rtl w:val="true"/>
              </w:rPr>
              <w:tab/>
            </w:r>
            <w:r>
              <w:rPr>
                <w:rStyle w:val="IndexLink"/>
              </w:rPr>
              <w:t>372</w:t>
            </w:r>
          </w:hyperlink>
        </w:p>
        <w:p>
          <w:pPr>
            <w:pStyle w:val="Contents6"/>
            <w:tabs>
              <w:tab w:val="clear" w:pos="7609"/>
              <w:tab w:val="right" w:pos="9026" w:leader="dot"/>
            </w:tabs>
            <w:rPr/>
          </w:pPr>
          <w:hyperlink w:anchor="__RefHeading___Toc3767323_3650668749">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3767325_3650668749">
            <w:r>
              <w:rPr>
                <w:webHidden/>
                <w:rStyle w:val="IndexLink"/>
                <w:rtl w:val="true"/>
              </w:rPr>
              <w:t xml:space="preserve">اول </w:t>
            </w:r>
            <w:r>
              <w:rPr>
                <w:rStyle w:val="IndexLink"/>
                <w:rtl w:val="true"/>
              </w:rPr>
              <w:t xml:space="preserve">- </w:t>
            </w:r>
            <w:r>
              <w:rPr>
                <w:rStyle w:val="IndexLink"/>
                <w:rtl w:val="true"/>
              </w:rPr>
              <w:t>امامت از اصول دين</w:t>
            </w:r>
            <w:r>
              <w:rPr>
                <w:rStyle w:val="IndexLink"/>
                <w:rtl w:val="true"/>
              </w:rPr>
              <w:tab/>
            </w:r>
            <w:r>
              <w:rPr>
                <w:rStyle w:val="IndexLink"/>
              </w:rPr>
              <w:t>374</w:t>
            </w:r>
          </w:hyperlink>
        </w:p>
        <w:p>
          <w:pPr>
            <w:pStyle w:val="Contents6"/>
            <w:tabs>
              <w:tab w:val="clear" w:pos="7609"/>
              <w:tab w:val="right" w:pos="9026" w:leader="dot"/>
            </w:tabs>
            <w:rPr/>
          </w:pPr>
          <w:hyperlink w:anchor="__RefHeading___Toc3767327_3650668749">
            <w:r>
              <w:rPr>
                <w:webHidden/>
                <w:rStyle w:val="IndexLink"/>
                <w:rtl w:val="true"/>
              </w:rPr>
              <w:t xml:space="preserve">دوم </w:t>
            </w:r>
            <w:r>
              <w:rPr>
                <w:rStyle w:val="IndexLink"/>
                <w:rtl w:val="true"/>
              </w:rPr>
              <w:t xml:space="preserve">- </w:t>
            </w:r>
            <w:r>
              <w:rPr>
                <w:rStyle w:val="IndexLink"/>
                <w:rtl w:val="true"/>
              </w:rPr>
              <w:t>تكفير شيعه</w:t>
            </w:r>
            <w:r>
              <w:rPr>
                <w:rStyle w:val="IndexLink"/>
                <w:rtl w:val="true"/>
              </w:rPr>
              <w:t>!</w:t>
              <w:tab/>
            </w:r>
            <w:r>
              <w:rPr>
                <w:rStyle w:val="IndexLink"/>
              </w:rPr>
              <w:t>375</w:t>
            </w:r>
          </w:hyperlink>
        </w:p>
        <w:p>
          <w:pPr>
            <w:pStyle w:val="Contents6"/>
            <w:tabs>
              <w:tab w:val="clear" w:pos="7609"/>
              <w:tab w:val="right" w:pos="9026" w:leader="dot"/>
            </w:tabs>
            <w:rPr/>
          </w:pPr>
          <w:hyperlink w:anchor="__RefHeading___Toc3767329_3650668749">
            <w:r>
              <w:rPr>
                <w:webHidden/>
                <w:rStyle w:val="IndexLink"/>
                <w:rtl w:val="true"/>
              </w:rPr>
              <w:t xml:space="preserve">سوم </w:t>
            </w:r>
            <w:r>
              <w:rPr>
                <w:rStyle w:val="IndexLink"/>
                <w:rtl w:val="true"/>
              </w:rPr>
              <w:t xml:space="preserve">- </w:t>
            </w:r>
            <w:r>
              <w:rPr>
                <w:rStyle w:val="IndexLink"/>
                <w:rtl w:val="true"/>
              </w:rPr>
              <w:t>غلو و اتهام به‌غلوّ</w:t>
            </w:r>
            <w:r>
              <w:rPr>
                <w:rStyle w:val="IndexLink"/>
                <w:rtl w:val="true"/>
              </w:rPr>
              <w:tab/>
            </w:r>
            <w:r>
              <w:rPr>
                <w:rStyle w:val="IndexLink"/>
              </w:rPr>
              <w:t>377</w:t>
            </w:r>
          </w:hyperlink>
        </w:p>
        <w:p>
          <w:pPr>
            <w:pStyle w:val="Contents6"/>
            <w:tabs>
              <w:tab w:val="clear" w:pos="7609"/>
              <w:tab w:val="right" w:pos="9026" w:leader="dot"/>
            </w:tabs>
            <w:rPr/>
          </w:pPr>
          <w:hyperlink w:anchor="__RefHeading___Toc3767331_3650668749">
            <w:r>
              <w:rPr>
                <w:webHidden/>
                <w:rStyle w:val="IndexLink"/>
                <w:rtl w:val="true"/>
              </w:rPr>
              <w:t xml:space="preserve">چهارم </w:t>
            </w:r>
            <w:r>
              <w:rPr>
                <w:rStyle w:val="IndexLink"/>
                <w:rtl w:val="true"/>
              </w:rPr>
              <w:t xml:space="preserve">- </w:t>
            </w:r>
            <w:r>
              <w:rPr>
                <w:rStyle w:val="IndexLink"/>
                <w:rtl w:val="true"/>
              </w:rPr>
              <w:t>عدم انطباق با معيارهاى غلو</w:t>
            </w:r>
            <w:r>
              <w:rPr>
                <w:rStyle w:val="IndexLink"/>
                <w:rtl w:val="true"/>
              </w:rPr>
              <w:tab/>
            </w:r>
            <w:r>
              <w:rPr>
                <w:rStyle w:val="IndexLink"/>
              </w:rPr>
              <w:t>379</w:t>
            </w:r>
          </w:hyperlink>
        </w:p>
        <w:p>
          <w:pPr>
            <w:pStyle w:val="Contents6"/>
            <w:tabs>
              <w:tab w:val="clear" w:pos="7609"/>
              <w:tab w:val="right" w:pos="9026" w:leader="dot"/>
            </w:tabs>
            <w:rPr/>
          </w:pPr>
          <w:hyperlink w:anchor="__RefHeading___Toc3767333_3650668749">
            <w:r>
              <w:rPr>
                <w:webHidden/>
                <w:rStyle w:val="IndexLink"/>
                <w:rtl w:val="true"/>
              </w:rPr>
              <w:t xml:space="preserve">دو </w:t>
            </w:r>
            <w:r>
              <w:rPr>
                <w:rStyle w:val="IndexLink"/>
                <w:rtl w:val="true"/>
              </w:rPr>
              <w:t xml:space="preserve">- </w:t>
            </w:r>
            <w:r>
              <w:rPr>
                <w:rStyle w:val="IndexLink"/>
                <w:rtl w:val="true"/>
              </w:rPr>
              <w:t>بررسى روايات باب دعائم الاسلام كافى</w:t>
            </w:r>
            <w:r>
              <w:rPr>
                <w:rStyle w:val="IndexLink"/>
                <w:rtl w:val="true"/>
              </w:rPr>
              <w:tab/>
            </w:r>
            <w:r>
              <w:rPr>
                <w:rStyle w:val="IndexLink"/>
              </w:rPr>
              <w:t>379</w:t>
            </w:r>
          </w:hyperlink>
        </w:p>
        <w:p>
          <w:pPr>
            <w:pStyle w:val="Contents6"/>
            <w:tabs>
              <w:tab w:val="clear" w:pos="7609"/>
              <w:tab w:val="right" w:pos="9026" w:leader="dot"/>
            </w:tabs>
            <w:rPr/>
          </w:pPr>
          <w:hyperlink w:anchor="__RefHeading___Toc3767335_3650668749">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3767337_3650668749">
            <w:r>
              <w:rPr>
                <w:webHidden/>
                <w:rStyle w:val="IndexLink"/>
                <w:rtl w:val="true"/>
              </w:rPr>
              <w:t>محور نخست</w:t>
            </w:r>
            <w:r>
              <w:rPr>
                <w:rStyle w:val="IndexLink"/>
                <w:rtl w:val="true"/>
              </w:rPr>
              <w:t xml:space="preserve">: </w:t>
            </w:r>
            <w:r>
              <w:rPr>
                <w:rStyle w:val="IndexLink"/>
                <w:rtl w:val="true"/>
              </w:rPr>
              <w:t>تقدم ولايت بر شهادتين</w:t>
            </w:r>
            <w:r>
              <w:rPr>
                <w:rStyle w:val="IndexLink"/>
                <w:rtl w:val="true"/>
              </w:rPr>
              <w:tab/>
            </w:r>
            <w:r>
              <w:rPr>
                <w:rStyle w:val="IndexLink"/>
              </w:rPr>
              <w:t>380</w:t>
            </w:r>
          </w:hyperlink>
        </w:p>
        <w:p>
          <w:pPr>
            <w:pStyle w:val="Contents6"/>
            <w:tabs>
              <w:tab w:val="clear" w:pos="7609"/>
              <w:tab w:val="right" w:pos="9026" w:leader="dot"/>
            </w:tabs>
            <w:rPr/>
          </w:pPr>
          <w:hyperlink w:anchor="__RefHeading___Toc3767339_3650668749">
            <w:r>
              <w:rPr>
                <w:webHidden/>
                <w:rStyle w:val="IndexLink"/>
                <w:rtl w:val="true"/>
              </w:rPr>
              <w:t>محور دوم</w:t>
            </w:r>
            <w:r>
              <w:rPr>
                <w:rStyle w:val="IndexLink"/>
                <w:rtl w:val="true"/>
              </w:rPr>
              <w:t xml:space="preserve">: </w:t>
            </w:r>
            <w:r>
              <w:rPr>
                <w:rStyle w:val="IndexLink"/>
                <w:rtl w:val="true"/>
              </w:rPr>
              <w:t>برترى ولايت بر نماز</w:t>
            </w:r>
            <w:r>
              <w:rPr>
                <w:rStyle w:val="IndexLink"/>
                <w:rtl w:val="true"/>
              </w:rPr>
              <w:t>. . .</w:t>
              <w:tab/>
            </w:r>
            <w:r>
              <w:rPr>
                <w:rStyle w:val="IndexLink"/>
              </w:rPr>
              <w:t>383</w:t>
            </w:r>
          </w:hyperlink>
        </w:p>
        <w:p>
          <w:pPr>
            <w:pStyle w:val="Contents4"/>
            <w:tabs>
              <w:tab w:val="clear" w:pos="8176"/>
              <w:tab w:val="right" w:pos="9026" w:leader="dot"/>
            </w:tabs>
            <w:rPr/>
          </w:pPr>
          <w:hyperlink w:anchor="__RefHeading___Toc3767341_3650668749">
            <w:r>
              <w:rPr>
                <w:webHidden/>
                <w:rStyle w:val="IndexLink"/>
              </w:rPr>
              <w:t>٢</w:t>
            </w:r>
            <w:r>
              <w:rPr>
                <w:rStyle w:val="IndexLink"/>
                <w:rtl w:val="true"/>
              </w:rPr>
              <w:t xml:space="preserve">. </w:t>
            </w:r>
            <w:r>
              <w:rPr>
                <w:rStyle w:val="IndexLink"/>
                <w:rtl w:val="true"/>
              </w:rPr>
              <w:t>برترى يا مساوى بودن مقام امامت و نبوت</w:t>
            </w:r>
            <w:r>
              <w:rPr>
                <w:rStyle w:val="IndexLink"/>
                <w:rtl w:val="true"/>
              </w:rPr>
              <w:tab/>
            </w:r>
            <w:r>
              <w:rPr>
                <w:rStyle w:val="IndexLink"/>
              </w:rPr>
              <w:t>387</w:t>
            </w:r>
          </w:hyperlink>
        </w:p>
        <w:p>
          <w:pPr>
            <w:pStyle w:val="Contents5"/>
            <w:tabs>
              <w:tab w:val="clear" w:pos="7892"/>
              <w:tab w:val="right" w:pos="9026" w:leader="dot"/>
            </w:tabs>
            <w:rPr/>
          </w:pPr>
          <w:hyperlink w:anchor="__RefHeading___Toc3767343_3650668749">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3767345_3650668749">
            <w:r>
              <w:rPr>
                <w:webHidden/>
                <w:rStyle w:val="IndexLink"/>
                <w:rtl w:val="true"/>
              </w:rPr>
              <w:t>بررسى و نقد</w:t>
            </w:r>
            <w:r>
              <w:rPr>
                <w:rStyle w:val="IndexLink"/>
                <w:rtl w:val="true"/>
              </w:rPr>
              <w:tab/>
            </w:r>
            <w:r>
              <w:rPr>
                <w:rStyle w:val="IndexLink"/>
              </w:rPr>
              <w:t>388</w:t>
            </w:r>
          </w:hyperlink>
        </w:p>
        <w:p>
          <w:pPr>
            <w:pStyle w:val="Contents6"/>
            <w:tabs>
              <w:tab w:val="clear" w:pos="7609"/>
              <w:tab w:val="right" w:pos="9026" w:leader="dot"/>
            </w:tabs>
            <w:rPr/>
          </w:pPr>
          <w:hyperlink w:anchor="__RefHeading___Toc3767347_3650668749">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3767349_3650668749">
            <w:r>
              <w:rPr>
                <w:webHidden/>
                <w:rStyle w:val="IndexLink"/>
                <w:rtl w:val="true"/>
              </w:rPr>
              <w:t xml:space="preserve">يك </w:t>
            </w:r>
            <w:r>
              <w:rPr>
                <w:rStyle w:val="IndexLink"/>
                <w:rtl w:val="true"/>
              </w:rPr>
              <w:t xml:space="preserve">- </w:t>
            </w:r>
            <w:r>
              <w:rPr>
                <w:rStyle w:val="IndexLink"/>
                <w:rtl w:val="true"/>
              </w:rPr>
              <w:t>برترى يا همانندى علما با انبياى بنى‌اسرائيل</w:t>
            </w:r>
            <w:r>
              <w:rPr>
                <w:rStyle w:val="IndexLink"/>
                <w:rtl w:val="true"/>
              </w:rPr>
              <w:tab/>
            </w:r>
            <w:r>
              <w:rPr>
                <w:rStyle w:val="IndexLink"/>
              </w:rPr>
              <w:t>388</w:t>
            </w:r>
          </w:hyperlink>
        </w:p>
        <w:p>
          <w:pPr>
            <w:pStyle w:val="Contents6"/>
            <w:tabs>
              <w:tab w:val="clear" w:pos="7609"/>
              <w:tab w:val="right" w:pos="9026" w:leader="dot"/>
            </w:tabs>
            <w:rPr/>
          </w:pPr>
          <w:hyperlink w:anchor="__RefHeading___Toc3767351_3650668749">
            <w:r>
              <w:rPr>
                <w:webHidden/>
                <w:rStyle w:val="IndexLink"/>
                <w:rtl w:val="true"/>
              </w:rPr>
              <w:t xml:space="preserve">دو </w:t>
            </w:r>
            <w:r>
              <w:rPr>
                <w:rStyle w:val="IndexLink"/>
                <w:rtl w:val="true"/>
              </w:rPr>
              <w:t xml:space="preserve">- </w:t>
            </w:r>
            <w:r>
              <w:rPr>
                <w:rStyle w:val="IndexLink"/>
                <w:rtl w:val="true"/>
              </w:rPr>
              <w:t>برترى نه غلوّ</w:t>
            </w:r>
            <w:r>
              <w:rPr>
                <w:rStyle w:val="IndexLink"/>
                <w:rtl w:val="true"/>
              </w:rPr>
              <w:tab/>
            </w:r>
            <w:r>
              <w:rPr>
                <w:rStyle w:val="IndexLink"/>
              </w:rPr>
              <w:t>390</w:t>
            </w:r>
          </w:hyperlink>
        </w:p>
        <w:p>
          <w:pPr>
            <w:pStyle w:val="Contents6"/>
            <w:tabs>
              <w:tab w:val="clear" w:pos="7609"/>
              <w:tab w:val="right" w:pos="9026" w:leader="dot"/>
            </w:tabs>
            <w:rPr/>
          </w:pPr>
          <w:hyperlink w:anchor="__RefHeading___Toc3767353_3650668749">
            <w:r>
              <w:rPr>
                <w:webHidden/>
                <w:rStyle w:val="IndexLink"/>
                <w:rtl w:val="true"/>
              </w:rPr>
              <w:t xml:space="preserve">سه </w:t>
            </w:r>
            <w:r>
              <w:rPr>
                <w:rStyle w:val="IndexLink"/>
                <w:rtl w:val="true"/>
              </w:rPr>
              <w:t xml:space="preserve">- </w:t>
            </w:r>
            <w:r>
              <w:rPr>
                <w:rStyle w:val="IndexLink"/>
                <w:rtl w:val="true"/>
              </w:rPr>
              <w:t>مغالطه غير منصفانه</w:t>
            </w:r>
            <w:r>
              <w:rPr>
                <w:rStyle w:val="IndexLink"/>
                <w:rtl w:val="true"/>
              </w:rPr>
              <w:tab/>
            </w:r>
            <w:r>
              <w:rPr>
                <w:rStyle w:val="IndexLink"/>
              </w:rPr>
              <w:t>391</w:t>
            </w:r>
          </w:hyperlink>
        </w:p>
        <w:p>
          <w:pPr>
            <w:pStyle w:val="Contents4"/>
            <w:tabs>
              <w:tab w:val="clear" w:pos="8176"/>
              <w:tab w:val="right" w:pos="9026" w:leader="dot"/>
            </w:tabs>
            <w:rPr/>
          </w:pPr>
          <w:hyperlink w:anchor="__RefHeading___Toc3767355_3650668749">
            <w:r>
              <w:rPr>
                <w:webHidden/>
                <w:rStyle w:val="IndexLink"/>
              </w:rPr>
              <w:t>٣</w:t>
            </w:r>
            <w:r>
              <w:rPr>
                <w:rStyle w:val="IndexLink"/>
                <w:rtl w:val="true"/>
              </w:rPr>
              <w:t xml:space="preserve">. </w:t>
            </w:r>
            <w:r>
              <w:rPr>
                <w:rStyle w:val="IndexLink"/>
                <w:rtl w:val="true"/>
              </w:rPr>
              <w:t>امتيازهاى نبوت و امامت</w:t>
            </w:r>
            <w:r>
              <w:rPr>
                <w:rStyle w:val="IndexLink"/>
                <w:rtl w:val="true"/>
              </w:rPr>
              <w:tab/>
            </w:r>
            <w:r>
              <w:rPr>
                <w:rStyle w:val="IndexLink"/>
              </w:rPr>
              <w:t>393</w:t>
            </w:r>
          </w:hyperlink>
        </w:p>
        <w:p>
          <w:pPr>
            <w:pStyle w:val="Contents5"/>
            <w:tabs>
              <w:tab w:val="clear" w:pos="7892"/>
              <w:tab w:val="right" w:pos="9026" w:leader="dot"/>
            </w:tabs>
            <w:rPr/>
          </w:pPr>
          <w:hyperlink w:anchor="__RefHeading___Toc3767357_3650668749">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3767359_3650668749">
            <w:r>
              <w:rPr>
                <w:webHidden/>
                <w:rStyle w:val="IndexLink"/>
                <w:rtl w:val="true"/>
              </w:rPr>
              <w:t>الف</w:t>
            </w:r>
            <w:r>
              <w:rPr>
                <w:rStyle w:val="IndexLink"/>
                <w:rtl w:val="true"/>
              </w:rPr>
              <w:t xml:space="preserve">) </w:t>
            </w:r>
            <w:r>
              <w:rPr>
                <w:rStyle w:val="IndexLink"/>
                <w:rtl w:val="true"/>
              </w:rPr>
              <w:t xml:space="preserve">امامت ابراهيم </w:t>
            </w:r>
            <w:r>
              <w:rPr>
                <w:rStyle w:val="IndexLink"/>
                <w:rtl w:val="true"/>
              </w:rPr>
              <w:t>(</w:t>
            </w:r>
            <w:r>
              <w:rPr>
                <w:rStyle w:val="IndexLink"/>
                <w:rtl w:val="true"/>
              </w:rPr>
              <w:t>ع</w:t>
            </w:r>
            <w:r>
              <w:rPr>
                <w:rStyle w:val="IndexLink"/>
                <w:rtl w:val="true"/>
              </w:rPr>
              <w:t>)</w:t>
              <w:tab/>
            </w:r>
            <w:r>
              <w:rPr>
                <w:rStyle w:val="IndexLink"/>
              </w:rPr>
              <w:t>393</w:t>
            </w:r>
          </w:hyperlink>
        </w:p>
        <w:p>
          <w:pPr>
            <w:pStyle w:val="Contents5"/>
            <w:tabs>
              <w:tab w:val="clear" w:pos="7892"/>
              <w:tab w:val="right" w:pos="9026" w:leader="dot"/>
            </w:tabs>
            <w:rPr/>
          </w:pPr>
          <w:hyperlink w:anchor="__RefHeading___Toc3767361_3650668749">
            <w:r>
              <w:rPr>
                <w:webHidden/>
                <w:rStyle w:val="IndexLink"/>
                <w:rtl w:val="true"/>
              </w:rPr>
              <w:t>ب</w:t>
            </w:r>
            <w:r>
              <w:rPr>
                <w:rStyle w:val="IndexLink"/>
                <w:rtl w:val="true"/>
              </w:rPr>
              <w:t xml:space="preserve">) </w:t>
            </w:r>
            <w:r>
              <w:rPr>
                <w:rStyle w:val="IndexLink"/>
                <w:rtl w:val="true"/>
              </w:rPr>
              <w:t>وحى و امامان</w:t>
            </w:r>
            <w:r>
              <w:rPr>
                <w:rStyle w:val="IndexLink"/>
                <w:rtl w:val="true"/>
              </w:rPr>
              <w:tab/>
            </w:r>
            <w:r>
              <w:rPr>
                <w:rStyle w:val="IndexLink"/>
              </w:rPr>
              <w:t>396</w:t>
            </w:r>
          </w:hyperlink>
        </w:p>
        <w:p>
          <w:pPr>
            <w:pStyle w:val="Contents4"/>
            <w:tabs>
              <w:tab w:val="clear" w:pos="8176"/>
              <w:tab w:val="right" w:pos="9026" w:leader="dot"/>
            </w:tabs>
            <w:rPr/>
          </w:pPr>
          <w:hyperlink w:anchor="__RefHeading___Toc3767363_3650668749">
            <w:r>
              <w:rPr>
                <w:webHidden/>
                <w:rStyle w:val="IndexLink"/>
              </w:rPr>
              <w:t>۴</w:t>
            </w:r>
            <w:r>
              <w:rPr>
                <w:rStyle w:val="IndexLink"/>
                <w:rtl w:val="true"/>
              </w:rPr>
              <w:t xml:space="preserve">. </w:t>
            </w:r>
            <w:r>
              <w:rPr>
                <w:rStyle w:val="IndexLink"/>
                <w:rtl w:val="true"/>
              </w:rPr>
              <w:t xml:space="preserve">عصمت امامان </w:t>
            </w:r>
            <w:r>
              <w:rPr>
                <w:rStyle w:val="IndexLink"/>
                <w:rtl w:val="true"/>
              </w:rPr>
              <w:t>(</w:t>
            </w:r>
            <w:r>
              <w:rPr>
                <w:rStyle w:val="IndexLink"/>
                <w:rtl w:val="true"/>
              </w:rPr>
              <w:t>عليهم السلام</w:t>
            </w:r>
            <w:r>
              <w:rPr>
                <w:rStyle w:val="IndexLink"/>
                <w:rtl w:val="true"/>
              </w:rPr>
              <w:t xml:space="preserve">) </w:t>
            </w:r>
            <w:r>
              <w:rPr>
                <w:rStyle w:val="IndexLink"/>
                <w:rtl w:val="true"/>
              </w:rPr>
              <w:t>و غُلُوّ</w:t>
            </w:r>
            <w:r>
              <w:rPr>
                <w:rStyle w:val="IndexLink"/>
                <w:rtl w:val="true"/>
              </w:rPr>
              <w:tab/>
            </w:r>
            <w:r>
              <w:rPr>
                <w:rStyle w:val="IndexLink"/>
              </w:rPr>
              <w:t>398</w:t>
            </w:r>
          </w:hyperlink>
        </w:p>
        <w:p>
          <w:pPr>
            <w:pStyle w:val="Contents5"/>
            <w:tabs>
              <w:tab w:val="clear" w:pos="7892"/>
              <w:tab w:val="right" w:pos="9026" w:leader="dot"/>
            </w:tabs>
            <w:rPr/>
          </w:pPr>
          <w:hyperlink w:anchor="__RefHeading___Toc3767365_3650668749">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3767367_3650668749">
            <w:r>
              <w:rPr>
                <w:webHidden/>
                <w:rStyle w:val="IndexLink"/>
                <w:rtl w:val="true"/>
              </w:rPr>
              <w:t>طرح ادعاى غلوّ در عصمت</w:t>
            </w:r>
            <w:r>
              <w:rPr>
                <w:rStyle w:val="IndexLink"/>
                <w:rtl w:val="true"/>
              </w:rPr>
              <w:tab/>
            </w:r>
            <w:r>
              <w:rPr>
                <w:rStyle w:val="IndexLink"/>
              </w:rPr>
              <w:t>399</w:t>
            </w:r>
          </w:hyperlink>
        </w:p>
        <w:p>
          <w:pPr>
            <w:pStyle w:val="Contents5"/>
            <w:tabs>
              <w:tab w:val="clear" w:pos="7892"/>
              <w:tab w:val="right" w:pos="9026" w:leader="dot"/>
            </w:tabs>
            <w:rPr/>
          </w:pPr>
          <w:hyperlink w:anchor="__RefHeading___Toc3767369_3650668749">
            <w:r>
              <w:rPr>
                <w:webHidden/>
                <w:rStyle w:val="IndexLink"/>
                <w:rtl w:val="true"/>
              </w:rPr>
              <w:t>ارزيابى و نقد غلو در عصمت</w:t>
            </w:r>
            <w:r>
              <w:rPr>
                <w:rStyle w:val="IndexLink"/>
                <w:rtl w:val="true"/>
              </w:rPr>
              <w:tab/>
            </w:r>
            <w:r>
              <w:rPr>
                <w:rStyle w:val="IndexLink"/>
              </w:rPr>
              <w:t>400</w:t>
            </w:r>
          </w:hyperlink>
        </w:p>
        <w:p>
          <w:pPr>
            <w:pStyle w:val="Contents6"/>
            <w:tabs>
              <w:tab w:val="clear" w:pos="7609"/>
              <w:tab w:val="right" w:pos="9026" w:leader="dot"/>
            </w:tabs>
            <w:rPr/>
          </w:pPr>
          <w:hyperlink w:anchor="__RefHeading___Toc3767371_3650668749">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3767373_3650668749">
            <w:r>
              <w:rPr>
                <w:webHidden/>
                <w:rStyle w:val="IndexLink"/>
                <w:rtl w:val="true"/>
              </w:rPr>
              <w:t>الف</w:t>
            </w:r>
            <w:r>
              <w:rPr>
                <w:rStyle w:val="IndexLink"/>
                <w:rtl w:val="true"/>
              </w:rPr>
              <w:t xml:space="preserve">) </w:t>
            </w:r>
            <w:r>
              <w:rPr>
                <w:rStyle w:val="IndexLink"/>
                <w:rtl w:val="true"/>
              </w:rPr>
              <w:t>مفهوم عصمت</w:t>
            </w:r>
            <w:r>
              <w:rPr>
                <w:rStyle w:val="IndexLink"/>
                <w:rtl w:val="true"/>
              </w:rPr>
              <w:tab/>
            </w:r>
            <w:r>
              <w:rPr>
                <w:rStyle w:val="IndexLink"/>
              </w:rPr>
              <w:t>401</w:t>
            </w:r>
          </w:hyperlink>
        </w:p>
        <w:p>
          <w:pPr>
            <w:pStyle w:val="Contents6"/>
            <w:tabs>
              <w:tab w:val="clear" w:pos="7609"/>
              <w:tab w:val="right" w:pos="9026" w:leader="dot"/>
            </w:tabs>
            <w:rPr/>
          </w:pPr>
          <w:hyperlink w:anchor="__RefHeading___Toc3767375_3650668749">
            <w:r>
              <w:rPr>
                <w:webHidden/>
                <w:rStyle w:val="IndexLink"/>
                <w:rtl w:val="true"/>
              </w:rPr>
              <w:t>ب</w:t>
            </w:r>
            <w:r>
              <w:rPr>
                <w:rStyle w:val="IndexLink"/>
                <w:rtl w:val="true"/>
              </w:rPr>
              <w:t xml:space="preserve">) </w:t>
            </w:r>
            <w:r>
              <w:rPr>
                <w:rStyle w:val="IndexLink"/>
                <w:rtl w:val="true"/>
              </w:rPr>
              <w:t>عصمت و اختلاف مبنا</w:t>
            </w:r>
            <w:r>
              <w:rPr>
                <w:rStyle w:val="IndexLink"/>
                <w:rtl w:val="true"/>
              </w:rPr>
              <w:tab/>
            </w:r>
            <w:r>
              <w:rPr>
                <w:rStyle w:val="IndexLink"/>
              </w:rPr>
              <w:t>403</w:t>
            </w:r>
          </w:hyperlink>
        </w:p>
        <w:p>
          <w:pPr>
            <w:pStyle w:val="Contents6"/>
            <w:tabs>
              <w:tab w:val="clear" w:pos="7609"/>
              <w:tab w:val="right" w:pos="9026" w:leader="dot"/>
            </w:tabs>
            <w:rPr/>
          </w:pPr>
          <w:hyperlink w:anchor="__RefHeading___Toc3767377_3650668749">
            <w:r>
              <w:rPr>
                <w:webHidden/>
                <w:rStyle w:val="IndexLink"/>
                <w:rtl w:val="true"/>
              </w:rPr>
              <w:t>ج</w:t>
            </w:r>
            <w:r>
              <w:rPr>
                <w:rStyle w:val="IndexLink"/>
                <w:rtl w:val="true"/>
              </w:rPr>
              <w:t xml:space="preserve">) </w:t>
            </w:r>
            <w:r>
              <w:rPr>
                <w:rStyle w:val="IndexLink"/>
                <w:rtl w:val="true"/>
              </w:rPr>
              <w:t xml:space="preserve">نگاهى به‌دلايل عصمت امام </w:t>
            </w:r>
            <w:r>
              <w:rPr>
                <w:rStyle w:val="IndexLink"/>
                <w:rtl w:val="true"/>
              </w:rPr>
              <w:t>(</w:t>
            </w:r>
            <w:r>
              <w:rPr>
                <w:rStyle w:val="IndexLink"/>
                <w:rtl w:val="true"/>
              </w:rPr>
              <w:t>ع</w:t>
            </w:r>
            <w:r>
              <w:rPr>
                <w:rStyle w:val="IndexLink"/>
                <w:rtl w:val="true"/>
              </w:rPr>
              <w:t>)</w:t>
              <w:tab/>
            </w:r>
            <w:r>
              <w:rPr>
                <w:rStyle w:val="IndexLink"/>
              </w:rPr>
              <w:t>405</w:t>
            </w:r>
          </w:hyperlink>
        </w:p>
        <w:p>
          <w:pPr>
            <w:pStyle w:val="Contents6"/>
            <w:tabs>
              <w:tab w:val="clear" w:pos="7609"/>
              <w:tab w:val="right" w:pos="9026" w:leader="dot"/>
            </w:tabs>
            <w:rPr/>
          </w:pPr>
          <w:hyperlink w:anchor="__RefHeading___Toc3767379_3650668749">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3767381_3650668749">
            <w:r>
              <w:rPr>
                <w:webHidden/>
                <w:rStyle w:val="IndexLink"/>
                <w:rtl w:val="true"/>
              </w:rPr>
              <w:t xml:space="preserve">يك </w:t>
            </w:r>
            <w:r>
              <w:rPr>
                <w:rStyle w:val="IndexLink"/>
                <w:rtl w:val="true"/>
              </w:rPr>
              <w:t xml:space="preserve">- </w:t>
            </w:r>
            <w:r>
              <w:rPr>
                <w:rStyle w:val="IndexLink"/>
                <w:rtl w:val="true"/>
              </w:rPr>
              <w:t>دلايل عقلى</w:t>
            </w:r>
            <w:r>
              <w:rPr>
                <w:rStyle w:val="IndexLink"/>
                <w:rtl w:val="true"/>
              </w:rPr>
              <w:tab/>
            </w:r>
            <w:r>
              <w:rPr>
                <w:rStyle w:val="IndexLink"/>
              </w:rPr>
              <w:t>405</w:t>
            </w:r>
          </w:hyperlink>
        </w:p>
        <w:p>
          <w:pPr>
            <w:pStyle w:val="Contents6"/>
            <w:tabs>
              <w:tab w:val="clear" w:pos="7609"/>
              <w:tab w:val="right" w:pos="9026" w:leader="dot"/>
            </w:tabs>
            <w:rPr/>
          </w:pPr>
          <w:hyperlink w:anchor="__RefHeading___Toc3767383_3650668749">
            <w:r>
              <w:rPr>
                <w:webHidden/>
                <w:rStyle w:val="IndexLink"/>
                <w:rtl w:val="true"/>
              </w:rPr>
              <w:t xml:space="preserve">دو </w:t>
            </w:r>
            <w:r>
              <w:rPr>
                <w:rStyle w:val="IndexLink"/>
                <w:rtl w:val="true"/>
              </w:rPr>
              <w:t xml:space="preserve">- </w:t>
            </w:r>
            <w:r>
              <w:rPr>
                <w:rStyle w:val="IndexLink"/>
                <w:rtl w:val="true"/>
              </w:rPr>
              <w:t>دلايل نقلى</w:t>
            </w:r>
            <w:r>
              <w:rPr>
                <w:rStyle w:val="IndexLink"/>
                <w:rtl w:val="true"/>
              </w:rPr>
              <w:tab/>
            </w:r>
            <w:r>
              <w:rPr>
                <w:rStyle w:val="IndexLink"/>
              </w:rPr>
              <w:t>406</w:t>
            </w:r>
          </w:hyperlink>
        </w:p>
        <w:p>
          <w:pPr>
            <w:pStyle w:val="Contents6"/>
            <w:tabs>
              <w:tab w:val="clear" w:pos="7609"/>
              <w:tab w:val="right" w:pos="9026" w:leader="dot"/>
            </w:tabs>
            <w:rPr/>
          </w:pPr>
          <w:hyperlink w:anchor="__RefHeading___Toc3767385_3650668749">
            <w:r>
              <w:rPr>
                <w:webHidden/>
                <w:rStyle w:val="IndexLink"/>
                <w:rtl w:val="true"/>
              </w:rPr>
              <w:t>د</w:t>
            </w:r>
            <w:r>
              <w:rPr>
                <w:rStyle w:val="IndexLink"/>
                <w:rtl w:val="true"/>
              </w:rPr>
              <w:t xml:space="preserve">) </w:t>
            </w:r>
            <w:r>
              <w:rPr>
                <w:rStyle w:val="IndexLink"/>
                <w:rtl w:val="true"/>
              </w:rPr>
              <w:t xml:space="preserve">بررسى روايات عصمت امام </w:t>
            </w:r>
            <w:r>
              <w:rPr>
                <w:rStyle w:val="IndexLink"/>
                <w:rtl w:val="true"/>
              </w:rPr>
              <w:t>(</w:t>
            </w:r>
            <w:r>
              <w:rPr>
                <w:rStyle w:val="IndexLink"/>
                <w:rtl w:val="true"/>
              </w:rPr>
              <w:t>ع</w:t>
            </w:r>
            <w:r>
              <w:rPr>
                <w:rStyle w:val="IndexLink"/>
                <w:rtl w:val="true"/>
              </w:rPr>
              <w:t>)</w:t>
              <w:tab/>
            </w:r>
            <w:r>
              <w:rPr>
                <w:rStyle w:val="IndexLink"/>
              </w:rPr>
              <w:t>412</w:t>
            </w:r>
          </w:hyperlink>
        </w:p>
        <w:p>
          <w:pPr>
            <w:pStyle w:val="Contents4"/>
            <w:tabs>
              <w:tab w:val="clear" w:pos="8176"/>
              <w:tab w:val="right" w:pos="9026" w:leader="dot"/>
            </w:tabs>
            <w:rPr/>
          </w:pPr>
          <w:hyperlink w:anchor="__RefHeading___Toc3767387_3650668749">
            <w:r>
              <w:rPr>
                <w:webHidden/>
                <w:rStyle w:val="IndexLink"/>
              </w:rPr>
              <w:t>۵</w:t>
            </w:r>
            <w:r>
              <w:rPr>
                <w:rStyle w:val="IndexLink"/>
                <w:rtl w:val="true"/>
              </w:rPr>
              <w:t xml:space="preserve">. </w:t>
            </w:r>
            <w:r>
              <w:rPr>
                <w:rStyle w:val="IndexLink"/>
                <w:rtl w:val="true"/>
              </w:rPr>
              <w:t xml:space="preserve">غُلُوّ، و علم غيب امامان </w:t>
            </w:r>
            <w:r>
              <w:rPr>
                <w:rStyle w:val="IndexLink"/>
                <w:rtl w:val="true"/>
              </w:rPr>
              <w:t>(</w:t>
            </w:r>
            <w:r>
              <w:rPr>
                <w:rStyle w:val="IndexLink"/>
                <w:rtl w:val="true"/>
              </w:rPr>
              <w:t>عليهم السلام</w:t>
            </w:r>
            <w:r>
              <w:rPr>
                <w:rStyle w:val="IndexLink"/>
                <w:rtl w:val="true"/>
              </w:rPr>
              <w:t>)</w:t>
              <w:tab/>
            </w:r>
            <w:r>
              <w:rPr>
                <w:rStyle w:val="IndexLink"/>
              </w:rPr>
              <w:t>427</w:t>
            </w:r>
          </w:hyperlink>
        </w:p>
        <w:p>
          <w:pPr>
            <w:pStyle w:val="Contents5"/>
            <w:tabs>
              <w:tab w:val="clear" w:pos="7892"/>
              <w:tab w:val="right" w:pos="9026" w:leader="dot"/>
            </w:tabs>
            <w:rPr/>
          </w:pPr>
          <w:hyperlink w:anchor="__RefHeading___Toc3767389_3650668749">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3767391_3650668749">
            <w:r>
              <w:rPr>
                <w:webHidden/>
                <w:rStyle w:val="IndexLink"/>
                <w:rtl w:val="true"/>
              </w:rPr>
              <w:t>الف</w:t>
            </w:r>
            <w:r>
              <w:rPr>
                <w:rStyle w:val="IndexLink"/>
                <w:rtl w:val="true"/>
              </w:rPr>
              <w:t xml:space="preserve">) </w:t>
            </w:r>
            <w:r>
              <w:rPr>
                <w:rStyle w:val="IndexLink"/>
                <w:rtl w:val="true"/>
              </w:rPr>
              <w:t>طرح اصل اشكال</w:t>
            </w:r>
            <w:r>
              <w:rPr>
                <w:rStyle w:val="IndexLink"/>
                <w:rtl w:val="true"/>
              </w:rPr>
              <w:tab/>
            </w:r>
            <w:r>
              <w:rPr>
                <w:rStyle w:val="IndexLink"/>
              </w:rPr>
              <w:t>427</w:t>
            </w:r>
          </w:hyperlink>
        </w:p>
        <w:p>
          <w:pPr>
            <w:pStyle w:val="Contents5"/>
            <w:tabs>
              <w:tab w:val="clear" w:pos="7892"/>
              <w:tab w:val="right" w:pos="9026" w:leader="dot"/>
            </w:tabs>
            <w:rPr/>
          </w:pPr>
          <w:hyperlink w:anchor="__RefHeading___Toc3767393_3650668749">
            <w:r>
              <w:rPr>
                <w:webHidden/>
                <w:rStyle w:val="IndexLink"/>
                <w:rtl w:val="true"/>
              </w:rPr>
              <w:t>ب</w:t>
            </w:r>
            <w:r>
              <w:rPr>
                <w:rStyle w:val="IndexLink"/>
                <w:rtl w:val="true"/>
              </w:rPr>
              <w:t xml:space="preserve">) </w:t>
            </w:r>
            <w:r>
              <w:rPr>
                <w:rStyle w:val="IndexLink"/>
                <w:rtl w:val="true"/>
              </w:rPr>
              <w:t>بررسى و تصحيح، نَه غُلُوّ</w:t>
            </w:r>
            <w:r>
              <w:rPr>
                <w:rStyle w:val="IndexLink"/>
                <w:rtl w:val="true"/>
              </w:rPr>
              <w:tab/>
            </w:r>
            <w:r>
              <w:rPr>
                <w:rStyle w:val="IndexLink"/>
              </w:rPr>
              <w:t>428</w:t>
            </w:r>
          </w:hyperlink>
        </w:p>
        <w:p>
          <w:pPr>
            <w:pStyle w:val="Contents6"/>
            <w:tabs>
              <w:tab w:val="clear" w:pos="7609"/>
              <w:tab w:val="right" w:pos="9026" w:leader="dot"/>
            </w:tabs>
            <w:rPr/>
          </w:pPr>
          <w:hyperlink w:anchor="__RefHeading___Toc3767395_3650668749">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3767397_3650668749">
            <w:r>
              <w:rPr>
                <w:webHidden/>
                <w:rStyle w:val="IndexLink"/>
                <w:rtl w:val="true"/>
              </w:rPr>
              <w:t xml:space="preserve">يك </w:t>
            </w:r>
            <w:r>
              <w:rPr>
                <w:rStyle w:val="IndexLink"/>
                <w:rtl w:val="true"/>
              </w:rPr>
              <w:t xml:space="preserve">- </w:t>
            </w:r>
            <w:r>
              <w:rPr>
                <w:rStyle w:val="IndexLink"/>
                <w:rtl w:val="true"/>
              </w:rPr>
              <w:t xml:space="preserve">نگاهِ كلّى به‌روايات دالّ بر علم غيب ائمه </w:t>
            </w:r>
            <w:r>
              <w:rPr>
                <w:rStyle w:val="IndexLink"/>
                <w:rtl w:val="true"/>
              </w:rPr>
              <w:t>(</w:t>
            </w:r>
            <w:r>
              <w:rPr>
                <w:rStyle w:val="IndexLink"/>
                <w:rtl w:val="true"/>
              </w:rPr>
              <w:t>عليهم السلام</w:t>
            </w:r>
            <w:r>
              <w:rPr>
                <w:rStyle w:val="IndexLink"/>
                <w:rtl w:val="true"/>
              </w:rPr>
              <w:t>)</w:t>
              <w:tab/>
            </w:r>
            <w:r>
              <w:rPr>
                <w:rStyle w:val="IndexLink"/>
              </w:rPr>
              <w:t>429</w:t>
            </w:r>
          </w:hyperlink>
        </w:p>
        <w:p>
          <w:pPr>
            <w:pStyle w:val="Contents6"/>
            <w:tabs>
              <w:tab w:val="clear" w:pos="7609"/>
              <w:tab w:val="right" w:pos="9026" w:leader="dot"/>
            </w:tabs>
            <w:rPr/>
          </w:pPr>
          <w:hyperlink w:anchor="__RefHeading___Toc3767399_3650668749">
            <w:r>
              <w:rPr>
                <w:webHidden/>
                <w:rStyle w:val="IndexLink"/>
                <w:rtl w:val="true"/>
              </w:rPr>
              <w:t xml:space="preserve">دو </w:t>
            </w:r>
            <w:r>
              <w:rPr>
                <w:rStyle w:val="IndexLink"/>
                <w:rtl w:val="true"/>
              </w:rPr>
              <w:t xml:space="preserve">- </w:t>
            </w:r>
            <w:r>
              <w:rPr>
                <w:rStyle w:val="IndexLink"/>
                <w:rtl w:val="true"/>
              </w:rPr>
              <w:t xml:space="preserve">ديدگاه كلى اماميه و علم غيب ائمه </w:t>
            </w:r>
            <w:r>
              <w:rPr>
                <w:rStyle w:val="IndexLink"/>
                <w:rtl w:val="true"/>
              </w:rPr>
              <w:t>(</w:t>
            </w:r>
            <w:r>
              <w:rPr>
                <w:rStyle w:val="IndexLink"/>
                <w:rtl w:val="true"/>
              </w:rPr>
              <w:t>عليهم السلام</w:t>
            </w:r>
            <w:r>
              <w:rPr>
                <w:rStyle w:val="IndexLink"/>
                <w:rtl w:val="true"/>
              </w:rPr>
              <w:t>)</w:t>
              <w:tab/>
            </w:r>
            <w:r>
              <w:rPr>
                <w:rStyle w:val="IndexLink"/>
              </w:rPr>
              <w:t>431</w:t>
            </w:r>
          </w:hyperlink>
        </w:p>
        <w:p>
          <w:pPr>
            <w:pStyle w:val="Contents5"/>
            <w:tabs>
              <w:tab w:val="clear" w:pos="7892"/>
              <w:tab w:val="right" w:pos="9026" w:leader="dot"/>
            </w:tabs>
            <w:rPr/>
          </w:pPr>
          <w:hyperlink w:anchor="__RefHeading___Toc3767401_3650668749">
            <w:r>
              <w:rPr>
                <w:webHidden/>
                <w:rStyle w:val="IndexLink"/>
                <w:rtl w:val="true"/>
              </w:rPr>
              <w:t>نتيجه‌گيرى</w:t>
            </w:r>
            <w:r>
              <w:rPr>
                <w:rStyle w:val="IndexLink"/>
                <w:rtl w:val="true"/>
              </w:rPr>
              <w:tab/>
            </w:r>
            <w:r>
              <w:rPr>
                <w:rStyle w:val="IndexLink"/>
              </w:rPr>
              <w:t>448</w:t>
            </w:r>
          </w:hyperlink>
        </w:p>
        <w:p>
          <w:pPr>
            <w:pStyle w:val="Contents2"/>
            <w:tabs>
              <w:tab w:val="clear" w:pos="8743"/>
              <w:tab w:val="right" w:pos="9026" w:leader="dot"/>
            </w:tabs>
            <w:rPr/>
          </w:pPr>
          <w:hyperlink w:anchor="__RefHeading___Toc3767403_3650668749">
            <w:r>
              <w:rPr>
                <w:webHidden/>
                <w:rStyle w:val="IndexLink"/>
                <w:rtl w:val="true"/>
              </w:rPr>
              <w:t>بخش پنجم</w:t>
            </w:r>
            <w:r>
              <w:rPr>
                <w:rStyle w:val="IndexLink"/>
                <w:rtl w:val="true"/>
              </w:rPr>
              <w:t xml:space="preserve">: </w:t>
            </w:r>
            <w:r>
              <w:rPr>
                <w:rStyle w:val="IndexLink"/>
                <w:rtl w:val="true"/>
              </w:rPr>
              <w:t>تكفير و مذمت صحابه در كافي</w:t>
            </w:r>
            <w:r>
              <w:rPr>
                <w:rStyle w:val="IndexLink"/>
                <w:rtl w:val="true"/>
              </w:rPr>
              <w:tab/>
            </w:r>
            <w:r>
              <w:rPr>
                <w:rStyle w:val="IndexLink"/>
              </w:rPr>
              <w:t>451</w:t>
            </w:r>
          </w:hyperlink>
        </w:p>
        <w:p>
          <w:pPr>
            <w:pStyle w:val="Contents3"/>
            <w:tabs>
              <w:tab w:val="clear" w:pos="8459"/>
              <w:tab w:val="right" w:pos="9026" w:leader="dot"/>
            </w:tabs>
            <w:rPr/>
          </w:pPr>
          <w:hyperlink w:anchor="__RefHeading___Toc3767405_3650668749">
            <w:r>
              <w:rPr>
                <w:webHidden/>
                <w:rStyle w:val="IndexLink"/>
                <w:rtl w:val="true"/>
              </w:rPr>
              <w:t>اشاره</w:t>
            </w:r>
            <w:r>
              <w:rPr>
                <w:rStyle w:val="IndexLink"/>
                <w:rtl w:val="true"/>
              </w:rPr>
              <w:tab/>
            </w:r>
            <w:r>
              <w:rPr>
                <w:rStyle w:val="IndexLink"/>
              </w:rPr>
              <w:t>451</w:t>
            </w:r>
          </w:hyperlink>
        </w:p>
        <w:p>
          <w:pPr>
            <w:pStyle w:val="Contents3"/>
            <w:tabs>
              <w:tab w:val="clear" w:pos="8459"/>
              <w:tab w:val="right" w:pos="9026" w:leader="dot"/>
            </w:tabs>
            <w:rPr/>
          </w:pPr>
          <w:hyperlink w:anchor="__RefHeading___Toc3767407_3650668749">
            <w:r>
              <w:rPr>
                <w:webHidden/>
                <w:rStyle w:val="IndexLink"/>
                <w:rtl w:val="true"/>
              </w:rPr>
              <w:t>مقدمه</w:t>
            </w:r>
            <w:r>
              <w:rPr>
                <w:rStyle w:val="IndexLink"/>
                <w:rtl w:val="true"/>
              </w:rPr>
              <w:tab/>
            </w:r>
            <w:r>
              <w:rPr>
                <w:rStyle w:val="IndexLink"/>
              </w:rPr>
              <w:t>453</w:t>
            </w:r>
          </w:hyperlink>
        </w:p>
        <w:p>
          <w:pPr>
            <w:pStyle w:val="Contents3"/>
            <w:tabs>
              <w:tab w:val="clear" w:pos="8459"/>
              <w:tab w:val="right" w:pos="9026" w:leader="dot"/>
            </w:tabs>
            <w:rPr/>
          </w:pPr>
          <w:hyperlink w:anchor="__RefHeading___Toc3767409_3650668749">
            <w:r>
              <w:rPr>
                <w:webHidden/>
                <w:rStyle w:val="IndexLink"/>
                <w:rtl w:val="true"/>
              </w:rPr>
              <w:t>فصل اول</w:t>
            </w:r>
            <w:r>
              <w:rPr>
                <w:rStyle w:val="IndexLink"/>
                <w:rtl w:val="true"/>
              </w:rPr>
              <w:t xml:space="preserve">: </w:t>
            </w:r>
            <w:r>
              <w:rPr>
                <w:rStyle w:val="IndexLink"/>
                <w:rtl w:val="true"/>
              </w:rPr>
              <w:t>اصل شبهه تكفير صحابه</w:t>
            </w:r>
            <w:r>
              <w:rPr>
                <w:rStyle w:val="IndexLink"/>
                <w:rtl w:val="true"/>
              </w:rPr>
              <w:tab/>
            </w:r>
            <w:r>
              <w:rPr>
                <w:rStyle w:val="IndexLink"/>
              </w:rPr>
              <w:t>455</w:t>
            </w:r>
          </w:hyperlink>
        </w:p>
        <w:p>
          <w:pPr>
            <w:pStyle w:val="Contents4"/>
            <w:tabs>
              <w:tab w:val="clear" w:pos="8176"/>
              <w:tab w:val="right" w:pos="9026" w:leader="dot"/>
            </w:tabs>
            <w:rPr/>
          </w:pPr>
          <w:hyperlink w:anchor="__RefHeading___Toc3767411_3650668749">
            <w:r>
              <w:rPr>
                <w:webHidden/>
                <w:rStyle w:val="IndexLink"/>
              </w:rPr>
              <w:t>١</w:t>
            </w:r>
            <w:r>
              <w:rPr>
                <w:rStyle w:val="IndexLink"/>
                <w:rtl w:val="true"/>
              </w:rPr>
              <w:t xml:space="preserve">. </w:t>
            </w:r>
            <w:r>
              <w:rPr>
                <w:rStyle w:val="IndexLink"/>
                <w:rtl w:val="true"/>
              </w:rPr>
              <w:t>طرح اتهام</w:t>
            </w:r>
            <w:r>
              <w:rPr>
                <w:rStyle w:val="IndexLink"/>
                <w:rtl w:val="true"/>
              </w:rPr>
              <w:tab/>
            </w:r>
            <w:r>
              <w:rPr>
                <w:rStyle w:val="IndexLink"/>
              </w:rPr>
              <w:t>455</w:t>
            </w:r>
          </w:hyperlink>
        </w:p>
        <w:p>
          <w:pPr>
            <w:pStyle w:val="Contents4"/>
            <w:tabs>
              <w:tab w:val="clear" w:pos="8176"/>
              <w:tab w:val="right" w:pos="9026" w:leader="dot"/>
            </w:tabs>
            <w:rPr/>
          </w:pPr>
          <w:hyperlink w:anchor="__RefHeading___Toc3767413_3650668749">
            <w:r>
              <w:rPr>
                <w:webHidden/>
                <w:rStyle w:val="IndexLink"/>
              </w:rPr>
              <w:t>٢</w:t>
            </w:r>
            <w:r>
              <w:rPr>
                <w:rStyle w:val="IndexLink"/>
                <w:rtl w:val="true"/>
              </w:rPr>
              <w:t xml:space="preserve">. </w:t>
            </w:r>
            <w:r>
              <w:rPr>
                <w:rStyle w:val="IndexLink"/>
                <w:rtl w:val="true"/>
              </w:rPr>
              <w:t>بررسى و نقد اتهام تكفيراصحاب</w:t>
            </w:r>
            <w:r>
              <w:rPr>
                <w:rStyle w:val="IndexLink"/>
                <w:rtl w:val="true"/>
              </w:rPr>
              <w:tab/>
            </w:r>
            <w:r>
              <w:rPr>
                <w:rStyle w:val="IndexLink"/>
              </w:rPr>
              <w:t>457</w:t>
            </w:r>
          </w:hyperlink>
        </w:p>
        <w:p>
          <w:pPr>
            <w:pStyle w:val="Contents5"/>
            <w:tabs>
              <w:tab w:val="clear" w:pos="7892"/>
              <w:tab w:val="right" w:pos="9026" w:leader="dot"/>
            </w:tabs>
            <w:rPr/>
          </w:pPr>
          <w:hyperlink w:anchor="__RefHeading___Toc3767415_3650668749">
            <w:r>
              <w:rPr>
                <w:webHidden/>
                <w:rStyle w:val="IndexLink"/>
                <w:rtl w:val="true"/>
              </w:rPr>
              <w:t>اشاره</w:t>
            </w:r>
            <w:r>
              <w:rPr>
                <w:rStyle w:val="IndexLink"/>
                <w:rtl w:val="true"/>
              </w:rPr>
              <w:tab/>
            </w:r>
            <w:r>
              <w:rPr>
                <w:rStyle w:val="IndexLink"/>
              </w:rPr>
              <w:t>457</w:t>
            </w:r>
          </w:hyperlink>
        </w:p>
        <w:p>
          <w:pPr>
            <w:pStyle w:val="Contents5"/>
            <w:tabs>
              <w:tab w:val="clear" w:pos="7892"/>
              <w:tab w:val="right" w:pos="9026" w:leader="dot"/>
            </w:tabs>
            <w:rPr/>
          </w:pPr>
          <w:hyperlink w:anchor="__RefHeading___Toc3767417_3650668749">
            <w:r>
              <w:rPr>
                <w:webHidden/>
                <w:rStyle w:val="IndexLink"/>
                <w:rtl w:val="true"/>
              </w:rPr>
              <w:t>الف</w:t>
            </w:r>
            <w:r>
              <w:rPr>
                <w:rStyle w:val="IndexLink"/>
                <w:rtl w:val="true"/>
              </w:rPr>
              <w:t xml:space="preserve">) </w:t>
            </w:r>
            <w:r>
              <w:rPr>
                <w:rStyle w:val="IndexLink"/>
                <w:rtl w:val="true"/>
              </w:rPr>
              <w:t xml:space="preserve">مفهوم‌شناسى </w:t>
            </w:r>
            <w:r>
              <w:rPr>
                <w:rStyle w:val="IndexLink"/>
                <w:rtl w:val="true"/>
              </w:rPr>
              <w:t>«</w:t>
            </w:r>
            <w:r>
              <w:rPr>
                <w:rStyle w:val="IndexLink"/>
                <w:rtl w:val="true"/>
              </w:rPr>
              <w:t>كفر</w:t>
            </w:r>
            <w:r>
              <w:rPr>
                <w:rStyle w:val="IndexLink"/>
                <w:rtl w:val="true"/>
              </w:rPr>
              <w:t xml:space="preserve">» </w:t>
            </w:r>
            <w:r>
              <w:rPr>
                <w:rStyle w:val="IndexLink"/>
                <w:rtl w:val="true"/>
              </w:rPr>
              <w:t xml:space="preserve">، </w:t>
            </w:r>
            <w:r>
              <w:rPr>
                <w:rStyle w:val="IndexLink"/>
                <w:rtl w:val="true"/>
              </w:rPr>
              <w:t>«</w:t>
            </w:r>
            <w:r>
              <w:rPr>
                <w:rStyle w:val="IndexLink"/>
                <w:rtl w:val="true"/>
              </w:rPr>
              <w:t>تكفير</w:t>
            </w:r>
            <w:r>
              <w:rPr>
                <w:rStyle w:val="IndexLink"/>
                <w:rtl w:val="true"/>
              </w:rPr>
              <w:t xml:space="preserve">» </w:t>
            </w:r>
            <w:r>
              <w:rPr>
                <w:rStyle w:val="IndexLink"/>
                <w:rtl w:val="true"/>
              </w:rPr>
              <w:t>و</w:t>
            </w:r>
            <w:r>
              <w:rPr>
                <w:rStyle w:val="IndexLink"/>
                <w:rtl w:val="true"/>
              </w:rPr>
              <w:t>. . .</w:t>
              <w:tab/>
            </w:r>
            <w:r>
              <w:rPr>
                <w:rStyle w:val="IndexLink"/>
              </w:rPr>
              <w:t>458</w:t>
            </w:r>
          </w:hyperlink>
        </w:p>
        <w:p>
          <w:pPr>
            <w:pStyle w:val="Contents5"/>
            <w:tabs>
              <w:tab w:val="clear" w:pos="7892"/>
              <w:tab w:val="right" w:pos="9026" w:leader="dot"/>
            </w:tabs>
            <w:rPr/>
          </w:pPr>
          <w:hyperlink w:anchor="__RefHeading___Toc3767419_3650668749">
            <w:r>
              <w:rPr>
                <w:webHidden/>
                <w:rStyle w:val="IndexLink"/>
                <w:rtl w:val="true"/>
              </w:rPr>
              <w:t>ب</w:t>
            </w:r>
            <w:r>
              <w:rPr>
                <w:rStyle w:val="IndexLink"/>
                <w:rtl w:val="true"/>
              </w:rPr>
              <w:t xml:space="preserve">) </w:t>
            </w:r>
            <w:r>
              <w:rPr>
                <w:rStyle w:val="IndexLink"/>
                <w:rtl w:val="true"/>
              </w:rPr>
              <w:t>مفهوم اصحاب و صحابه</w:t>
            </w:r>
            <w:r>
              <w:rPr>
                <w:rStyle w:val="IndexLink"/>
                <w:rtl w:val="true"/>
              </w:rPr>
              <w:tab/>
            </w:r>
            <w:r>
              <w:rPr>
                <w:rStyle w:val="IndexLink"/>
              </w:rPr>
              <w:t>459</w:t>
            </w:r>
          </w:hyperlink>
        </w:p>
        <w:p>
          <w:pPr>
            <w:pStyle w:val="Contents5"/>
            <w:tabs>
              <w:tab w:val="clear" w:pos="7892"/>
              <w:tab w:val="right" w:pos="9026" w:leader="dot"/>
            </w:tabs>
            <w:rPr/>
          </w:pPr>
          <w:hyperlink w:anchor="__RefHeading___Toc3767421_3650668749">
            <w:r>
              <w:rPr>
                <w:webHidden/>
                <w:rStyle w:val="IndexLink"/>
                <w:rtl w:val="true"/>
              </w:rPr>
              <w:t>ج</w:t>
            </w:r>
            <w:r>
              <w:rPr>
                <w:rStyle w:val="IndexLink"/>
                <w:rtl w:val="true"/>
              </w:rPr>
              <w:t xml:space="preserve">) </w:t>
            </w:r>
            <w:r>
              <w:rPr>
                <w:rStyle w:val="IndexLink"/>
                <w:rtl w:val="true"/>
              </w:rPr>
              <w:t>تاريخچه و علت تكفير صحابه</w:t>
            </w:r>
            <w:r>
              <w:rPr>
                <w:rStyle w:val="IndexLink"/>
                <w:rtl w:val="true"/>
              </w:rPr>
              <w:tab/>
            </w:r>
            <w:r>
              <w:rPr>
                <w:rStyle w:val="IndexLink"/>
              </w:rPr>
              <w:t>461</w:t>
            </w:r>
          </w:hyperlink>
        </w:p>
        <w:p>
          <w:pPr>
            <w:pStyle w:val="Contents5"/>
            <w:tabs>
              <w:tab w:val="clear" w:pos="7892"/>
              <w:tab w:val="right" w:pos="9026" w:leader="dot"/>
            </w:tabs>
            <w:rPr/>
          </w:pPr>
          <w:hyperlink w:anchor="__RefHeading___Toc3767423_3650668749">
            <w:r>
              <w:rPr>
                <w:webHidden/>
                <w:rStyle w:val="IndexLink"/>
                <w:rtl w:val="true"/>
              </w:rPr>
              <w:t>د</w:t>
            </w:r>
            <w:r>
              <w:rPr>
                <w:rStyle w:val="IndexLink"/>
                <w:rtl w:val="true"/>
              </w:rPr>
              <w:t xml:space="preserve">) </w:t>
            </w:r>
            <w:r>
              <w:rPr>
                <w:rStyle w:val="IndexLink"/>
                <w:rtl w:val="true"/>
              </w:rPr>
              <w:t>منكران امامت</w:t>
            </w:r>
            <w:r>
              <w:rPr>
                <w:rStyle w:val="IndexLink"/>
                <w:rtl w:val="true"/>
              </w:rPr>
              <w:tab/>
            </w:r>
            <w:r>
              <w:rPr>
                <w:rStyle w:val="IndexLink"/>
              </w:rPr>
              <w:t>463</w:t>
            </w:r>
          </w:hyperlink>
        </w:p>
        <w:p>
          <w:pPr>
            <w:pStyle w:val="Contents6"/>
            <w:tabs>
              <w:tab w:val="clear" w:pos="7609"/>
              <w:tab w:val="right" w:pos="9026" w:leader="dot"/>
            </w:tabs>
            <w:rPr/>
          </w:pPr>
          <w:hyperlink w:anchor="__RefHeading___Toc3767425_3650668749">
            <w:r>
              <w:rPr>
                <w:webHidden/>
                <w:rStyle w:val="IndexLink"/>
                <w:rtl w:val="true"/>
              </w:rPr>
              <w:t>اشاره</w:t>
            </w:r>
            <w:r>
              <w:rPr>
                <w:rStyle w:val="IndexLink"/>
                <w:rtl w:val="true"/>
              </w:rPr>
              <w:tab/>
            </w:r>
            <w:r>
              <w:rPr>
                <w:rStyle w:val="IndexLink"/>
              </w:rPr>
              <w:t>463</w:t>
            </w:r>
          </w:hyperlink>
        </w:p>
        <w:p>
          <w:pPr>
            <w:pStyle w:val="Contents6"/>
            <w:tabs>
              <w:tab w:val="clear" w:pos="7609"/>
              <w:tab w:val="right" w:pos="9026" w:leader="dot"/>
            </w:tabs>
            <w:rPr/>
          </w:pPr>
          <w:hyperlink w:anchor="__RefHeading___Toc3767427_3650668749">
            <w:r>
              <w:rPr>
                <w:webHidden/>
                <w:rStyle w:val="IndexLink"/>
                <w:rtl w:val="true"/>
              </w:rPr>
              <w:t xml:space="preserve">اول </w:t>
            </w:r>
            <w:r>
              <w:rPr>
                <w:rStyle w:val="IndexLink"/>
                <w:rtl w:val="true"/>
              </w:rPr>
              <w:t xml:space="preserve">- </w:t>
            </w:r>
            <w:r>
              <w:rPr>
                <w:rStyle w:val="IndexLink"/>
                <w:rtl w:val="true"/>
              </w:rPr>
              <w:t>منكران امامت محكوم به‌كفر و نجاست‌اند</w:t>
            </w:r>
            <w:r>
              <w:rPr>
                <w:rStyle w:val="IndexLink"/>
                <w:rtl w:val="true"/>
              </w:rPr>
              <w:tab/>
            </w:r>
            <w:r>
              <w:rPr>
                <w:rStyle w:val="IndexLink"/>
              </w:rPr>
              <w:t>465</w:t>
            </w:r>
          </w:hyperlink>
        </w:p>
        <w:p>
          <w:pPr>
            <w:pStyle w:val="Contents6"/>
            <w:tabs>
              <w:tab w:val="clear" w:pos="7609"/>
              <w:tab w:val="right" w:pos="9026" w:leader="dot"/>
            </w:tabs>
            <w:rPr/>
          </w:pPr>
          <w:hyperlink w:anchor="__RefHeading___Toc3767429_3650668749">
            <w:r>
              <w:rPr>
                <w:webHidden/>
                <w:rStyle w:val="IndexLink"/>
                <w:rtl w:val="true"/>
              </w:rPr>
              <w:t xml:space="preserve">دوم </w:t>
            </w:r>
            <w:r>
              <w:rPr>
                <w:rStyle w:val="IndexLink"/>
                <w:rtl w:val="true"/>
              </w:rPr>
              <w:t xml:space="preserve">- </w:t>
            </w:r>
            <w:r>
              <w:rPr>
                <w:rStyle w:val="IndexLink"/>
                <w:rtl w:val="true"/>
              </w:rPr>
              <w:t>منكران امامت محكوم به‌اسلام</w:t>
            </w:r>
            <w:r>
              <w:rPr>
                <w:rStyle w:val="IndexLink"/>
                <w:rtl w:val="true"/>
              </w:rPr>
              <w:tab/>
            </w:r>
            <w:r>
              <w:rPr>
                <w:rStyle w:val="IndexLink"/>
              </w:rPr>
              <w:t>466</w:t>
            </w:r>
          </w:hyperlink>
        </w:p>
        <w:p>
          <w:pPr>
            <w:pStyle w:val="Contents6"/>
            <w:tabs>
              <w:tab w:val="clear" w:pos="7609"/>
              <w:tab w:val="right" w:pos="9026" w:leader="dot"/>
            </w:tabs>
            <w:rPr/>
          </w:pPr>
          <w:hyperlink w:anchor="__RefHeading___Toc3767431_3650668749">
            <w:r>
              <w:rPr>
                <w:webHidden/>
                <w:rStyle w:val="IndexLink"/>
                <w:rtl w:val="true"/>
              </w:rPr>
              <w:t xml:space="preserve">سوم </w:t>
            </w:r>
            <w:r>
              <w:rPr>
                <w:rStyle w:val="IndexLink"/>
                <w:rtl w:val="true"/>
              </w:rPr>
              <w:t xml:space="preserve">- </w:t>
            </w:r>
            <w:r>
              <w:rPr>
                <w:rStyle w:val="IndexLink"/>
                <w:rtl w:val="true"/>
              </w:rPr>
              <w:t>كلينى و حكم مخالفان امامت</w:t>
            </w:r>
            <w:r>
              <w:rPr>
                <w:rStyle w:val="IndexLink"/>
                <w:rtl w:val="true"/>
              </w:rPr>
              <w:tab/>
            </w:r>
            <w:r>
              <w:rPr>
                <w:rStyle w:val="IndexLink"/>
              </w:rPr>
              <w:t>471</w:t>
            </w:r>
          </w:hyperlink>
        </w:p>
        <w:p>
          <w:pPr>
            <w:pStyle w:val="Contents3"/>
            <w:tabs>
              <w:tab w:val="clear" w:pos="8459"/>
              <w:tab w:val="right" w:pos="9026" w:leader="dot"/>
            </w:tabs>
            <w:rPr/>
          </w:pPr>
          <w:hyperlink w:anchor="__RefHeading___Toc3767433_3650668749">
            <w:r>
              <w:rPr>
                <w:webHidden/>
                <w:rStyle w:val="IndexLink"/>
                <w:rtl w:val="true"/>
              </w:rPr>
              <w:t>فصل دوم</w:t>
            </w:r>
            <w:r>
              <w:rPr>
                <w:rStyle w:val="IndexLink"/>
                <w:rtl w:val="true"/>
              </w:rPr>
              <w:t xml:space="preserve">: </w:t>
            </w:r>
            <w:r>
              <w:rPr>
                <w:rStyle w:val="IndexLink"/>
                <w:rtl w:val="true"/>
              </w:rPr>
              <w:t>عادل يا فاسق بودن صحابه</w:t>
            </w:r>
            <w:r>
              <w:rPr>
                <w:rStyle w:val="IndexLink"/>
                <w:rtl w:val="true"/>
              </w:rPr>
              <w:tab/>
            </w:r>
            <w:r>
              <w:rPr>
                <w:rStyle w:val="IndexLink"/>
              </w:rPr>
              <w:t>473</w:t>
            </w:r>
          </w:hyperlink>
        </w:p>
        <w:p>
          <w:pPr>
            <w:pStyle w:val="Contents4"/>
            <w:tabs>
              <w:tab w:val="clear" w:pos="8176"/>
              <w:tab w:val="right" w:pos="9026" w:leader="dot"/>
            </w:tabs>
            <w:rPr/>
          </w:pPr>
          <w:hyperlink w:anchor="__RefHeading___Toc3767435_3650668749">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3767437_3650668749">
            <w:r>
              <w:rPr>
                <w:webHidden/>
                <w:rStyle w:val="IndexLink"/>
              </w:rPr>
              <w:t>١</w:t>
            </w:r>
            <w:r>
              <w:rPr>
                <w:rStyle w:val="IndexLink"/>
                <w:rtl w:val="true"/>
              </w:rPr>
              <w:t xml:space="preserve">. </w:t>
            </w:r>
            <w:r>
              <w:rPr>
                <w:rStyle w:val="IndexLink"/>
                <w:rtl w:val="true"/>
              </w:rPr>
              <w:t>ديدگاه جمهور اهل‌سنّت نسبت به‌عدالت صحابه</w:t>
            </w:r>
            <w:r>
              <w:rPr>
                <w:rStyle w:val="IndexLink"/>
                <w:rtl w:val="true"/>
              </w:rPr>
              <w:tab/>
            </w:r>
            <w:r>
              <w:rPr>
                <w:rStyle w:val="IndexLink"/>
              </w:rPr>
              <w:t>474</w:t>
            </w:r>
          </w:hyperlink>
        </w:p>
        <w:p>
          <w:pPr>
            <w:pStyle w:val="Contents5"/>
            <w:tabs>
              <w:tab w:val="clear" w:pos="7892"/>
              <w:tab w:val="right" w:pos="9026" w:leader="dot"/>
            </w:tabs>
            <w:rPr/>
          </w:pPr>
          <w:hyperlink w:anchor="__RefHeading___Toc3767439_3650668749">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3767441_3650668749">
            <w:r>
              <w:rPr>
                <w:webHidden/>
                <w:rStyle w:val="IndexLink"/>
                <w:rtl w:val="true"/>
              </w:rPr>
              <w:t>الف</w:t>
            </w:r>
            <w:r>
              <w:rPr>
                <w:rStyle w:val="IndexLink"/>
                <w:rtl w:val="true"/>
              </w:rPr>
              <w:t xml:space="preserve">) </w:t>
            </w:r>
            <w:r>
              <w:rPr>
                <w:rStyle w:val="IndexLink"/>
                <w:rtl w:val="true"/>
              </w:rPr>
              <w:t>دلايل عدالت اصحاب</w:t>
            </w:r>
            <w:r>
              <w:rPr>
                <w:rStyle w:val="IndexLink"/>
                <w:rtl w:val="true"/>
              </w:rPr>
              <w:tab/>
            </w:r>
            <w:r>
              <w:rPr>
                <w:rStyle w:val="IndexLink"/>
              </w:rPr>
              <w:t>475</w:t>
            </w:r>
          </w:hyperlink>
        </w:p>
        <w:p>
          <w:pPr>
            <w:pStyle w:val="Contents6"/>
            <w:tabs>
              <w:tab w:val="clear" w:pos="7609"/>
              <w:tab w:val="right" w:pos="9026" w:leader="dot"/>
            </w:tabs>
            <w:rPr/>
          </w:pPr>
          <w:hyperlink w:anchor="__RefHeading___Toc3767443_3650668749">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3767445_3650668749">
            <w:r>
              <w:rPr>
                <w:webHidden/>
                <w:rStyle w:val="IndexLink"/>
                <w:rtl w:val="true"/>
              </w:rPr>
              <w:t>آيات قرآن كريم</w:t>
            </w:r>
            <w:r>
              <w:rPr>
                <w:rStyle w:val="IndexLink"/>
                <w:rtl w:val="true"/>
              </w:rPr>
              <w:tab/>
            </w:r>
            <w:r>
              <w:rPr>
                <w:rStyle w:val="IndexLink"/>
              </w:rPr>
              <w:t>476</w:t>
            </w:r>
          </w:hyperlink>
        </w:p>
        <w:p>
          <w:pPr>
            <w:pStyle w:val="Contents6"/>
            <w:tabs>
              <w:tab w:val="clear" w:pos="7609"/>
              <w:tab w:val="right" w:pos="9026" w:leader="dot"/>
            </w:tabs>
            <w:rPr/>
          </w:pPr>
          <w:hyperlink w:anchor="__RefHeading___Toc3767447_3650668749">
            <w:r>
              <w:rPr>
                <w:webHidden/>
                <w:rStyle w:val="IndexLink"/>
                <w:rtl w:val="true"/>
              </w:rPr>
              <w:t>احاديث و عدالت همه صحابه</w:t>
            </w:r>
            <w:r>
              <w:rPr>
                <w:rStyle w:val="IndexLink"/>
                <w:rtl w:val="true"/>
              </w:rPr>
              <w:tab/>
            </w:r>
            <w:r>
              <w:rPr>
                <w:rStyle w:val="IndexLink"/>
              </w:rPr>
              <w:t>477</w:t>
            </w:r>
          </w:hyperlink>
        </w:p>
        <w:p>
          <w:pPr>
            <w:pStyle w:val="Contents5"/>
            <w:tabs>
              <w:tab w:val="clear" w:pos="7892"/>
              <w:tab w:val="right" w:pos="9026" w:leader="dot"/>
            </w:tabs>
            <w:rPr/>
          </w:pPr>
          <w:hyperlink w:anchor="__RefHeading___Toc3767449_3650668749">
            <w:r>
              <w:rPr>
                <w:webHidden/>
                <w:rStyle w:val="IndexLink"/>
                <w:rtl w:val="true"/>
              </w:rPr>
              <w:t>ب</w:t>
            </w:r>
            <w:r>
              <w:rPr>
                <w:rStyle w:val="IndexLink"/>
                <w:rtl w:val="true"/>
              </w:rPr>
              <w:t xml:space="preserve">) </w:t>
            </w:r>
            <w:r>
              <w:rPr>
                <w:rStyle w:val="IndexLink"/>
                <w:rtl w:val="true"/>
              </w:rPr>
              <w:t>بررسى و نقد دلايل عدالت كل صحابه</w:t>
            </w:r>
            <w:r>
              <w:rPr>
                <w:rStyle w:val="IndexLink"/>
                <w:rtl w:val="true"/>
              </w:rPr>
              <w:tab/>
            </w:r>
            <w:r>
              <w:rPr>
                <w:rStyle w:val="IndexLink"/>
              </w:rPr>
              <w:t>478</w:t>
            </w:r>
          </w:hyperlink>
        </w:p>
        <w:p>
          <w:pPr>
            <w:pStyle w:val="Contents6"/>
            <w:tabs>
              <w:tab w:val="clear" w:pos="7609"/>
              <w:tab w:val="right" w:pos="9026" w:leader="dot"/>
            </w:tabs>
            <w:rPr/>
          </w:pPr>
          <w:hyperlink w:anchor="__RefHeading___Toc3767451_3650668749">
            <w:r>
              <w:rPr>
                <w:webHidden/>
                <w:rStyle w:val="IndexLink"/>
                <w:rtl w:val="true"/>
              </w:rPr>
              <w:t>بررسى آيات قرآن بر عدالت اصحاب</w:t>
            </w:r>
            <w:r>
              <w:rPr>
                <w:rStyle w:val="IndexLink"/>
                <w:rtl w:val="true"/>
              </w:rPr>
              <w:tab/>
            </w:r>
            <w:r>
              <w:rPr>
                <w:rStyle w:val="IndexLink"/>
              </w:rPr>
              <w:t>478</w:t>
            </w:r>
          </w:hyperlink>
        </w:p>
        <w:p>
          <w:pPr>
            <w:pStyle w:val="Contents6"/>
            <w:tabs>
              <w:tab w:val="clear" w:pos="7609"/>
              <w:tab w:val="right" w:pos="9026" w:leader="dot"/>
            </w:tabs>
            <w:rPr/>
          </w:pPr>
          <w:hyperlink w:anchor="__RefHeading___Toc3767453_3650668749">
            <w:r>
              <w:rPr>
                <w:webHidden/>
                <w:rStyle w:val="IndexLink"/>
                <w:rtl w:val="true"/>
              </w:rPr>
              <w:t>بررسى و چالش احاديث بر عدالت همه صحابه</w:t>
            </w:r>
            <w:r>
              <w:rPr>
                <w:rStyle w:val="IndexLink"/>
                <w:rtl w:val="true"/>
              </w:rPr>
              <w:tab/>
            </w:r>
            <w:r>
              <w:rPr>
                <w:rStyle w:val="IndexLink"/>
              </w:rPr>
              <w:t>484</w:t>
            </w:r>
          </w:hyperlink>
        </w:p>
        <w:p>
          <w:pPr>
            <w:pStyle w:val="Contents4"/>
            <w:tabs>
              <w:tab w:val="clear" w:pos="8176"/>
              <w:tab w:val="right" w:pos="9026" w:leader="dot"/>
            </w:tabs>
            <w:rPr/>
          </w:pPr>
          <w:hyperlink w:anchor="__RefHeading___Toc3767455_3650668749">
            <w:r>
              <w:rPr>
                <w:webHidden/>
                <w:rStyle w:val="IndexLink"/>
              </w:rPr>
              <w:t>٢</w:t>
            </w:r>
            <w:r>
              <w:rPr>
                <w:rStyle w:val="IndexLink"/>
                <w:rtl w:val="true"/>
              </w:rPr>
              <w:t xml:space="preserve">. </w:t>
            </w:r>
            <w:r>
              <w:rPr>
                <w:rStyle w:val="IndexLink"/>
                <w:rtl w:val="true"/>
              </w:rPr>
              <w:t>ديدگاه شيعه نسبت به‌عدالت صحابه</w:t>
            </w:r>
            <w:r>
              <w:rPr>
                <w:rStyle w:val="IndexLink"/>
                <w:rtl w:val="true"/>
              </w:rPr>
              <w:tab/>
            </w:r>
            <w:r>
              <w:rPr>
                <w:rStyle w:val="IndexLink"/>
              </w:rPr>
              <w:t>488</w:t>
            </w:r>
          </w:hyperlink>
        </w:p>
        <w:p>
          <w:pPr>
            <w:pStyle w:val="Contents5"/>
            <w:tabs>
              <w:tab w:val="clear" w:pos="7892"/>
              <w:tab w:val="right" w:pos="9026" w:leader="dot"/>
            </w:tabs>
            <w:rPr/>
          </w:pPr>
          <w:hyperlink w:anchor="__RefHeading___Toc3767457_3650668749">
            <w:r>
              <w:rPr>
                <w:webHidden/>
                <w:rStyle w:val="IndexLink"/>
                <w:rtl w:val="true"/>
              </w:rPr>
              <w:t>اشاره</w:t>
            </w:r>
            <w:r>
              <w:rPr>
                <w:rStyle w:val="IndexLink"/>
                <w:rtl w:val="true"/>
              </w:rPr>
              <w:tab/>
            </w:r>
            <w:r>
              <w:rPr>
                <w:rStyle w:val="IndexLink"/>
              </w:rPr>
              <w:t>488</w:t>
            </w:r>
          </w:hyperlink>
        </w:p>
        <w:p>
          <w:pPr>
            <w:pStyle w:val="Contents5"/>
            <w:tabs>
              <w:tab w:val="clear" w:pos="7892"/>
              <w:tab w:val="right" w:pos="9026" w:leader="dot"/>
            </w:tabs>
            <w:rPr/>
          </w:pPr>
          <w:hyperlink w:anchor="__RefHeading___Toc3767459_3650668749">
            <w:r>
              <w:rPr>
                <w:webHidden/>
                <w:rStyle w:val="IndexLink"/>
                <w:rtl w:val="true"/>
              </w:rPr>
              <w:t>الف</w:t>
            </w:r>
            <w:r>
              <w:rPr>
                <w:rStyle w:val="IndexLink"/>
                <w:rtl w:val="true"/>
              </w:rPr>
              <w:t xml:space="preserve">) </w:t>
            </w:r>
            <w:r>
              <w:rPr>
                <w:rStyle w:val="IndexLink"/>
                <w:rtl w:val="true"/>
              </w:rPr>
              <w:t>ملاك ارزيابى صحابى واقعى</w:t>
            </w:r>
            <w:r>
              <w:rPr>
                <w:rStyle w:val="IndexLink"/>
                <w:rtl w:val="true"/>
              </w:rPr>
              <w:tab/>
            </w:r>
            <w:r>
              <w:rPr>
                <w:rStyle w:val="IndexLink"/>
              </w:rPr>
              <w:t>488</w:t>
            </w:r>
          </w:hyperlink>
        </w:p>
        <w:p>
          <w:pPr>
            <w:pStyle w:val="Contents6"/>
            <w:tabs>
              <w:tab w:val="clear" w:pos="7609"/>
              <w:tab w:val="right" w:pos="9026" w:leader="dot"/>
            </w:tabs>
            <w:rPr/>
          </w:pPr>
          <w:hyperlink w:anchor="__RefHeading___Toc3767461_3650668749">
            <w:r>
              <w:rPr>
                <w:webHidden/>
                <w:rStyle w:val="IndexLink"/>
                <w:rtl w:val="true"/>
              </w:rPr>
              <w:t>اشاره</w:t>
            </w:r>
            <w:r>
              <w:rPr>
                <w:rStyle w:val="IndexLink"/>
                <w:rtl w:val="true"/>
              </w:rPr>
              <w:tab/>
            </w:r>
            <w:r>
              <w:rPr>
                <w:rStyle w:val="IndexLink"/>
              </w:rPr>
              <w:t>488</w:t>
            </w:r>
          </w:hyperlink>
        </w:p>
        <w:p>
          <w:pPr>
            <w:pStyle w:val="Contents6"/>
            <w:tabs>
              <w:tab w:val="clear" w:pos="7609"/>
              <w:tab w:val="right" w:pos="9026" w:leader="dot"/>
            </w:tabs>
            <w:rPr/>
          </w:pPr>
          <w:hyperlink w:anchor="__RefHeading___Toc3767463_3650668749">
            <w:r>
              <w:rPr>
                <w:webHidden/>
                <w:rStyle w:val="IndexLink"/>
                <w:rtl w:val="true"/>
              </w:rPr>
              <w:t xml:space="preserve">يك </w:t>
            </w:r>
            <w:r>
              <w:rPr>
                <w:rStyle w:val="IndexLink"/>
                <w:rtl w:val="true"/>
              </w:rPr>
              <w:t xml:space="preserve">- </w:t>
            </w:r>
            <w:r>
              <w:rPr>
                <w:rStyle w:val="IndexLink"/>
                <w:rtl w:val="true"/>
              </w:rPr>
              <w:t xml:space="preserve">چهره‌هاى مورد تأييد رسول‌الله </w:t>
            </w:r>
            <w:r>
              <w:rPr>
                <w:rStyle w:val="IndexLink"/>
                <w:rtl w:val="true"/>
              </w:rPr>
              <w:t>(</w:t>
            </w:r>
            <w:r>
              <w:rPr>
                <w:rStyle w:val="IndexLink"/>
                <w:rtl w:val="true"/>
              </w:rPr>
              <w:t>ص</w:t>
            </w:r>
            <w:r>
              <w:rPr>
                <w:rStyle w:val="IndexLink"/>
                <w:rtl w:val="true"/>
              </w:rPr>
              <w:t>)</w:t>
              <w:tab/>
            </w:r>
            <w:r>
              <w:rPr>
                <w:rStyle w:val="IndexLink"/>
              </w:rPr>
              <w:t>489</w:t>
            </w:r>
          </w:hyperlink>
        </w:p>
        <w:p>
          <w:pPr>
            <w:pStyle w:val="Contents6"/>
            <w:tabs>
              <w:tab w:val="clear" w:pos="7609"/>
              <w:tab w:val="right" w:pos="9026" w:leader="dot"/>
            </w:tabs>
            <w:rPr/>
          </w:pPr>
          <w:hyperlink w:anchor="__RefHeading___Toc3767465_3650668749">
            <w:r>
              <w:rPr>
                <w:webHidden/>
                <w:rStyle w:val="IndexLink"/>
                <w:rtl w:val="true"/>
              </w:rPr>
              <w:t xml:space="preserve">دو </w:t>
            </w:r>
            <w:r>
              <w:rPr>
                <w:rStyle w:val="IndexLink"/>
                <w:rtl w:val="true"/>
              </w:rPr>
              <w:t xml:space="preserve">- </w:t>
            </w:r>
            <w:r>
              <w:rPr>
                <w:rStyle w:val="IndexLink"/>
                <w:rtl w:val="true"/>
              </w:rPr>
              <w:t>عمل، محك ارزيابى</w:t>
            </w:r>
            <w:r>
              <w:rPr>
                <w:rStyle w:val="IndexLink"/>
                <w:rtl w:val="true"/>
              </w:rPr>
              <w:tab/>
            </w:r>
            <w:r>
              <w:rPr>
                <w:rStyle w:val="IndexLink"/>
              </w:rPr>
              <w:t>491</w:t>
            </w:r>
          </w:hyperlink>
        </w:p>
        <w:p>
          <w:pPr>
            <w:pStyle w:val="Contents5"/>
            <w:tabs>
              <w:tab w:val="clear" w:pos="7892"/>
              <w:tab w:val="right" w:pos="9026" w:leader="dot"/>
            </w:tabs>
            <w:rPr/>
          </w:pPr>
          <w:hyperlink w:anchor="__RefHeading___Toc3767467_3650668749">
            <w:r>
              <w:rPr>
                <w:webHidden/>
                <w:rStyle w:val="IndexLink"/>
                <w:rtl w:val="true"/>
              </w:rPr>
              <w:t>ب</w:t>
            </w:r>
            <w:r>
              <w:rPr>
                <w:rStyle w:val="IndexLink"/>
                <w:rtl w:val="true"/>
              </w:rPr>
              <w:t xml:space="preserve">) </w:t>
            </w:r>
            <w:r>
              <w:rPr>
                <w:rStyle w:val="IndexLink"/>
                <w:rtl w:val="true"/>
              </w:rPr>
              <w:t>خطا بودن ادعاى اجماع</w:t>
            </w:r>
            <w:r>
              <w:rPr>
                <w:rStyle w:val="IndexLink"/>
                <w:rtl w:val="true"/>
              </w:rPr>
              <w:tab/>
            </w:r>
            <w:r>
              <w:rPr>
                <w:rStyle w:val="IndexLink"/>
              </w:rPr>
              <w:t>496</w:t>
            </w:r>
          </w:hyperlink>
        </w:p>
        <w:p>
          <w:pPr>
            <w:pStyle w:val="Contents4"/>
            <w:tabs>
              <w:tab w:val="clear" w:pos="8176"/>
              <w:tab w:val="right" w:pos="9026" w:leader="dot"/>
            </w:tabs>
            <w:rPr/>
          </w:pPr>
          <w:hyperlink w:anchor="__RefHeading___Toc3767469_3650668749">
            <w:r>
              <w:rPr>
                <w:webHidden/>
                <w:rStyle w:val="IndexLink"/>
              </w:rPr>
              <w:t>٣</w:t>
            </w:r>
            <w:r>
              <w:rPr>
                <w:rStyle w:val="IndexLink"/>
                <w:rtl w:val="true"/>
              </w:rPr>
              <w:t xml:space="preserve">. </w:t>
            </w:r>
            <w:r>
              <w:rPr>
                <w:rStyle w:val="IndexLink"/>
                <w:rtl w:val="true"/>
              </w:rPr>
              <w:t>نقش كافى در مذمت و تكفير صحابه</w:t>
            </w:r>
            <w:r>
              <w:rPr>
                <w:rStyle w:val="IndexLink"/>
                <w:rtl w:val="true"/>
              </w:rPr>
              <w:tab/>
            </w:r>
            <w:r>
              <w:rPr>
                <w:rStyle w:val="IndexLink"/>
              </w:rPr>
              <w:t>499</w:t>
            </w:r>
          </w:hyperlink>
        </w:p>
        <w:p>
          <w:pPr>
            <w:pStyle w:val="Contents5"/>
            <w:tabs>
              <w:tab w:val="clear" w:pos="7892"/>
              <w:tab w:val="right" w:pos="9026" w:leader="dot"/>
            </w:tabs>
            <w:rPr/>
          </w:pPr>
          <w:hyperlink w:anchor="__RefHeading___Toc3767471_3650668749">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3767473_3650668749">
            <w:r>
              <w:rPr>
                <w:webHidden/>
                <w:rStyle w:val="IndexLink"/>
                <w:rtl w:val="true"/>
              </w:rPr>
              <w:t>بررسى و تبيين روايات</w:t>
            </w:r>
            <w:r>
              <w:rPr>
                <w:rStyle w:val="IndexLink"/>
                <w:rtl w:val="true"/>
              </w:rPr>
              <w:tab/>
            </w:r>
            <w:r>
              <w:rPr>
                <w:rStyle w:val="IndexLink"/>
              </w:rPr>
              <w:t>501</w:t>
            </w:r>
          </w:hyperlink>
        </w:p>
        <w:p>
          <w:pPr>
            <w:pStyle w:val="Contents6"/>
            <w:tabs>
              <w:tab w:val="clear" w:pos="7609"/>
              <w:tab w:val="right" w:pos="9026" w:leader="dot"/>
            </w:tabs>
            <w:rPr/>
          </w:pPr>
          <w:hyperlink w:anchor="__RefHeading___Toc3767475_3650668749">
            <w:r>
              <w:rPr>
                <w:webHidden/>
                <w:rStyle w:val="IndexLink"/>
                <w:rtl w:val="true"/>
              </w:rPr>
              <w:t>اشاره</w:t>
            </w:r>
            <w:r>
              <w:rPr>
                <w:rStyle w:val="IndexLink"/>
                <w:rtl w:val="true"/>
              </w:rPr>
              <w:tab/>
            </w:r>
            <w:r>
              <w:rPr>
                <w:rStyle w:val="IndexLink"/>
              </w:rPr>
              <w:t>501</w:t>
            </w:r>
          </w:hyperlink>
        </w:p>
        <w:p>
          <w:pPr>
            <w:pStyle w:val="Contents6"/>
            <w:tabs>
              <w:tab w:val="clear" w:pos="7609"/>
              <w:tab w:val="right" w:pos="9026" w:leader="dot"/>
            </w:tabs>
            <w:rPr/>
          </w:pPr>
          <w:hyperlink w:anchor="__RefHeading___Toc3767477_3650668749">
            <w:r>
              <w:rPr>
                <w:webHidden/>
                <w:rStyle w:val="IndexLink"/>
                <w:rtl w:val="true"/>
              </w:rPr>
              <w:t>الف</w:t>
            </w:r>
            <w:r>
              <w:rPr>
                <w:rStyle w:val="IndexLink"/>
                <w:rtl w:val="true"/>
              </w:rPr>
              <w:t xml:space="preserve">) </w:t>
            </w:r>
            <w:r>
              <w:rPr>
                <w:rStyle w:val="IndexLink"/>
                <w:rtl w:val="true"/>
              </w:rPr>
              <w:t>اختلاف در شأن نزول آيات</w:t>
            </w:r>
            <w:r>
              <w:rPr>
                <w:rStyle w:val="IndexLink"/>
                <w:rtl w:val="true"/>
              </w:rPr>
              <w:tab/>
            </w:r>
            <w:r>
              <w:rPr>
                <w:rStyle w:val="IndexLink"/>
              </w:rPr>
              <w:t>502</w:t>
            </w:r>
          </w:hyperlink>
        </w:p>
        <w:p>
          <w:pPr>
            <w:pStyle w:val="Contents6"/>
            <w:tabs>
              <w:tab w:val="clear" w:pos="7609"/>
              <w:tab w:val="right" w:pos="9026" w:leader="dot"/>
            </w:tabs>
            <w:rPr/>
          </w:pPr>
          <w:hyperlink w:anchor="__RefHeading___Toc3767479_3650668749">
            <w:r>
              <w:rPr>
                <w:webHidden/>
                <w:rStyle w:val="IndexLink"/>
                <w:rtl w:val="true"/>
              </w:rPr>
              <w:t>ب</w:t>
            </w:r>
            <w:r>
              <w:rPr>
                <w:rStyle w:val="IndexLink"/>
                <w:rtl w:val="true"/>
              </w:rPr>
              <w:t xml:space="preserve">) </w:t>
            </w:r>
            <w:r>
              <w:rPr>
                <w:rStyle w:val="IndexLink"/>
                <w:rtl w:val="true"/>
              </w:rPr>
              <w:t>مساوى نبودن ارتداد با خروج از دين</w:t>
            </w:r>
            <w:r>
              <w:rPr>
                <w:rStyle w:val="IndexLink"/>
                <w:rtl w:val="true"/>
              </w:rPr>
              <w:tab/>
            </w:r>
            <w:r>
              <w:rPr>
                <w:rStyle w:val="IndexLink"/>
              </w:rPr>
              <w:t>502</w:t>
            </w:r>
          </w:hyperlink>
        </w:p>
        <w:p>
          <w:pPr>
            <w:pStyle w:val="Contents6"/>
            <w:tabs>
              <w:tab w:val="clear" w:pos="7609"/>
              <w:tab w:val="right" w:pos="9026" w:leader="dot"/>
            </w:tabs>
            <w:rPr/>
          </w:pPr>
          <w:hyperlink w:anchor="__RefHeading___Toc3767481_3650668749">
            <w:r>
              <w:rPr>
                <w:webHidden/>
                <w:rStyle w:val="IndexLink"/>
                <w:rtl w:val="true"/>
              </w:rPr>
              <w:t>ج</w:t>
            </w:r>
            <w:r>
              <w:rPr>
                <w:rStyle w:val="IndexLink"/>
                <w:rtl w:val="true"/>
              </w:rPr>
              <w:t xml:space="preserve">) </w:t>
            </w:r>
            <w:r>
              <w:rPr>
                <w:rStyle w:val="IndexLink"/>
                <w:rtl w:val="true"/>
              </w:rPr>
              <w:t>استثناى سه نفر به‌عنوان سمبل</w:t>
            </w:r>
            <w:r>
              <w:rPr>
                <w:rStyle w:val="IndexLink"/>
                <w:rtl w:val="true"/>
              </w:rPr>
              <w:tab/>
            </w:r>
            <w:r>
              <w:rPr>
                <w:rStyle w:val="IndexLink"/>
              </w:rPr>
              <w:t>505</w:t>
            </w:r>
          </w:hyperlink>
        </w:p>
        <w:p>
          <w:pPr>
            <w:pStyle w:val="Contents4"/>
            <w:tabs>
              <w:tab w:val="clear" w:pos="8176"/>
              <w:tab w:val="right" w:pos="9026" w:leader="dot"/>
            </w:tabs>
            <w:rPr/>
          </w:pPr>
          <w:hyperlink w:anchor="__RefHeading___Toc3767483_3650668749">
            <w:r>
              <w:rPr>
                <w:webHidden/>
                <w:rStyle w:val="IndexLink"/>
              </w:rPr>
              <w:t>۴</w:t>
            </w:r>
            <w:r>
              <w:rPr>
                <w:rStyle w:val="IndexLink"/>
                <w:rtl w:val="true"/>
              </w:rPr>
              <w:t xml:space="preserve">. </w:t>
            </w:r>
            <w:r>
              <w:rPr>
                <w:rStyle w:val="IndexLink"/>
                <w:rtl w:val="true"/>
              </w:rPr>
              <w:t>نقش منابع اهل‌سنت در مرتد خواندن و تكفير صحابه</w:t>
            </w:r>
            <w:r>
              <w:rPr>
                <w:rStyle w:val="IndexLink"/>
                <w:rtl w:val="true"/>
              </w:rPr>
              <w:tab/>
            </w:r>
            <w:r>
              <w:rPr>
                <w:rStyle w:val="IndexLink"/>
              </w:rPr>
              <w:t>506</w:t>
            </w:r>
          </w:hyperlink>
        </w:p>
        <w:p>
          <w:pPr>
            <w:pStyle w:val="Contents5"/>
            <w:tabs>
              <w:tab w:val="clear" w:pos="7892"/>
              <w:tab w:val="right" w:pos="9026" w:leader="dot"/>
            </w:tabs>
            <w:rPr/>
          </w:pPr>
          <w:hyperlink w:anchor="__RefHeading___Toc3767485_3650668749">
            <w:r>
              <w:rPr>
                <w:webHidden/>
                <w:rStyle w:val="IndexLink"/>
                <w:rtl w:val="true"/>
              </w:rPr>
              <w:t>اشاره</w:t>
            </w:r>
            <w:r>
              <w:rPr>
                <w:rStyle w:val="IndexLink"/>
                <w:rtl w:val="true"/>
              </w:rPr>
              <w:tab/>
            </w:r>
            <w:r>
              <w:rPr>
                <w:rStyle w:val="IndexLink"/>
              </w:rPr>
              <w:t>506</w:t>
            </w:r>
          </w:hyperlink>
        </w:p>
        <w:p>
          <w:pPr>
            <w:pStyle w:val="Contents5"/>
            <w:tabs>
              <w:tab w:val="clear" w:pos="7892"/>
              <w:tab w:val="right" w:pos="9026" w:leader="dot"/>
            </w:tabs>
            <w:rPr/>
          </w:pPr>
          <w:hyperlink w:anchor="__RefHeading___Toc3767487_3650668749">
            <w:r>
              <w:rPr>
                <w:webHidden/>
                <w:rStyle w:val="IndexLink"/>
                <w:rtl w:val="true"/>
              </w:rPr>
              <w:t>الف</w:t>
            </w:r>
            <w:r>
              <w:rPr>
                <w:rStyle w:val="IndexLink"/>
                <w:rtl w:val="true"/>
              </w:rPr>
              <w:t xml:space="preserve">) </w:t>
            </w:r>
            <w:r>
              <w:rPr>
                <w:rStyle w:val="IndexLink"/>
                <w:rtl w:val="true"/>
              </w:rPr>
              <w:t>اصحاب دربند كشيده شده</w:t>
            </w:r>
            <w:r>
              <w:rPr>
                <w:rStyle w:val="IndexLink"/>
                <w:rtl w:val="true"/>
              </w:rPr>
              <w:tab/>
            </w:r>
            <w:r>
              <w:rPr>
                <w:rStyle w:val="IndexLink"/>
              </w:rPr>
              <w:t>506</w:t>
            </w:r>
          </w:hyperlink>
        </w:p>
        <w:p>
          <w:pPr>
            <w:pStyle w:val="Contents5"/>
            <w:tabs>
              <w:tab w:val="clear" w:pos="7892"/>
              <w:tab w:val="right" w:pos="9026" w:leader="dot"/>
            </w:tabs>
            <w:rPr/>
          </w:pPr>
          <w:hyperlink w:anchor="__RefHeading___Toc3767489_3650668749">
            <w:r>
              <w:rPr>
                <w:webHidden/>
                <w:rStyle w:val="IndexLink"/>
                <w:rtl w:val="true"/>
              </w:rPr>
              <w:t>ب</w:t>
            </w:r>
            <w:r>
              <w:rPr>
                <w:rStyle w:val="IndexLink"/>
                <w:rtl w:val="true"/>
              </w:rPr>
              <w:t xml:space="preserve">) </w:t>
            </w:r>
            <w:r>
              <w:rPr>
                <w:rStyle w:val="IndexLink"/>
                <w:rtl w:val="true"/>
              </w:rPr>
              <w:t>عدم اجازه ورود بر حوض</w:t>
            </w:r>
            <w:r>
              <w:rPr>
                <w:rStyle w:val="IndexLink"/>
                <w:rtl w:val="true"/>
              </w:rPr>
              <w:tab/>
            </w:r>
            <w:r>
              <w:rPr>
                <w:rStyle w:val="IndexLink"/>
              </w:rPr>
              <w:t>507</w:t>
            </w:r>
          </w:hyperlink>
        </w:p>
        <w:p>
          <w:pPr>
            <w:pStyle w:val="Contents5"/>
            <w:tabs>
              <w:tab w:val="clear" w:pos="7892"/>
              <w:tab w:val="right" w:pos="9026" w:leader="dot"/>
            </w:tabs>
            <w:rPr/>
          </w:pPr>
          <w:hyperlink w:anchor="__RefHeading___Toc3767491_3650668749">
            <w:r>
              <w:rPr>
                <w:webHidden/>
                <w:rStyle w:val="IndexLink"/>
                <w:rtl w:val="true"/>
              </w:rPr>
              <w:t>ج</w:t>
            </w:r>
            <w:r>
              <w:rPr>
                <w:rStyle w:val="IndexLink"/>
                <w:rtl w:val="true"/>
              </w:rPr>
              <w:t xml:space="preserve">) </w:t>
            </w:r>
            <w:r>
              <w:rPr>
                <w:rStyle w:val="IndexLink"/>
                <w:rtl w:val="true"/>
              </w:rPr>
              <w:t>دُور باد</w:t>
            </w:r>
            <w:r>
              <w:rPr>
                <w:rStyle w:val="IndexLink"/>
                <w:rtl w:val="true"/>
              </w:rPr>
              <w:t xml:space="preserve">! </w:t>
            </w:r>
            <w:r>
              <w:rPr>
                <w:rStyle w:val="IndexLink"/>
                <w:rtl w:val="true"/>
              </w:rPr>
              <w:t>دُور باد</w:t>
            </w:r>
            <w:r>
              <w:rPr>
                <w:rStyle w:val="IndexLink"/>
                <w:rtl w:val="true"/>
              </w:rPr>
              <w:t>!</w:t>
              <w:tab/>
            </w:r>
            <w:r>
              <w:rPr>
                <w:rStyle w:val="IndexLink"/>
              </w:rPr>
              <w:t>507</w:t>
            </w:r>
          </w:hyperlink>
        </w:p>
        <w:p>
          <w:pPr>
            <w:pStyle w:val="Contents5"/>
            <w:tabs>
              <w:tab w:val="clear" w:pos="7892"/>
              <w:tab w:val="right" w:pos="9026" w:leader="dot"/>
            </w:tabs>
            <w:rPr/>
          </w:pPr>
          <w:hyperlink w:anchor="__RefHeading___Toc3767493_3650668749">
            <w:r>
              <w:rPr>
                <w:webHidden/>
                <w:rStyle w:val="IndexLink"/>
                <w:rtl w:val="true"/>
              </w:rPr>
              <w:t>د</w:t>
            </w:r>
            <w:r>
              <w:rPr>
                <w:rStyle w:val="IndexLink"/>
                <w:rtl w:val="true"/>
              </w:rPr>
              <w:t xml:space="preserve">) </w:t>
            </w:r>
            <w:r>
              <w:rPr>
                <w:rStyle w:val="IndexLink"/>
                <w:rtl w:val="true"/>
              </w:rPr>
              <w:t>ارتكاب جنايت</w:t>
            </w:r>
            <w:r>
              <w:rPr>
                <w:rStyle w:val="IndexLink"/>
                <w:rtl w:val="true"/>
              </w:rPr>
              <w:tab/>
            </w:r>
            <w:r>
              <w:rPr>
                <w:rStyle w:val="IndexLink"/>
              </w:rPr>
              <w:t>508</w:t>
            </w:r>
          </w:hyperlink>
        </w:p>
        <w:p>
          <w:pPr>
            <w:pStyle w:val="Contents5"/>
            <w:tabs>
              <w:tab w:val="clear" w:pos="7892"/>
              <w:tab w:val="right" w:pos="9026" w:leader="dot"/>
            </w:tabs>
            <w:rPr/>
          </w:pPr>
          <w:hyperlink w:anchor="__RefHeading___Toc3767495_3650668749">
            <w:r>
              <w:rPr>
                <w:webHidden/>
                <w:rStyle w:val="IndexLink"/>
                <w:rtl w:val="true"/>
              </w:rPr>
              <w:t>ه</w:t>
            </w:r>
            <w:r>
              <w:rPr>
                <w:rStyle w:val="IndexLink"/>
                <w:rtl w:val="true"/>
              </w:rPr>
              <w:t xml:space="preserve">) </w:t>
            </w:r>
            <w:r>
              <w:rPr>
                <w:rStyle w:val="IndexLink"/>
                <w:rtl w:val="true"/>
              </w:rPr>
              <w:t>بازگشت به‌قهقرى</w:t>
            </w:r>
            <w:r>
              <w:rPr>
                <w:rStyle w:val="IndexLink"/>
                <w:rtl w:val="true"/>
              </w:rPr>
              <w:tab/>
            </w:r>
            <w:r>
              <w:rPr>
                <w:rStyle w:val="IndexLink"/>
              </w:rPr>
              <w:t>508</w:t>
            </w:r>
          </w:hyperlink>
        </w:p>
        <w:p>
          <w:pPr>
            <w:pStyle w:val="Contents5"/>
            <w:tabs>
              <w:tab w:val="clear" w:pos="7892"/>
              <w:tab w:val="right" w:pos="9026" w:leader="dot"/>
            </w:tabs>
            <w:rPr/>
          </w:pPr>
          <w:hyperlink w:anchor="__RefHeading___Toc3767497_3650668749">
            <w:r>
              <w:rPr>
                <w:webHidden/>
                <w:rStyle w:val="IndexLink"/>
                <w:rtl w:val="true"/>
              </w:rPr>
              <w:t>و</w:t>
            </w:r>
            <w:r>
              <w:rPr>
                <w:rStyle w:val="IndexLink"/>
                <w:rtl w:val="true"/>
              </w:rPr>
              <w:t xml:space="preserve">) </w:t>
            </w:r>
            <w:r>
              <w:rPr>
                <w:rStyle w:val="IndexLink"/>
                <w:rtl w:val="true"/>
              </w:rPr>
              <w:t>به كفر باز نگرديد</w:t>
            </w:r>
            <w:r>
              <w:rPr>
                <w:rStyle w:val="IndexLink"/>
                <w:rtl w:val="true"/>
              </w:rPr>
              <w:t>!</w:t>
              <w:tab/>
            </w:r>
            <w:r>
              <w:rPr>
                <w:rStyle w:val="IndexLink"/>
              </w:rPr>
              <w:t>508</w:t>
            </w:r>
          </w:hyperlink>
        </w:p>
        <w:p>
          <w:pPr>
            <w:pStyle w:val="Contents5"/>
            <w:tabs>
              <w:tab w:val="clear" w:pos="7892"/>
              <w:tab w:val="right" w:pos="9026" w:leader="dot"/>
            </w:tabs>
            <w:rPr/>
          </w:pPr>
          <w:hyperlink w:anchor="__RefHeading___Toc3767499_3650668749">
            <w:r>
              <w:rPr>
                <w:webHidden/>
                <w:rStyle w:val="IndexLink"/>
                <w:rtl w:val="true"/>
              </w:rPr>
              <w:t>ز</w:t>
            </w:r>
            <w:r>
              <w:rPr>
                <w:rStyle w:val="IndexLink"/>
                <w:rtl w:val="true"/>
              </w:rPr>
              <w:t xml:space="preserve">) </w:t>
            </w:r>
            <w:r>
              <w:rPr>
                <w:rStyle w:val="IndexLink"/>
                <w:rtl w:val="true"/>
              </w:rPr>
              <w:t>پيروى از دين يهود و نصارى</w:t>
            </w:r>
            <w:r>
              <w:rPr>
                <w:rStyle w:val="IndexLink"/>
                <w:rtl w:val="true"/>
              </w:rPr>
              <w:t>!</w:t>
              <w:tab/>
            </w:r>
            <w:r>
              <w:rPr>
                <w:rStyle w:val="IndexLink"/>
              </w:rPr>
              <w:t>509</w:t>
            </w:r>
          </w:hyperlink>
        </w:p>
        <w:p>
          <w:pPr>
            <w:pStyle w:val="Contents3"/>
            <w:tabs>
              <w:tab w:val="clear" w:pos="8459"/>
              <w:tab w:val="right" w:pos="9026" w:leader="dot"/>
            </w:tabs>
            <w:rPr/>
          </w:pPr>
          <w:hyperlink w:anchor="__RefHeading___Toc3767501_3650668749">
            <w:r>
              <w:rPr>
                <w:webHidden/>
                <w:rStyle w:val="IndexLink"/>
                <w:rtl w:val="true"/>
              </w:rPr>
              <w:t>فصل سوم</w:t>
            </w:r>
            <w:r>
              <w:rPr>
                <w:rStyle w:val="IndexLink"/>
                <w:rtl w:val="true"/>
              </w:rPr>
              <w:t xml:space="preserve">: </w:t>
            </w:r>
            <w:r>
              <w:rPr>
                <w:rStyle w:val="IndexLink"/>
                <w:rtl w:val="true"/>
              </w:rPr>
              <w:t>تكفير، سَبّ و مُعذّب بودن شيخين</w:t>
            </w:r>
            <w:r>
              <w:rPr>
                <w:rStyle w:val="IndexLink"/>
                <w:rtl w:val="true"/>
              </w:rPr>
              <w:tab/>
            </w:r>
            <w:r>
              <w:rPr>
                <w:rStyle w:val="IndexLink"/>
              </w:rPr>
              <w:t>513</w:t>
            </w:r>
          </w:hyperlink>
        </w:p>
        <w:p>
          <w:pPr>
            <w:pStyle w:val="Contents4"/>
            <w:tabs>
              <w:tab w:val="clear" w:pos="8176"/>
              <w:tab w:val="right" w:pos="9026" w:leader="dot"/>
            </w:tabs>
            <w:rPr/>
          </w:pPr>
          <w:hyperlink w:anchor="__RefHeading___Toc3767503_3650668749">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3767505_3650668749">
            <w:r>
              <w:rPr>
                <w:webHidden/>
                <w:rStyle w:val="IndexLink"/>
              </w:rPr>
              <w:t>١</w:t>
            </w:r>
            <w:r>
              <w:rPr>
                <w:rStyle w:val="IndexLink"/>
                <w:rtl w:val="true"/>
              </w:rPr>
              <w:t xml:space="preserve">. </w:t>
            </w:r>
            <w:r>
              <w:rPr>
                <w:rStyle w:val="IndexLink"/>
                <w:rtl w:val="true"/>
              </w:rPr>
              <w:t>طرح اشكال تكفير و</w:t>
            </w:r>
            <w:r>
              <w:rPr>
                <w:rStyle w:val="IndexLink"/>
                <w:rtl w:val="true"/>
              </w:rPr>
              <w:t>. . .</w:t>
              <w:tab/>
            </w:r>
            <w:r>
              <w:rPr>
                <w:rStyle w:val="IndexLink"/>
              </w:rPr>
              <w:t>513</w:t>
            </w:r>
          </w:hyperlink>
        </w:p>
        <w:p>
          <w:pPr>
            <w:pStyle w:val="Contents4"/>
            <w:tabs>
              <w:tab w:val="clear" w:pos="8176"/>
              <w:tab w:val="right" w:pos="9026" w:leader="dot"/>
            </w:tabs>
            <w:rPr/>
          </w:pPr>
          <w:hyperlink w:anchor="__RefHeading___Toc3767507_3650668749">
            <w:r>
              <w:rPr>
                <w:webHidden/>
                <w:rStyle w:val="IndexLink"/>
              </w:rPr>
              <w:t>٢</w:t>
            </w:r>
            <w:r>
              <w:rPr>
                <w:rStyle w:val="IndexLink"/>
                <w:rtl w:val="true"/>
              </w:rPr>
              <w:t xml:space="preserve">. </w:t>
            </w:r>
            <w:r>
              <w:rPr>
                <w:rStyle w:val="IndexLink"/>
                <w:rtl w:val="true"/>
              </w:rPr>
              <w:t>ارزيابى و نقد اين اشكال</w:t>
            </w:r>
            <w:r>
              <w:rPr>
                <w:rStyle w:val="IndexLink"/>
                <w:rtl w:val="true"/>
              </w:rPr>
              <w:tab/>
            </w:r>
            <w:r>
              <w:rPr>
                <w:rStyle w:val="IndexLink"/>
              </w:rPr>
              <w:t>514</w:t>
            </w:r>
          </w:hyperlink>
        </w:p>
        <w:p>
          <w:pPr>
            <w:pStyle w:val="Contents5"/>
            <w:tabs>
              <w:tab w:val="clear" w:pos="7892"/>
              <w:tab w:val="right" w:pos="9026" w:leader="dot"/>
            </w:tabs>
            <w:rPr/>
          </w:pPr>
          <w:hyperlink w:anchor="__RefHeading___Toc3767509_3650668749">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3767511_3650668749">
            <w:r>
              <w:rPr>
                <w:webHidden/>
                <w:rStyle w:val="IndexLink"/>
                <w:rtl w:val="true"/>
              </w:rPr>
              <w:t>الف</w:t>
            </w:r>
            <w:r>
              <w:rPr>
                <w:rStyle w:val="IndexLink"/>
                <w:rtl w:val="true"/>
              </w:rPr>
              <w:t xml:space="preserve">) </w:t>
            </w:r>
            <w:r>
              <w:rPr>
                <w:rStyle w:val="IndexLink"/>
                <w:rtl w:val="true"/>
              </w:rPr>
              <w:t>ادعاى بى‌دليل</w:t>
            </w:r>
            <w:r>
              <w:rPr>
                <w:rStyle w:val="IndexLink"/>
                <w:rtl w:val="true"/>
              </w:rPr>
              <w:tab/>
            </w:r>
            <w:r>
              <w:rPr>
                <w:rStyle w:val="IndexLink"/>
              </w:rPr>
              <w:t>515</w:t>
            </w:r>
          </w:hyperlink>
        </w:p>
        <w:p>
          <w:pPr>
            <w:pStyle w:val="Contents5"/>
            <w:tabs>
              <w:tab w:val="clear" w:pos="7892"/>
              <w:tab w:val="right" w:pos="9026" w:leader="dot"/>
            </w:tabs>
            <w:rPr/>
          </w:pPr>
          <w:hyperlink w:anchor="__RefHeading___Toc3767513_3650668749">
            <w:r>
              <w:rPr>
                <w:webHidden/>
                <w:rStyle w:val="IndexLink"/>
                <w:rtl w:val="true"/>
              </w:rPr>
              <w:t>ب</w:t>
            </w:r>
            <w:r>
              <w:rPr>
                <w:rStyle w:val="IndexLink"/>
                <w:rtl w:val="true"/>
              </w:rPr>
              <w:t xml:space="preserve">) </w:t>
            </w:r>
            <w:r>
              <w:rPr>
                <w:rStyle w:val="IndexLink"/>
                <w:rtl w:val="true"/>
              </w:rPr>
              <w:t xml:space="preserve">نامه امام ابى‌الحسن موسى </w:t>
            </w:r>
            <w:r>
              <w:rPr>
                <w:rStyle w:val="IndexLink"/>
                <w:rtl w:val="true"/>
              </w:rPr>
              <w:t>(</w:t>
            </w:r>
            <w:r>
              <w:rPr>
                <w:rStyle w:val="IndexLink"/>
                <w:rtl w:val="true"/>
              </w:rPr>
              <w:t>ع</w:t>
            </w:r>
            <w:r>
              <w:rPr>
                <w:rStyle w:val="IndexLink"/>
                <w:rtl w:val="true"/>
              </w:rPr>
              <w:t>)</w:t>
              <w:tab/>
            </w:r>
            <w:r>
              <w:rPr>
                <w:rStyle w:val="IndexLink"/>
              </w:rPr>
              <w:t>516</w:t>
            </w:r>
          </w:hyperlink>
        </w:p>
        <w:p>
          <w:pPr>
            <w:pStyle w:val="Contents5"/>
            <w:tabs>
              <w:tab w:val="clear" w:pos="7892"/>
              <w:tab w:val="right" w:pos="9026" w:leader="dot"/>
            </w:tabs>
            <w:rPr/>
          </w:pPr>
          <w:hyperlink w:anchor="__RefHeading___Toc3767515_3650668749">
            <w:r>
              <w:rPr>
                <w:webHidden/>
                <w:rStyle w:val="IndexLink"/>
                <w:rtl w:val="true"/>
              </w:rPr>
              <w:t>ج</w:t>
            </w:r>
            <w:r>
              <w:rPr>
                <w:rStyle w:val="IndexLink"/>
                <w:rtl w:val="true"/>
              </w:rPr>
              <w:t xml:space="preserve">) </w:t>
            </w:r>
            <w:r>
              <w:rPr>
                <w:rStyle w:val="IndexLink"/>
                <w:rtl w:val="true"/>
              </w:rPr>
              <w:t>عدم ايمان واقعى شيخين</w:t>
            </w:r>
            <w:r>
              <w:rPr>
                <w:rStyle w:val="IndexLink"/>
                <w:rtl w:val="true"/>
              </w:rPr>
              <w:tab/>
            </w:r>
            <w:r>
              <w:rPr>
                <w:rStyle w:val="IndexLink"/>
              </w:rPr>
              <w:t>517</w:t>
            </w:r>
          </w:hyperlink>
        </w:p>
        <w:p>
          <w:pPr>
            <w:pStyle w:val="Contents5"/>
            <w:tabs>
              <w:tab w:val="clear" w:pos="7892"/>
              <w:tab w:val="right" w:pos="9026" w:leader="dot"/>
            </w:tabs>
            <w:rPr/>
          </w:pPr>
          <w:hyperlink w:anchor="__RefHeading___Toc3767517_3650668749">
            <w:r>
              <w:rPr>
                <w:webHidden/>
                <w:rStyle w:val="IndexLink"/>
                <w:rtl w:val="true"/>
              </w:rPr>
              <w:t>د</w:t>
            </w:r>
            <w:r>
              <w:rPr>
                <w:rStyle w:val="IndexLink"/>
                <w:rtl w:val="true"/>
              </w:rPr>
              <w:t xml:space="preserve">) </w:t>
            </w:r>
            <w:r>
              <w:rPr>
                <w:rStyle w:val="IndexLink"/>
                <w:rtl w:val="true"/>
              </w:rPr>
              <w:t>ادعاى سبّ و لعن ابابكر وعمر</w:t>
            </w:r>
            <w:r>
              <w:rPr>
                <w:rStyle w:val="IndexLink"/>
                <w:rtl w:val="true"/>
              </w:rPr>
              <w:t>!</w:t>
              <w:tab/>
            </w:r>
            <w:r>
              <w:rPr>
                <w:rStyle w:val="IndexLink"/>
              </w:rPr>
              <w:t>524</w:t>
            </w:r>
          </w:hyperlink>
        </w:p>
        <w:p>
          <w:pPr>
            <w:pStyle w:val="Contents4"/>
            <w:tabs>
              <w:tab w:val="clear" w:pos="8176"/>
              <w:tab w:val="right" w:pos="9026" w:leader="dot"/>
            </w:tabs>
            <w:rPr/>
          </w:pPr>
          <w:hyperlink w:anchor="__RefHeading___Toc3767519_3650668749">
            <w:r>
              <w:rPr>
                <w:webHidden/>
                <w:rStyle w:val="IndexLink"/>
              </w:rPr>
              <w:t>٣</w:t>
            </w:r>
            <w:r>
              <w:rPr>
                <w:rStyle w:val="IndexLink"/>
                <w:rtl w:val="true"/>
              </w:rPr>
              <w:t xml:space="preserve">. </w:t>
            </w:r>
            <w:r>
              <w:rPr>
                <w:rStyle w:val="IndexLink"/>
                <w:rtl w:val="true"/>
              </w:rPr>
              <w:t>ارزيابى و باز خوانى اتهام</w:t>
            </w:r>
            <w:r>
              <w:rPr>
                <w:rStyle w:val="IndexLink"/>
                <w:rtl w:val="true"/>
              </w:rPr>
              <w:tab/>
            </w:r>
            <w:r>
              <w:rPr>
                <w:rStyle w:val="IndexLink"/>
              </w:rPr>
              <w:t>525</w:t>
            </w:r>
          </w:hyperlink>
        </w:p>
        <w:p>
          <w:pPr>
            <w:pStyle w:val="Contents5"/>
            <w:tabs>
              <w:tab w:val="clear" w:pos="7892"/>
              <w:tab w:val="right" w:pos="9026" w:leader="dot"/>
            </w:tabs>
            <w:rPr/>
          </w:pPr>
          <w:hyperlink w:anchor="__RefHeading___Toc3767521_3650668749">
            <w:r>
              <w:rPr>
                <w:webHidden/>
                <w:rStyle w:val="IndexLink"/>
                <w:rtl w:val="true"/>
              </w:rPr>
              <w:t>اشاره</w:t>
            </w:r>
            <w:r>
              <w:rPr>
                <w:rStyle w:val="IndexLink"/>
                <w:rtl w:val="true"/>
              </w:rPr>
              <w:tab/>
            </w:r>
            <w:r>
              <w:rPr>
                <w:rStyle w:val="IndexLink"/>
              </w:rPr>
              <w:t>525</w:t>
            </w:r>
          </w:hyperlink>
        </w:p>
        <w:p>
          <w:pPr>
            <w:pStyle w:val="Contents5"/>
            <w:tabs>
              <w:tab w:val="clear" w:pos="7892"/>
              <w:tab w:val="right" w:pos="9026" w:leader="dot"/>
            </w:tabs>
            <w:rPr/>
          </w:pPr>
          <w:hyperlink w:anchor="__RefHeading___Toc3767523_3650668749">
            <w:r>
              <w:rPr>
                <w:webHidden/>
                <w:rStyle w:val="IndexLink"/>
                <w:rtl w:val="true"/>
              </w:rPr>
              <w:t>الف</w:t>
            </w:r>
            <w:r>
              <w:rPr>
                <w:rStyle w:val="IndexLink"/>
                <w:rtl w:val="true"/>
              </w:rPr>
              <w:t xml:space="preserve">) </w:t>
            </w:r>
            <w:r>
              <w:rPr>
                <w:rStyle w:val="IndexLink"/>
                <w:rtl w:val="true"/>
              </w:rPr>
              <w:t>تفاوت مفهوم سَبّ و لعن</w:t>
            </w:r>
            <w:r>
              <w:rPr>
                <w:rStyle w:val="IndexLink"/>
                <w:rtl w:val="true"/>
              </w:rPr>
              <w:tab/>
            </w:r>
            <w:r>
              <w:rPr>
                <w:rStyle w:val="IndexLink"/>
              </w:rPr>
              <w:t>525</w:t>
            </w:r>
          </w:hyperlink>
        </w:p>
        <w:p>
          <w:pPr>
            <w:pStyle w:val="Contents5"/>
            <w:tabs>
              <w:tab w:val="clear" w:pos="7892"/>
              <w:tab w:val="right" w:pos="9026" w:leader="dot"/>
            </w:tabs>
            <w:rPr/>
          </w:pPr>
          <w:hyperlink w:anchor="__RefHeading___Toc3767525_3650668749">
            <w:r>
              <w:rPr>
                <w:webHidden/>
                <w:rStyle w:val="IndexLink"/>
                <w:rtl w:val="true"/>
              </w:rPr>
              <w:t>ب</w:t>
            </w:r>
            <w:r>
              <w:rPr>
                <w:rStyle w:val="IndexLink"/>
                <w:rtl w:val="true"/>
              </w:rPr>
              <w:t xml:space="preserve">) </w:t>
            </w:r>
            <w:r>
              <w:rPr>
                <w:rStyle w:val="IndexLink"/>
                <w:rtl w:val="true"/>
              </w:rPr>
              <w:t>ممنوعيت سَبّ و دشنام در روايات شيعه</w:t>
            </w:r>
            <w:r>
              <w:rPr>
                <w:rStyle w:val="IndexLink"/>
                <w:rtl w:val="true"/>
              </w:rPr>
              <w:tab/>
            </w:r>
            <w:r>
              <w:rPr>
                <w:rStyle w:val="IndexLink"/>
              </w:rPr>
              <w:t>527</w:t>
            </w:r>
          </w:hyperlink>
        </w:p>
        <w:p>
          <w:pPr>
            <w:pStyle w:val="Contents3"/>
            <w:tabs>
              <w:tab w:val="clear" w:pos="8459"/>
              <w:tab w:val="right" w:pos="9026" w:leader="dot"/>
            </w:tabs>
            <w:rPr/>
          </w:pPr>
          <w:hyperlink w:anchor="__RefHeading___Toc3767527_3650668749">
            <w:r>
              <w:rPr>
                <w:webHidden/>
                <w:rStyle w:val="IndexLink"/>
                <w:rtl w:val="true"/>
              </w:rPr>
              <w:t>فصل چهارم</w:t>
            </w:r>
            <w:r>
              <w:rPr>
                <w:rStyle w:val="IndexLink"/>
                <w:rtl w:val="true"/>
              </w:rPr>
              <w:t xml:space="preserve">: </w:t>
            </w:r>
            <w:r>
              <w:rPr>
                <w:rStyle w:val="IndexLink"/>
                <w:rtl w:val="true"/>
              </w:rPr>
              <w:t xml:space="preserve">تكفير و لعن اُمّ المؤمنين عايشه </w:t>
            </w:r>
            <w:r>
              <w:rPr>
                <w:rStyle w:val="IndexLink"/>
                <w:rtl w:val="true"/>
              </w:rPr>
              <w:t>(</w:t>
            </w:r>
            <w:r>
              <w:rPr>
                <w:rStyle w:val="IndexLink"/>
                <w:rtl w:val="true"/>
              </w:rPr>
              <w:t>م</w:t>
            </w:r>
            <w:r>
              <w:rPr>
                <w:rStyle w:val="IndexLink"/>
              </w:rPr>
              <w:t>۵٧</w:t>
            </w:r>
            <w:r>
              <w:rPr>
                <w:rStyle w:val="IndexLink"/>
                <w:rtl w:val="true"/>
              </w:rPr>
              <w:t>ق</w:t>
            </w:r>
            <w:r>
              <w:rPr>
                <w:rStyle w:val="IndexLink"/>
                <w:rtl w:val="true"/>
              </w:rPr>
              <w:t>)</w:t>
              <w:tab/>
            </w:r>
            <w:r>
              <w:rPr>
                <w:rStyle w:val="IndexLink"/>
              </w:rPr>
              <w:t>535</w:t>
            </w:r>
          </w:hyperlink>
        </w:p>
        <w:p>
          <w:pPr>
            <w:pStyle w:val="Contents4"/>
            <w:tabs>
              <w:tab w:val="clear" w:pos="8176"/>
              <w:tab w:val="right" w:pos="9026" w:leader="dot"/>
            </w:tabs>
            <w:rPr/>
          </w:pPr>
          <w:hyperlink w:anchor="__RefHeading___Toc3767529_3650668749">
            <w:r>
              <w:rPr>
                <w:webHidden/>
                <w:rStyle w:val="IndexLink"/>
              </w:rPr>
              <w:t>١</w:t>
            </w:r>
            <w:r>
              <w:rPr>
                <w:rStyle w:val="IndexLink"/>
                <w:rtl w:val="true"/>
              </w:rPr>
              <w:t xml:space="preserve">. </w:t>
            </w:r>
            <w:r>
              <w:rPr>
                <w:rStyle w:val="IndexLink"/>
                <w:rtl w:val="true"/>
              </w:rPr>
              <w:t>طرح اشكال</w:t>
            </w:r>
            <w:r>
              <w:rPr>
                <w:rStyle w:val="IndexLink"/>
                <w:rtl w:val="true"/>
              </w:rPr>
              <w:tab/>
            </w:r>
            <w:r>
              <w:rPr>
                <w:rStyle w:val="IndexLink"/>
              </w:rPr>
              <w:t>535</w:t>
            </w:r>
          </w:hyperlink>
        </w:p>
        <w:p>
          <w:pPr>
            <w:pStyle w:val="Contents4"/>
            <w:tabs>
              <w:tab w:val="clear" w:pos="8176"/>
              <w:tab w:val="right" w:pos="9026" w:leader="dot"/>
            </w:tabs>
            <w:rPr/>
          </w:pPr>
          <w:hyperlink w:anchor="__RefHeading___Toc3767531_3650668749">
            <w:r>
              <w:rPr>
                <w:webHidden/>
                <w:rStyle w:val="IndexLink"/>
              </w:rPr>
              <w:t>٢</w:t>
            </w:r>
            <w:r>
              <w:rPr>
                <w:rStyle w:val="IndexLink"/>
                <w:rtl w:val="true"/>
              </w:rPr>
              <w:t xml:space="preserve">. </w:t>
            </w:r>
            <w:r>
              <w:rPr>
                <w:rStyle w:val="IndexLink"/>
                <w:rtl w:val="true"/>
              </w:rPr>
              <w:t>بررسى و نقد اين اشكال</w:t>
            </w:r>
            <w:r>
              <w:rPr>
                <w:rStyle w:val="IndexLink"/>
                <w:rtl w:val="true"/>
              </w:rPr>
              <w:tab/>
            </w:r>
            <w:r>
              <w:rPr>
                <w:rStyle w:val="IndexLink"/>
              </w:rPr>
              <w:t>536</w:t>
            </w:r>
          </w:hyperlink>
        </w:p>
        <w:p>
          <w:pPr>
            <w:pStyle w:val="Contents5"/>
            <w:tabs>
              <w:tab w:val="clear" w:pos="7892"/>
              <w:tab w:val="right" w:pos="9026" w:leader="dot"/>
            </w:tabs>
            <w:rPr/>
          </w:pPr>
          <w:hyperlink w:anchor="__RefHeading___Toc3767533_3650668749">
            <w:r>
              <w:rPr>
                <w:webHidden/>
                <w:rStyle w:val="IndexLink"/>
                <w:rtl w:val="true"/>
              </w:rPr>
              <w:t>اشاره</w:t>
            </w:r>
            <w:r>
              <w:rPr>
                <w:rStyle w:val="IndexLink"/>
                <w:rtl w:val="true"/>
              </w:rPr>
              <w:tab/>
            </w:r>
            <w:r>
              <w:rPr>
                <w:rStyle w:val="IndexLink"/>
              </w:rPr>
              <w:t>536</w:t>
            </w:r>
          </w:hyperlink>
        </w:p>
        <w:p>
          <w:pPr>
            <w:pStyle w:val="Contents5"/>
            <w:tabs>
              <w:tab w:val="clear" w:pos="7892"/>
              <w:tab w:val="right" w:pos="9026" w:leader="dot"/>
            </w:tabs>
            <w:rPr/>
          </w:pPr>
          <w:hyperlink w:anchor="__RefHeading___Toc3767535_3650668749">
            <w:r>
              <w:rPr>
                <w:webHidden/>
                <w:rStyle w:val="IndexLink"/>
                <w:rtl w:val="true"/>
              </w:rPr>
              <w:t>الف</w:t>
            </w:r>
            <w:r>
              <w:rPr>
                <w:rStyle w:val="IndexLink"/>
                <w:rtl w:val="true"/>
              </w:rPr>
              <w:t xml:space="preserve">) </w:t>
            </w:r>
            <w:r>
              <w:rPr>
                <w:rStyle w:val="IndexLink"/>
                <w:rtl w:val="true"/>
              </w:rPr>
              <w:t>عدم خروج از اسلام</w:t>
            </w:r>
            <w:r>
              <w:rPr>
                <w:rStyle w:val="IndexLink"/>
                <w:rtl w:val="true"/>
              </w:rPr>
              <w:tab/>
            </w:r>
            <w:r>
              <w:rPr>
                <w:rStyle w:val="IndexLink"/>
              </w:rPr>
              <w:t>536</w:t>
            </w:r>
          </w:hyperlink>
        </w:p>
        <w:p>
          <w:pPr>
            <w:pStyle w:val="Contents5"/>
            <w:tabs>
              <w:tab w:val="clear" w:pos="7892"/>
              <w:tab w:val="right" w:pos="9026" w:leader="dot"/>
            </w:tabs>
            <w:rPr/>
          </w:pPr>
          <w:hyperlink w:anchor="__RefHeading___Toc3767537_3650668749">
            <w:r>
              <w:rPr>
                <w:webHidden/>
                <w:rStyle w:val="IndexLink"/>
                <w:rtl w:val="true"/>
              </w:rPr>
              <w:t>ب</w:t>
            </w:r>
            <w:r>
              <w:rPr>
                <w:rStyle w:val="IndexLink"/>
                <w:rtl w:val="true"/>
              </w:rPr>
              <w:t xml:space="preserve">) </w:t>
            </w:r>
            <w:r>
              <w:rPr>
                <w:rStyle w:val="IndexLink"/>
                <w:rtl w:val="true"/>
              </w:rPr>
              <w:t>اتهام بزرگ</w:t>
            </w:r>
            <w:r>
              <w:rPr>
                <w:rStyle w:val="IndexLink"/>
                <w:rtl w:val="true"/>
              </w:rPr>
              <w:tab/>
            </w:r>
            <w:r>
              <w:rPr>
                <w:rStyle w:val="IndexLink"/>
              </w:rPr>
              <w:t>536</w:t>
            </w:r>
          </w:hyperlink>
        </w:p>
        <w:p>
          <w:pPr>
            <w:pStyle w:val="Contents5"/>
            <w:tabs>
              <w:tab w:val="clear" w:pos="7892"/>
              <w:tab w:val="right" w:pos="9026" w:leader="dot"/>
            </w:tabs>
            <w:rPr/>
          </w:pPr>
          <w:hyperlink w:anchor="__RefHeading___Toc3767539_3650668749">
            <w:r>
              <w:rPr>
                <w:webHidden/>
                <w:rStyle w:val="IndexLink"/>
                <w:rtl w:val="true"/>
              </w:rPr>
              <w:t>ج</w:t>
            </w:r>
            <w:r>
              <w:rPr>
                <w:rStyle w:val="IndexLink"/>
                <w:rtl w:val="true"/>
              </w:rPr>
              <w:t xml:space="preserve">) </w:t>
            </w:r>
            <w:r>
              <w:rPr>
                <w:rStyle w:val="IndexLink"/>
                <w:rtl w:val="true"/>
              </w:rPr>
              <w:t>خيانت علمى</w:t>
            </w:r>
            <w:r>
              <w:rPr>
                <w:rStyle w:val="IndexLink"/>
                <w:rtl w:val="true"/>
              </w:rPr>
              <w:tab/>
            </w:r>
            <w:r>
              <w:rPr>
                <w:rStyle w:val="IndexLink"/>
              </w:rPr>
              <w:t>537</w:t>
            </w:r>
          </w:hyperlink>
        </w:p>
        <w:p>
          <w:pPr>
            <w:pStyle w:val="Contents5"/>
            <w:tabs>
              <w:tab w:val="clear" w:pos="7892"/>
              <w:tab w:val="right" w:pos="9026" w:leader="dot"/>
            </w:tabs>
            <w:rPr/>
          </w:pPr>
          <w:hyperlink w:anchor="__RefHeading___Toc3767541_3650668749">
            <w:r>
              <w:rPr>
                <w:webHidden/>
                <w:rStyle w:val="IndexLink"/>
                <w:rtl w:val="true"/>
              </w:rPr>
              <w:t>د</w:t>
            </w:r>
            <w:r>
              <w:rPr>
                <w:rStyle w:val="IndexLink"/>
                <w:rtl w:val="true"/>
              </w:rPr>
              <w:t xml:space="preserve">) </w:t>
            </w:r>
            <w:r>
              <w:rPr>
                <w:rStyle w:val="IndexLink"/>
                <w:rtl w:val="true"/>
              </w:rPr>
              <w:t>تحركات أُمّ‌المؤمنين عايشه</w:t>
            </w:r>
            <w:r>
              <w:rPr>
                <w:rStyle w:val="IndexLink"/>
                <w:rtl w:val="true"/>
              </w:rPr>
              <w:tab/>
            </w:r>
            <w:r>
              <w:rPr>
                <w:rStyle w:val="IndexLink"/>
              </w:rPr>
              <w:t>538</w:t>
            </w:r>
          </w:hyperlink>
        </w:p>
        <w:p>
          <w:pPr>
            <w:pStyle w:val="Contents5"/>
            <w:tabs>
              <w:tab w:val="clear" w:pos="7892"/>
              <w:tab w:val="right" w:pos="9026" w:leader="dot"/>
            </w:tabs>
            <w:rPr/>
          </w:pPr>
          <w:hyperlink w:anchor="__RefHeading___Toc3767543_3650668749">
            <w:r>
              <w:rPr>
                <w:webHidden/>
                <w:rStyle w:val="IndexLink"/>
                <w:rtl w:val="true"/>
              </w:rPr>
              <w:t>ه</w:t>
            </w:r>
            <w:r>
              <w:rPr>
                <w:rStyle w:val="IndexLink"/>
                <w:rtl w:val="true"/>
              </w:rPr>
              <w:t xml:space="preserve">) </w:t>
            </w:r>
            <w:r>
              <w:rPr>
                <w:rStyle w:val="IndexLink"/>
                <w:rtl w:val="true"/>
              </w:rPr>
              <w:t>مذمت أُمُّ‌المؤمنين عايشه در احاديث اهل‌سنت</w:t>
            </w:r>
            <w:r>
              <w:rPr>
                <w:rStyle w:val="IndexLink"/>
                <w:rtl w:val="true"/>
              </w:rPr>
              <w:tab/>
            </w:r>
            <w:r>
              <w:rPr>
                <w:rStyle w:val="IndexLink"/>
              </w:rPr>
              <w:t>540</w:t>
            </w:r>
          </w:hyperlink>
        </w:p>
        <w:p>
          <w:pPr>
            <w:pStyle w:val="Contents5"/>
            <w:tabs>
              <w:tab w:val="clear" w:pos="7892"/>
              <w:tab w:val="right" w:pos="9026" w:leader="dot"/>
            </w:tabs>
            <w:rPr/>
          </w:pPr>
          <w:hyperlink w:anchor="__RefHeading___Toc3767545_3650668749">
            <w:r>
              <w:rPr>
                <w:webHidden/>
                <w:rStyle w:val="IndexLink"/>
                <w:rtl w:val="true"/>
              </w:rPr>
              <w:t>و</w:t>
            </w:r>
            <w:r>
              <w:rPr>
                <w:rStyle w:val="IndexLink"/>
                <w:rtl w:val="true"/>
              </w:rPr>
              <w:t xml:space="preserve">) </w:t>
            </w:r>
            <w:r>
              <w:rPr>
                <w:rStyle w:val="IndexLink"/>
                <w:rtl w:val="true"/>
              </w:rPr>
              <w:t>أُمّ المُؤمنين عايشه از نگاهِ شيعه</w:t>
            </w:r>
            <w:r>
              <w:rPr>
                <w:rStyle w:val="IndexLink"/>
                <w:rtl w:val="true"/>
              </w:rPr>
              <w:tab/>
            </w:r>
            <w:r>
              <w:rPr>
                <w:rStyle w:val="IndexLink"/>
              </w:rPr>
              <w:t>548</w:t>
            </w:r>
          </w:hyperlink>
        </w:p>
        <w:p>
          <w:pPr>
            <w:pStyle w:val="Contents3"/>
            <w:tabs>
              <w:tab w:val="clear" w:pos="8459"/>
              <w:tab w:val="right" w:pos="9026" w:leader="dot"/>
            </w:tabs>
            <w:rPr/>
          </w:pPr>
          <w:hyperlink w:anchor="__RefHeading___Toc3767547_3650668749">
            <w:r>
              <w:rPr>
                <w:webHidden/>
                <w:rStyle w:val="IndexLink"/>
                <w:rtl w:val="true"/>
              </w:rPr>
              <w:t>فصل پنجم</w:t>
            </w:r>
            <w:r>
              <w:rPr>
                <w:rStyle w:val="IndexLink"/>
                <w:rtl w:val="true"/>
              </w:rPr>
              <w:t xml:space="preserve">: </w:t>
            </w:r>
            <w:r>
              <w:rPr>
                <w:rStyle w:val="IndexLink"/>
                <w:rtl w:val="true"/>
              </w:rPr>
              <w:t>راه‌حل معقولانه نسبت به‌صحابه</w:t>
            </w:r>
            <w:r>
              <w:rPr>
                <w:rStyle w:val="IndexLink"/>
                <w:rtl w:val="true"/>
              </w:rPr>
              <w:tab/>
            </w:r>
            <w:r>
              <w:rPr>
                <w:rStyle w:val="IndexLink"/>
              </w:rPr>
              <w:t>567</w:t>
            </w:r>
          </w:hyperlink>
        </w:p>
        <w:p>
          <w:pPr>
            <w:pStyle w:val="Contents4"/>
            <w:tabs>
              <w:tab w:val="clear" w:pos="8176"/>
              <w:tab w:val="right" w:pos="9026" w:leader="dot"/>
            </w:tabs>
            <w:rPr/>
          </w:pPr>
          <w:hyperlink w:anchor="__RefHeading___Toc3767549_3650668749">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3767551_3650668749">
            <w:r>
              <w:rPr>
                <w:webHidden/>
                <w:rStyle w:val="IndexLink"/>
                <w:rtl w:val="true"/>
              </w:rPr>
              <w:t>نتيجه گيرى بخش‌هاى پنج گانه</w:t>
            </w:r>
            <w:r>
              <w:rPr>
                <w:rStyle w:val="IndexLink"/>
                <w:rtl w:val="true"/>
              </w:rPr>
              <w:tab/>
            </w:r>
            <w:r>
              <w:rPr>
                <w:rStyle w:val="IndexLink"/>
              </w:rPr>
              <w:t>573</w:t>
            </w:r>
          </w:hyperlink>
        </w:p>
        <w:p>
          <w:pPr>
            <w:pStyle w:val="Contents3"/>
            <w:tabs>
              <w:tab w:val="clear" w:pos="8459"/>
              <w:tab w:val="right" w:pos="9026" w:leader="dot"/>
            </w:tabs>
            <w:rPr/>
          </w:pPr>
          <w:hyperlink w:anchor="__RefHeading___Toc3767553_3650668749">
            <w:r>
              <w:rPr>
                <w:webHidden/>
                <w:rStyle w:val="IndexLink"/>
                <w:rtl w:val="true"/>
              </w:rPr>
              <w:t>كتابنامه</w:t>
            </w:r>
            <w:r>
              <w:rPr>
                <w:rStyle w:val="IndexLink"/>
                <w:rtl w:val="true"/>
              </w:rPr>
              <w:tab/>
            </w:r>
            <w:r>
              <w:rPr>
                <w:rStyle w:val="IndexLink"/>
              </w:rPr>
              <w:t>579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6_27567"/>
      <w:bookmarkStart w:id="1" w:name="pg1976_27567"/>
      <w:bookmarkEnd w:id="1"/>
    </w:p>
    <w:p>
      <w:pPr>
        <w:pStyle w:val="Heading2"/>
        <w:numPr>
          <w:ilvl w:val="1"/>
          <w:numId w:val="1"/>
        </w:numPr>
        <w:rPr/>
      </w:pPr>
      <w:bookmarkStart w:id="2" w:name="pg1976_27567"/>
      <w:bookmarkStart w:id="3" w:name="__RefHeading___Toc3766845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رض‍ائ‍ي‌، اس‍دالله،‏</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توشيحگر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پيرامون اصول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رضايي؛ با مقدمه احمد عابدي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۶۱۹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۱۸۰۰۰۰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‫‭978-964-540-430-5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ك‍ل‍ي‍ن‍ي‌، م‍ح‍م‍د‌ب‍ن‌ ي‍ع‍ق‍وب‌‏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ك‍ل‍ي‍ن‍ي‌، م‍ح‍م‍د‌ب‍ن‌ ي‍ع‍ق‍وب‌‏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ع‍اب‍دي‌، اح‍م‍د،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مقدمه‌نويس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۱۲۹‏</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ك۸ك۲۲۰۴۲۲۵ ۱۳۹۲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۳۰۹۹۸۰۳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6684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76_27605"/>
      <w:bookmarkStart w:id="8" w:name="pg1976_27605"/>
      <w:bookmarkEnd w:id="8"/>
    </w:p>
    <w:p>
      <w:pPr>
        <w:pStyle w:val="Heading2"/>
        <w:numPr>
          <w:ilvl w:val="1"/>
          <w:numId w:val="1"/>
        </w:numPr>
        <w:rPr/>
      </w:pPr>
      <w:bookmarkStart w:id="9" w:name="pg1976_27605"/>
      <w:bookmarkStart w:id="10" w:name="__RefHeading___Toc3766849_3650668749"/>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كتاب كافى قديمى‌ترين اثر در ميان جوامع حديثى شيعى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دوران غيبت صغرى و به‌دست ثقة الاسلام كلينى تدوين شده و مرجع عالمان و فقيهان شيعه در طول تاريخ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كلينى همانند هر مؤلف ديگرى كتاب خود را صحيح و قابل اعتماد مى‌داند، اما ديگران چون مقلد او نيستند بايد به‌بررسى و ارزيابى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كتابى كه به‌نظر شيعه مرجع و حجت بوده و همه بايد به‌آن تمسك نمايند،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كتاب ديگرى اعم از كتب اربعه شيعه يا صحاح سته اهل سنت بايد تك تك احاديث آن مورد تحقيق و پژوهش قرار گرفته و طبق ضوابط علم رجال و درايه و فقه الحديث و ساير معيارها واكاوى و ارزيابى شوند، و چنانچه صحت آنها اثبات شد آن‌گاه مى‌توان به آنها تمسك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قرن اخير فرقه وهابيت و برخى از پيروان آنان دانسته يا ندانسته و براى پيروى و تبعيت كردن از دستوراتى كه امريكا و يهود به‌آنان داده‌اند و براى ايجاد تفرقه بين مسلمانان كتاب‌هاى زيادى را تدوين كرده و به‌زعم خودشان به‌مبارزه با كتاب كافى پرداخته‌اند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اين فريه و تهمت كه تمام آنچه در كتاب كافى آمده، مورد قبول شيعه است، به‌مبارزه با شيعه پرداخته و با جمع‌كردن برخى روايات بدون تفكيك صحيح از سقيم و </w:t>
      </w:r>
    </w:p>
    <w:p>
      <w:pPr>
        <w:pStyle w:val="BookText"/>
        <w:rPr/>
      </w:pPr>
      <w:r>
        <w:rPr>
          <w:rFonts w:ascii="IRNazanin" w:hAnsi="IRNazanin" w:eastAsia="IRNazanin"/>
          <w:color w:val="111111"/>
          <w:sz w:val="28"/>
          <w:sz w:val="28"/>
          <w:szCs w:val="28"/>
          <w:rtl w:val="true"/>
          <w:lang w:bidi="fa-IR"/>
        </w:rPr>
        <w:t>شاذ و ضعيف و مرسل را با ديگر احاديث خلط نموده و اينگونه روايات را بدون آنكه معناى آنها را بفهمند يا با ساير روايات و عقايد شيعه مقايسه كنند، نشانه گرفته و به‌غوغاسالارى و شيطنت روى آورده‌اند؛ درحالى‌كه نمونه اين روايات در كتب خود آنان بيشتر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هرگز شيعه ادعا نمى‌كند كه تمام احاديث كتب اربعه صحيح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گروهى همه روايات كتب اربعه را از نظر سندى صحيح بدانند اما از جهت محتوا و فقه‌الحديث و جمع روايات متعارض هرگز ادعا نمى‌كنند كه بايد مضمون و محتواى تمام روايات را پذيرفت يا به‌همه آنها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اعتقاد به‌مضمون دو حديث متعارض ممكن نيست هر چند آن دو حديث، صحيح يا موثق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كه صحيح بخارى را تالى تلو قرآن كريم مى‌دانند، با اين مشكل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روايات خلاف عقل و منطق و خلاف ضرورت‌هاى تاريخ و حتى خلاف اعتقادات همه مسلمانان در باب توحيد، نبوت و معارف دين را جمع كند، مثنوى هفتاد من كاغذ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است كه اين‌گونه اشكالات به‌خود اهل سنت بيشتر وارد است تا به‌شيعه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هرگز حديث خواندن را عبادت تلقى نمى‌كند و فقط قرائت قرآن، دعا، ذكر، نماز، روزه و حج را عبادت مى‌داند، درحالى‌كه اهل سنت ختم بخارى گرفته و آن‌را همانند قرآن تلاوت مى‌كنند و اين خود نوعى بدعت در دين بوده و از مصاديق روشن عبادت به‌غير ما انزل‌الله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اشكالات در آثار، اعمال و رفتار وهابيان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شيعيان كمتر به‌نقد اين مسائل مى‌پردازند و هدف آن است كه اختلاف و تفرقه بين مسلمانان بيشتر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خوف از ايجاد تفرقه نبود، ما مى‌توانستيم ده‌ها كتاب در نقد تنها باب التوحيد كتاب بخارى بنويسيم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كه اثر عالمانه و محققانه جناب حجت الاسلام و المسلمين آقاى </w:t>
      </w:r>
    </w:p>
    <w:p>
      <w:pPr>
        <w:pStyle w:val="BookText"/>
        <w:rPr/>
      </w:pPr>
      <w:r>
        <w:rPr>
          <w:rFonts w:ascii="IRNazanin" w:hAnsi="IRNazanin" w:eastAsia="IRNazanin"/>
          <w:color w:val="111111"/>
          <w:sz w:val="28"/>
          <w:sz w:val="28"/>
          <w:szCs w:val="28"/>
          <w:rtl w:val="true"/>
          <w:lang w:bidi="fa-IR"/>
        </w:rPr>
        <w:t>اسدالله رضايى است، به‌اين مهم پرداخته و شبهات وهابيان را با قلمى وزين و مؤدبانه و با استدلالات روشن و منطقى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اين عرصه نيازمند اطلاعات كافى در موضوعات مختلف رجال، درايه، فقه‌الحديث، اعقتادات، كلام، تاريخ، فقه، تفسير، شأن نزول، علوم قرآن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دارد و جناب آقاى رضايى به‌خوبى از عهده برآمده و تبحر و تخصّص خود در علوم فوق را به منصه ظهور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متعال مسئلت دارم قلم وزين و دقيق اين محقق فرهيخته هميشه در خدمت دفاع از مكتب اهل بيت بوده و در آينده شاهد ديگر آثار عالمانه ايشان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بمنه وكرمه</w:t>
      </w:r>
    </w:p>
    <w:p>
      <w:pPr>
        <w:pStyle w:val="BookText"/>
        <w:rPr/>
      </w:pPr>
      <w:r>
        <w:rPr>
          <w:rFonts w:ascii="Amiri" w:hAnsi="Amiri" w:eastAsia="Amiri" w:cs="Amiri"/>
          <w:color w:val="111111"/>
          <w:sz w:val="28"/>
          <w:sz w:val="28"/>
          <w:szCs w:val="28"/>
          <w:rtl w:val="true"/>
          <w:lang w:bidi="ar-SA"/>
        </w:rPr>
        <w:t>والحمدلله رب العالمين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عابدى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76_27613"/>
      <w:bookmarkStart w:id="13" w:name="pg1976_27613"/>
      <w:bookmarkEnd w:id="13"/>
    </w:p>
    <w:p>
      <w:pPr>
        <w:pStyle w:val="Heading2"/>
        <w:numPr>
          <w:ilvl w:val="1"/>
          <w:numId w:val="1"/>
        </w:numPr>
        <w:rPr/>
      </w:pPr>
      <w:bookmarkStart w:id="14" w:name="pg1976_27613"/>
      <w:bookmarkStart w:id="15" w:name="__RefHeading___Toc3766851_3650668749"/>
      <w:bookmarkStart w:id="16" w:name="_Toc4"/>
      <w:bookmarkEnd w:id="14"/>
      <w:bookmarkEnd w:id="15"/>
      <w:r>
        <w:rPr>
          <w:rtl w:val="true"/>
        </w:rPr>
        <w:t>سخنى با خوانندگان</w:t>
      </w:r>
      <w:bookmarkEnd w:id="16"/>
    </w:p>
    <w:p>
      <w:pPr>
        <w:pStyle w:val="BookText"/>
        <w:rPr/>
      </w:pPr>
      <w:r>
        <w:rPr>
          <w:rFonts w:ascii="IRNazanin" w:hAnsi="IRNazanin" w:eastAsia="IRNazanin"/>
          <w:color w:val="111111"/>
          <w:sz w:val="28"/>
          <w:sz w:val="28"/>
          <w:szCs w:val="28"/>
          <w:rtl w:val="true"/>
          <w:lang w:bidi="fa-IR"/>
        </w:rPr>
        <w:t>پرسش و پژوهش و آن‌گاه پاسخ به پرسش‌هاى نو پيدا، يكى از شاخصه‌هاى انسان متفكر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حق هر انسانى است و راه را براى ادامه نظريه‌ها و ديدگاه‌هاى جديد باز مى‌كند و از اين طريق مى‌توان به شناساندن اعتقادات و پالايش آنها از زوايد و خرافه‌ها، همت گماشت و به دفاع از ارزش‌هاى عقلانى، انسانى و دينى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نقد درست و منطقى باورها و عقايد، امرى طبيعى و عقلانى است، اما بايد از تحقير، توهين و تكفير ديگران پرهيز كرد كه روشى نابخردانه است و با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بدان سوگند خورده است </w:t>
      </w:r>
      <w:r>
        <w:rPr>
          <w:rStyle w:val="FootnoteAnchor"/>
          <w:rtl w:val="true"/>
        </w:rPr>
        <w:footnoteReference w:id="2"/>
      </w:r>
      <w:r>
        <w:rPr>
          <w:rFonts w:ascii="IRNazanin" w:hAnsi="IRNazanin" w:eastAsia="IRNazanin"/>
          <w:color w:val="111111"/>
          <w:sz w:val="28"/>
          <w:sz w:val="28"/>
          <w:szCs w:val="28"/>
          <w:rtl w:val="true"/>
          <w:lang w:bidi="fa-IR"/>
        </w:rPr>
        <w:t>،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پيش رو، حاصل تلاش چند ساله در پاسخ به اتهام‌هاى فرقه وهابيت به مجموعه حديثى‌گران سنگ اصول كافى، تأليف مرحوم ثقه الاسلام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بسى تأسف است كه پژوهندگان مسلمان به جاى پرداختن به مسائل جديد و ارائه راه حل‌هاى معقول براى پرسش‌هاى عصر حاضر، ناچار شوند به هجمه‌ها و تكفيرهاى گروهى از وهابيان بپردازند و وقت و نيروى خويش را در اين راه صرف </w:t>
      </w:r>
    </w:p>
    <w:p>
      <w:pPr>
        <w:pStyle w:val="BookText"/>
        <w:rPr/>
      </w:pP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در حالى است كه در سال‌هاى اخير و به خصوص در همين روزها بدترين اهانت‌ها به ساحت نورانى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فيلم و كاريكاتور با حمايت آمريكا و صهيونيسم صورت گرفته و قلب ميليون‌ها مسلمان حتى در قلب اروپا را اندوهناك ساخته است و مسلمانان در اعتراض به اين‌گونه اهانت‌ها ده‌ها كشته و مجروح داده‌اند؛ اما از خادم الحرمين و علماى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امور جزئى حكم تكفير صادر مى‌كنند و تنها خودشان را مسلمان واقعى مى‌پندارند و ديگران، چه شيعه و چه سنى را كافر مى‌خوانند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اعتراض شنيده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اين سؤال‌ها مطرح مى‌شود كه آيا اين فيلم، ضد اسلامى و توهين‌آميز نبود؟ آيا حركت و خروش ده‌ها ميليون مسلمان عاقلانه نبود؟ آيا وهابى‌ها و مفتى‌هاى آنها براى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احترامى قائل نيستند؟ و ده‌ها سؤال بى‌پاسخ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درحالى‌كه مى‌بينيم همين گروه اندك و در عين حال پر مدعا، ده‌ها كتاب، پايان‌نامه و مقاله عليه مسلمانان پيرو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مى‌كنند و به جنگ باورها و ارزش‌هاى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يورش به باورها و عقايد ديگر مسلمانان به‌ويژه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نمى‌تواند باشد كه به پندار آنان اعتقادات هر كسى كه با معيارهاى ساختگى آنان در زمينه توحيد، شرك، بدعت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هماهنگ نباشد، شرك‌آلود بوده و در نتيجه مشرك، بدعت‌گذار، غالى و كافر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اصول كافى كه يكى از فاخرترين ميراث‌هاى فرهنگى مسلمانان است و در ابتداى قرن چهارم هجرى تدوين يافته و بيش از كل صحاح سته اهل سنّت، روايات اعتقادى، اخلاقى، اجتماعى و فقهى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جاى داده است؛ همواره مورد تهاجم گروهى از نويسندگان وهابى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تلاش كرده و مى‌كنند به اين كتاب از جهات گوناگون خدشه وارد سازند و بحث تحريف قرآن، غلو و تكفير صحابه را از معتقدات كلينى و شيعه بدانند، درحالى‌كه اين تهمت‌ها براساس </w:t>
      </w:r>
    </w:p>
    <w:p>
      <w:pPr>
        <w:pStyle w:val="BookText"/>
        <w:rPr/>
      </w:pPr>
      <w:r>
        <w:rPr>
          <w:rFonts w:ascii="IRNazanin" w:hAnsi="IRNazanin" w:eastAsia="IRNazanin"/>
          <w:color w:val="111111"/>
          <w:sz w:val="28"/>
          <w:sz w:val="28"/>
          <w:szCs w:val="28"/>
          <w:rtl w:val="true"/>
          <w:lang w:bidi="fa-IR"/>
        </w:rPr>
        <w:t>معيارهاى دانشمندان مورد قبول وهابى‌ها، بى‌پايه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نويسنده كتاب، كوشيده پس از طرح اشكال‌ها، با استفاده از منابع و ميراث معنوى مسلمانان سنّى و شيعه، بدان‌ها پاسخ‌هاى منصفانه و خردمندانه بدهد و از توهين به ديگران به‌ويژه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پنج بخش، و فصول متعدد سامان يافته است براى دسترسى سريع‌تر و پژوهش بيشتر پژوهندگان، ارجاعات فراوانى با مشخصات دقيق در پاورقى آورده شده و در مواردى، متن عبارت‌هاى كليدى كتاب‌ها جهت اتقان بحث، ارائه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نويسنده توانسته باشد با اين اثر، رضايت خداى متعال و آن‌گاه زمينه رشد و بالندگى خوانندگان عزيز را، فراهم آورده باشد؛ و از درگاه او مسئلت دارد كه لغزش غيرارادى صاحب قلم را ببخشايد و به همگان توفيق مطالعه اين كتاب را ارزانى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اسدالله رضايى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ذى‌حجة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76_27621"/>
      <w:bookmarkStart w:id="18" w:name="pg1976_27621"/>
      <w:bookmarkEnd w:id="18"/>
    </w:p>
    <w:p>
      <w:pPr>
        <w:pStyle w:val="Heading2"/>
        <w:numPr>
          <w:ilvl w:val="1"/>
          <w:numId w:val="1"/>
        </w:numPr>
        <w:rPr/>
      </w:pPr>
      <w:bookmarkStart w:id="19" w:name="pg1976_27621"/>
      <w:bookmarkStart w:id="20" w:name="__RefHeading___Toc3766853_3650668749"/>
      <w:bookmarkStart w:id="21" w:name="_Toc5"/>
      <w:bookmarkEnd w:id="19"/>
      <w:bookmarkEnd w:id="20"/>
      <w:r>
        <w:rPr>
          <w:rtl w:val="true"/>
        </w:rPr>
        <w:t>بخش اول</w:t>
      </w:r>
      <w:r>
        <w:rPr>
          <w:rtl w:val="true"/>
        </w:rPr>
        <w:t xml:space="preserve">: </w:t>
      </w:r>
      <w:r>
        <w:rPr>
          <w:rtl w:val="true"/>
        </w:rPr>
        <w:t>معرفى كلينى و كافى</w:t>
      </w:r>
      <w:bookmarkEnd w:id="2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766855_3650668749"/>
      <w:bookmarkStart w:id="23" w:name="_Toc6"/>
      <w:bookmarkEnd w:id="22"/>
      <w:r>
        <w:rPr>
          <w:rtl w:val="true"/>
        </w:rPr>
        <w:t>اشاره</w:t>
      </w:r>
      <w:bookmarkEnd w:id="2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976_27625"/>
      <w:bookmarkStart w:id="25" w:name="pg1976_27625"/>
      <w:bookmarkEnd w:id="25"/>
    </w:p>
    <w:p>
      <w:pPr>
        <w:pStyle w:val="Heading3"/>
        <w:numPr>
          <w:ilvl w:val="2"/>
          <w:numId w:val="1"/>
        </w:numPr>
        <w:rPr/>
      </w:pPr>
      <w:bookmarkStart w:id="26" w:name="pg1976_27625"/>
      <w:bookmarkStart w:id="27" w:name="__RefHeading___Toc3766857_3650668749"/>
      <w:bookmarkStart w:id="28" w:name="_Toc7"/>
      <w:bookmarkEnd w:id="26"/>
      <w:bookmarkEnd w:id="27"/>
      <w:r>
        <w:rPr>
          <w:rtl w:val="true"/>
        </w:rPr>
        <w:t>مقدمه</w:t>
      </w:r>
      <w:bookmarkEnd w:id="28"/>
    </w:p>
    <w:p>
      <w:pPr>
        <w:pStyle w:val="BookText"/>
        <w:rPr/>
      </w:pPr>
      <w:r>
        <w:rPr>
          <w:rFonts w:ascii="IRNazanin" w:hAnsi="IRNazanin" w:eastAsia="IRNazanin"/>
          <w:color w:val="111111"/>
          <w:sz w:val="28"/>
          <w:sz w:val="28"/>
          <w:szCs w:val="28"/>
          <w:rtl w:val="true"/>
          <w:lang w:bidi="fa-IR"/>
        </w:rPr>
        <w:t xml:space="preserve">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تأليف محمدبن يعقوب الكلينى الرّازى متوفاى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از معدود كتاب‌هاى ارزشمندى است كه أحاديث إمامان معصوم شيعه اثنا عشرى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خود گِرد آورده است و نزد فقها و فرهيختگان شيعه هم از جهت قِدمت تاريخى و هم از جهت كمّيت و كيفيت جمع‌آورى روايات، جايگاهِ ويژه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اين مجموعه در عرصه‌هاى اصول وفروع دين و بنيادهاى إعتقادى شيعه، مورد توجه بوده است؛ ولى بِدان جهت كه اين كتاب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در باب امامت و اوصاف آن، بيشترين احاديث را نقل نموده، مورد نقد و إيراد عده‌اى از عالمان اهل سنّت به‌ويژه وهابيان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 به اشكالات واردشده پاسخ قانع‌كننده داد، لازم است نخست اين كتاب را شناساند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در فصل نخست از يك‌سو، با نگاهى به‌شرح حال مرحوم كلينى و كتاب كافى او، و از ديگرسو، به‌مقايسه اين كتاب با مجامع روايى اهل‌سنت به‌ويژه مشهورترين كتاب حديثى اهل‌سنت، يعنى صحيح بخارى مى‌پردازد؛ لذا مطالب را در چهار فصل پى مى‌گيرد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976_27629"/>
      <w:bookmarkStart w:id="30" w:name="pg1976_27629"/>
      <w:bookmarkEnd w:id="30"/>
    </w:p>
    <w:p>
      <w:pPr>
        <w:pStyle w:val="Heading3"/>
        <w:numPr>
          <w:ilvl w:val="2"/>
          <w:numId w:val="1"/>
        </w:numPr>
        <w:rPr/>
      </w:pPr>
      <w:bookmarkStart w:id="31" w:name="pg1976_27629"/>
      <w:bookmarkStart w:id="32" w:name="__RefHeading___Toc3766859_3650668749"/>
      <w:bookmarkStart w:id="33" w:name="_Toc8"/>
      <w:bookmarkEnd w:id="31"/>
      <w:bookmarkEnd w:id="32"/>
      <w:r>
        <w:rPr>
          <w:rtl w:val="true"/>
        </w:rPr>
        <w:t>فصل اول</w:t>
      </w:r>
      <w:r>
        <w:rPr>
          <w:rtl w:val="true"/>
        </w:rPr>
        <w:t xml:space="preserve">: </w:t>
      </w:r>
      <w:r>
        <w:rPr>
          <w:rtl w:val="true"/>
        </w:rPr>
        <w:t>ترجمه و ويژگى‌هاى ثقه الاسلام كلينى</w:t>
      </w:r>
      <w:bookmarkEnd w:id="33"/>
    </w:p>
    <w:p>
      <w:pPr>
        <w:pStyle w:val="Heading4"/>
        <w:numPr>
          <w:ilvl w:val="3"/>
          <w:numId w:val="1"/>
        </w:numPr>
        <w:rPr/>
      </w:pPr>
      <w:bookmarkStart w:id="34" w:name="__RefHeading___Toc3766861_3650668749"/>
      <w:bookmarkStart w:id="35" w:name="_Toc9"/>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 xml:space="preserve">شرح حال مرحوم كلينى در منابع مختلف </w:t>
      </w:r>
      <w:r>
        <w:rPr>
          <w:rStyle w:val="FootnoteAnchor"/>
          <w:rtl w:val="true"/>
        </w:rPr>
        <w:footnoteReference w:id="3"/>
      </w:r>
      <w:r>
        <w:rPr>
          <w:rFonts w:ascii="IRNazanin" w:hAnsi="IRNazanin" w:eastAsia="IRNazanin"/>
          <w:color w:val="111111"/>
          <w:sz w:val="28"/>
          <w:sz w:val="28"/>
          <w:szCs w:val="28"/>
          <w:rtl w:val="true"/>
          <w:lang w:bidi="fa-IR"/>
        </w:rPr>
        <w:t>ارائه شده است، و در اين بخشِ از تحقيق سعى شده است، به‌قدر ضرورت به بيوگرافى اين عالم فرزانه اشاره گردد تا علاقه‌مندان به‌منابع مورد نظر رهنمون شوند</w:t>
      </w:r>
      <w:r>
        <w:rPr>
          <w:rFonts w:eastAsia="IRNazanin" w:cs="IRNazanin"/>
          <w:color w:val="111111"/>
          <w:sz w:val="28"/>
          <w:szCs w:val="28"/>
          <w:rtl w:val="true"/>
          <w:lang w:bidi="fa-IR"/>
        </w:rPr>
        <w:t>:</w:t>
      </w:r>
    </w:p>
    <w:p>
      <w:pPr>
        <w:pStyle w:val="Heading4"/>
        <w:numPr>
          <w:ilvl w:val="3"/>
          <w:numId w:val="1"/>
        </w:numPr>
        <w:rPr/>
      </w:pPr>
      <w:bookmarkStart w:id="36" w:name="__RefHeading___Toc3766863_3650668749"/>
      <w:bookmarkStart w:id="37" w:name="_Toc10"/>
      <w:bookmarkEnd w:id="36"/>
      <w:r>
        <w:rPr/>
        <w:t>١</w:t>
      </w:r>
      <w:r>
        <w:rPr>
          <w:rtl w:val="true"/>
        </w:rPr>
        <w:t xml:space="preserve">. </w:t>
      </w:r>
      <w:r>
        <w:rPr>
          <w:rtl w:val="true"/>
        </w:rPr>
        <w:t>نام و زادگاه كلينى</w:t>
      </w:r>
      <w:bookmarkEnd w:id="3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ابوجعفر محمدبن يعقوب بن‌اسحاق ملقب به كلينى، مؤلف كتاب شريف كافى از اصحاب اماميه و از موجّه‌ترين آنان و موثق‌ترين و دقيق‌ترين اصحاب در نقل و ثبت روايات بود</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او بدان جهت كه به‌زادگاهش كُلَين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بروزن زُبَير</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منسوب است به‌كُلَينى </w:t>
      </w:r>
    </w:p>
    <w:p>
      <w:pPr>
        <w:pStyle w:val="BookText"/>
        <w:rPr/>
      </w:pPr>
      <w:r>
        <w:rPr>
          <w:rFonts w:ascii="IRNazanin" w:hAnsi="IRNazanin" w:eastAsia="IRNazanin"/>
          <w:color w:val="111111"/>
          <w:sz w:val="28"/>
          <w:sz w:val="28"/>
          <w:szCs w:val="28"/>
          <w:rtl w:val="true"/>
          <w:lang w:bidi="fa-IR"/>
        </w:rPr>
        <w:t xml:space="preserve">مشهور شد، نه كَلين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 و كسر لام بر وزن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آن‌گونه كه 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و 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تاج‌العروس آن را ضبط كرده‌اند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آن را نادرست خوانده؛ و ضبط صحيح آن را كلين به‌ضم كاف دانسته‌اند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 روستايى است نزديك حسن‌آباد واقع در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مسير جنوب غربى جاده‌ى قم به‌تهران از توابع شهر رَى فعلى </w:t>
      </w:r>
      <w:r>
        <w:rPr>
          <w:rStyle w:val="FootnoteAnchor"/>
          <w:rtl w:val="true"/>
        </w:rPr>
        <w:footnoteReference w:id="10"/>
      </w:r>
      <w:r>
        <w:rPr>
          <w:rFonts w:ascii="IRNazanin" w:hAnsi="IRNazanin" w:eastAsia="IRNazanin"/>
          <w:color w:val="111111"/>
          <w:sz w:val="28"/>
          <w:sz w:val="28"/>
          <w:szCs w:val="28"/>
          <w:rtl w:val="true"/>
          <w:lang w:bidi="fa-IR"/>
        </w:rPr>
        <w:t>، و پدر او يعقوب‌بن‌اسحاق كه از مردان بزرگ و مشهور كُلين بود، در آنجا مدفون و هم‌اكنون زيارتگاه مؤمنين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در اين محدوده دو محل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هم‌اكنون نيز مشهور و موجود است با اين تفاوت كه يكى كُلَين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زادگاه كلينى است و قبر پدر او در آنجا قرار دارد و ديگرى كَلِين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در محدوده ورامين واقع است </w:t>
      </w:r>
      <w:r>
        <w:rPr>
          <w:rStyle w:val="FootnoteAnchor"/>
          <w:rtl w:val="true"/>
        </w:rPr>
        <w:footnoteReference w:id="12"/>
      </w:r>
      <w:r>
        <w:rPr>
          <w:rFonts w:ascii="IRNazanin" w:hAnsi="IRNazanin" w:eastAsia="IRNazanin"/>
          <w:color w:val="111111"/>
          <w:sz w:val="28"/>
          <w:sz w:val="28"/>
          <w:szCs w:val="28"/>
          <w:rtl w:val="true"/>
          <w:lang w:bidi="fa-IR"/>
        </w:rPr>
        <w:t xml:space="preserve">، و مردمان محل </w:t>
      </w:r>
    </w:p>
    <w:p>
      <w:pPr>
        <w:pStyle w:val="BookText"/>
        <w:rPr/>
      </w:pPr>
      <w:r>
        <w:rPr>
          <w:rFonts w:ascii="Amiri" w:hAnsi="Amiri" w:eastAsia="Amiri" w:cs="Amiri"/>
          <w:color w:val="111111"/>
          <w:sz w:val="28"/>
          <w:sz w:val="28"/>
          <w:szCs w:val="28"/>
          <w:rtl w:val="true"/>
          <w:lang w:bidi="ar-SA"/>
        </w:rPr>
        <w:t xml:space="preserve">آن را 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كاف ولام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مى‌كنند</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مشهورترين لقب مؤلّف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حتّى براسم او غالب شده است </w:t>
      </w:r>
      <w:r>
        <w:rPr>
          <w:rStyle w:val="FootnoteAnchor"/>
          <w:rtl w:val="true"/>
        </w:rPr>
        <w:footnoteReference w:id="14"/>
      </w:r>
      <w:r>
        <w:rPr>
          <w:rFonts w:ascii="IRNazanin" w:hAnsi="IRNazanin" w:eastAsia="IRNazanin"/>
          <w:color w:val="111111"/>
          <w:sz w:val="28"/>
          <w:sz w:val="28"/>
          <w:szCs w:val="28"/>
          <w:rtl w:val="true"/>
          <w:lang w:bidi="fa-IR"/>
        </w:rPr>
        <w:t xml:space="preserve">اما القاب ديگرِ نيز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الرّازى</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منسوب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كه به‌تنهايى </w:t>
      </w:r>
      <w:r>
        <w:rPr>
          <w:rStyle w:val="FootnoteAnchor"/>
          <w:rtl w:val="true"/>
        </w:rPr>
        <w:footnoteReference w:id="17"/>
      </w:r>
      <w:r>
        <w:rPr>
          <w:rFonts w:ascii="IRNazanin" w:hAnsi="IRNazanin" w:eastAsia="IRNazanin"/>
          <w:color w:val="111111"/>
          <w:sz w:val="28"/>
          <w:sz w:val="28"/>
          <w:szCs w:val="28"/>
          <w:rtl w:val="true"/>
          <w:lang w:bidi="fa-IR"/>
        </w:rPr>
        <w:t xml:space="preserve">و يا پس از واژه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الرّازى</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البغدادى</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بدان جهت كه كلينى وارد بغداد شد و در محله‌اى به‌نام باب كوفه درب سلسله سكونت اختيار كرد و تا آخر عمر آن‌جا ماند و در همانجا بدرود حيات گفت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در عبارت‌هاى شيخ طوسى </w:t>
      </w:r>
      <w:r>
        <w:rPr>
          <w:rStyle w:val="FootnoteAnchor"/>
          <w:rtl w:val="true"/>
        </w:rPr>
        <w:footnoteReference w:id="22"/>
      </w:r>
      <w:r>
        <w:rPr>
          <w:rFonts w:ascii="Amiri" w:hAnsi="Amiri" w:eastAsia="Amiri" w:cs="Amiri"/>
          <w:color w:val="111111"/>
          <w:sz w:val="28"/>
          <w:sz w:val="28"/>
          <w:szCs w:val="28"/>
          <w:rtl w:val="true"/>
          <w:lang w:bidi="ar-SA"/>
        </w:rPr>
        <w:t>، و دستيار حاكم بغداد كه كلينى را به‌اين عبارت معرفى كرده است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هو أعور من </w:t>
      </w:r>
    </w:p>
    <w:p>
      <w:pPr>
        <w:pStyle w:val="BookText"/>
        <w:rPr/>
      </w:pPr>
      <w:r>
        <w:rPr>
          <w:rFonts w:ascii="Amiri" w:hAnsi="Amiri" w:eastAsia="Amiri" w:cs="Amiri"/>
          <w:color w:val="111111"/>
          <w:sz w:val="28"/>
          <w:sz w:val="28"/>
          <w:szCs w:val="28"/>
          <w:rtl w:val="true"/>
          <w:lang w:bidi="ar-SA"/>
        </w:rPr>
        <w:t xml:space="preserve">أقطاب علمائهم فيكفي الاعتبار بحفرقبره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به‌كار مى‌برند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منحصر به‌فردترين لقب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ثِقَةُالاِسلام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است كه نخستين بار براى كلينى به‌كار رفت </w:t>
      </w:r>
      <w:r>
        <w:rPr>
          <w:rStyle w:val="FootnoteAnchor"/>
          <w:rtl w:val="true"/>
        </w:rPr>
        <w:footnoteReference w:id="25"/>
      </w:r>
      <w:r>
        <w:rPr>
          <w:rFonts w:ascii="IRNazanin" w:hAnsi="IRNazanin" w:eastAsia="IRNazanin"/>
          <w:color w:val="111111"/>
          <w:sz w:val="28"/>
          <w:sz w:val="28"/>
          <w:szCs w:val="28"/>
          <w:rtl w:val="true"/>
          <w:lang w:bidi="fa-IR"/>
        </w:rPr>
        <w:t xml:space="preserve">، و چون كلينى نزد همگان مورد اطمينان در اسناد و حديث بود، به‌اين لقب مشهور گشت </w:t>
      </w:r>
      <w:r>
        <w:rPr>
          <w:rStyle w:val="FootnoteAnchor"/>
          <w:rtl w:val="true"/>
        </w:rPr>
        <w:footnoteReference w:id="26"/>
      </w:r>
      <w:r>
        <w:rPr>
          <w:rFonts w:ascii="Amiri" w:hAnsi="Amiri" w:eastAsia="Amiri" w:cs="Amiri"/>
          <w:color w:val="111111"/>
          <w:sz w:val="28"/>
          <w:sz w:val="28"/>
          <w:szCs w:val="28"/>
          <w:rtl w:val="true"/>
          <w:lang w:bidi="ar-SA"/>
        </w:rPr>
        <w:t xml:space="preserve">، و آن روزها اين لقب بار معنايى خاصى داشت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به‌تعبيراتى چون؛ مُوَجّه‌ترين، موثق‌ترين، دقيق‌ترين </w:t>
      </w:r>
      <w:r>
        <w:rPr>
          <w:rStyle w:val="FootnoteAnchor"/>
          <w:rtl w:val="true"/>
        </w:rPr>
        <w:footnoteReference w:id="28"/>
      </w:r>
      <w:r>
        <w:rPr>
          <w:rFonts w:ascii="Amiri" w:hAnsi="Amiri" w:eastAsia="Amiri" w:cs="Amiri"/>
          <w:color w:val="111111"/>
          <w:sz w:val="28"/>
          <w:sz w:val="28"/>
          <w:szCs w:val="28"/>
          <w:rtl w:val="true"/>
          <w:lang w:bidi="ar-SA"/>
        </w:rPr>
        <w:t xml:space="preserve">، شيخ الطّائفه </w:t>
      </w:r>
      <w:r>
        <w:rPr>
          <w:rStyle w:val="FootnoteAnchor"/>
          <w:rtl w:val="true"/>
        </w:rPr>
        <w:footnoteReference w:id="29"/>
      </w:r>
      <w:r>
        <w:rPr>
          <w:rFonts w:ascii="Amiri" w:hAnsi="Amiri" w:eastAsia="Amiri" w:cs="Amiri"/>
          <w:color w:val="111111"/>
          <w:sz w:val="28"/>
          <w:sz w:val="28"/>
          <w:szCs w:val="28"/>
          <w:rtl w:val="true"/>
          <w:lang w:bidi="ar-SA"/>
        </w:rPr>
        <w:t xml:space="preserve">، جليل‌القدر، عظيم المنزله </w:t>
      </w:r>
      <w:r>
        <w:rPr>
          <w:rStyle w:val="FootnoteAnchor"/>
          <w:rtl w:val="true"/>
        </w:rPr>
        <w:footnoteReference w:id="30"/>
      </w:r>
      <w:r>
        <w:rPr>
          <w:rFonts w:ascii="Amiri" w:hAnsi="Amiri" w:eastAsia="Amiri" w:cs="Amiri"/>
          <w:color w:val="111111"/>
          <w:sz w:val="28"/>
          <w:sz w:val="28"/>
          <w:szCs w:val="28"/>
          <w:rtl w:val="true"/>
          <w:lang w:bidi="ar-SA"/>
        </w:rPr>
        <w:t xml:space="preserve">، مُروِّج و مُجَدِّد مذهب </w:t>
      </w:r>
      <w:r>
        <w:rPr>
          <w:rStyle w:val="FootnoteAnchor"/>
          <w:rtl w:val="true"/>
        </w:rPr>
        <w:footnoteReference w:id="31"/>
      </w:r>
      <w:r>
        <w:rPr>
          <w:rFonts w:ascii="Amiri" w:hAnsi="Amiri" w:eastAsia="Amiri" w:cs="Amiri"/>
          <w:color w:val="111111"/>
          <w:sz w:val="28"/>
          <w:sz w:val="28"/>
          <w:szCs w:val="28"/>
          <w:rtl w:val="true"/>
          <w:lang w:bidi="ar-SA"/>
        </w:rPr>
        <w:t xml:space="preserve">، امام مذهب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شيخ الشّيعه </w:t>
      </w:r>
      <w:r>
        <w:rPr>
          <w:rStyle w:val="FootnoteAnchor"/>
          <w:rtl w:val="true"/>
        </w:rPr>
        <w:footnoteReference w:id="33"/>
      </w:r>
      <w:r>
        <w:rPr>
          <w:rFonts w:ascii="Amiri" w:hAnsi="Amiri" w:eastAsia="Amiri" w:cs="Amiri"/>
          <w:color w:val="111111"/>
          <w:sz w:val="28"/>
          <w:sz w:val="28"/>
          <w:szCs w:val="28"/>
          <w:rtl w:val="true"/>
          <w:lang w:bidi="ar-SA"/>
        </w:rPr>
        <w:t xml:space="preserve">، امين‌الاسلام </w:t>
      </w:r>
      <w:r>
        <w:rPr>
          <w:rStyle w:val="FootnoteAnchor"/>
          <w:rtl w:val="true"/>
        </w:rPr>
        <w:footnoteReference w:id="34"/>
      </w:r>
      <w:r>
        <w:rPr>
          <w:rFonts w:ascii="Amiri" w:hAnsi="Amiri" w:eastAsia="Amiri" w:cs="Amiri"/>
          <w:color w:val="111111"/>
          <w:sz w:val="28"/>
          <w:sz w:val="28"/>
          <w:szCs w:val="28"/>
          <w:rtl w:val="true"/>
          <w:lang w:bidi="ar-SA"/>
        </w:rPr>
        <w:t xml:space="preserve">، رئيس‌المحدثين </w:t>
      </w:r>
      <w:r>
        <w:rPr>
          <w:rStyle w:val="FootnoteAnchor"/>
          <w:rtl w:val="true"/>
        </w:rPr>
        <w:footnoteReference w:id="35"/>
      </w:r>
      <w:r>
        <w:rPr>
          <w:rFonts w:ascii="Amiri" w:hAnsi="Amiri" w:eastAsia="Amiri" w:cs="Amiri"/>
          <w:color w:val="111111"/>
          <w:sz w:val="28"/>
          <w:sz w:val="28"/>
          <w:szCs w:val="28"/>
          <w:rtl w:val="true"/>
          <w:lang w:bidi="ar-SA"/>
        </w:rPr>
        <w:t xml:space="preserve">، شيخ مشايخ </w:t>
      </w:r>
      <w:r>
        <w:rPr>
          <w:rStyle w:val="FootnoteAnchor"/>
          <w:rtl w:val="true"/>
        </w:rPr>
        <w:footnoteReference w:id="36"/>
      </w:r>
      <w:r>
        <w:rPr>
          <w:rFonts w:ascii="IRNazanin" w:hAnsi="IRNazanin" w:eastAsia="IRNazanin"/>
          <w:color w:val="111111"/>
          <w:sz w:val="28"/>
          <w:sz w:val="28"/>
          <w:szCs w:val="28"/>
          <w:rtl w:val="true"/>
          <w:lang w:bidi="fa-IR"/>
        </w:rPr>
        <w:t xml:space="preserve">الأعلام </w:t>
      </w:r>
      <w:r>
        <w:rPr>
          <w:rStyle w:val="FootnoteAnchor"/>
          <w:rtl w:val="true"/>
        </w:rPr>
        <w:footnoteReference w:id="37"/>
      </w:r>
      <w:r>
        <w:rPr>
          <w:rFonts w:ascii="Amiri" w:hAnsi="Amiri" w:eastAsia="Amiri" w:cs="Amiri"/>
          <w:color w:val="111111"/>
          <w:sz w:val="28"/>
          <w:sz w:val="28"/>
          <w:szCs w:val="28"/>
          <w:rtl w:val="true"/>
          <w:lang w:bidi="ar-SA"/>
        </w:rPr>
        <w:t xml:space="preserve">، ملاذ المحدّثين العظام، قدوةالأنام، الصّدوق، شيخ </w:t>
      </w:r>
      <w:bookmarkStart w:id="38" w:name="pg1976_27637"/>
    </w:p>
    <w:p>
      <w:pPr>
        <w:pStyle w:val="BookText"/>
        <w:rPr/>
      </w:pPr>
      <w:bookmarkEnd w:id="38"/>
      <w:r>
        <w:rPr>
          <w:rFonts w:ascii="Amiri" w:hAnsi="Amiri" w:eastAsia="Amiri" w:cs="Amiri"/>
          <w:color w:val="111111"/>
          <w:sz w:val="28"/>
          <w:sz w:val="28"/>
          <w:szCs w:val="28"/>
          <w:rtl w:val="true"/>
          <w:lang w:bidi="ar-SA"/>
        </w:rPr>
        <w:t xml:space="preserve">المحدّثين، فخرالشّيعه، تاج‌الشّيعه، كهف الأعلام، علم‌الأعلام و دليل الأعلام </w:t>
      </w:r>
      <w:r>
        <w:rPr>
          <w:rStyle w:val="FootnoteAnchor"/>
          <w:rtl w:val="true"/>
        </w:rPr>
        <w:footnoteReference w:id="38"/>
      </w:r>
      <w:r>
        <w:rPr>
          <w:rFonts w:ascii="Amiri" w:hAnsi="Amiri" w:eastAsia="Amiri" w:cs="Amiri"/>
          <w:color w:val="111111"/>
          <w:sz w:val="28"/>
          <w:sz w:val="28"/>
          <w:szCs w:val="28"/>
          <w:rtl w:val="true"/>
          <w:lang w:bidi="ar-SA"/>
        </w:rPr>
        <w:t>، نيز معرفى شده است كه همه دليل بر وثاقت و وجاهت او است</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766865_3650668749"/>
      <w:bookmarkStart w:id="40" w:name="_Toc11"/>
      <w:bookmarkEnd w:id="39"/>
      <w:r>
        <w:rPr/>
        <w:t>٢</w:t>
      </w:r>
      <w:r>
        <w:rPr>
          <w:rtl w:val="true"/>
        </w:rPr>
        <w:t xml:space="preserve">. </w:t>
      </w:r>
      <w:r>
        <w:rPr>
          <w:rtl w:val="true"/>
        </w:rPr>
        <w:t>ولادت و مدت عمر كلينى</w:t>
      </w:r>
      <w:bookmarkEnd w:id="40"/>
    </w:p>
    <w:p>
      <w:pPr>
        <w:pStyle w:val="BookText"/>
        <w:rPr/>
      </w:pPr>
      <w:r>
        <w:rPr>
          <w:rFonts w:ascii="Amiri" w:hAnsi="Amiri" w:eastAsia="Amiri" w:cs="Amiri"/>
          <w:color w:val="111111"/>
          <w:sz w:val="28"/>
          <w:sz w:val="28"/>
          <w:szCs w:val="28"/>
          <w:rtl w:val="true"/>
          <w:lang w:bidi="ar-SA"/>
        </w:rPr>
        <w:t xml:space="preserve">در هيج منبعى تاريخ دقيق ولادت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آنجا كه جست‌وجو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برخى </w:t>
      </w:r>
      <w:r>
        <w:rPr>
          <w:rStyle w:val="FootnoteAnchor"/>
          <w:rtl w:val="true"/>
        </w:rPr>
        <w:footnoteReference w:id="39"/>
      </w:r>
      <w:r>
        <w:rPr>
          <w:rFonts w:ascii="IRNazanin" w:hAnsi="IRNazanin" w:eastAsia="IRNazanin"/>
          <w:color w:val="111111"/>
          <w:sz w:val="28"/>
          <w:sz w:val="28"/>
          <w:szCs w:val="28"/>
          <w:rtl w:val="true"/>
          <w:lang w:bidi="fa-IR"/>
        </w:rPr>
        <w:t xml:space="preserve">خواسته‌اند از طريق اساتيد و كسانى‌كه كلينى از آنها حديث اخذ كرده، مانند احمدبن محمدبن عيسى القمى، سهل‌بن‌زياد، فضل‌ب ن‌شاذان، على‌بن‌اسباط كه جزء اصحاب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على‌بن‌ابراهيم بن‌هاشم، خواسته‌اند اين نتيجه را بگيرند كه كلينى در نيمه دوم قرن سوم و ربع اول قرن چهارم زندگى مى‌كرده است و احتمال داده‌اند زمان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باشد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بايد گفت، احمدبن محمدبن عيسى‌بن عبدالله‌بن سعدالاشعرى قمى كه شيخ قم و از فقيهان مشهور و رئيس قمى‌ها بوده </w:t>
      </w:r>
      <w:r>
        <w:rPr>
          <w:rStyle w:val="FootnoteAnchor"/>
          <w:rtl w:val="true"/>
        </w:rPr>
        <w:footnoteReference w:id="41"/>
      </w:r>
      <w:r>
        <w:rPr>
          <w:rFonts w:ascii="Amiri" w:hAnsi="Amiri" w:eastAsia="Amiri" w:cs="Amiri"/>
          <w:color w:val="111111"/>
          <w:sz w:val="28"/>
          <w:sz w:val="28"/>
          <w:szCs w:val="28"/>
          <w:rtl w:val="true"/>
          <w:lang w:bidi="ar-SA"/>
        </w:rPr>
        <w:t xml:space="preserve">، جزء اصحاب امامان رضا، و اباجعفر الثانى و على‌الهادى و حسن‌العسكرى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محسوب شده است </w:t>
      </w:r>
      <w:r>
        <w:rPr>
          <w:rStyle w:val="FootnoteAnchor"/>
          <w:rtl w:val="true"/>
        </w:rPr>
        <w:footnoteReference w:id="42"/>
      </w:r>
      <w:r>
        <w:rPr>
          <w:rFonts w:ascii="Amiri" w:hAnsi="Amiri" w:eastAsia="Amiri" w:cs="Amiri"/>
          <w:color w:val="111111"/>
          <w:sz w:val="28"/>
          <w:sz w:val="28"/>
          <w:szCs w:val="28"/>
          <w:rtl w:val="true"/>
          <w:lang w:bidi="ar-SA"/>
        </w:rPr>
        <w:t>و در تشييع جنازه احمد بن محمدبن‌خالد البرقى كه متوفاى</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است، حضور داشته است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سهل‌بن زياد ابوسعيد الآدمى الرّازى نيز ائمۀ سه‌گانه جواد و هادى و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كرده است </w:t>
      </w:r>
      <w:r>
        <w:rPr>
          <w:rStyle w:val="FootnoteAnchor"/>
          <w:rtl w:val="true"/>
        </w:rPr>
        <w:footnoteReference w:id="44"/>
      </w:r>
      <w:r>
        <w:rPr>
          <w:rFonts w:ascii="IRNazanin" w:hAnsi="IRNazanin" w:eastAsia="IRNazanin"/>
          <w:color w:val="111111"/>
          <w:sz w:val="28"/>
          <w:sz w:val="28"/>
          <w:szCs w:val="28"/>
          <w:rtl w:val="true"/>
          <w:lang w:bidi="fa-IR"/>
        </w:rPr>
        <w:t xml:space="preserve">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سهل را جزء اصحاب امامان جواد و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وشيخ طوسى </w:t>
      </w:r>
    </w:p>
    <w:p>
      <w:pPr>
        <w:pStyle w:val="BookText"/>
        <w:rPr/>
      </w:pPr>
      <w:r>
        <w:rPr>
          <w:rFonts w:ascii="Amiri" w:hAnsi="Amiri" w:eastAsia="Amiri" w:cs="Amiri"/>
          <w:color w:val="111111"/>
          <w:sz w:val="28"/>
          <w:sz w:val="28"/>
          <w:szCs w:val="28"/>
          <w:rtl w:val="true"/>
          <w:lang w:bidi="ar-SA"/>
        </w:rPr>
        <w:t xml:space="preserve">وى را جزء ياران امامان جواد، هادى و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مى‌شمارد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فضل‌بن‌شاذان متوفاى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از اصحاب امامان هادى و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بوده است، و على‌بن‌اسباط </w:t>
      </w:r>
      <w:r>
        <w:rPr>
          <w:rStyle w:val="FootnoteAnchor"/>
          <w:rtl w:val="true"/>
        </w:rPr>
        <w:footnoteReference w:id="48"/>
      </w:r>
      <w:r>
        <w:rPr>
          <w:rFonts w:ascii="Amiri" w:hAnsi="Amiri" w:eastAsia="Amiri" w:cs="Amiri"/>
          <w:color w:val="111111"/>
          <w:sz w:val="28"/>
          <w:sz w:val="28"/>
          <w:szCs w:val="28"/>
          <w:rtl w:val="true"/>
          <w:lang w:bidi="ar-SA"/>
        </w:rPr>
        <w:t xml:space="preserve">، نيز از اصحاب امام جواد محمدبن‌على‌الثّانى </w:t>
      </w:r>
      <w:r>
        <w:rPr>
          <w:rStyle w:val="FootnoteAnchor"/>
          <w:rtl w:val="true"/>
        </w:rPr>
        <w:footnoteReference w:id="49"/>
      </w:r>
      <w:r>
        <w:rPr>
          <w:rFonts w:ascii="IRNazanin" w:hAnsi="IRNazanin" w:eastAsia="IRNazanin"/>
          <w:color w:val="111111"/>
          <w:sz w:val="28"/>
          <w:sz w:val="28"/>
          <w:szCs w:val="28"/>
          <w:rtl w:val="true"/>
          <w:lang w:bidi="fa-IR"/>
        </w:rPr>
        <w:t xml:space="preserve">شمرده شده است، على ابن ابراهيم‌بن‌هاشم، هر چند كه مورد اعتماد در حديث و صحيح‌المذهب بوده </w:t>
      </w:r>
      <w:r>
        <w:rPr>
          <w:rStyle w:val="FootnoteAnchor"/>
          <w:rtl w:val="true"/>
        </w:rPr>
        <w:footnoteReference w:id="50"/>
      </w:r>
      <w:r>
        <w:rPr>
          <w:rFonts w:ascii="Amiri" w:hAnsi="Amiri" w:eastAsia="Amiri" w:cs="Amiri"/>
          <w:color w:val="111111"/>
          <w:sz w:val="28"/>
          <w:sz w:val="28"/>
          <w:szCs w:val="28"/>
          <w:rtl w:val="true"/>
          <w:lang w:bidi="ar-SA"/>
        </w:rPr>
        <w:t xml:space="preserve">ولى اينكه يكى از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ملاقات كرده باشد، در منابع يافت نشد اما تا سال</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ق در قيد حيات بوده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اين‌حال مدعاى اين محقق، به‌اثبات نمى‌رسد؛ زيرا كلينى بر اساس آنچه از كافى استفاده مى‌شود، با يك‌واسطه يعنى محمدبن‌يحيى‌عطار قمى </w:t>
      </w:r>
      <w:r>
        <w:rPr>
          <w:rStyle w:val="FootnoteAnchor"/>
          <w:rtl w:val="true"/>
        </w:rPr>
        <w:footnoteReference w:id="52"/>
      </w:r>
      <w:r>
        <w:rPr>
          <w:rFonts w:ascii="Amiri" w:hAnsi="Amiri" w:eastAsia="Amiri" w:cs="Amiri"/>
          <w:color w:val="111111"/>
          <w:sz w:val="28"/>
          <w:sz w:val="28"/>
          <w:szCs w:val="28"/>
          <w:rtl w:val="true"/>
          <w:lang w:bidi="ar-SA"/>
        </w:rPr>
        <w:t xml:space="preserve">، از احمدبن‌محمدبن عيسى نقل روايت مى‌نمايد </w:t>
      </w:r>
      <w:r>
        <w:rPr>
          <w:rStyle w:val="FootnoteAnchor"/>
          <w:rtl w:val="true"/>
        </w:rPr>
        <w:footnoteReference w:id="53"/>
      </w:r>
      <w:r>
        <w:rPr>
          <w:rFonts w:ascii="IRNazanin" w:hAnsi="IRNazanin" w:eastAsia="IRNazanin"/>
          <w:color w:val="111111"/>
          <w:sz w:val="28"/>
          <w:sz w:val="28"/>
          <w:szCs w:val="28"/>
          <w:rtl w:val="true"/>
          <w:lang w:bidi="fa-IR"/>
        </w:rPr>
        <w:t>، و احتمال دارد اين پژوهشگر همانند اين نقل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احمدبن محمد، عن‌محمدبن‌خالد، عن خلف بن‌حماد</w:t>
      </w:r>
      <w:r>
        <w:rPr>
          <w:rFonts w:eastAsia="IRNazanin" w:cs="IRNazanin"/>
          <w:color w:val="111111"/>
          <w:sz w:val="28"/>
          <w:szCs w:val="28"/>
          <w:rtl w:val="true"/>
          <w:lang w:bidi="fa-IR"/>
        </w:rPr>
        <w:t xml:space="preserve">. . . » </w:t>
      </w:r>
      <w:r>
        <w:rPr>
          <w:rStyle w:val="FootnoteAnchor"/>
          <w:rtl w:val="true"/>
        </w:rPr>
        <w:footnoteReference w:id="54"/>
      </w:r>
      <w:r>
        <w:rPr>
          <w:rFonts w:ascii="IRNazanin" w:hAnsi="IRNazanin" w:eastAsia="IRNazanin"/>
          <w:color w:val="111111"/>
          <w:sz w:val="28"/>
          <w:sz w:val="28"/>
          <w:szCs w:val="28"/>
          <w:rtl w:val="true"/>
          <w:lang w:bidi="fa-IR"/>
        </w:rPr>
        <w:t xml:space="preserve">را ديده، آن‌گاه به‌اين نتيجه رسيده كه كلينى </w:t>
      </w:r>
    </w:p>
    <w:p>
      <w:pPr>
        <w:pStyle w:val="BookText"/>
        <w:rPr/>
      </w:pPr>
      <w:r>
        <w:rPr>
          <w:rFonts w:ascii="IRNazanin" w:hAnsi="IRNazanin" w:eastAsia="IRNazanin"/>
          <w:color w:val="111111"/>
          <w:sz w:val="28"/>
          <w:sz w:val="28"/>
          <w:szCs w:val="28"/>
          <w:rtl w:val="true"/>
          <w:lang w:bidi="fa-IR"/>
        </w:rPr>
        <w:t>بدون واسطه از احمدبن‌محمد روايت مى‌كند؛ در حالى‌كه كلينى به‌طور وسيع اين هنر را به‌كار مى‌برد كه پس از نقل سند به‌طور كامل، در حديث بعدى آن مقدار سند مشترك با حديث قبلى را نمى‌آورد؛ از اين رو در حديث نخست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محمدبن‌يحيى، عن احمد بن‌محمد بن‌عيسى، عن محمد بن‌خالد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 نقل بعدى فقط احمد بن محمد را مى‌آورد و از آوردن محمدبن‌يحيى صرف نظر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سهل‌بن‌زياد ابوسعيد الآدمى‌الرّازى؛ همين اشتباه رخ داده است، چنان‌كه در حاشيه رجال بحرالعلوم به اين اشتباه تصريح شده كه كلينى بدون واسطه از سهل‌بن‌زياد به‌نقل حديث مى‌پردازد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زيرا دأب كلينى اين است كه فراوان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اصحابنا، عن سهل بن زياد، عن </w:t>
      </w:r>
      <w:r>
        <w:rPr>
          <w:rFonts w:eastAsia="IRNazanin" w:cs="IRNazanin"/>
          <w:color w:val="111111"/>
          <w:sz w:val="28"/>
          <w:szCs w:val="28"/>
          <w:rtl w:val="true"/>
          <w:lang w:bidi="fa-IR"/>
        </w:rPr>
        <w:t xml:space="preserve">. . .» </w:t>
      </w:r>
      <w:r>
        <w:rPr>
          <w:rStyle w:val="FootnoteAnchor"/>
          <w:rtl w:val="true"/>
        </w:rPr>
        <w:footnoteReference w:id="55"/>
      </w:r>
      <w:r>
        <w:rPr>
          <w:rFonts w:ascii="Amiri" w:hAnsi="Amiri" w:eastAsia="Amiri" w:cs="Amiri"/>
          <w:color w:val="111111"/>
          <w:sz w:val="28"/>
          <w:sz w:val="28"/>
          <w:szCs w:val="28"/>
          <w:rtl w:val="true"/>
          <w:lang w:bidi="ar-SA"/>
        </w:rPr>
        <w:t xml:space="preserve">، اما حديث بعدى را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مى‌آورد </w:t>
      </w:r>
      <w:r>
        <w:rPr>
          <w:rStyle w:val="FootnoteAnchor"/>
          <w:rtl w:val="true"/>
        </w:rPr>
        <w:footnoteReference w:id="56"/>
      </w:r>
      <w:r>
        <w:rPr>
          <w:rFonts w:ascii="IRNazanin" w:hAnsi="IRNazanin" w:eastAsia="IRNazanin"/>
          <w:color w:val="111111"/>
          <w:sz w:val="28"/>
          <w:sz w:val="28"/>
          <w:szCs w:val="28"/>
          <w:rtl w:val="true"/>
          <w:lang w:bidi="fa-IR"/>
        </w:rPr>
        <w:t>، چنان‌كه علامه حلى نقل مى‌كند كه كلينى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سهل بن زياد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على‌بن‌محمد علاّن و محمدبن‌ابى عبدالله و محمدبن الحسن و محمدبن عقيل الكلينى است </w:t>
      </w:r>
      <w:r>
        <w:rPr>
          <w:rStyle w:val="FootnoteAnchor"/>
          <w:rtl w:val="true"/>
        </w:rPr>
        <w:footnoteReference w:id="57"/>
      </w:r>
      <w:r>
        <w:rPr>
          <w:rFonts w:ascii="IRNazanin" w:hAnsi="IRNazanin" w:eastAsia="IRNazanin"/>
          <w:color w:val="111111"/>
          <w:sz w:val="28"/>
          <w:sz w:val="28"/>
          <w:szCs w:val="28"/>
          <w:rtl w:val="true"/>
          <w:lang w:bidi="fa-IR"/>
        </w:rPr>
        <w:t xml:space="preserve">هر چند كه كلينى اين قانون را هميشه رعايت نمى‌كند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نيز بدون واسطه شيخ كلينى از او نقل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كلينى با واسطة محمدبن‌اسماعيل، از او نقل حديث مى‌كند </w:t>
      </w:r>
      <w:r>
        <w:rPr>
          <w:rStyle w:val="FootnoteAnchor"/>
          <w:rtl w:val="true"/>
        </w:rPr>
        <w:footnoteReference w:id="60"/>
      </w:r>
      <w:r>
        <w:rPr>
          <w:rFonts w:ascii="IRNazanin" w:hAnsi="IRNazanin" w:eastAsia="IRNazanin"/>
          <w:color w:val="111111"/>
          <w:sz w:val="28"/>
          <w:sz w:val="28"/>
          <w:szCs w:val="28"/>
          <w:rtl w:val="true"/>
          <w:lang w:bidi="fa-IR"/>
        </w:rPr>
        <w:t xml:space="preserve">همچنين از على‌بن‌اسباط گاهى با دو واسطه به‌نقل حديث مى‌پردازد </w:t>
      </w:r>
      <w:r>
        <w:rPr>
          <w:rStyle w:val="FootnoteAnchor"/>
          <w:rtl w:val="true"/>
        </w:rPr>
        <w:footnoteReference w:id="61"/>
      </w:r>
      <w:r>
        <w:rPr>
          <w:rFonts w:ascii="Amiri" w:hAnsi="Amiri" w:eastAsia="Amiri" w:cs="Amiri"/>
          <w:color w:val="111111"/>
          <w:sz w:val="28"/>
          <w:sz w:val="28"/>
          <w:szCs w:val="28"/>
          <w:rtl w:val="true"/>
          <w:lang w:bidi="ar-SA"/>
        </w:rPr>
        <w:t xml:space="preserve">تنها از على بن‌ابراهيم بن‌هاشم، فراوان بدون واسطه حديث مى‌كند </w:t>
      </w:r>
      <w:r>
        <w:rPr>
          <w:rStyle w:val="FootnoteAnchor"/>
          <w:rtl w:val="true"/>
        </w:rPr>
        <w:footnoteReference w:id="62"/>
      </w:r>
      <w:r>
        <w:rPr>
          <w:rFonts w:ascii="Amiri" w:hAnsi="Amiri" w:eastAsia="Amiri" w:cs="Amiri"/>
          <w:color w:val="111111"/>
          <w:sz w:val="28"/>
          <w:sz w:val="28"/>
          <w:szCs w:val="28"/>
          <w:rtl w:val="true"/>
          <w:lang w:bidi="ar-SA"/>
        </w:rPr>
        <w:t>، ولى ثابت نيست كه اين راوى، حداقلّ زمان امام‌حسن‌عسكرى را درك نموده باشد</w:t>
      </w:r>
      <w:r>
        <w:rPr>
          <w:rFonts w:eastAsia="Amiri" w:cs="Amiri" w:ascii="Amiri" w:hAnsi="Amiri"/>
          <w:color w:val="111111"/>
          <w:sz w:val="28"/>
          <w:szCs w:val="28"/>
          <w:rtl w:val="true"/>
          <w:lang w:bidi="ar-SA"/>
        </w:rPr>
        <w:t xml:space="preserve">. </w:t>
      </w:r>
      <w:bookmarkStart w:id="41" w:name="pg1976_27643"/>
    </w:p>
    <w:p>
      <w:pPr>
        <w:pStyle w:val="BookText"/>
        <w:rPr/>
      </w:pPr>
      <w:bookmarkEnd w:id="41"/>
      <w:r>
        <w:rPr>
          <w:rFonts w:ascii="IRNazanin" w:hAnsi="IRNazanin" w:eastAsia="IRNazanin"/>
          <w:color w:val="111111"/>
          <w:sz w:val="28"/>
          <w:sz w:val="28"/>
          <w:szCs w:val="28"/>
          <w:rtl w:val="true"/>
          <w:lang w:bidi="fa-IR"/>
        </w:rPr>
        <w:t xml:space="preserve">در نتيجه نمى‌توان ادعاى اين محقق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كلينى در نيمه دوم قرن سوم وربع اول قرن چهارم زندگى مى‌كرده و امام‌حسن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شواهد ارائه شده اثبات كرد، هرچند كه احتمال آن بعيد نيست</w:t>
      </w:r>
      <w:r>
        <w:rPr>
          <w:rFonts w:eastAsia="IRNazanin" w:cs="IRNazanin"/>
          <w:color w:val="111111"/>
          <w:sz w:val="28"/>
          <w:szCs w:val="28"/>
          <w:rtl w:val="true"/>
          <w:lang w:bidi="fa-IR"/>
        </w:rPr>
        <w:t>.</w:t>
      </w:r>
    </w:p>
    <w:p>
      <w:pPr>
        <w:pStyle w:val="Heading4"/>
        <w:numPr>
          <w:ilvl w:val="3"/>
          <w:numId w:val="1"/>
        </w:numPr>
        <w:rPr/>
      </w:pPr>
      <w:bookmarkStart w:id="42" w:name="__RefHeading___Toc3766867_3650668749"/>
      <w:bookmarkStart w:id="43" w:name="_Toc12"/>
      <w:bookmarkEnd w:id="42"/>
      <w:r>
        <w:rPr/>
        <w:t>٣</w:t>
      </w:r>
      <w:r>
        <w:rPr>
          <w:rtl w:val="true"/>
        </w:rPr>
        <w:t xml:space="preserve">. </w:t>
      </w:r>
      <w:r>
        <w:rPr>
          <w:rtl w:val="true"/>
        </w:rPr>
        <w:t xml:space="preserve">وفات كلينى </w:t>
      </w:r>
      <w:r>
        <w:rPr/>
        <w:t>٣٢٨</w:t>
      </w:r>
      <w:r>
        <w:rPr>
          <w:rtl w:val="true"/>
        </w:rPr>
        <w:t>ه</w:t>
      </w:r>
      <w:r>
        <w:rPr>
          <w:rtl w:val="true"/>
        </w:rPr>
        <w:t xml:space="preserve">. </w:t>
      </w:r>
      <w:r>
        <w:rPr>
          <w:rtl w:val="true"/>
        </w:rPr>
        <w:t>ق يا</w:t>
      </w:r>
      <w:r>
        <w:rPr/>
        <w:t>٣٢٩</w:t>
      </w:r>
      <w:r>
        <w:rPr>
          <w:rtl w:val="true"/>
        </w:rPr>
        <w:t>ه</w:t>
      </w:r>
      <w:r>
        <w:rPr>
          <w:rtl w:val="true"/>
        </w:rPr>
        <w:t xml:space="preserve">. </w:t>
      </w:r>
      <w:r>
        <w:rPr>
          <w:rtl w:val="true"/>
        </w:rPr>
        <w:t>ق</w:t>
      </w:r>
      <w:bookmarkEnd w:id="43"/>
    </w:p>
    <w:p>
      <w:pPr>
        <w:pStyle w:val="Heading5"/>
        <w:numPr>
          <w:ilvl w:val="4"/>
          <w:numId w:val="1"/>
        </w:numPr>
        <w:rPr/>
      </w:pPr>
      <w:bookmarkStart w:id="44" w:name="__RefHeading___Toc3766869_3650668749"/>
      <w:bookmarkStart w:id="45" w:name="_Toc13"/>
      <w:bookmarkEnd w:id="44"/>
      <w:r>
        <w:rPr>
          <w:rtl w:val="true"/>
        </w:rPr>
        <w:t>اشاره</w:t>
      </w:r>
      <w:bookmarkEnd w:id="4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مرحوم كلينى در چه سالى بدرود حيات گفته، اتفاق‌نظرى وجود ندارد، گروهى چون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تفرشى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يازدهم</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و بسيارى از متأخران </w:t>
      </w:r>
      <w:r>
        <w:rPr>
          <w:rStyle w:val="FootnoteAnchor"/>
          <w:rtl w:val="true"/>
        </w:rPr>
        <w:footnoteReference w:id="66"/>
      </w:r>
      <w:r>
        <w:rPr>
          <w:rFonts w:ascii="Amiri" w:hAnsi="Amiri" w:eastAsia="Amiri" w:cs="Amiri"/>
          <w:color w:val="111111"/>
          <w:sz w:val="28"/>
          <w:sz w:val="28"/>
          <w:szCs w:val="28"/>
          <w:rtl w:val="true"/>
          <w:lang w:bidi="ar-SA"/>
        </w:rPr>
        <w:t xml:space="preserve">، 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 أفندى الاصفهانى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دوازدهم</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اعجازحسين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اسماعيل 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 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ابوهلال‌عسكرى </w:t>
      </w:r>
      <w:r>
        <w:rPr>
          <w:rStyle w:val="FootnoteAnchor"/>
          <w:rtl w:val="true"/>
        </w:rPr>
        <w:footnoteReference w:id="72"/>
      </w:r>
      <w:r>
        <w:rPr>
          <w:rFonts w:ascii="Amiri" w:hAnsi="Amiri" w:eastAsia="Amiri" w:cs="Amiri"/>
          <w:color w:val="111111"/>
          <w:sz w:val="28"/>
          <w:sz w:val="28"/>
          <w:szCs w:val="28"/>
          <w:rtl w:val="true"/>
          <w:lang w:bidi="ar-SA"/>
        </w:rPr>
        <w:t xml:space="preserve">، عمركحاله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 خوانسارى </w:t>
      </w:r>
      <w:r>
        <w:rPr>
          <w:rStyle w:val="FootnoteAnchor"/>
          <w:rtl w:val="true"/>
        </w:rPr>
        <w:footnoteReference w:id="74"/>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را سال وفات او مى‌دانند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 ديگر، چون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ابن‌عساكر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ابن‌اثير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ابن‌حجرالعسقلانى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محقق‌كركى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يوسف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ميرزا عبدالله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دوازدهم</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 حسن صدر </w:t>
      </w:r>
      <w:r>
        <w:rPr>
          <w:rStyle w:val="FootnoteAnchor"/>
          <w:rtl w:val="true"/>
        </w:rPr>
        <w:footnoteReference w:id="83"/>
      </w:r>
      <w:r>
        <w:rPr>
          <w:rFonts w:ascii="IRNazanin" w:hAnsi="IRNazanin" w:eastAsia="IRNazanin"/>
          <w:color w:val="111111"/>
          <w:sz w:val="28"/>
          <w:sz w:val="28"/>
          <w:szCs w:val="28"/>
          <w:rtl w:val="true"/>
          <w:lang w:bidi="fa-IR"/>
        </w:rPr>
        <w:t xml:space="preserve">، ابن‌داود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سيدمحسن‌امين </w:t>
      </w:r>
      <w:r>
        <w:rPr>
          <w:rStyle w:val="FootnoteAnchor"/>
          <w:rtl w:val="true"/>
        </w:rPr>
        <w:footnoteReference w:id="85"/>
      </w:r>
      <w:r>
        <w:rPr>
          <w:rFonts w:ascii="IRNazanin" w:hAnsi="IRNazanin" w:eastAsia="IRNazanin"/>
          <w:color w:val="111111"/>
          <w:sz w:val="28"/>
          <w:sz w:val="28"/>
          <w:szCs w:val="28"/>
          <w:rtl w:val="true"/>
          <w:lang w:bidi="fa-IR"/>
        </w:rPr>
        <w:t xml:space="preserve">، حاجى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 معتقدند كلينى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است؛ به‌نظر مى‌رسد اين گروه بيشتر به ضبط الكامل ابن‌اثير اعتماد نموده‌اند </w:t>
      </w:r>
      <w:r>
        <w:rPr>
          <w:rStyle w:val="FootnoteAnchor"/>
          <w:rtl w:val="true"/>
        </w:rPr>
        <w:footnoteReference w:id="87"/>
      </w:r>
      <w:r>
        <w:rPr>
          <w:rFonts w:ascii="IRNazanin" w:hAnsi="IRNazanin" w:eastAsia="IRNazanin"/>
          <w:color w:val="111111"/>
          <w:sz w:val="28"/>
          <w:sz w:val="28"/>
          <w:szCs w:val="28"/>
          <w:rtl w:val="true"/>
          <w:lang w:bidi="fa-IR"/>
        </w:rPr>
        <w:t>، آقابزرگ تهرانى در ضبط سال وفات كلينى با ترديد برخورد نموده است؛ گاهى</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را و گاهى</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را، سال وفات كلينى شمرده است و اين ترديد تهرانى، شايد از همان دو ديدگاهى كه اشاره شد، ناشى شده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ميان اين دو نظر، ديدگاه نخست نزديك‌تر به‌صواب است؛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كه نزديك‌تر به‌عصر كلينى است، وفات كلينى را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است</w:t>
      </w:r>
      <w:r>
        <w:rPr>
          <w:rFonts w:eastAsia="IRNazanin" w:cs="IRNazanin"/>
          <w:color w:val="111111"/>
          <w:sz w:val="28"/>
          <w:szCs w:val="28"/>
          <w:rtl w:val="true"/>
          <w:lang w:bidi="fa-IR"/>
        </w:rPr>
        <w:t xml:space="preserve">. </w:t>
      </w:r>
      <w:bookmarkStart w:id="46" w:name="pg1976_27648"/>
    </w:p>
    <w:p>
      <w:pPr>
        <w:pStyle w:val="BookText"/>
        <w:rPr/>
      </w:pPr>
      <w:bookmarkEnd w:id="46"/>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رجال </w:t>
      </w:r>
      <w:r>
        <w:rPr>
          <w:rStyle w:val="FootnoteAnchor"/>
          <w:rtl w:val="true"/>
        </w:rPr>
        <w:footnoteReference w:id="90"/>
      </w:r>
      <w:r>
        <w:rPr>
          <w:rFonts w:ascii="IRNazanin" w:hAnsi="IRNazanin" w:eastAsia="IRNazanin"/>
          <w:color w:val="111111"/>
          <w:sz w:val="28"/>
          <w:sz w:val="28"/>
          <w:szCs w:val="28"/>
          <w:rtl w:val="true"/>
          <w:lang w:bidi="fa-IR"/>
        </w:rPr>
        <w:t xml:space="preserve">و فهرست </w:t>
      </w:r>
      <w:r>
        <w:rPr>
          <w:rStyle w:val="FootnoteAnchor"/>
          <w:rtl w:val="true"/>
        </w:rPr>
        <w:footnoteReference w:id="91"/>
      </w:r>
      <w:r>
        <w:rPr>
          <w:rFonts w:ascii="IRNazanin" w:hAnsi="IRNazanin" w:eastAsia="IRNazanin"/>
          <w:color w:val="111111"/>
          <w:sz w:val="28"/>
          <w:sz w:val="28"/>
          <w:szCs w:val="28"/>
          <w:rtl w:val="true"/>
          <w:lang w:bidi="fa-IR"/>
        </w:rPr>
        <w:t>خود دو ديدگاه متفاوت را ضبط كرده، ولى از آنجا كه رجالش را به‌لحاظ اينكه بارها بعد از توضيح و ذكر ديدگاه خود در مورد راوى،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كُتُبٌ ذَكَرناها في‌الفهرست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 پس از فهرست نوشته است، احتمال دارد از نظرش در كتاب الفهرست برگشته باشد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كه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اختيار مى‌كند، همان نظر شيخ طوسى در فهرست را بازگو مى‌كند چنانچه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الطوسي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 سنة تسع 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ابن‌اثير و ابن‌حجر و برخى ديگر از متأخران، سال وفات كلينى را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ولى گذشته از اينكه ديدگاه نخست، از اكثريت قاطع برخوردار است، عالمان اماميه مانند نجاشى و شيخ طوسى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آگاه‌تر به اصحاب خويش هستند</w:t>
      </w:r>
      <w:r>
        <w:rPr>
          <w:rFonts w:eastAsia="IRNazanin" w:cs="IRNazanin"/>
          <w:color w:val="111111"/>
          <w:sz w:val="28"/>
          <w:szCs w:val="28"/>
          <w:rtl w:val="true"/>
          <w:lang w:bidi="fa-IR"/>
        </w:rPr>
        <w:t>.</w:t>
      </w:r>
    </w:p>
    <w:p>
      <w:pPr>
        <w:pStyle w:val="Heading5"/>
        <w:numPr>
          <w:ilvl w:val="4"/>
          <w:numId w:val="1"/>
        </w:numPr>
        <w:rPr/>
      </w:pPr>
      <w:bookmarkStart w:id="47" w:name="__RefHeading___Toc3766871_3650668749"/>
      <w:bookmarkStart w:id="48" w:name="_Toc14"/>
      <w:bookmarkEnd w:id="47"/>
      <w:r>
        <w:rPr>
          <w:rtl w:val="true"/>
        </w:rPr>
        <w:t>سال تناثرالنّجوم</w:t>
      </w:r>
      <w:r>
        <w:rPr>
          <w:rtl w:val="true"/>
        </w:rPr>
        <w:t>!</w:t>
      </w:r>
      <w:bookmarkEnd w:id="4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نجاشى در رجالش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در سنه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فرو ريختن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 و ديگران به‌تبع او، اين سخن را تكرار مى‌كنند، مقصود از ريزش ستارگان چييست؟ آيا فرو ريختن ستارگان در اين سال اتفاق افتاده است؟ تسترى، سخن نجاشى مبنى بر اينكه كلينى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ريزش ستارگان اتفاق افتاده باشد را، نادرست دانسته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نجوم در سال</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نه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و ابن‌اثيرالجزرى در حوادث اين سال مى‌آورد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شب دوازدهم ذيقعده اين </w:t>
      </w:r>
    </w:p>
    <w:p>
      <w:pPr>
        <w:pStyle w:val="BookText"/>
        <w:rPr/>
      </w:pPr>
      <w:r>
        <w:rPr>
          <w:rFonts w:ascii="IRNazanin" w:hAnsi="IRNazanin" w:eastAsia="IRNazanin"/>
          <w:color w:val="111111"/>
          <w:sz w:val="28"/>
          <w:sz w:val="28"/>
          <w:szCs w:val="28"/>
          <w:rtl w:val="true"/>
          <w:lang w:bidi="fa-IR"/>
        </w:rPr>
        <w:t>سال كه شب حمله قرامطه بود، ستاره‌ها از اول شب تا آخر به‌طور دايم و با شدتى كه هيچ سابقه نداشت، ساقط شد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ولى به‌نظر مى‌رسد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كلام نجاشى ستارگان و شهاب‌هاى آسمانى نيست بلكه احتمال دارد نجوم، كنايه از ستارگان علمى باشد كه در اين سال يكى پس از ديگرى از دنيا رفته باشند؛ چه اينكه در همين سال ابوالحسن‌على‌بن محمد السّمرى آخرين وكيل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w:t>
      </w:r>
      <w:r>
        <w:rPr>
          <w:rStyle w:val="FootnoteAnchor"/>
          <w:rtl w:val="true"/>
        </w:rPr>
        <w:footnoteReference w:id="98"/>
      </w:r>
      <w:r>
        <w:rPr>
          <w:rFonts w:ascii="Amiri" w:hAnsi="Amiri" w:eastAsia="Amiri" w:cs="Amiri"/>
          <w:color w:val="111111"/>
          <w:sz w:val="28"/>
          <w:sz w:val="28"/>
          <w:szCs w:val="28"/>
          <w:rtl w:val="true"/>
          <w:lang w:bidi="ar-SA"/>
        </w:rPr>
        <w:t xml:space="preserve">و اين سال، با حوادث دردناك و رحلت اقطاب از دانشمندان همراه بوده است </w:t>
      </w:r>
      <w:r>
        <w:rPr>
          <w:rStyle w:val="FootnoteAnchor"/>
          <w:rtl w:val="true"/>
        </w:rPr>
        <w:footnoteReference w:id="99"/>
      </w:r>
      <w:r>
        <w:rPr>
          <w:rFonts w:ascii="IRNazanin" w:hAnsi="IRNazanin" w:eastAsia="IRNazanin"/>
          <w:color w:val="111111"/>
          <w:sz w:val="28"/>
          <w:sz w:val="28"/>
          <w:szCs w:val="28"/>
          <w:rtl w:val="true"/>
          <w:lang w:bidi="fa-IR"/>
        </w:rPr>
        <w:t>، ابن‌جوزى نيز اين سال را پر ازحوادث و شوم ياد مى‌كند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بسيارى از شيعيان كه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به‌عقيده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سبّ صحابه گرد هم آمده بودند، زندانى و مسجد تخريب و جاى آن، مسجد ديگر بنا شد، و رأس قّبّة خضراء كه تاج حكومت عباسى و عَلَم شهر محسوب مى شد،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رعد و برق شديدى رخ داد، قحطى و گرسنگى بيداد مى‌كرد، مرگ و موت زيادى اتفاق افتاد كه حتى مردم را دسته جمعى بدون غسل و كفن در يك‌قبر دفن كردند، آب فرات به‌شدت زياد شد و وارد خيابان‌هاى بغداد شد و بسيارى از عباسى‌ها غرق گشتند و دو پل قديمى و سنگى عتيق و جديد بغداد، فرو ريخت، تلفات مواشى و بيمارى فراوان شد</w:t>
      </w:r>
      <w:r>
        <w:rPr>
          <w:rFonts w:eastAsia="IRNazanin" w:cs="IRNazanin"/>
          <w:color w:val="111111"/>
          <w:sz w:val="28"/>
          <w:szCs w:val="28"/>
          <w:rtl w:val="true"/>
          <w:lang w:bidi="fa-IR"/>
        </w:rPr>
        <w:t xml:space="preserve">. . .» </w:t>
      </w:r>
      <w:r>
        <w:rPr>
          <w:rStyle w:val="FootnoteAnchor"/>
          <w:rtl w:val="true"/>
        </w:rPr>
        <w:footnoteReference w:id="100"/>
      </w:r>
      <w:r>
        <w:rPr>
          <w:rFonts w:ascii="IRNazanin" w:hAnsi="IRNazanin" w:eastAsia="IRNazanin"/>
          <w:color w:val="111111"/>
          <w:sz w:val="28"/>
          <w:sz w:val="28"/>
          <w:szCs w:val="28"/>
          <w:rtl w:val="true"/>
          <w:lang w:bidi="fa-IR"/>
        </w:rPr>
        <w:t xml:space="preserve">اين قطعه از تاريخ گوياى اين است كه اين سال براى علماى اماميه به‌شدت سخت‌تر از هر زمان ديگر بوده است و بسيارى از علما و بزرگان شيعه شهيد و يا </w:t>
      </w:r>
      <w:bookmarkStart w:id="49" w:name="pg1976_27652"/>
    </w:p>
    <w:p>
      <w:pPr>
        <w:pStyle w:val="BookText"/>
        <w:rPr/>
      </w:pPr>
      <w:bookmarkEnd w:id="49"/>
      <w:r>
        <w:rPr>
          <w:rFonts w:ascii="IRNazanin" w:hAnsi="IRNazanin" w:eastAsia="IRNazanin"/>
          <w:color w:val="111111"/>
          <w:sz w:val="28"/>
          <w:sz w:val="28"/>
          <w:szCs w:val="28"/>
          <w:rtl w:val="true"/>
          <w:lang w:bidi="fa-IR"/>
        </w:rPr>
        <w:t>بدرود حيات گفته باشند به‌گونه‌اى كه اين‌سال را سال فرو ريختن ستاره‌هاى دانش، نام‌گذارى نموده‌اند</w:t>
      </w:r>
      <w:r>
        <w:rPr>
          <w:rFonts w:eastAsia="IRNazanin" w:cs="IRNazanin"/>
          <w:color w:val="111111"/>
          <w:sz w:val="28"/>
          <w:szCs w:val="28"/>
          <w:rtl w:val="true"/>
          <w:lang w:bidi="fa-IR"/>
        </w:rPr>
        <w:t>.</w:t>
      </w:r>
    </w:p>
    <w:p>
      <w:pPr>
        <w:pStyle w:val="Heading4"/>
        <w:numPr>
          <w:ilvl w:val="3"/>
          <w:numId w:val="1"/>
        </w:numPr>
        <w:rPr/>
      </w:pPr>
      <w:bookmarkStart w:id="50" w:name="__RefHeading___Toc3766873_3650668749"/>
      <w:bookmarkStart w:id="51" w:name="_Toc15"/>
      <w:bookmarkEnd w:id="50"/>
      <w:r>
        <w:rPr/>
        <w:t>۴</w:t>
      </w:r>
      <w:r>
        <w:rPr>
          <w:rtl w:val="true"/>
        </w:rPr>
        <w:t xml:space="preserve">. </w:t>
      </w:r>
      <w:r>
        <w:rPr>
          <w:rtl w:val="true"/>
        </w:rPr>
        <w:t>مدفن و مزار كلينى</w:t>
      </w:r>
      <w:bookmarkEnd w:id="51"/>
    </w:p>
    <w:p>
      <w:pPr>
        <w:pStyle w:val="BookText"/>
        <w:rPr/>
      </w:pPr>
      <w:r>
        <w:rPr>
          <w:rFonts w:ascii="IRNazanin" w:hAnsi="IRNazanin" w:eastAsia="IRNazanin"/>
          <w:color w:val="111111"/>
          <w:sz w:val="28"/>
          <w:sz w:val="28"/>
          <w:szCs w:val="28"/>
          <w:rtl w:val="true"/>
          <w:lang w:bidi="fa-IR"/>
        </w:rPr>
        <w:t xml:space="preserve">در اينكه كلينى در بغداد دارفانى را وداع گفت و رحلت او بر جامعۀ علمى آن روز سخت تمام شد، و بر پيكر او سيدمحمدبن جعفرالحسينى معروف به‌ابوقيراط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بزرگ شيعه و نقيب طالبيين آن‌روز نماز گزارد </w:t>
      </w:r>
      <w:r>
        <w:rPr>
          <w:rStyle w:val="FootnoteAnchor"/>
          <w:rtl w:val="true"/>
        </w:rPr>
        <w:footnoteReference w:id="101"/>
      </w:r>
      <w:r>
        <w:rPr>
          <w:rFonts w:ascii="Amiri" w:hAnsi="Amiri" w:eastAsia="Amiri" w:cs="Amiri"/>
          <w:color w:val="111111"/>
          <w:sz w:val="28"/>
          <w:sz w:val="28"/>
          <w:szCs w:val="28"/>
          <w:rtl w:val="true"/>
          <w:lang w:bidi="ar-SA"/>
        </w:rPr>
        <w:t xml:space="preserve">، جاى ترديد نيست </w:t>
      </w:r>
      <w:r>
        <w:rPr>
          <w:rStyle w:val="FootnoteAnchor"/>
          <w:rtl w:val="true"/>
        </w:rPr>
        <w:footnoteReference w:id="102"/>
      </w:r>
      <w:r>
        <w:rPr>
          <w:rFonts w:ascii="IRNazanin" w:hAnsi="IRNazanin" w:eastAsia="IRNazanin"/>
          <w:color w:val="111111"/>
          <w:sz w:val="28"/>
          <w:sz w:val="28"/>
          <w:szCs w:val="28"/>
          <w:rtl w:val="true"/>
          <w:lang w:bidi="fa-IR"/>
        </w:rPr>
        <w:t xml:space="preserve">سخنان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از خاصه </w:t>
      </w:r>
      <w:r>
        <w:rPr>
          <w:rStyle w:val="FootnoteAnchor"/>
          <w:rtl w:val="true"/>
        </w:rPr>
        <w:footnoteReference w:id="103"/>
      </w:r>
      <w:r>
        <w:rPr>
          <w:rFonts w:ascii="IRNazanin" w:hAnsi="IRNazanin" w:eastAsia="IRNazanin"/>
          <w:color w:val="111111"/>
          <w:sz w:val="28"/>
          <w:sz w:val="28"/>
          <w:szCs w:val="28"/>
          <w:rtl w:val="true"/>
          <w:lang w:bidi="fa-IR"/>
        </w:rPr>
        <w:t xml:space="preserve">و عامه </w:t>
      </w:r>
      <w:r>
        <w:rPr>
          <w:rStyle w:val="FootnoteAnchor"/>
          <w:rtl w:val="true"/>
        </w:rPr>
        <w:footnoteReference w:id="104"/>
      </w:r>
      <w:r>
        <w:rPr>
          <w:rFonts w:ascii="IRNazanin" w:hAnsi="IRNazanin" w:eastAsia="IRNazanin"/>
          <w:color w:val="111111"/>
          <w:sz w:val="28"/>
          <w:sz w:val="28"/>
          <w:szCs w:val="28"/>
          <w:rtl w:val="true"/>
          <w:lang w:bidi="fa-IR"/>
        </w:rPr>
        <w:t>، در اين مورد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مكان و محل مزاركلينى اختلاف‌نظر وجود دارد؛ احمد امين نويسنده مصرى و منتقد اماميه، مى‌گويد </w:t>
      </w:r>
      <w:r>
        <w:rPr>
          <w:rStyle w:val="FootnoteAnchor"/>
          <w:rtl w:val="true"/>
        </w:rPr>
        <w:footnoteReference w:id="1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مَات ببغداد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بالكوفه</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 هر چند كه اين نظر، گذشته از اينكه منحصر به ايشان است و شايد اشتباهى در چاپ و يا كتابت رخ داده باشد </w:t>
      </w:r>
      <w:r>
        <w:rPr>
          <w:rStyle w:val="FootnoteAnchor"/>
          <w:rtl w:val="true"/>
        </w:rPr>
        <w:footnoteReference w:id="107"/>
      </w:r>
      <w:r>
        <w:rPr>
          <w:rFonts w:ascii="IRNazanin" w:hAnsi="IRNazanin" w:eastAsia="IRNazanin"/>
          <w:color w:val="111111"/>
          <w:sz w:val="28"/>
          <w:sz w:val="28"/>
          <w:szCs w:val="28"/>
          <w:rtl w:val="true"/>
          <w:lang w:bidi="fa-IR"/>
        </w:rPr>
        <w:t>، خلاف اجماع اماميه و غير اماميه است؛ ولى دو ديدگاه كلى ديگر درباره مزار مرحوم كلينى وجود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در رأس آنها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 قرار دارند </w:t>
      </w:r>
    </w:p>
    <w:p>
      <w:pPr>
        <w:pStyle w:val="BookText"/>
        <w:rPr/>
      </w:pPr>
      <w:r>
        <w:rPr>
          <w:rFonts w:ascii="Amiri" w:hAnsi="Amiri" w:eastAsia="Amiri" w:cs="Amiri"/>
          <w:color w:val="111111"/>
          <w:sz w:val="28"/>
          <w:sz w:val="28"/>
          <w:szCs w:val="28"/>
          <w:rtl w:val="true"/>
          <w:lang w:bidi="ar-SA"/>
        </w:rPr>
        <w:t xml:space="preserve">با توجه به‌شواهد متعدد، بر اين باورند كه قبر كلينى در مقبره‌اش، واقع در بغداد در محلى به‌نام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الكوفة بصراة الطايي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است، و هردو از استادشان ابن عبدون </w:t>
      </w:r>
      <w:r>
        <w:rPr>
          <w:rStyle w:val="FootnoteAnchor"/>
          <w:rtl w:val="true"/>
        </w:rPr>
        <w:footnoteReference w:id="111"/>
      </w:r>
      <w:r>
        <w:rPr>
          <w:rFonts w:ascii="IRNazanin" w:hAnsi="IRNazanin" w:eastAsia="IRNazanin"/>
          <w:color w:val="111111"/>
          <w:sz w:val="28"/>
          <w:sz w:val="28"/>
          <w:szCs w:val="28"/>
          <w:rtl w:val="true"/>
          <w:lang w:bidi="fa-IR"/>
        </w:rPr>
        <w:t>، نقل مى‌كنند كه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قبره في صراةالطايي و عليه لَوح مكتوبٌ عليه اسمُهُ و اسمُ أبيه </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از دانشمندان اهل‌سنت ابن‌عساكر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خود بر همين محل يعنى باب كوفه، تأكيد </w:t>
      </w:r>
      <w:r>
        <w:rPr>
          <w:rStyle w:val="FootnoteAnchor"/>
          <w:rtl w:val="true"/>
        </w:rPr>
        <w:footnoteReference w:id="113"/>
      </w:r>
      <w:r>
        <w:rPr>
          <w:rFonts w:ascii="IRNazanin" w:hAnsi="IRNazanin" w:eastAsia="IRNazanin"/>
          <w:color w:val="111111"/>
          <w:sz w:val="28"/>
          <w:sz w:val="28"/>
          <w:szCs w:val="28"/>
          <w:rtl w:val="true"/>
          <w:lang w:bidi="fa-IR"/>
        </w:rPr>
        <w:t xml:space="preserve">، و شهادت ابن‌ماكولا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بعد از بيان اينكه كلينى در محله‌اى به‌نام درب سلسله بغداد سكونت گزيد و در همانجا از دنيا رفت و درباب كوفه مدفون شد،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الحاشر و رأيتُ أنا قبره بالقرب من صراة الطّايي </w:t>
      </w:r>
      <w:r>
        <w:rPr>
          <w:rStyle w:val="FootnoteAnchor"/>
          <w:rtl w:val="true"/>
        </w:rPr>
        <w:footnoteReference w:id="114"/>
      </w:r>
      <w:r>
        <w:rPr>
          <w:rFonts w:ascii="Amiri" w:hAnsi="Amiri" w:eastAsia="Amiri" w:cs="Amiri"/>
          <w:color w:val="111111"/>
          <w:sz w:val="28"/>
          <w:sz w:val="28"/>
          <w:szCs w:val="28"/>
          <w:rtl w:val="true"/>
          <w:lang w:bidi="ar-SA"/>
        </w:rPr>
        <w:t>عليه لوح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قبرمحمدبن‌يعقوب الرّازي الكليني الفقيه </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نظر را گروه كثيرى از دانشمندان اسلامى همچون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تفرشى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ق‌يازدهم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شيخ‌عبّاس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ميرزا عبدالله الافندى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دوازدهم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 محمدتقى التسترى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تأييد كرده‌اند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بر اين باورند كه قبر كلينى در جانب بغداد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پل عتيق در محلى به‌نام مولويه است </w:t>
      </w:r>
      <w:r>
        <w:rPr>
          <w:rStyle w:val="FootnoteAnchor"/>
          <w:rtl w:val="true"/>
        </w:rPr>
        <w:footnoteReference w:id="123"/>
      </w:r>
      <w:r>
        <w:rPr>
          <w:rFonts w:ascii="Amiri" w:hAnsi="Amiri" w:eastAsia="Amiri" w:cs="Amiri"/>
          <w:color w:val="111111"/>
          <w:sz w:val="28"/>
          <w:sz w:val="28"/>
          <w:szCs w:val="28"/>
          <w:rtl w:val="true"/>
          <w:lang w:bidi="ar-SA"/>
        </w:rPr>
        <w:t xml:space="preserve">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مى‌آورد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والقبرالمطهّر الموصوف، معروف في بغداد الشرقية، مشهور تزوره الخاصة و العامة، في تكية المولويّة، و عليه شباك من الخارج إلى يسارالعبر من الجس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 » </w:t>
      </w:r>
      <w:r>
        <w:rPr>
          <w:rStyle w:val="FootnoteAnchor"/>
          <w:rtl w:val="true"/>
        </w:rPr>
        <w:footnoteReference w:id="124"/>
      </w:r>
      <w:r>
        <w:rPr>
          <w:rFonts w:ascii="IRNazanin" w:hAnsi="IRNazanin" w:eastAsia="IRNazanin"/>
          <w:color w:val="111111"/>
          <w:sz w:val="28"/>
          <w:sz w:val="28"/>
          <w:szCs w:val="28"/>
          <w:rtl w:val="true"/>
          <w:lang w:bidi="fa-IR"/>
        </w:rPr>
        <w:t xml:space="preserve">، آقابزرگ تهرانى در الذّريعه و طبقات </w:t>
      </w:r>
      <w:r>
        <w:rPr>
          <w:rStyle w:val="FootnoteAnchor"/>
          <w:rtl w:val="true"/>
        </w:rPr>
        <w:footnoteReference w:id="125"/>
      </w:r>
      <w:r>
        <w:rPr>
          <w:rFonts w:ascii="Amiri" w:hAnsi="Amiri" w:eastAsia="Amiri" w:cs="Amiri"/>
          <w:color w:val="111111"/>
          <w:sz w:val="28"/>
          <w:sz w:val="28"/>
          <w:szCs w:val="28"/>
          <w:rtl w:val="true"/>
          <w:lang w:bidi="ar-SA"/>
        </w:rPr>
        <w:t xml:space="preserve">، كاظمى در تكملةالرجال </w:t>
      </w:r>
      <w:r>
        <w:rPr>
          <w:rStyle w:val="FootnoteAnchor"/>
          <w:rtl w:val="true"/>
        </w:rPr>
        <w:footnoteReference w:id="126"/>
      </w:r>
      <w:r>
        <w:rPr>
          <w:rFonts w:ascii="IRNazanin" w:hAnsi="IRNazanin" w:eastAsia="IRNazanin"/>
          <w:color w:val="111111"/>
          <w:sz w:val="28"/>
          <w:sz w:val="28"/>
          <w:szCs w:val="28"/>
          <w:rtl w:val="true"/>
          <w:lang w:bidi="fa-IR"/>
        </w:rPr>
        <w:t xml:space="preserve">،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منتهى‌المقال </w:t>
      </w:r>
      <w:r>
        <w:rPr>
          <w:rStyle w:val="FootnoteAnchor"/>
          <w:rtl w:val="true"/>
        </w:rPr>
        <w:footnoteReference w:id="127"/>
      </w:r>
      <w:r>
        <w:rPr>
          <w:rFonts w:ascii="Amiri" w:hAnsi="Amiri" w:eastAsia="Amiri" w:cs="Amiri"/>
          <w:color w:val="111111"/>
          <w:sz w:val="28"/>
          <w:sz w:val="28"/>
          <w:szCs w:val="28"/>
          <w:rtl w:val="true"/>
          <w:lang w:bidi="ar-SA"/>
        </w:rPr>
        <w:t xml:space="preserve">محمدرضا حكيمى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متولد</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العلماء </w:t>
      </w:r>
      <w:r>
        <w:rPr>
          <w:rStyle w:val="FootnoteAnchor"/>
          <w:rtl w:val="true"/>
        </w:rPr>
        <w:footnoteReference w:id="128"/>
      </w:r>
      <w:r>
        <w:rPr>
          <w:rFonts w:ascii="IRNazanin" w:hAnsi="IRNazanin" w:eastAsia="IRNazanin"/>
          <w:color w:val="111111"/>
          <w:sz w:val="28"/>
          <w:sz w:val="28"/>
          <w:szCs w:val="28"/>
          <w:rtl w:val="true"/>
          <w:lang w:bidi="fa-IR"/>
        </w:rPr>
        <w:t>، بر همين محل تأكيد دارند؛ قمى در كتاب فوائدالرّضويه بعد از بيان اينكه كلينى در بغداد وفات كرد و بر جنازۀ او ابوقيراط نماز گزارد،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كوفه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قبر او در تكيه مولويه در نزديكى جسر مشهور و معروف و زيارتگاه خاصه و عامه است، همين كه شخصى از جسر عبور كند وارد بازار مى‌گردد به‌فاصله‌اندكى در طرف چپ خود شباكى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نرده، پنجره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مى‌بيند مفتوح به‌بازار و آن شباك بقعة همين شيخ معظم است</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پايه ديدگاه نخست، قبركلينى در باب‌الكوفه به‌جانب كرخ واقع است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براساس نظر گروهِ دوم، مدفن كلينى در طرف شرق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الرّصافة</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يعنى نزديكى‌هاى باب جسر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مأمون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است، به طورى كه اگر كسى از طرف شرق عزم كرخ را داشته باشد، طرف چپ او مدفن كلينى واقع است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ديدگاه نخست محكم‌تر و از شواهد مطمئن‌ترى برخوردار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نجاشى </w:t>
      </w:r>
      <w:r>
        <w:rPr>
          <w:rStyle w:val="FootnoteAnchor"/>
          <w:rtl w:val="true"/>
        </w:rPr>
        <w:footnoteReference w:id="133"/>
      </w:r>
      <w:r>
        <w:rPr>
          <w:rFonts w:ascii="Amiri" w:hAnsi="Amiri" w:eastAsia="Amiri" w:cs="Amiri"/>
          <w:color w:val="111111"/>
          <w:sz w:val="28"/>
          <w:sz w:val="28"/>
          <w:szCs w:val="28"/>
          <w:rtl w:val="true"/>
          <w:lang w:bidi="ar-SA"/>
        </w:rPr>
        <w:t xml:space="preserve">و شيخ طوسى </w:t>
      </w:r>
      <w:r>
        <w:rPr>
          <w:rStyle w:val="FootnoteAnchor"/>
          <w:rtl w:val="true"/>
        </w:rPr>
        <w:footnoteReference w:id="134"/>
      </w:r>
      <w:r>
        <w:rPr>
          <w:rFonts w:ascii="IRNazanin" w:hAnsi="IRNazanin" w:eastAsia="IRNazanin"/>
          <w:color w:val="111111"/>
          <w:sz w:val="28"/>
          <w:sz w:val="28"/>
          <w:szCs w:val="28"/>
          <w:rtl w:val="true"/>
          <w:lang w:bidi="fa-IR"/>
        </w:rPr>
        <w:t>از بزرگان و رجال‌شناسان اماميه بر مشاهدات استادشان ابن‌عبدون مبنى بر اينكه قبر كلينى را زيارت كرده و لوحى را كه اسم كلينى و اسم پدرش بر آن بوده مشاهده كرده، گواهِ محكمى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تأييد ديگران همانند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 تفرشى </w:t>
      </w:r>
      <w:r>
        <w:rPr>
          <w:rStyle w:val="FootnoteAnchor"/>
          <w:rtl w:val="true"/>
        </w:rPr>
        <w:footnoteReference w:id="136"/>
      </w:r>
      <w:r>
        <w:rPr>
          <w:rFonts w:ascii="Amiri" w:hAnsi="Amiri" w:eastAsia="Amiri" w:cs="Amiri"/>
          <w:color w:val="111111"/>
          <w:sz w:val="28"/>
          <w:sz w:val="28"/>
          <w:szCs w:val="28"/>
          <w:rtl w:val="true"/>
          <w:lang w:bidi="ar-SA"/>
        </w:rPr>
        <w:t xml:space="preserve">، السيد بحرالعلوم </w:t>
      </w:r>
      <w:r>
        <w:rPr>
          <w:rStyle w:val="FootnoteAnchor"/>
          <w:rtl w:val="true"/>
        </w:rPr>
        <w:footnoteReference w:id="137"/>
      </w:r>
      <w:r>
        <w:rPr>
          <w:rFonts w:ascii="Amiri" w:hAnsi="Amiri" w:eastAsia="Amiri" w:cs="Amiri"/>
          <w:color w:val="111111"/>
          <w:sz w:val="28"/>
          <w:sz w:val="28"/>
          <w:szCs w:val="28"/>
          <w:rtl w:val="true"/>
          <w:lang w:bidi="ar-SA"/>
        </w:rPr>
        <w:t xml:space="preserve">، ابن‌ماكولا، كه ابن‌عساكر </w:t>
      </w:r>
      <w:r>
        <w:rPr>
          <w:rStyle w:val="FootnoteAnchor"/>
          <w:rtl w:val="true"/>
        </w:rPr>
        <w:footnoteReference w:id="138"/>
      </w:r>
      <w:r>
        <w:rPr>
          <w:rFonts w:ascii="IRNazanin" w:hAnsi="IRNazanin" w:eastAsia="IRNazanin"/>
          <w:color w:val="111111"/>
          <w:sz w:val="28"/>
          <w:sz w:val="28"/>
          <w:szCs w:val="28"/>
          <w:rtl w:val="true"/>
          <w:lang w:bidi="fa-IR"/>
        </w:rPr>
        <w:t xml:space="preserve">نيز آن را بازگو كرده </w:t>
      </w:r>
      <w:r>
        <w:rPr>
          <w:rStyle w:val="FootnoteAnchor"/>
          <w:rtl w:val="true"/>
        </w:rPr>
        <w:footnoteReference w:id="139"/>
      </w:r>
      <w:r>
        <w:rPr>
          <w:rFonts w:ascii="IRNazanin" w:hAnsi="IRNazanin" w:eastAsia="IRNazanin"/>
          <w:color w:val="111111"/>
          <w:sz w:val="28"/>
          <w:sz w:val="28"/>
          <w:szCs w:val="28"/>
          <w:rtl w:val="true"/>
          <w:lang w:bidi="fa-IR"/>
        </w:rPr>
        <w:t>، را نمى‌توان ناديده گرفت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شيخ طوسى، ابن داود، ابن‌ماكولا و ابن‌عساكر، همه از كسانى‌اند كه </w:t>
      </w:r>
      <w:bookmarkStart w:id="52" w:name="pg1976_27661"/>
    </w:p>
    <w:p>
      <w:pPr>
        <w:pStyle w:val="BookText"/>
        <w:rPr/>
      </w:pPr>
      <w:bookmarkEnd w:id="52"/>
      <w:r>
        <w:rPr>
          <w:rFonts w:ascii="IRNazanin" w:hAnsi="IRNazanin" w:eastAsia="IRNazanin"/>
          <w:color w:val="111111"/>
          <w:sz w:val="28"/>
          <w:sz w:val="28"/>
          <w:szCs w:val="28"/>
          <w:rtl w:val="true"/>
          <w:lang w:bidi="fa-IR"/>
        </w:rPr>
        <w:t xml:space="preserve">به‌عصركلينى نزديك‌ترند و بى‌ترديد آنان با توجه به‌اينكه در اين مدت حوادث كمترى رخ داده است، نسبت به‌محل قبركلينى بيشتر از ديگران، اطلاع داشته‌اند </w:t>
      </w:r>
      <w:r>
        <w:rPr>
          <w:rStyle w:val="FootnoteAnchor"/>
          <w:rtl w:val="true"/>
        </w:rPr>
        <w:footnoteReference w:id="140"/>
      </w:r>
      <w:r>
        <w:rPr>
          <w:rFonts w:ascii="IRNazanin" w:hAnsi="IRNazanin" w:eastAsia="IRNazanin"/>
          <w:color w:val="111111"/>
          <w:sz w:val="28"/>
          <w:sz w:val="28"/>
          <w:szCs w:val="28"/>
          <w:rtl w:val="true"/>
          <w:lang w:bidi="fa-IR"/>
        </w:rPr>
        <w:t>چنان‌كه ذهبى در تاريخ خود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و بها مَات وقبره ظاهر، عليه لوح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3766875_3650668749"/>
      <w:bookmarkStart w:id="54" w:name="_Toc16"/>
      <w:bookmarkEnd w:id="53"/>
      <w:r>
        <w:rPr/>
        <w:t>۵</w:t>
      </w:r>
      <w:r>
        <w:rPr>
          <w:rtl w:val="true"/>
        </w:rPr>
        <w:t xml:space="preserve">. </w:t>
      </w:r>
      <w:r>
        <w:rPr>
          <w:rtl w:val="true"/>
        </w:rPr>
        <w:t>خانواده مرحوم كلينى</w:t>
      </w:r>
      <w:bookmarkEnd w:id="5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منسوب است به‌خانوادۀ كاملاً فرهيخته و علم دوست روستاى كُلين </w:t>
      </w:r>
      <w:r>
        <w:rPr>
          <w:rStyle w:val="FootnoteAnchor"/>
          <w:rtl w:val="true"/>
        </w:rPr>
        <w:footnoteReference w:id="142"/>
      </w:r>
      <w:r>
        <w:rPr>
          <w:rFonts w:ascii="IRNazanin" w:hAnsi="IRNazanin" w:eastAsia="IRNazanin"/>
          <w:color w:val="111111"/>
          <w:sz w:val="28"/>
          <w:sz w:val="28"/>
          <w:szCs w:val="28"/>
          <w:rtl w:val="true"/>
          <w:lang w:bidi="fa-IR"/>
        </w:rPr>
        <w:t xml:space="preserve">پدرش عالم نامدار كلين، يعقوب‌بن‌اسحق كلينى است كه هم‌اكنون مزارش در روستاى كلين زيارتگاه مؤمنان است </w:t>
      </w:r>
      <w:r>
        <w:rPr>
          <w:rStyle w:val="FootnoteAnchor"/>
          <w:rtl w:val="true"/>
        </w:rPr>
        <w:footnoteReference w:id="143"/>
      </w:r>
      <w:r>
        <w:rPr>
          <w:rFonts w:ascii="IRNazanin" w:hAnsi="IRNazanin" w:eastAsia="IRNazanin"/>
          <w:color w:val="111111"/>
          <w:sz w:val="28"/>
          <w:sz w:val="28"/>
          <w:szCs w:val="28"/>
          <w:rtl w:val="true"/>
          <w:lang w:bidi="fa-IR"/>
        </w:rPr>
        <w:t xml:space="preserve">، مادرش، خانم فاضله </w:t>
      </w:r>
      <w:r>
        <w:rPr>
          <w:rStyle w:val="FootnoteAnchor"/>
          <w:rtl w:val="true"/>
        </w:rPr>
        <w:footnoteReference w:id="144"/>
      </w:r>
      <w:r>
        <w:rPr>
          <w:rFonts w:ascii="IRNazanin" w:hAnsi="IRNazanin" w:eastAsia="IRNazanin"/>
          <w:color w:val="111111"/>
          <w:sz w:val="28"/>
          <w:sz w:val="28"/>
          <w:szCs w:val="28"/>
          <w:rtl w:val="true"/>
          <w:lang w:bidi="fa-IR"/>
        </w:rPr>
        <w:t>از خانواده عالم پرور، كه عالمانى بزرگ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مادريش الشيخ ابراهيم الكلينى </w:t>
      </w:r>
      <w:r>
        <w:rPr>
          <w:rStyle w:val="FootnoteAnchor"/>
          <w:rtl w:val="true"/>
        </w:rPr>
        <w:footnoteReference w:id="145"/>
      </w:r>
      <w:r>
        <w:rPr>
          <w:rFonts w:ascii="Amiri" w:hAnsi="Amiri" w:eastAsia="Amiri" w:cs="Amiri"/>
          <w:color w:val="111111"/>
          <w:sz w:val="28"/>
          <w:sz w:val="28"/>
          <w:szCs w:val="28"/>
          <w:rtl w:val="true"/>
          <w:lang w:bidi="ar-SA"/>
        </w:rPr>
        <w:t xml:space="preserve">، عموى مادر او الشيخ احمدبن‌ابراهيم الكلينى </w:t>
      </w:r>
      <w:r>
        <w:rPr>
          <w:rStyle w:val="FootnoteAnchor"/>
          <w:rtl w:val="true"/>
        </w:rPr>
        <w:footnoteReference w:id="146"/>
      </w:r>
      <w:r>
        <w:rPr>
          <w:rFonts w:ascii="IRNazanin" w:hAnsi="IRNazanin" w:eastAsia="IRNazanin"/>
          <w:color w:val="111111"/>
          <w:sz w:val="28"/>
          <w:sz w:val="28"/>
          <w:szCs w:val="28"/>
          <w:rtl w:val="true"/>
          <w:lang w:bidi="fa-IR"/>
        </w:rPr>
        <w:t xml:space="preserve">،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پدرِمادر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محمدبن‌ابراهيم الكلينى </w:t>
      </w:r>
      <w:r>
        <w:rPr>
          <w:rStyle w:val="FootnoteAnchor"/>
          <w:rtl w:val="true"/>
        </w:rPr>
        <w:footnoteReference w:id="147"/>
      </w:r>
      <w:r>
        <w:rPr>
          <w:rFonts w:ascii="Amiri" w:hAnsi="Amiri" w:eastAsia="Amiri" w:cs="Amiri"/>
          <w:color w:val="111111"/>
          <w:sz w:val="28"/>
          <w:sz w:val="28"/>
          <w:szCs w:val="28"/>
          <w:rtl w:val="true"/>
          <w:lang w:bidi="ar-SA"/>
        </w:rPr>
        <w:t xml:space="preserve">، برادرش الشيخ على‌بن محمدبن ابراهيم الكلينى </w:t>
      </w:r>
      <w:r>
        <w:rPr>
          <w:rStyle w:val="FootnoteAnchor"/>
          <w:rtl w:val="true"/>
        </w:rPr>
        <w:footnoteReference w:id="148"/>
      </w:r>
      <w:r>
        <w:rPr>
          <w:rFonts w:ascii="IRNazanin" w:hAnsi="IRNazanin" w:eastAsia="IRNazanin"/>
          <w:color w:val="111111"/>
          <w:sz w:val="28"/>
          <w:sz w:val="28"/>
          <w:szCs w:val="28"/>
          <w:rtl w:val="true"/>
          <w:lang w:bidi="fa-IR"/>
        </w:rPr>
        <w:t xml:space="preserve">كه دايى يا پسر دايى كلينى است كه به‌عقيده بسيارى از رجال‌شناسان، </w:t>
      </w:r>
      <w:bookmarkStart w:id="55" w:name="pg1976_27663"/>
    </w:p>
    <w:p>
      <w:pPr>
        <w:pStyle w:val="BookText"/>
        <w:rPr/>
      </w:pPr>
      <w:bookmarkEnd w:id="55"/>
      <w:r>
        <w:rPr>
          <w:rFonts w:ascii="Amiri" w:hAnsi="Amiri" w:eastAsia="Amiri" w:cs="Amiri"/>
          <w:color w:val="111111"/>
          <w:sz w:val="28"/>
          <w:sz w:val="28"/>
          <w:szCs w:val="28"/>
          <w:rtl w:val="true"/>
          <w:lang w:bidi="ar-SA"/>
        </w:rPr>
        <w:t xml:space="preserve">كلينى معروف به‌علّان، اين شخص است و نجاشى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على‌بن‌محمدبن ابراهيم بن‌أبان الرّازى الكلينى المعروف بعلّان، يكنّى ابا الحسن ثقة، عين له كتاب أخبار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معرفى مى‌كند و وى از مشايخ مرحوم محمدبن‌يعقوب شمرده مى‌شود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على‌بن‌محمدبن ابراهيم‌بن‌أبان و هو ابوالحسن المعروف بعلّان الكلينى خاله على ماهو المشهور فى عصرنا</w:t>
      </w:r>
      <w:r>
        <w:rPr>
          <w:rFonts w:eastAsia="IRNazanin" w:cs="IRNazanin"/>
          <w:color w:val="111111"/>
          <w:sz w:val="28"/>
          <w:szCs w:val="28"/>
          <w:rtl w:val="true"/>
          <w:lang w:bidi="fa-IR"/>
        </w:rPr>
        <w:t xml:space="preserve">. . .» </w:t>
      </w:r>
      <w:r>
        <w:rPr>
          <w:rStyle w:val="FootnoteAnchor"/>
          <w:rtl w:val="true"/>
        </w:rPr>
        <w:footnoteReference w:id="151"/>
      </w:r>
      <w:r>
        <w:rPr>
          <w:rFonts w:ascii="IRNazanin" w:hAnsi="IRNazanin" w:eastAsia="IRNazanin"/>
          <w:color w:val="111111"/>
          <w:sz w:val="28"/>
          <w:sz w:val="28"/>
          <w:szCs w:val="28"/>
          <w:rtl w:val="true"/>
          <w:lang w:bidi="fa-IR"/>
        </w:rPr>
        <w:t>كلينى در چنين خانواده بزرگى متولد و تحويل جامعۀ علمى آن روز شد تا ثمرات ارزشمندى چون كافى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براى جامعۀ اسلامى به‌يادگار بگذارد</w:t>
      </w:r>
      <w:r>
        <w:rPr>
          <w:rFonts w:eastAsia="IRNazanin" w:cs="IRNazanin"/>
          <w:color w:val="111111"/>
          <w:sz w:val="28"/>
          <w:szCs w:val="28"/>
          <w:rtl w:val="true"/>
          <w:lang w:bidi="fa-IR"/>
        </w:rPr>
        <w:t>.</w:t>
      </w:r>
    </w:p>
    <w:p>
      <w:pPr>
        <w:pStyle w:val="Heading4"/>
        <w:numPr>
          <w:ilvl w:val="3"/>
          <w:numId w:val="1"/>
        </w:numPr>
        <w:rPr/>
      </w:pPr>
      <w:bookmarkStart w:id="56" w:name="__RefHeading___Toc3766877_3650668749"/>
      <w:bookmarkStart w:id="57" w:name="_Toc17"/>
      <w:bookmarkEnd w:id="56"/>
      <w:r>
        <w:rPr/>
        <w:t>۶</w:t>
      </w:r>
      <w:r>
        <w:rPr>
          <w:rtl w:val="true"/>
        </w:rPr>
        <w:t xml:space="preserve">. </w:t>
      </w:r>
      <w:r>
        <w:rPr>
          <w:rtl w:val="true"/>
        </w:rPr>
        <w:t>كلينى و فراگيرى حديث</w:t>
      </w:r>
      <w:bookmarkEnd w:id="5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از ابتداى جوانى علاقۀ فراوانى به‌فراگيرى علوم داشت، و پس از فراگيرى از محضر علماى كلين، به‌رَى آمد و رَى آن روز يكى از مراكز مهم علوم دينى و حديثى بود، به‌ويژه اينكه حضور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نقطه پر رنگ بود </w:t>
      </w:r>
      <w:r>
        <w:rPr>
          <w:rStyle w:val="FootnoteAnchor"/>
          <w:rtl w:val="true"/>
        </w:rPr>
        <w:footnoteReference w:id="152"/>
      </w:r>
      <w:r>
        <w:rPr>
          <w:rFonts w:ascii="IRNazanin" w:hAnsi="IRNazanin" w:eastAsia="IRNazanin"/>
          <w:color w:val="111111"/>
          <w:sz w:val="28"/>
          <w:sz w:val="28"/>
          <w:szCs w:val="28"/>
          <w:rtl w:val="true"/>
          <w:lang w:bidi="fa-IR"/>
        </w:rPr>
        <w:t xml:space="preserve">و مدرسه رَى، كه با دو روش عقلى و سلفى در اين شهر بنيان‌گذارى شد </w:t>
      </w:r>
      <w:r>
        <w:rPr>
          <w:rStyle w:val="FootnoteAnchor"/>
          <w:rtl w:val="true"/>
        </w:rPr>
        <w:footnoteReference w:id="153"/>
      </w:r>
      <w:r>
        <w:rPr>
          <w:rFonts w:ascii="IRNazanin" w:hAnsi="IRNazanin" w:eastAsia="IRNazanin"/>
          <w:color w:val="111111"/>
          <w:sz w:val="28"/>
          <w:sz w:val="28"/>
          <w:szCs w:val="28"/>
          <w:rtl w:val="true"/>
          <w:lang w:bidi="fa-IR"/>
        </w:rPr>
        <w:t xml:space="preserve">، و ده‌ها انديشمند سنى و شيعه را در دامن خويش تربيت نموده بود، از جايگاه ويژه‌اى برخوردار بود، كلينى در چنين شرايطى از محضر بزرگان رَى، حديث آموخت و حديث كرد، ولى او به اين مقدار اكتفا نكرد و براى استماع حديث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سفر بست </w:t>
      </w:r>
      <w:r>
        <w:rPr>
          <w:rStyle w:val="FootnoteAnchor"/>
          <w:rtl w:val="true"/>
        </w:rPr>
        <w:footnoteReference w:id="154"/>
      </w:r>
      <w:r>
        <w:rPr>
          <w:rFonts w:ascii="IRNazanin" w:hAnsi="IRNazanin" w:eastAsia="IRNazanin"/>
          <w:color w:val="111111"/>
          <w:sz w:val="28"/>
          <w:sz w:val="28"/>
          <w:szCs w:val="28"/>
          <w:rtl w:val="true"/>
          <w:lang w:bidi="fa-IR"/>
        </w:rPr>
        <w:t xml:space="preserve">و به‌نقاط مختلف </w:t>
      </w:r>
      <w:bookmarkStart w:id="58" w:name="pg1976_27665"/>
    </w:p>
    <w:p>
      <w:pPr>
        <w:pStyle w:val="BookText"/>
        <w:rPr/>
      </w:pPr>
      <w:bookmarkEnd w:id="58"/>
      <w:r>
        <w:rPr>
          <w:rFonts w:ascii="IRNazanin" w:hAnsi="IRNazanin" w:eastAsia="IRNazanin"/>
          <w:color w:val="111111"/>
          <w:sz w:val="28"/>
          <w:sz w:val="28"/>
          <w:szCs w:val="28"/>
          <w:rtl w:val="true"/>
          <w:lang w:bidi="fa-IR"/>
        </w:rPr>
        <w:t>جهان، چون قم، نيشابور، قزوين، همدان و تنيس، صور، شام، سوراء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به‌جمع‌آورى احاديث از محضر عالمان بزرگ پرداخت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كافى را كه حدود</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سال طول كشيد در رَى به‌اتمام رساند </w:t>
      </w:r>
      <w:r>
        <w:rPr>
          <w:rStyle w:val="FootnoteAnchor"/>
          <w:rtl w:val="true"/>
        </w:rPr>
        <w:footnoteReference w:id="156"/>
      </w:r>
      <w:r>
        <w:rPr>
          <w:rFonts w:ascii="IRNazanin" w:hAnsi="IRNazanin" w:eastAsia="IRNazanin"/>
          <w:color w:val="111111"/>
          <w:sz w:val="28"/>
          <w:sz w:val="28"/>
          <w:szCs w:val="28"/>
          <w:rtl w:val="true"/>
          <w:lang w:bidi="fa-IR"/>
        </w:rPr>
        <w:t xml:space="preserve">و در آخر عمر به‌بغداد مسافرت نمود </w:t>
      </w:r>
      <w:r>
        <w:rPr>
          <w:rStyle w:val="FootnoteAnchor"/>
          <w:rtl w:val="true"/>
        </w:rPr>
        <w:footnoteReference w:id="157"/>
      </w:r>
      <w:r>
        <w:rPr>
          <w:rFonts w:ascii="Amiri" w:hAnsi="Amiri" w:eastAsia="Amiri" w:cs="Amiri"/>
          <w:color w:val="111111"/>
          <w:sz w:val="28"/>
          <w:sz w:val="28"/>
          <w:szCs w:val="28"/>
          <w:rtl w:val="true"/>
          <w:lang w:bidi="ar-SA"/>
        </w:rPr>
        <w:t xml:space="preserve">، و از اينكه وى در كافى از رواة بغداد نقل حديث نمى‌كند، خود قرينه خواهد شد كه كافى در رَى تكميل شده است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3766879_3650668749"/>
      <w:bookmarkStart w:id="60" w:name="_Toc18"/>
      <w:bookmarkEnd w:id="59"/>
      <w:r>
        <w:rPr/>
        <w:t>٧</w:t>
      </w:r>
      <w:r>
        <w:rPr>
          <w:rtl w:val="true"/>
        </w:rPr>
        <w:t xml:space="preserve">. </w:t>
      </w:r>
      <w:r>
        <w:rPr>
          <w:rtl w:val="true"/>
        </w:rPr>
        <w:t>بغداد آخرين پايگاه كلينى</w:t>
      </w:r>
      <w:bookmarkEnd w:id="60"/>
    </w:p>
    <w:p>
      <w:pPr>
        <w:pStyle w:val="BookText"/>
        <w:rPr/>
      </w:pPr>
      <w:r>
        <w:rPr>
          <w:rFonts w:ascii="IRNazanin" w:hAnsi="IRNazanin" w:eastAsia="IRNazanin"/>
          <w:color w:val="111111"/>
          <w:sz w:val="28"/>
          <w:sz w:val="28"/>
          <w:szCs w:val="28"/>
          <w:rtl w:val="true"/>
          <w:lang w:bidi="fa-IR"/>
        </w:rPr>
        <w:t xml:space="preserve">روح جست‌وجوگر كلينى همچنان ناآرام بود تا اينكه بغداد آن روز را كه از يك‌سو، مهد علوم مختلف و تضارب آراء مذاهب گوناگون بود و از ديگرسو، محل اقامت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وكلاى آن امام بود، برگزيد و در آنجا مشغول نقل حديث و سماع و اجازه گرديد </w:t>
      </w:r>
      <w:r>
        <w:rPr>
          <w:rStyle w:val="FootnoteAnchor"/>
          <w:rtl w:val="true"/>
        </w:rPr>
        <w:footnoteReference w:id="159"/>
      </w:r>
      <w:r>
        <w:rPr>
          <w:rFonts w:ascii="IRNazanin" w:hAnsi="IRNazanin" w:eastAsia="IRNazanin"/>
          <w:color w:val="111111"/>
          <w:sz w:val="28"/>
          <w:sz w:val="28"/>
          <w:szCs w:val="28"/>
          <w:rtl w:val="true"/>
          <w:lang w:bidi="fa-IR"/>
        </w:rPr>
        <w:t xml:space="preserve">و براى هميشه در بغداد ماندگار شد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3766881_3650668749"/>
      <w:bookmarkStart w:id="62" w:name="_Toc19"/>
      <w:bookmarkEnd w:id="61"/>
      <w:r>
        <w:rPr/>
        <w:t>٨</w:t>
      </w:r>
      <w:r>
        <w:rPr>
          <w:rtl w:val="true"/>
        </w:rPr>
        <w:t xml:space="preserve">. </w:t>
      </w:r>
      <w:r>
        <w:rPr>
          <w:rtl w:val="true"/>
        </w:rPr>
        <w:t>اساتيد و مشايخ كلينى</w:t>
      </w:r>
      <w:bookmarkEnd w:id="6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اساتيد و مشايخ كلينى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اجمالى به‌متن كافى پيداست، مرحوم كلينى براى جمع‌آورى مجموعۀ ارزشمند كافى، اساتيد زيادى را بايد ديده و از محضر آنان بهره‌هاى كافى برده باشد؛ اما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افرادى كه كلينى بدون واسطه بيشترين حديث را از آنها نقل مى‌كند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ابراهيم بن‌هاشم القمي صاحب تفسيرالصافى </w:t>
      </w:r>
      <w:r>
        <w:rPr>
          <w:rStyle w:val="FootnoteAnchor"/>
          <w:rtl w:val="true"/>
        </w:rPr>
        <w:footnoteReference w:id="161"/>
      </w:r>
      <w:r>
        <w:rPr>
          <w:rFonts w:ascii="Amiri" w:hAnsi="Amiri" w:eastAsia="Amiri" w:cs="Amiri"/>
          <w:color w:val="111111"/>
          <w:sz w:val="28"/>
          <w:sz w:val="28"/>
          <w:szCs w:val="28"/>
          <w:rtl w:val="true"/>
          <w:lang w:bidi="ar-SA"/>
        </w:rPr>
        <w:t xml:space="preserve">از اجل مشايخ كُلينى و زنده تا سال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 ثقه </w:t>
      </w:r>
      <w:r>
        <w:rPr>
          <w:rStyle w:val="FootnoteAnchor"/>
          <w:rtl w:val="true"/>
        </w:rPr>
        <w:footnoteReference w:id="163"/>
      </w:r>
      <w:r>
        <w:rPr>
          <w:rFonts w:ascii="Amiri" w:hAnsi="Amiri" w:eastAsia="Amiri" w:cs="Amiri"/>
          <w:color w:val="111111"/>
          <w:sz w:val="28"/>
          <w:sz w:val="28"/>
          <w:szCs w:val="28"/>
          <w:rtl w:val="true"/>
          <w:lang w:bidi="ar-SA"/>
        </w:rPr>
        <w:t xml:space="preserve">، بالغ بر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164"/>
      </w:r>
      <w:r>
        <w:rPr>
          <w:rFonts w:ascii="Amiri" w:hAnsi="Amiri" w:eastAsia="Amiri" w:cs="Amiri"/>
          <w:color w:val="111111"/>
          <w:sz w:val="28"/>
          <w:sz w:val="28"/>
          <w:szCs w:val="28"/>
          <w:rtl w:val="true"/>
          <w:lang w:bidi="ar-SA"/>
        </w:rPr>
        <w:t>به دو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على‌بن ابراهيم، عن ابيه</w:t>
      </w:r>
      <w:r>
        <w:rPr>
          <w:rFonts w:eastAsia="Amiri" w:cs="Amiri" w:ascii="Amiri" w:hAnsi="Amiri"/>
          <w:color w:val="111111"/>
          <w:sz w:val="28"/>
          <w:szCs w:val="28"/>
          <w:rtl w:val="true"/>
          <w:lang w:bidi="ar-SA"/>
        </w:rPr>
        <w:t xml:space="preserve">. . .» </w:t>
      </w:r>
      <w:r>
        <w:rPr>
          <w:rStyle w:val="FootnoteAnchor"/>
          <w:rtl w:val="true"/>
        </w:rPr>
        <w:footnoteReference w:id="165"/>
      </w:r>
      <w:r>
        <w:rPr>
          <w:rFonts w:ascii="Amiri" w:hAnsi="Amiri" w:eastAsia="Amiri" w:cs="Amiri"/>
          <w:color w:val="111111"/>
          <w:sz w:val="28"/>
          <w:sz w:val="28"/>
          <w:szCs w:val="28"/>
          <w:rtl w:val="true"/>
          <w:lang w:bidi="ar-SA"/>
        </w:rPr>
        <w:t xml:space="preserve">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محمدبن يحيى </w:t>
      </w:r>
      <w:r>
        <w:rPr>
          <w:rStyle w:val="FootnoteAnchor"/>
          <w:rtl w:val="true"/>
        </w:rPr>
        <w:footnoteReference w:id="166"/>
      </w:r>
      <w:r>
        <w:rPr>
          <w:rFonts w:ascii="Amiri" w:hAnsi="Amiri" w:eastAsia="Amiri" w:cs="Amiri"/>
          <w:color w:val="111111"/>
          <w:sz w:val="28"/>
          <w:sz w:val="28"/>
          <w:szCs w:val="28"/>
          <w:rtl w:val="true"/>
          <w:lang w:bidi="ar-SA"/>
        </w:rPr>
        <w:t xml:space="preserve">ابوجعفر العطار القمي ، كثيرالروايه </w:t>
      </w:r>
      <w:r>
        <w:rPr>
          <w:rStyle w:val="FootnoteAnchor"/>
          <w:rtl w:val="true"/>
        </w:rPr>
        <w:footnoteReference w:id="167"/>
      </w:r>
      <w:r>
        <w:rPr>
          <w:rFonts w:ascii="Amiri" w:hAnsi="Amiri" w:eastAsia="Amiri" w:cs="Amiri"/>
          <w:color w:val="111111"/>
          <w:sz w:val="28"/>
          <w:sz w:val="28"/>
          <w:szCs w:val="28"/>
          <w:rtl w:val="true"/>
          <w:lang w:bidi="ar-SA"/>
        </w:rPr>
        <w:t xml:space="preserve">، شيخ اصحاب، ثقه، عين </w:t>
      </w:r>
      <w:r>
        <w:rPr>
          <w:rStyle w:val="FootnoteAnchor"/>
          <w:rtl w:val="true"/>
        </w:rPr>
        <w:footnoteReference w:id="168"/>
      </w:r>
      <w:r>
        <w:rPr>
          <w:rFonts w:ascii="Amiri" w:hAnsi="Amiri" w:eastAsia="Amiri" w:cs="Amiri"/>
          <w:color w:val="111111"/>
          <w:sz w:val="28"/>
          <w:sz w:val="28"/>
          <w:szCs w:val="28"/>
          <w:rtl w:val="true"/>
          <w:lang w:bidi="ar-SA"/>
        </w:rPr>
        <w:t xml:space="preserve">با بيش از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ابوعلى‌الاشعرى </w:t>
      </w:r>
      <w:r>
        <w:rPr>
          <w:rStyle w:val="FootnoteAnchor"/>
          <w:rtl w:val="true"/>
        </w:rPr>
        <w:footnoteReference w:id="170"/>
      </w:r>
      <w:r>
        <w:rPr>
          <w:rFonts w:ascii="Amiri" w:hAnsi="Amiri" w:eastAsia="Amiri" w:cs="Amiri"/>
          <w:color w:val="111111"/>
          <w:sz w:val="28"/>
          <w:sz w:val="28"/>
          <w:szCs w:val="28"/>
          <w:rtl w:val="true"/>
          <w:lang w:bidi="ar-SA"/>
        </w:rPr>
        <w:t xml:space="preserve">، ثقه، فقيه درميان اصحاب، كثيرالحديث </w:t>
      </w:r>
      <w:r>
        <w:rPr>
          <w:rStyle w:val="FootnoteAnchor"/>
          <w:rtl w:val="true"/>
        </w:rPr>
        <w:footnoteReference w:id="171"/>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محمدبن عمران بن‌ابي‌بكر الاشعري القمي </w:t>
      </w:r>
      <w:r>
        <w:rPr>
          <w:rStyle w:val="FootnoteAnchor"/>
          <w:rtl w:val="true"/>
        </w:rPr>
        <w:footnoteReference w:id="173"/>
      </w:r>
      <w:r>
        <w:rPr>
          <w:rFonts w:ascii="IRNazanin" w:hAnsi="IRNazanin" w:eastAsia="IRNazanin"/>
          <w:color w:val="111111"/>
          <w:sz w:val="28"/>
          <w:sz w:val="28"/>
          <w:szCs w:val="28"/>
          <w:rtl w:val="true"/>
          <w:lang w:bidi="fa-IR"/>
        </w:rPr>
        <w:t xml:space="preserve">ثقه </w:t>
      </w:r>
      <w:r>
        <w:rPr>
          <w:rStyle w:val="FootnoteAnchor"/>
          <w:rtl w:val="true"/>
        </w:rPr>
        <w:footnoteReference w:id="174"/>
      </w:r>
      <w:r>
        <w:rPr>
          <w:rFonts w:ascii="IRNazanin" w:hAnsi="IRNazanin" w:eastAsia="IRNazanin"/>
          <w:color w:val="111111"/>
          <w:sz w:val="28"/>
          <w:sz w:val="28"/>
          <w:szCs w:val="28"/>
          <w:rtl w:val="true"/>
          <w:lang w:bidi="fa-IR"/>
        </w:rPr>
        <w:t>، بالغ بر</w:t>
      </w:r>
      <w:r>
        <w:rPr>
          <w:rFonts w:eastAsia="IRNazanin" w:cs="IRNazanin"/>
          <w:color w:val="111111"/>
          <w:sz w:val="28"/>
          <w:szCs w:val="28"/>
          <w:lang w:bidi="fa-IR"/>
        </w:rPr>
        <w:t>83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مورد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حميدبن </w:t>
      </w:r>
    </w:p>
    <w:p>
      <w:pPr>
        <w:pStyle w:val="BookText"/>
        <w:rPr/>
      </w:pP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ثقه ولى محتمل‌الوقف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با</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احمدبن ادريس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مورد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كه در حقيقت، همان ابوعلى‌الاشعرى القمى است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ثقه، عين، داراى كتاب اخبارالقائم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كلينى از گروه زير،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به‌سه روش مختلف، نقل حديث نموده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عن‌سهل‌بن‌زياد،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كه مقصود كلينى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على‌بن محمد علّان، محمدبن ابى‌عبدالله، محمدبن‌الحسن، و محمدبن‌عقيل الكلينى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اين شاخص به‌طور وسيع در مجموعۀ كافى به‌كار رفته است </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976_27673"/>
      <w:bookmarkStart w:id="64" w:name="pg1976_27673"/>
      <w:bookmarkEnd w:id="64"/>
    </w:p>
    <w:p>
      <w:pPr>
        <w:pStyle w:val="Heading4"/>
        <w:numPr>
          <w:ilvl w:val="3"/>
          <w:numId w:val="1"/>
        </w:numPr>
        <w:rPr/>
      </w:pPr>
      <w:bookmarkStart w:id="65" w:name="pg1976_27673"/>
      <w:bookmarkStart w:id="66" w:name="__RefHeading___Toc3766883_3650668749"/>
      <w:bookmarkStart w:id="67" w:name="_Toc20"/>
      <w:bookmarkEnd w:id="65"/>
      <w:bookmarkEnd w:id="66"/>
      <w:r>
        <w:rPr/>
        <w:t>9</w:t>
      </w:r>
      <w:r>
        <w:rPr>
          <w:rtl w:val="true"/>
        </w:rPr>
        <w:t xml:space="preserve">. </w:t>
      </w:r>
      <w:r>
        <w:rPr>
          <w:rtl w:val="true"/>
        </w:rPr>
        <w:t>شاگردان كلينى</w:t>
      </w:r>
      <w:bookmarkEnd w:id="67"/>
    </w:p>
    <w:p>
      <w:pPr>
        <w:pStyle w:val="BookText"/>
        <w:rPr/>
      </w:pPr>
      <w:r>
        <w:rPr>
          <w:rFonts w:ascii="IRNazanin" w:hAnsi="IRNazanin" w:eastAsia="IRNazanin"/>
          <w:color w:val="111111"/>
          <w:sz w:val="28"/>
          <w:sz w:val="28"/>
          <w:szCs w:val="28"/>
          <w:rtl w:val="true"/>
          <w:lang w:bidi="fa-IR"/>
        </w:rPr>
        <w:t xml:space="preserve">شاگردان كلينى </w:t>
      </w:r>
      <w:r>
        <w:rPr>
          <w:rStyle w:val="FootnoteAnchor"/>
          <w:rtl w:val="true"/>
        </w:rPr>
        <w:footnoteReference w:id="17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پروردگانى كه بيشترين نقش را در نشر كافى داشته‌اند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ابي‌غالب احمدبن محمدبن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ثقه </w:t>
      </w:r>
      <w:r>
        <w:rPr>
          <w:rStyle w:val="FootnoteAnchor"/>
          <w:rtl w:val="true"/>
        </w:rPr>
        <w:footnoteReference w:id="178"/>
      </w:r>
      <w:r>
        <w:rPr>
          <w:rFonts w:ascii="Amiri" w:hAnsi="Amiri" w:eastAsia="Amiri" w:cs="Amiri"/>
          <w:color w:val="111111"/>
          <w:sz w:val="28"/>
          <w:sz w:val="28"/>
          <w:szCs w:val="28"/>
          <w:rtl w:val="true"/>
          <w:lang w:bidi="ar-SA"/>
        </w:rPr>
        <w:t xml:space="preserve">، كه بخشى از مجموعه كافى را به‌عنوان اجازه و </w:t>
      </w:r>
    </w:p>
    <w:p>
      <w:pPr>
        <w:pStyle w:val="BookText"/>
        <w:rPr/>
      </w:pPr>
      <w:r>
        <w:rPr>
          <w:rFonts w:ascii="Amiri" w:hAnsi="Amiri" w:eastAsia="Amiri" w:cs="Amiri"/>
          <w:color w:val="111111"/>
          <w:sz w:val="28"/>
          <w:sz w:val="28"/>
          <w:szCs w:val="28"/>
          <w:rtl w:val="true"/>
          <w:lang w:bidi="ar-SA"/>
        </w:rPr>
        <w:t xml:space="preserve">قسمتى را به‌عنوان قرائت بر كلينى حديث كرده است </w:t>
      </w:r>
      <w:r>
        <w:rPr>
          <w:rStyle w:val="FootnoteAnchor"/>
          <w:rtl w:val="true"/>
        </w:rPr>
        <w:footnoteReference w:id="179"/>
      </w:r>
      <w:r>
        <w:rPr>
          <w:rFonts w:ascii="IRNazanin" w:hAnsi="IRNazanin" w:eastAsia="IRNazanin"/>
          <w:color w:val="111111"/>
          <w:sz w:val="28"/>
          <w:sz w:val="28"/>
          <w:szCs w:val="28"/>
          <w:rtl w:val="true"/>
          <w:lang w:bidi="fa-IR"/>
        </w:rPr>
        <w:t>چنان‌كه خودش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كتاب‌هاى صلاة و صوم كافى را در يك نسخه و كتاب حج را در نسخه ديگر، و كتاب‌هاى طهارت و حيض را در يك مجلد استنساخ كردم و تصميم دارم باقى اين كتاب را در يك‌جزء، نسخه‌بردارى نمايم</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كثيرى از مشايخ صدوق، از جمله علي‌بن‌احمدبن محمدموسي الدقاق، محمدبن محمدبن عصام الكليني ، و علي‌بن‌عبدالله الورّاق ، كافى را از ابوغالب نقل نموده‌اند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ابراهيم بن يوسف الكاتب فقيه شافعي مكنّى به‌ابوالحسن ، كه از شاگردان و نزديكان كلينى است كتاب كافى را هم از كلينى شنيده و هم اجازۀ روايتش را در بغداد داشته است </w:t>
      </w:r>
      <w:r>
        <w:rPr>
          <w:rStyle w:val="FootnoteAnchor"/>
          <w:rtl w:val="true"/>
        </w:rPr>
        <w:footnoteReference w:id="182"/>
      </w:r>
      <w:r>
        <w:rPr>
          <w:rFonts w:ascii="IRNazanin" w:hAnsi="IRNazanin" w:eastAsia="IRNazanin"/>
          <w:color w:val="111111"/>
          <w:sz w:val="28"/>
          <w:sz w:val="28"/>
          <w:szCs w:val="28"/>
          <w:rtl w:val="true"/>
          <w:lang w:bidi="fa-IR"/>
        </w:rPr>
        <w:t>شيخ طوسى از زبان استادش ابن‌عبدون او را اين‌گونه مى‌شناساند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او ابوبكر الشافعى متولد</w:t>
      </w:r>
      <w:r>
        <w:rPr>
          <w:rFonts w:eastAsia="IRNazanin" w:cs="IRNazanin"/>
          <w:color w:val="111111"/>
          <w:sz w:val="28"/>
          <w:szCs w:val="28"/>
          <w:lang w:bidi="fa-IR"/>
        </w:rPr>
        <w:t>28</w:t>
      </w:r>
      <w:r>
        <w:rPr>
          <w:rStyle w:val="FootnoteAnchor"/>
          <w:rtl w:val="true"/>
        </w:rPr>
        <w:footnoteReference w:id="183"/>
      </w:r>
      <w:r>
        <w:rPr>
          <w:rFonts w:ascii="IRNazanin" w:hAnsi="IRNazanin" w:eastAsia="IRNazanin"/>
          <w:color w:val="111111"/>
          <w:sz w:val="28"/>
          <w:sz w:val="28"/>
          <w:szCs w:val="28"/>
          <w:rtl w:val="true"/>
          <w:lang w:bidi="fa-IR"/>
        </w:rPr>
        <w:t xml:space="preserve">درحَسنيه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الظّاهر يتفقّه على مذهب‌الشّافعي ويَرى رأي الشّيعة الاماميّة في‌الباطن و كان فقيهاً على المذهبين،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كتاب‌هايى چون كشف القناع، كتاب الاستعداد، كتاب العدة، كتاب الاستبصار، كتاب نقض العبّاسيه، كتاب مقتل و كتاب المفيد فى الحديث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مذهب اماميه نوشته 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 و بسيارى ديگر از حافظان و عالمانِ چون ابوالقاسم جعفربن محمدبن‌قولويه </w:t>
      </w:r>
      <w:r>
        <w:rPr>
          <w:rStyle w:val="FootnoteAnchor"/>
          <w:rtl w:val="true"/>
        </w:rPr>
        <w:footnoteReference w:id="185"/>
      </w:r>
      <w:r>
        <w:rPr>
          <w:rFonts w:ascii="Amiri" w:hAnsi="Amiri" w:eastAsia="Amiri" w:cs="Amiri"/>
          <w:color w:val="111111"/>
          <w:sz w:val="28"/>
          <w:sz w:val="28"/>
          <w:szCs w:val="28"/>
          <w:rtl w:val="true"/>
          <w:lang w:bidi="ar-SA"/>
        </w:rPr>
        <w:t xml:space="preserve">، ابوعبدالله محمدبن ابراهيم النّعمانى، ابوهارون‌بن موسى التلعكبرى </w:t>
      </w:r>
      <w:r>
        <w:rPr>
          <w:rStyle w:val="FootnoteAnchor"/>
          <w:rtl w:val="true"/>
        </w:rPr>
        <w:footnoteReference w:id="186"/>
      </w:r>
      <w:r>
        <w:rPr>
          <w:rFonts w:ascii="Amiri" w:hAnsi="Amiri" w:eastAsia="Amiri" w:cs="Amiri"/>
          <w:color w:val="111111"/>
          <w:sz w:val="28"/>
          <w:sz w:val="28"/>
          <w:szCs w:val="28"/>
          <w:rtl w:val="true"/>
          <w:lang w:bidi="ar-SA"/>
        </w:rPr>
        <w:t xml:space="preserve">، ابوعبدالله احمدبن ابى‌رافع الصيمرى </w:t>
      </w:r>
      <w:r>
        <w:rPr>
          <w:rStyle w:val="FootnoteAnchor"/>
          <w:rtl w:val="true"/>
        </w:rPr>
        <w:footnoteReference w:id="187"/>
      </w:r>
      <w:r>
        <w:rPr>
          <w:rFonts w:ascii="Amiri" w:hAnsi="Amiri" w:eastAsia="Amiri" w:cs="Amiri"/>
          <w:color w:val="111111"/>
          <w:sz w:val="28"/>
          <w:sz w:val="28"/>
          <w:szCs w:val="28"/>
          <w:rtl w:val="true"/>
          <w:lang w:bidi="ar-SA"/>
        </w:rPr>
        <w:t xml:space="preserve">، ابوالحسن عبدالكريم بن‌عبدالله‌بن التنيسى، </w:t>
      </w:r>
    </w:p>
    <w:p>
      <w:pPr>
        <w:pStyle w:val="BookText"/>
        <w:rPr/>
      </w:pPr>
      <w:r>
        <w:rPr>
          <w:rFonts w:ascii="Amiri" w:hAnsi="Amiri" w:eastAsia="Amiri" w:cs="Amiri"/>
          <w:color w:val="111111"/>
          <w:sz w:val="28"/>
          <w:sz w:val="28"/>
          <w:szCs w:val="28"/>
          <w:rtl w:val="true"/>
          <w:lang w:bidi="ar-SA"/>
        </w:rPr>
        <w:t xml:space="preserve">ابوالحسن احمدبن الكوفى الكاتب </w:t>
      </w:r>
      <w:r>
        <w:rPr>
          <w:rStyle w:val="FootnoteAnchor"/>
          <w:rtl w:val="true"/>
        </w:rPr>
        <w:footnoteReference w:id="188"/>
      </w:r>
      <w:r>
        <w:rPr>
          <w:rFonts w:ascii="Amiri" w:hAnsi="Amiri" w:eastAsia="Amiri" w:cs="Amiri"/>
          <w:color w:val="111111"/>
          <w:sz w:val="28"/>
          <w:sz w:val="28"/>
          <w:szCs w:val="28"/>
          <w:rtl w:val="true"/>
          <w:lang w:bidi="ar-SA"/>
        </w:rPr>
        <w:t xml:space="preserve">، محمدبن على ماجلويه </w:t>
      </w:r>
      <w:r>
        <w:rPr>
          <w:rStyle w:val="FootnoteAnchor"/>
          <w:rtl w:val="true"/>
        </w:rPr>
        <w:footnoteReference w:id="189"/>
      </w:r>
      <w:r>
        <w:rPr>
          <w:rFonts w:ascii="IRNazanin" w:hAnsi="IRNazanin" w:eastAsia="IRNazanin"/>
          <w:color w:val="111111"/>
          <w:sz w:val="28"/>
          <w:sz w:val="28"/>
          <w:szCs w:val="28"/>
          <w:rtl w:val="true"/>
          <w:lang w:bidi="fa-IR"/>
        </w:rPr>
        <w:t xml:space="preserve">، و نجاشى </w:t>
      </w:r>
      <w:r>
        <w:rPr>
          <w:rStyle w:val="FootnoteAnchor"/>
          <w:rtl w:val="true"/>
        </w:rPr>
        <w:footnoteReference w:id="190"/>
      </w:r>
      <w:r>
        <w:rPr>
          <w:rFonts w:ascii="Amiri" w:hAnsi="Amiri" w:eastAsia="Amiri" w:cs="Amiri"/>
          <w:color w:val="111111"/>
          <w:sz w:val="28"/>
          <w:sz w:val="28"/>
          <w:szCs w:val="28"/>
          <w:rtl w:val="true"/>
          <w:lang w:bidi="ar-SA"/>
        </w:rPr>
        <w:t xml:space="preserve">، صدوق، مرتضى، مفيد، طوسى </w:t>
      </w:r>
      <w:r>
        <w:rPr>
          <w:rStyle w:val="FootnoteAnchor"/>
          <w:rtl w:val="true"/>
        </w:rPr>
        <w:footnoteReference w:id="191"/>
      </w:r>
      <w:r>
        <w:rPr>
          <w:rFonts w:ascii="IRNazanin" w:hAnsi="IRNazanin" w:eastAsia="IRNazanin"/>
          <w:color w:val="111111"/>
          <w:sz w:val="28"/>
          <w:sz w:val="28"/>
          <w:szCs w:val="28"/>
          <w:rtl w:val="true"/>
          <w:lang w:bidi="fa-IR"/>
        </w:rPr>
        <w:t>، و دَه‌ها عالم ديگر، جزء ارزشمندترين و با نام‌ترين شاگردان مرحوم كلينى‌اند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روايات كلينى و كتاب‌هاى او از طريق ابوعبدالله محمدبن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ابى‌القاسم جعفربن‌محمد قولويه </w:t>
      </w:r>
      <w:r>
        <w:rPr>
          <w:rStyle w:val="FootnoteAnchor"/>
          <w:rtl w:val="true"/>
        </w:rPr>
        <w:footnoteReference w:id="192"/>
      </w:r>
      <w:r>
        <w:rPr>
          <w:rFonts w:ascii="IRNazanin" w:hAnsi="IRNazanin" w:eastAsia="IRNazanin"/>
          <w:color w:val="111111"/>
          <w:sz w:val="28"/>
          <w:sz w:val="28"/>
          <w:szCs w:val="28"/>
          <w:rtl w:val="true"/>
          <w:lang w:bidi="fa-IR"/>
        </w:rPr>
        <w:t>و نيز از طريق حسين بن عبيدالله بن ابراهيم الغضائرى از ابى‌غالب و همچنين از طريق احمد بن عبدون از ابورافع، از محمدبن‌يعقوب به‌من رسيده است</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68" w:name="pg1976_27679"/>
    </w:p>
    <w:p>
      <w:pPr>
        <w:pStyle w:val="Heading3"/>
        <w:numPr>
          <w:ilvl w:val="2"/>
          <w:numId w:val="1"/>
        </w:numPr>
        <w:rPr/>
      </w:pPr>
      <w:bookmarkStart w:id="69" w:name="__RefHeading___Toc3766885_3650668749"/>
      <w:bookmarkStart w:id="70" w:name="_Toc21"/>
      <w:bookmarkEnd w:id="68"/>
      <w:bookmarkEnd w:id="69"/>
      <w:r>
        <w:rPr>
          <w:rtl w:val="true"/>
        </w:rPr>
        <w:t>فصل دوم</w:t>
      </w:r>
      <w:r>
        <w:rPr>
          <w:rtl w:val="true"/>
        </w:rPr>
        <w:t xml:space="preserve">: </w:t>
      </w:r>
      <w:r>
        <w:rPr>
          <w:rtl w:val="true"/>
        </w:rPr>
        <w:t>كلينى از ديدگاه عالمان</w:t>
      </w:r>
      <w:bookmarkEnd w:id="70"/>
    </w:p>
    <w:p>
      <w:pPr>
        <w:pStyle w:val="Heading4"/>
        <w:numPr>
          <w:ilvl w:val="3"/>
          <w:numId w:val="1"/>
        </w:numPr>
        <w:rPr/>
      </w:pPr>
      <w:bookmarkStart w:id="71" w:name="__RefHeading___Toc3766887_3650668749"/>
      <w:bookmarkStart w:id="72" w:name="_Toc22"/>
      <w:bookmarkEnd w:id="71"/>
      <w:r>
        <w:rPr/>
        <w:t>١</w:t>
      </w:r>
      <w:r>
        <w:rPr>
          <w:rtl w:val="true"/>
        </w:rPr>
        <w:t xml:space="preserve">. </w:t>
      </w:r>
      <w:r>
        <w:rPr>
          <w:rtl w:val="true"/>
        </w:rPr>
        <w:t>كلينى از منظر عالمان اماميه</w:t>
      </w:r>
      <w:bookmarkEnd w:id="72"/>
    </w:p>
    <w:p>
      <w:pPr>
        <w:pStyle w:val="BookText"/>
        <w:rPr/>
      </w:pPr>
      <w:r>
        <w:rPr>
          <w:rFonts w:ascii="IRNazanin" w:hAnsi="IRNazanin" w:eastAsia="IRNazanin"/>
          <w:color w:val="111111"/>
          <w:sz w:val="28"/>
          <w:sz w:val="28"/>
          <w:szCs w:val="28"/>
          <w:rtl w:val="true"/>
          <w:lang w:bidi="fa-IR"/>
        </w:rPr>
        <w:t>هرچند كه نمى‌توان به‌همۀ اظهارنظرهاى عالمان اماميه، در مورد مرحوم كلينى اشاره كرد ولى به‌نمونه‌هايى كه نقش تعيين‌كننده دارند، بسنده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كلينى، شيخ اصحاب ما است، هنگامى كه در رَى بود از موجّهان و موثق‌ترين آنان در مورد حديث بود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كلينى، مكنّى به‌اباجعفر، ثقه و عارف به‌روايات است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بن‌طاووس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محمدبن‌يعقوب كلينى كسى است كه در مدح و توصيف مُجمعٌ عليه </w:t>
      </w:r>
      <w:r>
        <w:rPr>
          <w:rStyle w:val="FootnoteAnchor"/>
          <w:rtl w:val="true"/>
        </w:rPr>
        <w:footnoteReference w:id="196"/>
      </w:r>
      <w:r>
        <w:rPr>
          <w:rFonts w:ascii="IRNazanin" w:hAnsi="IRNazanin" w:eastAsia="IRNazanin"/>
          <w:color w:val="111111"/>
          <w:sz w:val="28"/>
          <w:sz w:val="28"/>
          <w:szCs w:val="28"/>
          <w:rtl w:val="true"/>
          <w:lang w:bidi="fa-IR"/>
        </w:rPr>
        <w:t xml:space="preserve">، و در وثاقت و امانت او، همگان اتفاق‌نظر دارند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ابوجعفر محمدبن‌يعقوب كلينى، مشهور به ثقة الاسلام، شيخ الطّائفه، و وجههم فى‌الرّى، جليل‌القدر، عظيم المنزله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مجدِّد مذهب در ابتداى سدۀ سوم است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73" w:name="pg1976_27681"/>
    </w:p>
    <w:p>
      <w:pPr>
        <w:pStyle w:val="BookText"/>
        <w:rPr/>
      </w:pPr>
      <w:bookmarkEnd w:id="73"/>
      <w:r>
        <w:rPr>
          <w:rFonts w:ascii="IRNazanin" w:hAnsi="IRNazanin" w:eastAsia="IRNazanin"/>
          <w:color w:val="111111"/>
          <w:sz w:val="28"/>
          <w:sz w:val="28"/>
          <w:szCs w:val="28"/>
          <w:rtl w:val="true"/>
          <w:lang w:bidi="fa-IR"/>
        </w:rPr>
        <w:t xml:space="preserve">عالمان ديگر چون علامۀ مجلسى </w:t>
      </w:r>
      <w:r>
        <w:rPr>
          <w:rStyle w:val="FootnoteAnchor"/>
          <w:rtl w:val="true"/>
        </w:rPr>
        <w:footnoteReference w:id="199"/>
      </w:r>
      <w:r>
        <w:rPr>
          <w:rFonts w:ascii="IRNazanin" w:hAnsi="IRNazanin" w:eastAsia="IRNazanin"/>
          <w:color w:val="111111"/>
          <w:sz w:val="28"/>
          <w:sz w:val="28"/>
          <w:szCs w:val="28"/>
          <w:rtl w:val="true"/>
          <w:lang w:bidi="fa-IR"/>
        </w:rPr>
        <w:t xml:space="preserve">، بحرانى </w:t>
      </w:r>
      <w:r>
        <w:rPr>
          <w:rStyle w:val="FootnoteAnchor"/>
          <w:rtl w:val="true"/>
        </w:rPr>
        <w:footnoteReference w:id="200"/>
      </w:r>
      <w:r>
        <w:rPr>
          <w:rFonts w:ascii="Amiri" w:hAnsi="Amiri" w:eastAsia="Amiri" w:cs="Amiri"/>
          <w:color w:val="111111"/>
          <w:sz w:val="28"/>
          <w:sz w:val="28"/>
          <w:szCs w:val="28"/>
          <w:rtl w:val="true"/>
          <w:lang w:bidi="ar-SA"/>
        </w:rPr>
        <w:t xml:space="preserve">، بحرالعلوم الطباطبايى </w:t>
      </w:r>
      <w:r>
        <w:rPr>
          <w:rStyle w:val="FootnoteAnchor"/>
          <w:rtl w:val="true"/>
        </w:rPr>
        <w:footnoteReference w:id="201"/>
      </w:r>
      <w:r>
        <w:rPr>
          <w:rFonts w:ascii="Amiri" w:hAnsi="Amiri" w:eastAsia="Amiri" w:cs="Amiri"/>
          <w:color w:val="111111"/>
          <w:sz w:val="28"/>
          <w:sz w:val="28"/>
          <w:szCs w:val="28"/>
          <w:rtl w:val="true"/>
          <w:lang w:bidi="ar-SA"/>
        </w:rPr>
        <w:t xml:space="preserve">شيخ عبّاس قمى </w:t>
      </w:r>
      <w:r>
        <w:rPr>
          <w:rStyle w:val="FootnoteAnchor"/>
          <w:rtl w:val="true"/>
        </w:rPr>
        <w:footnoteReference w:id="202"/>
      </w:r>
      <w:r>
        <w:rPr>
          <w:rFonts w:ascii="Amiri" w:hAnsi="Amiri" w:eastAsia="Amiri" w:cs="Amiri"/>
          <w:color w:val="111111"/>
          <w:sz w:val="28"/>
          <w:sz w:val="28"/>
          <w:szCs w:val="28"/>
          <w:rtl w:val="true"/>
          <w:lang w:bidi="ar-SA"/>
        </w:rPr>
        <w:t xml:space="preserve">مدرسى تبريزى </w:t>
      </w:r>
      <w:r>
        <w:rPr>
          <w:rStyle w:val="FootnoteAnchor"/>
          <w:rtl w:val="true"/>
        </w:rPr>
        <w:footnoteReference w:id="203"/>
      </w:r>
      <w:r>
        <w:rPr>
          <w:rFonts w:ascii="IRNazanin" w:hAnsi="IRNazanin" w:eastAsia="IRNazanin"/>
          <w:color w:val="111111"/>
          <w:sz w:val="28"/>
          <w:sz w:val="28"/>
          <w:szCs w:val="28"/>
          <w:rtl w:val="true"/>
          <w:lang w:bidi="fa-IR"/>
        </w:rPr>
        <w:t xml:space="preserve">خوانسارى </w:t>
      </w:r>
      <w:r>
        <w:rPr>
          <w:rStyle w:val="FootnoteAnchor"/>
          <w:rtl w:val="true"/>
        </w:rPr>
        <w:footnoteReference w:id="204"/>
      </w:r>
      <w:r>
        <w:rPr>
          <w:rFonts w:ascii="Amiri" w:hAnsi="Amiri" w:eastAsia="Amiri" w:cs="Amiri"/>
          <w:color w:val="111111"/>
          <w:sz w:val="28"/>
          <w:sz w:val="28"/>
          <w:szCs w:val="28"/>
          <w:rtl w:val="true"/>
          <w:lang w:bidi="ar-SA"/>
        </w:rPr>
        <w:t>، نهايت تمجيد را از كلينى به عمل آورده‌اند</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766889_3650668749"/>
      <w:bookmarkStart w:id="75" w:name="_Toc23"/>
      <w:bookmarkEnd w:id="74"/>
      <w:r>
        <w:rPr/>
        <w:t>٢</w:t>
      </w:r>
      <w:r>
        <w:rPr>
          <w:rtl w:val="true"/>
        </w:rPr>
        <w:t xml:space="preserve">. </w:t>
      </w:r>
      <w:r>
        <w:rPr>
          <w:rtl w:val="true"/>
        </w:rPr>
        <w:t>كلينى در نگاه دانشمندان اهل‌سنت</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ابوجعفر محمدبن يعقوب كلينى رازى از فقهاى شيعه ونويسندگان آن مذهب است و ابوعبدالله احمدبن ابراهيم الصيمرى و ديگران از او روايت مى‌كنند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ابن‌اثير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محمدبن يعقوب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فقيه، امام مذهب اهل‌بيت، عالم بزرگ و فاضل مذهب و در نزد شيعه مشهور است، و از كسانى است كه در ابتداى سدۀ سوم، به‌مجدِّد دِين نام‌برده مى‌شود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عزّالدين‌بن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محمدبن يعقوب كلينى، از بزرگان اماميه و علماى آنها است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ابوجعفرمحمدبن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شيخ فاضل مشهور، از رؤساى شيعه و فقها، و از نويسندگان آنهاست </w:t>
      </w:r>
      <w:r>
        <w:rPr>
          <w:rStyle w:val="FootnoteAnchor"/>
          <w:rtl w:val="true"/>
        </w:rPr>
        <w:footnoteReference w:id="208"/>
      </w:r>
      <w:r>
        <w:rPr>
          <w:rFonts w:ascii="IRNazanin" w:hAnsi="IRNazanin" w:eastAsia="IRNazanin"/>
          <w:color w:val="111111"/>
          <w:sz w:val="28"/>
          <w:sz w:val="28"/>
          <w:szCs w:val="28"/>
          <w:rtl w:val="true"/>
          <w:lang w:bidi="fa-IR"/>
        </w:rPr>
        <w:t>در جاى ديگر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شيخ شيعه، عالم اماميه، صاحب تصانيف، ابوجعفر محمدبن يعقوب الرّازى الكلينى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احمدبن ابراهيم الصيمرى و ديگران، از او روايت مى‌كنند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ابوجعفر الكلينى از سران فضلاى شيعه در ايام حكومت مقتدرعبّاسى بود </w:t>
      </w:r>
      <w:r>
        <w:rPr>
          <w:rStyle w:val="FootnoteAnchor"/>
          <w:rtl w:val="true"/>
        </w:rPr>
        <w:footnoteReference w:id="210"/>
      </w:r>
      <w:r>
        <w:rPr>
          <w:rFonts w:ascii="Amiri" w:hAnsi="Amiri" w:eastAsia="Amiri" w:cs="Amiri"/>
          <w:color w:val="111111"/>
          <w:sz w:val="28"/>
          <w:sz w:val="28"/>
          <w:szCs w:val="28"/>
          <w:rtl w:val="true"/>
          <w:lang w:bidi="ar-SA"/>
        </w:rPr>
        <w:t xml:space="preserve">، زبيدى همين حرف را مى‌زند </w:t>
      </w:r>
      <w:r>
        <w:rPr>
          <w:rStyle w:val="FootnoteAnchor"/>
          <w:rtl w:val="true"/>
        </w:rPr>
        <w:footnoteReference w:id="211"/>
      </w:r>
      <w:r>
        <w:rPr>
          <w:rFonts w:ascii="IRNazanin" w:hAnsi="IRNazanin" w:eastAsia="IRNazanin"/>
          <w:color w:val="111111"/>
          <w:sz w:val="28"/>
          <w:sz w:val="28"/>
          <w:szCs w:val="28"/>
          <w:rtl w:val="true"/>
          <w:lang w:bidi="fa-IR"/>
        </w:rPr>
        <w:t>، ابن‌حجر در جاى ديگر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از فقهاى شيعه و از كسانى است كه بر وِفق مذهب شيعه كتاب‌هايى تصنيف كرد </w:t>
      </w:r>
      <w:r>
        <w:rPr>
          <w:rStyle w:val="FootnoteAnchor"/>
          <w:rtl w:val="true"/>
        </w:rPr>
        <w:footnoteReference w:id="212"/>
      </w:r>
      <w:r>
        <w:rPr>
          <w:rFonts w:ascii="IRNazanin" w:hAnsi="IRNazanin" w:eastAsia="IRNazanin"/>
          <w:color w:val="111111"/>
          <w:sz w:val="28"/>
          <w:sz w:val="28"/>
          <w:szCs w:val="28"/>
          <w:rtl w:val="true"/>
          <w:lang w:bidi="fa-IR"/>
        </w:rPr>
        <w:t xml:space="preserve">القسطنطنى الحنفى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زركلى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عمركحاله </w:t>
      </w:r>
      <w:r>
        <w:rPr>
          <w:rStyle w:val="FootnoteAnchor"/>
          <w:rtl w:val="true"/>
        </w:rPr>
        <w:footnoteReference w:id="215"/>
      </w:r>
      <w:r>
        <w:rPr>
          <w:rFonts w:ascii="Amiri" w:hAnsi="Amiri" w:eastAsia="Amiri" w:cs="Amiri"/>
          <w:color w:val="111111"/>
          <w:sz w:val="28"/>
          <w:sz w:val="28"/>
          <w:szCs w:val="28"/>
          <w:rtl w:val="true"/>
          <w:lang w:bidi="ar-SA"/>
        </w:rPr>
        <w:t>، هر كدام كلينى را از فقهاى شيعه و عارف به‌روايات معرفى مى‌كنند</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976_27687"/>
      <w:bookmarkStart w:id="77" w:name="pg1976_27687"/>
      <w:bookmarkEnd w:id="77"/>
    </w:p>
    <w:p>
      <w:pPr>
        <w:pStyle w:val="Heading3"/>
        <w:numPr>
          <w:ilvl w:val="2"/>
          <w:numId w:val="1"/>
        </w:numPr>
        <w:rPr/>
      </w:pPr>
      <w:bookmarkStart w:id="78" w:name="pg1976_27687"/>
      <w:bookmarkStart w:id="79" w:name="__RefHeading___Toc3766891_3650668749"/>
      <w:bookmarkStart w:id="80" w:name="_Toc24"/>
      <w:bookmarkEnd w:id="78"/>
      <w:bookmarkEnd w:id="79"/>
      <w:r>
        <w:rPr>
          <w:rtl w:val="true"/>
        </w:rPr>
        <w:t>فصل سوم</w:t>
      </w:r>
      <w:r>
        <w:rPr>
          <w:rtl w:val="true"/>
        </w:rPr>
        <w:t xml:space="preserve">: </w:t>
      </w:r>
      <w:r>
        <w:rPr>
          <w:rtl w:val="true"/>
        </w:rPr>
        <w:t>جايگاه كافى در ميان مجامع حديثى</w:t>
      </w:r>
      <w:bookmarkEnd w:id="80"/>
    </w:p>
    <w:p>
      <w:pPr>
        <w:pStyle w:val="Heading4"/>
        <w:numPr>
          <w:ilvl w:val="3"/>
          <w:numId w:val="1"/>
        </w:numPr>
        <w:rPr/>
      </w:pPr>
      <w:bookmarkStart w:id="81" w:name="__RefHeading___Toc3766893_3650668749"/>
      <w:bookmarkStart w:id="82" w:name="_Toc25"/>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هر چندكه كلينى، پديد آورندۀ پرآوازه‌ترين اثر،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ولى آثار ديگر كلينى كه هركدام جايگاه ويژه‌اى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أَلرّد على‌القرامطة </w:t>
      </w:r>
      <w:r>
        <w:rPr>
          <w:rStyle w:val="FootnoteAnchor"/>
          <w:rtl w:val="true"/>
        </w:rPr>
        <w:footnoteReference w:id="216"/>
      </w:r>
      <w:r>
        <w:rPr>
          <w:rFonts w:ascii="Amiri" w:hAnsi="Amiri" w:eastAsia="Amiri" w:cs="Amiri"/>
          <w:color w:val="111111"/>
          <w:sz w:val="28"/>
          <w:sz w:val="28"/>
          <w:szCs w:val="28"/>
          <w:rtl w:val="true"/>
          <w:lang w:bidi="ar-SA"/>
        </w:rPr>
        <w:t xml:space="preserve">، كتاب الرّجال </w:t>
      </w:r>
      <w:r>
        <w:rPr>
          <w:rStyle w:val="FootnoteAnchor"/>
          <w:rtl w:val="true"/>
        </w:rPr>
        <w:footnoteReference w:id="217"/>
      </w:r>
      <w:r>
        <w:rPr>
          <w:rFonts w:ascii="Amiri" w:hAnsi="Amiri" w:eastAsia="Amiri" w:cs="Amiri"/>
          <w:color w:val="111111"/>
          <w:sz w:val="28"/>
          <w:sz w:val="28"/>
          <w:szCs w:val="28"/>
          <w:rtl w:val="true"/>
          <w:lang w:bidi="ar-SA"/>
        </w:rPr>
        <w:t xml:space="preserve">، كتب الرّسائل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كتاب تعبيرالرؤيا </w:t>
      </w:r>
      <w:r>
        <w:rPr>
          <w:rStyle w:val="FootnoteAnchor"/>
          <w:rtl w:val="true"/>
        </w:rPr>
        <w:footnoteReference w:id="219"/>
      </w:r>
      <w:r>
        <w:rPr>
          <w:rFonts w:ascii="Amiri" w:hAnsi="Amiri" w:eastAsia="Amiri" w:cs="Amiri"/>
          <w:color w:val="111111"/>
          <w:sz w:val="28"/>
          <w:sz w:val="28"/>
          <w:szCs w:val="28"/>
          <w:rtl w:val="true"/>
          <w:lang w:bidi="ar-SA"/>
        </w:rPr>
        <w:t xml:space="preserve">، كتاب ماقيل في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ماندگارترين آثار مرحوم كلينى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سه‌بخش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w:t>
      </w:r>
    </w:p>
    <w:p>
      <w:pPr>
        <w:pStyle w:val="BookText"/>
        <w:rPr/>
      </w:pPr>
      <w:r>
        <w:rPr>
          <w:rFonts w:ascii="IRNazanin" w:hAnsi="IRNazanin" w:eastAsia="IRNazanin"/>
          <w:color w:val="111111"/>
          <w:sz w:val="28"/>
          <w:sz w:val="28"/>
          <w:szCs w:val="28"/>
          <w:rtl w:val="true"/>
          <w:lang w:bidi="fa-IR"/>
        </w:rPr>
        <w:t xml:space="preserve">نگاهِ به اصول 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نسخه‌هاى مشهور در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با عنايت به‌فروع دين، و بخش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با موضوعات متنوع،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از</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Style w:val="FootnoteAnchor"/>
          <w:rtl w:val="true"/>
        </w:rPr>
        <w:footnoteReference w:id="223"/>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Style w:val="FootnoteAnchor"/>
          <w:rtl w:val="true"/>
        </w:rPr>
        <w:footnoteReference w:id="224"/>
      </w:r>
      <w:r>
        <w:rPr>
          <w:rFonts w:ascii="IRNazanin" w:hAnsi="IRNazanin" w:eastAsia="IRNazanin"/>
          <w:color w:val="111111"/>
          <w:sz w:val="28"/>
          <w:sz w:val="28"/>
          <w:szCs w:val="28"/>
          <w:rtl w:val="true"/>
          <w:lang w:bidi="fa-IR"/>
        </w:rPr>
        <w:t xml:space="preserve">، و حدود </w:t>
      </w:r>
      <w:r>
        <w:rPr>
          <w:rFonts w:eastAsia="IRNazanin" w:cs="IRNazanin"/>
          <w:color w:val="111111"/>
          <w:sz w:val="28"/>
          <w:szCs w:val="28"/>
          <w:lang w:bidi="fa-IR"/>
        </w:rPr>
        <w:t>15413</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226"/>
      </w:r>
      <w:r>
        <w:rPr>
          <w:rFonts w:ascii="Amiri" w:hAnsi="Amiri" w:eastAsia="Amiri" w:cs="Amiri"/>
          <w:color w:val="111111"/>
          <w:sz w:val="28"/>
          <w:sz w:val="28"/>
          <w:szCs w:val="28"/>
          <w:rtl w:val="true"/>
          <w:lang w:bidi="ar-SA"/>
        </w:rPr>
        <w:t>با حذف روايات تكرارى بر اساس آخرين نسخه در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Style w:val="FootnoteAnchor"/>
          <w:rtl w:val="true"/>
        </w:rPr>
        <w:footnoteReference w:id="227"/>
      </w:r>
      <w:r>
        <w:rPr>
          <w:rFonts w:ascii="IRNazanin" w:hAnsi="IRNazanin" w:eastAsia="IRNazanin"/>
          <w:color w:val="111111"/>
          <w:sz w:val="28"/>
          <w:sz w:val="28"/>
          <w:szCs w:val="28"/>
          <w:rtl w:val="true"/>
          <w:lang w:bidi="fa-IR"/>
        </w:rPr>
        <w:t xml:space="preserve">، ترتيب يافته است هرچند كه در تعداد كتاب‌ها و ابواب و رواياتى كه اين كتاب را شكل داده، اختلاف‌نظر است؛ برخى، كتاب‌هاى گنجانده شده در كافى را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Style w:val="FootnoteAnchor"/>
          <w:rtl w:val="true"/>
        </w:rPr>
        <w:footnoteReference w:id="228"/>
      </w:r>
      <w:r>
        <w:rPr>
          <w:rFonts w:ascii="Amiri" w:hAnsi="Amiri" w:eastAsia="Amiri" w:cs="Amiri"/>
          <w:color w:val="111111"/>
          <w:sz w:val="28"/>
          <w:sz w:val="28"/>
          <w:szCs w:val="28"/>
          <w:rtl w:val="true"/>
          <w:lang w:bidi="ar-SA"/>
        </w:rPr>
        <w:t xml:space="preserve">، و تعداد روايات آن را </w:t>
      </w:r>
      <w:r>
        <w:rPr>
          <w:rFonts w:eastAsia="Amiri" w:cs="Amiri" w:ascii="Amiri" w:hAnsi="Amiri"/>
          <w:color w:val="111111"/>
          <w:sz w:val="28"/>
          <w:szCs w:val="28"/>
          <w:lang w:bidi="ar-SA"/>
        </w:rPr>
        <w:t>16199</w:t>
      </w:r>
      <w:r>
        <w:rPr>
          <w:rFonts w:ascii="Amiri" w:hAnsi="Amiri" w:eastAsia="Amiri" w:cs="Amiri"/>
          <w:color w:val="111111"/>
          <w:sz w:val="28"/>
          <w:sz w:val="28"/>
          <w:szCs w:val="28"/>
          <w:rtl w:val="true"/>
          <w:lang w:bidi="ar-SA"/>
        </w:rPr>
        <w:t xml:space="preserve">حديث مى‌شمارند </w:t>
      </w:r>
      <w:r>
        <w:rPr>
          <w:rStyle w:val="FootnoteAnchor"/>
          <w:rtl w:val="true"/>
        </w:rPr>
        <w:footnoteReference w:id="229"/>
      </w:r>
      <w:r>
        <w:rPr>
          <w:rFonts w:ascii="Amiri" w:hAnsi="Amiri" w:eastAsia="Amiri" w:cs="Amiri"/>
          <w:color w:val="111111"/>
          <w:sz w:val="28"/>
          <w:sz w:val="28"/>
          <w:szCs w:val="28"/>
          <w:rtl w:val="true"/>
          <w:lang w:bidi="ar-SA"/>
        </w:rPr>
        <w:t>، برخى</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كتاب </w:t>
      </w:r>
      <w:r>
        <w:rPr>
          <w:rStyle w:val="FootnoteAnchor"/>
          <w:rtl w:val="true"/>
        </w:rPr>
        <w:footnoteReference w:id="230"/>
      </w:r>
      <w:r>
        <w:rPr>
          <w:rFonts w:ascii="Amiri" w:hAnsi="Amiri" w:eastAsia="Amiri" w:cs="Amiri"/>
          <w:color w:val="111111"/>
          <w:sz w:val="28"/>
          <w:sz w:val="28"/>
          <w:szCs w:val="28"/>
          <w:rtl w:val="true"/>
          <w:lang w:bidi="ar-SA"/>
        </w:rPr>
        <w:t xml:space="preserve">، كه همه ناشى از اعمال سليقه، برداشت‌هاى شخصى </w:t>
      </w:r>
      <w:r>
        <w:rPr>
          <w:rStyle w:val="FootnoteAnchor"/>
          <w:rtl w:val="true"/>
        </w:rPr>
        <w:footnoteReference w:id="231"/>
      </w:r>
      <w:r>
        <w:rPr>
          <w:rFonts w:ascii="IRNazanin" w:hAnsi="IRNazanin" w:eastAsia="IRNazanin"/>
          <w:color w:val="111111"/>
          <w:sz w:val="28"/>
          <w:sz w:val="28"/>
          <w:szCs w:val="28"/>
          <w:rtl w:val="true"/>
          <w:lang w:bidi="fa-IR"/>
        </w:rPr>
        <w:t xml:space="preserve">و شماره‌گذارى نشدن روايت در متن نسخۀ كافى است </w:t>
      </w:r>
      <w:r>
        <w:rPr>
          <w:rStyle w:val="FootnoteAnchor"/>
          <w:rtl w:val="true"/>
        </w:rPr>
        <w:footnoteReference w:id="232"/>
      </w:r>
      <w:r>
        <w:rPr>
          <w:rFonts w:ascii="IRNazanin" w:hAnsi="IRNazanin" w:eastAsia="IRNazanin"/>
          <w:color w:val="111111"/>
          <w:sz w:val="28"/>
          <w:sz w:val="28"/>
          <w:szCs w:val="28"/>
          <w:rtl w:val="true"/>
          <w:lang w:bidi="fa-IR"/>
        </w:rPr>
        <w:t>ولى‌آنچه بر اهميت اين كتاب افزوده ويژگى‌هاى آن است كه بر سه مجموعۀ ديگر برترى داده است</w:t>
      </w:r>
      <w:r>
        <w:rPr>
          <w:rFonts w:eastAsia="IRNazanin" w:cs="IRNazanin"/>
          <w:color w:val="111111"/>
          <w:sz w:val="28"/>
          <w:szCs w:val="28"/>
          <w:rtl w:val="true"/>
          <w:lang w:bidi="fa-IR"/>
        </w:rPr>
        <w:t xml:space="preserve">: </w:t>
      </w:r>
      <w:bookmarkStart w:id="83" w:name="pg1976_27691"/>
    </w:p>
    <w:p>
      <w:pPr>
        <w:pStyle w:val="Heading4"/>
        <w:numPr>
          <w:ilvl w:val="3"/>
          <w:numId w:val="1"/>
        </w:numPr>
        <w:rPr/>
      </w:pPr>
      <w:bookmarkStart w:id="84" w:name="__RefHeading___Toc3766895_3650668749"/>
      <w:bookmarkStart w:id="85" w:name="_Toc26"/>
      <w:bookmarkEnd w:id="83"/>
      <w:bookmarkEnd w:id="84"/>
      <w:r>
        <w:rPr/>
        <w:t>١</w:t>
      </w:r>
      <w:r>
        <w:rPr>
          <w:rtl w:val="true"/>
        </w:rPr>
        <w:t xml:space="preserve">. </w:t>
      </w:r>
      <w:r>
        <w:rPr>
          <w:rtl w:val="true"/>
        </w:rPr>
        <w:t>ويژگى‌هاى كتاب كافى</w:t>
      </w:r>
      <w:bookmarkEnd w:id="85"/>
    </w:p>
    <w:p>
      <w:pPr>
        <w:pStyle w:val="Heading5"/>
        <w:numPr>
          <w:ilvl w:val="4"/>
          <w:numId w:val="1"/>
        </w:numPr>
        <w:rPr/>
      </w:pPr>
      <w:bookmarkStart w:id="86" w:name="__RefHeading___Toc3766897_3650668749"/>
      <w:bookmarkStart w:id="87" w:name="_Toc27"/>
      <w:bookmarkEnd w:id="86"/>
      <w:r>
        <w:rPr>
          <w:rtl w:val="true"/>
        </w:rPr>
        <w:t>الف</w:t>
      </w:r>
      <w:r>
        <w:rPr>
          <w:rtl w:val="true"/>
        </w:rPr>
        <w:t xml:space="preserve">) </w:t>
      </w:r>
      <w:r>
        <w:rPr>
          <w:rtl w:val="true"/>
        </w:rPr>
        <w:t>نزديك به‌عص</w:t>
      </w:r>
      <w:r>
        <w:rPr>
          <w:rtl w:val="true"/>
        </w:rPr>
        <w:t>-</w:t>
      </w:r>
      <w:r>
        <w:rPr>
          <w:rtl w:val="true"/>
        </w:rPr>
        <w:t xml:space="preserve">ر امام </w:t>
      </w:r>
      <w:r>
        <w:rPr>
          <w:rtl w:val="true"/>
        </w:rPr>
        <w:t>(</w:t>
      </w:r>
      <w:r>
        <w:rPr>
          <w:rtl w:val="true"/>
        </w:rPr>
        <w:t>عج</w:t>
      </w:r>
      <w:r>
        <w:rPr>
          <w:rtl w:val="true"/>
        </w:rPr>
        <w:t>)</w:t>
      </w:r>
      <w:bookmarkEnd w:id="87"/>
    </w:p>
    <w:p>
      <w:pPr>
        <w:pStyle w:val="BookText"/>
        <w:rPr/>
      </w:pPr>
      <w:r>
        <w:rPr>
          <w:rFonts w:ascii="IRNazanin" w:hAnsi="IRNazanin" w:eastAsia="IRNazanin"/>
          <w:color w:val="111111"/>
          <w:sz w:val="28"/>
          <w:sz w:val="28"/>
          <w:szCs w:val="28"/>
          <w:rtl w:val="true"/>
          <w:lang w:bidi="fa-IR"/>
        </w:rPr>
        <w:t xml:space="preserve">كلينى، بِدان جهت كه در زمان غيبت صغرى زندگى مى‌كرده، طبعاً همۀ مشايخ او، از افرادى خواهند بود كه عصر حضور را درك </w:t>
      </w:r>
      <w:r>
        <w:rPr>
          <w:rStyle w:val="FootnoteAnchor"/>
          <w:rtl w:val="true"/>
        </w:rPr>
        <w:footnoteReference w:id="233"/>
      </w:r>
      <w:r>
        <w:rPr>
          <w:rFonts w:ascii="IRNazanin" w:hAnsi="IRNazanin" w:eastAsia="IRNazanin"/>
          <w:color w:val="111111"/>
          <w:sz w:val="28"/>
          <w:sz w:val="28"/>
          <w:szCs w:val="28"/>
          <w:rtl w:val="true"/>
          <w:lang w:bidi="fa-IR"/>
        </w:rPr>
        <w:t>، و روايات آنها از ارزش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تدوين كافى در زمان حضور وكلاى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r>
        <w:rPr>
          <w:rStyle w:val="FootnoteAnchor"/>
          <w:rtl w:val="true"/>
        </w:rPr>
        <w:footnoteReference w:id="234"/>
      </w:r>
      <w:r>
        <w:rPr>
          <w:rFonts w:ascii="Amiri" w:hAnsi="Amiri" w:eastAsia="Amiri" w:cs="Amiri"/>
          <w:color w:val="111111"/>
          <w:sz w:val="28"/>
          <w:sz w:val="28"/>
          <w:szCs w:val="28"/>
          <w:rtl w:val="true"/>
          <w:lang w:bidi="ar-SA"/>
        </w:rPr>
        <w:t xml:space="preserve">، و وفات كلينى نزديك به‌وفات آخرين وكيل آن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w:t>
      </w:r>
      <w:r>
        <w:rPr>
          <w:rStyle w:val="FootnoteAnchor"/>
          <w:rtl w:val="true"/>
        </w:rPr>
        <w:footnoteReference w:id="235"/>
      </w:r>
      <w:r>
        <w:rPr>
          <w:rFonts w:ascii="IRNazanin" w:hAnsi="IRNazanin" w:eastAsia="IRNazanin"/>
          <w:color w:val="111111"/>
          <w:sz w:val="28"/>
          <w:sz w:val="28"/>
          <w:szCs w:val="28"/>
          <w:rtl w:val="true"/>
          <w:lang w:bidi="fa-IR"/>
        </w:rPr>
        <w:t>، به‌همين جهت برخى معتقدند آنجا كه كلينى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العالم</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 مراد خود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گفته مى‌شود كافى به‌تأييد يا اصلاح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و يا تأييد وُكلاى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رسيده </w:t>
      </w:r>
      <w:r>
        <w:rPr>
          <w:rStyle w:val="FootnoteAnchor"/>
          <w:rtl w:val="true"/>
        </w:rPr>
        <w:footnoteReference w:id="239"/>
      </w:r>
      <w:r>
        <w:rPr>
          <w:rFonts w:ascii="IRNazanin" w:hAnsi="IRNazanin" w:eastAsia="IRNazanin"/>
          <w:color w:val="111111"/>
          <w:sz w:val="28"/>
          <w:sz w:val="28"/>
          <w:szCs w:val="28"/>
          <w:rtl w:val="true"/>
          <w:lang w:bidi="fa-IR"/>
        </w:rPr>
        <w:t>، صاحب‌نظران شيعه آن را قبول ندارند؛ هرچند كه از اين عبارت سيدبن‌طاووس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هذالشّيخ محمدبن يعقوب الكليني و رواياته فِي زَمن الوُكلاء المذكورين يَجِد </w:t>
      </w:r>
      <w:bookmarkStart w:id="88" w:name="pg1976_27693"/>
    </w:p>
    <w:p>
      <w:pPr>
        <w:pStyle w:val="BookText"/>
        <w:rPr/>
      </w:pPr>
      <w:bookmarkEnd w:id="88"/>
      <w:r>
        <w:rPr>
          <w:rFonts w:ascii="Amiri" w:hAnsi="Amiri" w:eastAsia="Amiri" w:cs="Amiri"/>
          <w:color w:val="111111"/>
          <w:sz w:val="28"/>
          <w:sz w:val="28"/>
          <w:szCs w:val="28"/>
          <w:rtl w:val="true"/>
          <w:lang w:bidi="ar-SA"/>
        </w:rPr>
        <w:t xml:space="preserve">طريقاً الى‌التّحقيق منقولاته </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 تأييد كافى از سوى حضرت استفاده مى‌شود، ولى برخى ديگر، آن را حدس غير قطعى دانسته،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به‌شواهد و زمان تدوين كافى، فقط اطمينان به‌كافى و روايات و مؤلف آن حاصل مى‌شود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كافٍ لشيعتنا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واقعيت ندارد </w:t>
      </w:r>
      <w:r>
        <w:rPr>
          <w:rStyle w:val="FootnoteAnchor"/>
          <w:rtl w:val="true"/>
        </w:rPr>
        <w:footnoteReference w:id="242"/>
      </w:r>
      <w:r>
        <w:rPr>
          <w:rFonts w:ascii="Amiri" w:hAnsi="Amiri" w:eastAsia="Amiri" w:cs="Amiri"/>
          <w:color w:val="111111"/>
          <w:sz w:val="28"/>
          <w:sz w:val="28"/>
          <w:szCs w:val="28"/>
          <w:rtl w:val="true"/>
          <w:lang w:bidi="ar-SA"/>
        </w:rPr>
        <w:t xml:space="preserve">و برخى آن را مجهول و ادعاى بى‌دليل مى‌شمارند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اينكه برخى </w:t>
      </w:r>
      <w:r>
        <w:rPr>
          <w:rStyle w:val="FootnoteAnchor"/>
          <w:rtl w:val="true"/>
        </w:rPr>
        <w:footnoteReference w:id="244"/>
      </w:r>
      <w:r>
        <w:rPr>
          <w:rFonts w:ascii="IRNazanin" w:hAnsi="IRNazanin" w:eastAsia="IRNazanin"/>
          <w:color w:val="111111"/>
          <w:sz w:val="28"/>
          <w:sz w:val="28"/>
          <w:szCs w:val="28"/>
          <w:rtl w:val="true"/>
          <w:lang w:bidi="fa-IR"/>
        </w:rPr>
        <w:t xml:space="preserve">جَزم پيدا كرده بر اينكه همۀ كافى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اشكالش روشن است، بله همين كه حضرت اين كتاب و مانند آن را انكار و ردّ نكرده، اين اطمينان نزديك به‌علم را ايجاد مى‌كند كه حضرت راضى به‌كار آن است</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3766899_3650668749"/>
      <w:bookmarkStart w:id="90" w:name="_Toc28"/>
      <w:bookmarkEnd w:id="89"/>
      <w:r>
        <w:rPr>
          <w:rtl w:val="true"/>
        </w:rPr>
        <w:t>ب</w:t>
      </w:r>
      <w:r>
        <w:rPr>
          <w:rtl w:val="true"/>
        </w:rPr>
        <w:t xml:space="preserve">) </w:t>
      </w:r>
      <w:r>
        <w:rPr>
          <w:rtl w:val="true"/>
        </w:rPr>
        <w:t>كافى و ابتكار جديد</w:t>
      </w:r>
      <w:bookmarkEnd w:id="9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و ابتكار جديد </w:t>
      </w:r>
      <w:r>
        <w:rPr>
          <w:rStyle w:val="FootnoteAnchor"/>
          <w:rtl w:val="true"/>
        </w:rPr>
        <w:footnoteReference w:id="24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كافى نخستين كتابى است كه در عرصه حديث به‌اين ترتيب نو و مبتكرانه با اصول دين </w:t>
      </w:r>
      <w:r>
        <w:rPr>
          <w:rStyle w:val="FootnoteAnchor"/>
          <w:rtl w:val="true"/>
        </w:rPr>
        <w:footnoteReference w:id="247"/>
      </w:r>
      <w:r>
        <w:rPr>
          <w:rFonts w:ascii="Amiri" w:hAnsi="Amiri" w:eastAsia="Amiri" w:cs="Amiri"/>
          <w:color w:val="111111"/>
          <w:sz w:val="28"/>
          <w:sz w:val="28"/>
          <w:szCs w:val="28"/>
          <w:rtl w:val="true"/>
          <w:lang w:bidi="ar-SA"/>
        </w:rPr>
        <w:t xml:space="preserve">و كتاب عقل و جهل با حديث آفرينشِ عقل كه بارزترين امتياز انسان از </w:t>
      </w:r>
      <w:bookmarkStart w:id="91" w:name="pg1976_27696"/>
    </w:p>
    <w:p>
      <w:pPr>
        <w:pStyle w:val="BookText"/>
        <w:rPr/>
      </w:pPr>
      <w:bookmarkEnd w:id="91"/>
      <w:r>
        <w:rPr>
          <w:rFonts w:ascii="IRNazanin" w:hAnsi="IRNazanin" w:eastAsia="IRNazanin"/>
          <w:color w:val="111111"/>
          <w:sz w:val="28"/>
          <w:sz w:val="28"/>
          <w:szCs w:val="28"/>
          <w:rtl w:val="true"/>
          <w:lang w:bidi="fa-IR"/>
        </w:rPr>
        <w:t xml:space="preserve">موجودات ديگر است، آغاز و با كتاب‌هايى در فروع دين به‌اوج مى‌رسد و با كتاب روضه با اين جمله از امام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اِنَّ‌الدُّنيا لاتذهَبُ حَتّى يَبعَثَ اللهُ عَزّوجلّ رَجُلاً مِنّا أهل‌البيت يَعمَل بكتاب‌الله لايَرى فيكم مُنكراً إلّا أنكَرَهُ </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صحيح بخارى پرآوازه‌ترين كتاب حديثى اهل‌سنت با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الاَعمال بِالنيّات </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كه ربطى ميان اين جمله و كتاب‌الإيمان </w:t>
      </w:r>
      <w:r>
        <w:rPr>
          <w:rStyle w:val="FootnoteAnchor"/>
          <w:rtl w:val="true"/>
        </w:rPr>
        <w:footnoteReference w:id="250"/>
      </w:r>
      <w:r>
        <w:rPr>
          <w:rFonts w:ascii="Amiri" w:hAnsi="Amiri" w:eastAsia="Amiri" w:cs="Amiri"/>
          <w:color w:val="111111"/>
          <w:sz w:val="28"/>
          <w:sz w:val="28"/>
          <w:szCs w:val="28"/>
          <w:rtl w:val="true"/>
          <w:lang w:bidi="ar-SA"/>
        </w:rPr>
        <w:t xml:space="preserve">، و كتاب‌العلم </w:t>
      </w:r>
      <w:r>
        <w:rPr>
          <w:rStyle w:val="FootnoteAnchor"/>
          <w:rtl w:val="true"/>
        </w:rPr>
        <w:footnoteReference w:id="251"/>
      </w:r>
      <w:r>
        <w:rPr>
          <w:rFonts w:ascii="Amiri" w:hAnsi="Amiri" w:eastAsia="Amiri" w:cs="Amiri"/>
          <w:color w:val="111111"/>
          <w:sz w:val="28"/>
          <w:sz w:val="28"/>
          <w:szCs w:val="28"/>
          <w:rtl w:val="true"/>
          <w:lang w:bidi="ar-SA"/>
        </w:rPr>
        <w:t xml:space="preserve">، و كتاب الوضوء </w:t>
      </w:r>
      <w:r>
        <w:rPr>
          <w:rStyle w:val="FootnoteAnchor"/>
          <w:rtl w:val="true"/>
        </w:rPr>
        <w:footnoteReference w:id="252"/>
      </w:r>
      <w:r>
        <w:rPr>
          <w:rFonts w:ascii="Amiri" w:hAnsi="Amiri" w:eastAsia="Amiri" w:cs="Amiri"/>
          <w:color w:val="111111"/>
          <w:sz w:val="28"/>
          <w:sz w:val="28"/>
          <w:szCs w:val="28"/>
          <w:rtl w:val="true"/>
          <w:lang w:bidi="ar-SA"/>
        </w:rPr>
        <w:t xml:space="preserve">، ديده نمى‌شود، آغاز و با كتاب‌التوحيد </w:t>
      </w:r>
      <w:r>
        <w:rPr>
          <w:rStyle w:val="FootnoteAnchor"/>
          <w:rtl w:val="true"/>
        </w:rPr>
        <w:footnoteReference w:id="253"/>
      </w:r>
      <w:r>
        <w:rPr>
          <w:rFonts w:ascii="IRNazanin" w:hAnsi="IRNazanin" w:eastAsia="IRNazanin"/>
          <w:color w:val="111111"/>
          <w:sz w:val="28"/>
          <w:sz w:val="28"/>
          <w:szCs w:val="28"/>
          <w:rtl w:val="true"/>
          <w:lang w:bidi="fa-IR"/>
        </w:rPr>
        <w:t>،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نظم و چينش كافى سبب شد كه توجّه فقها و علما از اصول اربعمأة به‌كافى معطوف گردد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3766901_3650668749"/>
      <w:bookmarkStart w:id="93" w:name="_Toc29"/>
      <w:bookmarkEnd w:id="92"/>
      <w:r>
        <w:rPr>
          <w:rtl w:val="true"/>
        </w:rPr>
        <w:t>ج</w:t>
      </w:r>
      <w:r>
        <w:rPr>
          <w:rtl w:val="true"/>
        </w:rPr>
        <w:t xml:space="preserve">) </w:t>
      </w:r>
      <w:r>
        <w:rPr>
          <w:rtl w:val="true"/>
        </w:rPr>
        <w:t>جامعيت بى‌بديل كافى</w:t>
      </w:r>
      <w:bookmarkEnd w:id="9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كافى از جهت جامعيت و فراگيرى احاديث همۀ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نوع خود، كم‌نظير است؛ زيرا مؤلفان اصول</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گانه معروف، رواياتشان را تنها از امامان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نموده‌اند </w:t>
      </w:r>
      <w:r>
        <w:rPr>
          <w:rStyle w:val="FootnoteAnchor"/>
          <w:rtl w:val="true"/>
        </w:rPr>
        <w:footnoteReference w:id="255"/>
      </w:r>
      <w:r>
        <w:rPr>
          <w:rFonts w:ascii="IRNazanin" w:hAnsi="IRNazanin" w:eastAsia="IRNazanin"/>
          <w:color w:val="111111"/>
          <w:sz w:val="28"/>
          <w:sz w:val="28"/>
          <w:szCs w:val="28"/>
          <w:rtl w:val="true"/>
          <w:lang w:bidi="fa-IR"/>
        </w:rPr>
        <w:t>، ولى مؤلف كافى با تلاش گسترده و صرف</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256"/>
      </w:r>
      <w:r>
        <w:rPr>
          <w:rFonts w:ascii="IRNazanin" w:hAnsi="IRNazanin" w:eastAsia="IRNazanin"/>
          <w:color w:val="111111"/>
          <w:sz w:val="28"/>
          <w:sz w:val="28"/>
          <w:szCs w:val="28"/>
          <w:rtl w:val="true"/>
          <w:lang w:bidi="fa-IR"/>
        </w:rPr>
        <w:t xml:space="preserve">از عمر خويش توانسته روايات همۀ امامان را گردآورى نمايد درحالى‌كه وى مى‌توانست در </w:t>
      </w:r>
      <w:bookmarkStart w:id="94" w:name="pg1976_27698"/>
    </w:p>
    <w:p>
      <w:pPr>
        <w:pStyle w:val="BookText"/>
        <w:rPr/>
      </w:pPr>
      <w:bookmarkEnd w:id="94"/>
      <w:r>
        <w:rPr>
          <w:rFonts w:ascii="IRNazanin" w:hAnsi="IRNazanin" w:eastAsia="IRNazanin"/>
          <w:color w:val="111111"/>
          <w:sz w:val="28"/>
          <w:sz w:val="28"/>
          <w:szCs w:val="28"/>
          <w:rtl w:val="true"/>
          <w:lang w:bidi="fa-IR"/>
        </w:rPr>
        <w:t>طول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اين‌كار را به‌پايان ببرد </w:t>
      </w:r>
      <w:r>
        <w:rPr>
          <w:rStyle w:val="FootnoteAnchor"/>
          <w:rtl w:val="true"/>
        </w:rPr>
        <w:footnoteReference w:id="257"/>
      </w:r>
      <w:r>
        <w:rPr>
          <w:rFonts w:ascii="IRNazanin" w:hAnsi="IRNazanin" w:eastAsia="IRNazanin"/>
          <w:color w:val="111111"/>
          <w:sz w:val="28"/>
          <w:sz w:val="28"/>
          <w:szCs w:val="28"/>
          <w:rtl w:val="true"/>
          <w:lang w:bidi="fa-IR"/>
        </w:rPr>
        <w:t xml:space="preserve">همان‌گونه كه كافى در عرصه‌هاى مختلف علوم و 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فراگير و از جامعيت خاصى برخوردار است</w:t>
      </w:r>
      <w:r>
        <w:rPr>
          <w:rFonts w:eastAsia="IRNazanin" w:cs="IRNazanin"/>
          <w:color w:val="111111"/>
          <w:sz w:val="28"/>
          <w:szCs w:val="28"/>
          <w:rtl w:val="true"/>
          <w:lang w:bidi="fa-IR"/>
        </w:rPr>
        <w:t xml:space="preserve">. </w:t>
      </w:r>
      <w:r>
        <w:rPr>
          <w:rStyle w:val="FootnoteAnchor"/>
          <w:rtl w:val="true"/>
        </w:rPr>
        <w:footnoteReference w:id="258"/>
      </w:r>
    </w:p>
    <w:p>
      <w:pPr>
        <w:pStyle w:val="Heading5"/>
        <w:numPr>
          <w:ilvl w:val="4"/>
          <w:numId w:val="1"/>
        </w:numPr>
        <w:rPr/>
      </w:pPr>
      <w:bookmarkStart w:id="95" w:name="__RefHeading___Toc3766903_3650668749"/>
      <w:bookmarkStart w:id="96" w:name="_Toc30"/>
      <w:bookmarkEnd w:id="95"/>
      <w:r>
        <w:rPr>
          <w:rtl w:val="true"/>
        </w:rPr>
        <w:t>د</w:t>
      </w:r>
      <w:r>
        <w:rPr>
          <w:rtl w:val="true"/>
        </w:rPr>
        <w:t xml:space="preserve">) </w:t>
      </w:r>
      <w:r>
        <w:rPr>
          <w:rtl w:val="true"/>
        </w:rPr>
        <w:t>كافى الگو براى ديگران</w:t>
      </w:r>
      <w:bookmarkEnd w:id="96"/>
    </w:p>
    <w:p>
      <w:pPr>
        <w:pStyle w:val="BookText"/>
        <w:rPr/>
      </w:pPr>
      <w:r>
        <w:rPr>
          <w:rFonts w:ascii="IRNazanin" w:hAnsi="IRNazanin" w:eastAsia="IRNazanin"/>
          <w:color w:val="111111"/>
          <w:sz w:val="28"/>
          <w:sz w:val="28"/>
          <w:szCs w:val="28"/>
          <w:rtl w:val="true"/>
          <w:lang w:bidi="fa-IR"/>
        </w:rPr>
        <w:t xml:space="preserve">بى‌ترديد همۀ كتاب‌هاى روايى كه پس از كلينى در شيعه تدوين يافته، با الهام‌گيرى از كافى است، به‌عنوان نمونه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متأخران چون فيض‌كاشانى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وافى،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وسائل‌الشّيعه از روش كلينى پيروى نموده‌اند </w:t>
      </w:r>
      <w:r>
        <w:rPr>
          <w:rStyle w:val="FootnoteAnchor"/>
          <w:rtl w:val="true"/>
        </w:rPr>
        <w:footnoteReference w:id="259"/>
      </w:r>
      <w:r>
        <w:rPr>
          <w:rFonts w:ascii="IRNazanin" w:hAnsi="IRNazanin" w:eastAsia="IRNazanin"/>
          <w:color w:val="111111"/>
          <w:sz w:val="28"/>
          <w:sz w:val="28"/>
          <w:szCs w:val="28"/>
          <w:rtl w:val="true"/>
          <w:lang w:bidi="fa-IR"/>
        </w:rPr>
        <w:t>چنان‌كه نويسندۀ مصرى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بعده على نَمَطه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3766905_3650668749"/>
      <w:bookmarkStart w:id="98" w:name="_Toc31"/>
      <w:bookmarkEnd w:id="97"/>
      <w:r>
        <w:rPr>
          <w:rtl w:val="true"/>
        </w:rPr>
        <w:t>ه</w:t>
      </w:r>
      <w:r>
        <w:rPr>
          <w:rtl w:val="true"/>
        </w:rPr>
        <w:t xml:space="preserve">) </w:t>
      </w:r>
      <w:r>
        <w:rPr>
          <w:rtl w:val="true"/>
        </w:rPr>
        <w:t>دقت در متن و سلسله اسناد</w:t>
      </w:r>
      <w:bookmarkEnd w:id="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سلسله اسناد روايت تا برسد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يا يكى از معصومان، از امتيازات حديثِ مقبول است؛ به‌همين رو، كلينى در مجموعۀ كافى اين ويژگى را جز در موارد اندك، رعايت نموده است، هر چند كه در فرازهايى از هنرنمايى كلينى، توهم قطع سلسلۀ سند را ايجاد مى‌كند </w:t>
      </w:r>
      <w:r>
        <w:rPr>
          <w:rStyle w:val="FootnoteAnchor"/>
          <w:rtl w:val="true"/>
        </w:rPr>
        <w:footnoteReference w:id="262"/>
      </w:r>
      <w:r>
        <w:rPr>
          <w:rFonts w:ascii="IRNazanin" w:hAnsi="IRNazanin" w:eastAsia="IRNazanin"/>
          <w:color w:val="111111"/>
          <w:sz w:val="28"/>
          <w:sz w:val="28"/>
          <w:szCs w:val="28"/>
          <w:rtl w:val="true"/>
          <w:lang w:bidi="fa-IR"/>
        </w:rPr>
        <w:t xml:space="preserve">، ولى در حقيقت چنين نيست بلكه اين روش در ميان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قدما مشهور بوده كه با آوردن سند كامل در حديث نخست، در نقل بعدى سند مشترك را نمى‌آوردند و آن را با ضمير به‌سند قبلى پيوند مى‌زدند كه كلينى از اين روش فراوان بهره گرفته است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گاهى برخى </w:t>
      </w:r>
      <w:r>
        <w:rPr>
          <w:rStyle w:val="FootnoteAnchor"/>
          <w:rtl w:val="true"/>
        </w:rPr>
        <w:footnoteReference w:id="264"/>
      </w:r>
      <w:r>
        <w:rPr>
          <w:rFonts w:ascii="IRNazanin" w:hAnsi="IRNazanin" w:eastAsia="IRNazanin"/>
          <w:color w:val="111111"/>
          <w:sz w:val="28"/>
          <w:sz w:val="28"/>
          <w:szCs w:val="28"/>
          <w:rtl w:val="true"/>
          <w:lang w:bidi="fa-IR"/>
        </w:rPr>
        <w:t xml:space="preserve">از بزرگان به‌خاطر عدم توجه به‌اين روش كلينى، سند كافى را بدون واسطه آورده‌اند </w:t>
      </w:r>
      <w:r>
        <w:rPr>
          <w:rStyle w:val="FootnoteAnchor"/>
          <w:rtl w:val="true"/>
        </w:rPr>
        <w:footnoteReference w:id="265"/>
      </w:r>
      <w:r>
        <w:rPr>
          <w:rFonts w:ascii="IRNazanin" w:hAnsi="IRNazanin" w:eastAsia="IRNazanin"/>
          <w:color w:val="111111"/>
          <w:sz w:val="28"/>
          <w:sz w:val="28"/>
          <w:szCs w:val="28"/>
          <w:rtl w:val="true"/>
          <w:lang w:bidi="fa-IR"/>
        </w:rPr>
        <w:t xml:space="preserve">كه در نتيجه روايت او از كلينى منقطع شده است ولى با مراجعه به‌كافى، سند كامل و متصل مى‌گردد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اينكه كلينى</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عمرش را صرف اين كتاب نموده، اختصاص به‌جمع‌آورى روايات آن نداشته است بلكه بخش مهم آن را در پى‌ريزى اصول، چارچوب‌بندى، تبويب، پالايش، گزينش، دقت در اسناد و متون روايات، بررسى معارضات آن، و چينش روايات آن، هزينه نموده است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كافى در ضبط سند و متن حديث، از دقت بالايى برخوردار است، و مى‌توان ادعا كرد كه در صورت اختلاف ميان كافى و متون ديگر، آنچه در كافى ضبط شده مطمئن‌تر است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99" w:name="pg1976_27702"/>
    </w:p>
    <w:p>
      <w:pPr>
        <w:pStyle w:val="Heading5"/>
        <w:numPr>
          <w:ilvl w:val="4"/>
          <w:numId w:val="1"/>
        </w:numPr>
        <w:rPr/>
      </w:pPr>
      <w:bookmarkStart w:id="100" w:name="__RefHeading___Toc3766907_3650668749"/>
      <w:bookmarkStart w:id="101" w:name="_Toc32"/>
      <w:bookmarkEnd w:id="99"/>
      <w:bookmarkEnd w:id="100"/>
      <w:r>
        <w:rPr>
          <w:rtl w:val="true"/>
        </w:rPr>
        <w:t>و</w:t>
      </w:r>
      <w:r>
        <w:rPr>
          <w:rtl w:val="true"/>
        </w:rPr>
        <w:t xml:space="preserve">) </w:t>
      </w:r>
      <w:r>
        <w:rPr>
          <w:rtl w:val="true"/>
        </w:rPr>
        <w:t>تلاش در كاهش اسناد</w:t>
      </w:r>
      <w:bookmarkEnd w:id="101"/>
    </w:p>
    <w:p>
      <w:pPr>
        <w:pStyle w:val="BookText"/>
        <w:rPr/>
      </w:pPr>
      <w:r>
        <w:rPr>
          <w:rFonts w:ascii="IRNazanin" w:hAnsi="IRNazanin" w:eastAsia="IRNazanin"/>
          <w:color w:val="111111"/>
          <w:sz w:val="28"/>
          <w:sz w:val="28"/>
          <w:szCs w:val="28"/>
          <w:rtl w:val="true"/>
          <w:lang w:bidi="fa-IR"/>
        </w:rPr>
        <w:t>بى‌ترديد هرچه واسطه ميان راوى و منبع صدور، كمتر باشد آن روايت از ارزش بالاترى برخوردار است؛ از اين رو، كلينى در كافى سعيش بر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واسطه ميان خود و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به‌حداقل برساند، تا بر متانت و قوت حديث بيفزايد </w:t>
      </w:r>
      <w:r>
        <w:rPr>
          <w:rStyle w:val="FootnoteAnchor"/>
          <w:rtl w:val="true"/>
        </w:rPr>
        <w:footnoteReference w:id="269"/>
      </w:r>
      <w:r>
        <w:rPr>
          <w:rFonts w:ascii="IRNazanin" w:hAnsi="IRNazanin" w:eastAsia="IRNazanin"/>
          <w:color w:val="111111"/>
          <w:sz w:val="28"/>
          <w:sz w:val="28"/>
          <w:szCs w:val="28"/>
          <w:rtl w:val="true"/>
          <w:lang w:bidi="fa-IR"/>
        </w:rPr>
        <w:t>، وى گاهى براى كاهش يك واسطه مسافرت‌هاى طولانى را تحمل مى‌كرد؛ سفر او به‌دمشق آن روز، شايد به‌همين منظور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ابن‌عساكر، يكى از كسانى‌كه براى فراگيرى حديث وارد دمشق شده، كلينى را نام مى‌برد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يعقوب و يُقال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ابوجعفرالكليني من شيوخ الرّافضة قدم دمشق و حَدّث بِبَعلبَك عن ابي‌الحسُين محمّدبن علي الجعفري السّمرقندي، و محمدبن‌احمد الخفاف النّيسابوري، و علي‌بن ابراهيم بن هاشم</w:t>
      </w:r>
      <w:r>
        <w:rPr>
          <w:rFonts w:eastAsia="IRNazanin" w:cs="IRNazanin"/>
          <w:color w:val="111111"/>
          <w:sz w:val="28"/>
          <w:szCs w:val="28"/>
          <w:rtl w:val="true"/>
          <w:lang w:bidi="fa-IR"/>
        </w:rPr>
        <w:t xml:space="preserve">. . . »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مواردى به‌نوعى سندهاى يك روايت را با سند روايت ديگر هماهنگ مى‌سازد، بدين‌صورت كه يك روايت را با سند كامل مى‌آورد، سپس همان حديث را با سند ديگر هم آورده،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 كه اين روش از يك‌سو، اشاره به‌سند جديد است و از ديگرسو، سبب مى‌شود كه قطع يا ارسال و يا ضعف احتمالى حديث و سند آن، جبران گردد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02" w:name="pg1976_27704"/>
    </w:p>
    <w:p>
      <w:pPr>
        <w:pStyle w:val="BookText"/>
        <w:rPr/>
      </w:pPr>
      <w:bookmarkEnd w:id="102"/>
      <w:r>
        <w:rPr>
          <w:rFonts w:ascii="Amiri" w:hAnsi="Amiri" w:eastAsia="Amiri" w:cs="Amiri"/>
          <w:color w:val="111111"/>
          <w:sz w:val="28"/>
          <w:sz w:val="28"/>
          <w:szCs w:val="28"/>
          <w:rtl w:val="true"/>
          <w:lang w:bidi="ar-SA"/>
        </w:rPr>
        <w:t xml:space="preserve">بر همين اساس،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يكى از بحث‌هاى مهم در عرصۀ حديث است </w:t>
      </w:r>
      <w:r>
        <w:rPr>
          <w:rStyle w:val="FootnoteAnchor"/>
          <w:rtl w:val="true"/>
        </w:rPr>
        <w:footnoteReference w:id="273"/>
      </w:r>
      <w:r>
        <w:rPr>
          <w:rFonts w:ascii="Amiri" w:hAnsi="Amiri" w:eastAsia="Amiri" w:cs="Amiri"/>
          <w:color w:val="111111"/>
          <w:sz w:val="28"/>
          <w:sz w:val="28"/>
          <w:szCs w:val="28"/>
          <w:rtl w:val="true"/>
          <w:lang w:bidi="ar-SA"/>
        </w:rPr>
        <w:t xml:space="preserve">، كه از آن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عالية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قليلةالاسناد </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تعبير مى‌شود، و كافى از اين ويژگى در مواردى برخوردار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علي‌بن‌ابراهيم، عن ابيه، قال كنتُ عند ابي‌جعفرالثاني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دخل</w:t>
      </w:r>
      <w:r>
        <w:rPr>
          <w:rFonts w:eastAsia="IRNazanin" w:cs="IRNazanin"/>
          <w:color w:val="111111"/>
          <w:sz w:val="28"/>
          <w:szCs w:val="28"/>
          <w:rtl w:val="true"/>
          <w:lang w:bidi="fa-IR"/>
        </w:rPr>
        <w:t xml:space="preserve">. . . »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3766909_3650668749"/>
      <w:bookmarkStart w:id="104" w:name="_Toc33"/>
      <w:bookmarkEnd w:id="103"/>
      <w:r>
        <w:rPr>
          <w:rtl w:val="true"/>
        </w:rPr>
        <w:t>ز</w:t>
      </w:r>
      <w:r>
        <w:rPr>
          <w:rtl w:val="true"/>
        </w:rPr>
        <w:t xml:space="preserve">) </w:t>
      </w:r>
      <w:r>
        <w:rPr>
          <w:rtl w:val="true"/>
        </w:rPr>
        <w:t>عدم ذكر روايات معارض</w:t>
      </w:r>
      <w:bookmarkEnd w:id="1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غالباً رواياتى كه با عنوان باب منتخب او سازگار نباشد، نمى‌آورد و اين‌كار او، مى‌رساند كه آنچه را آورده ترجيح بر روايتى است كه از ذكرش خوددارى نموده است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105" w:name="pg1976_27707"/>
    </w:p>
    <w:p>
      <w:pPr>
        <w:pStyle w:val="Heading5"/>
        <w:numPr>
          <w:ilvl w:val="4"/>
          <w:numId w:val="1"/>
        </w:numPr>
        <w:rPr/>
      </w:pPr>
      <w:bookmarkStart w:id="106" w:name="__RefHeading___Toc3766911_3650668749"/>
      <w:bookmarkStart w:id="107" w:name="_Toc34"/>
      <w:bookmarkEnd w:id="105"/>
      <w:bookmarkEnd w:id="106"/>
      <w:r>
        <w:rPr>
          <w:rtl w:val="true"/>
        </w:rPr>
        <w:t>ح</w:t>
      </w:r>
      <w:r>
        <w:rPr>
          <w:rtl w:val="true"/>
        </w:rPr>
        <w:t xml:space="preserve">) </w:t>
      </w:r>
      <w:r>
        <w:rPr>
          <w:rtl w:val="true"/>
        </w:rPr>
        <w:t>ترتيب احاديث باب، بر ملاك صحت و</w:t>
      </w:r>
      <w:r>
        <w:rPr>
          <w:rtl w:val="true"/>
        </w:rPr>
        <w:t>. . .</w:t>
      </w:r>
      <w:bookmarkEnd w:id="107"/>
    </w:p>
    <w:p>
      <w:pPr>
        <w:pStyle w:val="BookText"/>
        <w:rPr/>
      </w:pPr>
      <w:r>
        <w:rPr>
          <w:rFonts w:ascii="Amiri" w:hAnsi="Amiri" w:eastAsia="Amiri" w:cs="Amiri"/>
          <w:color w:val="111111"/>
          <w:sz w:val="28"/>
          <w:sz w:val="28"/>
          <w:szCs w:val="28"/>
          <w:rtl w:val="true"/>
          <w:lang w:bidi="ar-SA"/>
        </w:rPr>
        <w:t>كلينى، علاوه بر 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فراوانى كه در انتخاب باب دارد </w:t>
      </w:r>
      <w:r>
        <w:rPr>
          <w:rStyle w:val="FootnoteAnchor"/>
          <w:rtl w:val="true"/>
        </w:rPr>
        <w:footnoteReference w:id="277"/>
      </w:r>
      <w:r>
        <w:rPr>
          <w:rFonts w:ascii="IRNazanin" w:hAnsi="IRNazanin" w:eastAsia="IRNazanin"/>
          <w:color w:val="111111"/>
          <w:sz w:val="28"/>
          <w:sz w:val="28"/>
          <w:szCs w:val="28"/>
          <w:rtl w:val="true"/>
          <w:lang w:bidi="fa-IR"/>
        </w:rPr>
        <w:t xml:space="preserve">، معمولاً چينش روايات هر باب را به‌ترتيبى مى‌آورد كه نخست احاديث صحيح </w:t>
      </w:r>
      <w:r>
        <w:rPr>
          <w:rStyle w:val="FootnoteAnchor"/>
          <w:rtl w:val="true"/>
        </w:rPr>
        <w:footnoteReference w:id="278"/>
      </w:r>
      <w:r>
        <w:rPr>
          <w:rFonts w:ascii="IRNazanin" w:hAnsi="IRNazanin" w:eastAsia="IRNazanin"/>
          <w:color w:val="111111"/>
          <w:sz w:val="28"/>
          <w:sz w:val="28"/>
          <w:szCs w:val="28"/>
          <w:rtl w:val="true"/>
          <w:lang w:bidi="fa-IR"/>
        </w:rPr>
        <w:t xml:space="preserve">و واضح و در آخر باب، رواياتى كه خالى از اشكال نيست، قرار مى‌گيرد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3766913_3650668749"/>
      <w:bookmarkStart w:id="109" w:name="_Toc35"/>
      <w:bookmarkEnd w:id="108"/>
      <w:r>
        <w:rPr>
          <w:rtl w:val="true"/>
        </w:rPr>
        <w:t>ط</w:t>
      </w:r>
      <w:r>
        <w:rPr>
          <w:rtl w:val="true"/>
        </w:rPr>
        <w:t xml:space="preserve">) </w:t>
      </w:r>
      <w:r>
        <w:rPr>
          <w:rtl w:val="true"/>
        </w:rPr>
        <w:t>تطبيق روايات با عنوان باب</w:t>
      </w:r>
      <w:bookmarkEnd w:id="109"/>
    </w:p>
    <w:p>
      <w:pPr>
        <w:pStyle w:val="BookText"/>
        <w:rPr/>
      </w:pPr>
      <w:r>
        <w:rPr>
          <w:rFonts w:ascii="IRNazanin" w:hAnsi="IRNazanin" w:eastAsia="IRNazanin"/>
          <w:color w:val="111111"/>
          <w:sz w:val="28"/>
          <w:sz w:val="28"/>
          <w:szCs w:val="28"/>
          <w:rtl w:val="true"/>
          <w:lang w:bidi="fa-IR"/>
        </w:rPr>
        <w:t xml:space="preserve">كلينى، رواياتى را كه زير عنوان باب منتخب خود مى‌آورد، معمولاً با عنوان باب تطبيق مى‌دهد و مى‌شود گفت عنوان باب حاكى از فتواى وى در آن خصوص باشد </w:t>
      </w:r>
      <w:r>
        <w:rPr>
          <w:rStyle w:val="FootnoteAnchor"/>
          <w:rtl w:val="true"/>
        </w:rPr>
        <w:footnoteReference w:id="280"/>
      </w:r>
      <w:r>
        <w:rPr>
          <w:rFonts w:ascii="Amiri" w:hAnsi="Amiri" w:eastAsia="Amiri" w:cs="Amiri"/>
          <w:color w:val="111111"/>
          <w:sz w:val="28"/>
          <w:sz w:val="28"/>
          <w:szCs w:val="28"/>
          <w:rtl w:val="true"/>
          <w:lang w:bidi="ar-SA"/>
        </w:rPr>
        <w:t xml:space="preserve">زيرا كلينى تنها محدث نبود بلكه از فقهاى مشهور عصر خود نيز بود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آوردن نصّ احاديث</w:t>
      </w:r>
    </w:p>
    <w:p>
      <w:pPr>
        <w:pStyle w:val="BookText"/>
        <w:rPr/>
      </w:pPr>
      <w:r>
        <w:rPr>
          <w:rFonts w:ascii="IRNazanin" w:hAnsi="IRNazanin" w:eastAsia="IRNazanin"/>
          <w:color w:val="111111"/>
          <w:sz w:val="28"/>
          <w:sz w:val="28"/>
          <w:szCs w:val="28"/>
          <w:rtl w:val="true"/>
          <w:lang w:bidi="fa-IR"/>
        </w:rPr>
        <w:t xml:space="preserve">امتياز ديگر اين‌كتاب آوردن نصّ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دخل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وچنانچه مؤلف بخواهد از خود توضيحى ارائه دهد به‌شكل خاصى كه كاملاً از متن روايت قابل تشخيص باشد، عمل مى‌كند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3766915_3650668749"/>
      <w:bookmarkStart w:id="111" w:name="_Toc36"/>
      <w:bookmarkEnd w:id="110"/>
      <w:r>
        <w:rPr>
          <w:rtl w:val="true"/>
        </w:rPr>
        <w:t>ك</w:t>
      </w:r>
      <w:r>
        <w:rPr>
          <w:rtl w:val="true"/>
        </w:rPr>
        <w:t xml:space="preserve">) </w:t>
      </w:r>
      <w:r>
        <w:rPr>
          <w:rtl w:val="true"/>
        </w:rPr>
        <w:t>اجابت نياز واحساس وظيفه</w:t>
      </w:r>
      <w:bookmarkEnd w:id="11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از مقدمه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پس از تدوين نگاشته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اين كتاب در پاسخ يك‌سؤال و آرمان اساسى يكى از علاقه‌مندان به‌دين و مذهب، كه </w:t>
      </w:r>
      <w:bookmarkStart w:id="112" w:name="pg1976_27709"/>
    </w:p>
    <w:p>
      <w:pPr>
        <w:pStyle w:val="BookText"/>
        <w:rPr/>
      </w:pPr>
      <w:bookmarkEnd w:id="112"/>
      <w:r>
        <w:rPr>
          <w:rFonts w:ascii="Amiri" w:hAnsi="Amiri" w:eastAsia="Amiri" w:cs="Amiri"/>
          <w:color w:val="111111"/>
          <w:sz w:val="28"/>
          <w:sz w:val="28"/>
          <w:szCs w:val="28"/>
          <w:rtl w:val="true"/>
          <w:lang w:bidi="ar-SA"/>
        </w:rPr>
        <w:t xml:space="preserve">مؤلف از وى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مى‌برد، تدوين و عرضه شده است؛ كلينى در جواب سؤال او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تَدَين بدون معرفت ممكن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هدف از آفرينش و امتياز انسان از حيوان را عِلم مى‌داند، و در اجابت اين آرمان او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تحبُّ أن يَكُون عِندك كتابُ كافٍ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فنون علم الدّين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كتاب ارزشمند كافى را، تقديم مى‌كند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3766917_3650668749"/>
      <w:bookmarkStart w:id="114" w:name="_Toc37"/>
      <w:bookmarkEnd w:id="113"/>
      <w:r>
        <w:rPr>
          <w:rtl w:val="true"/>
        </w:rPr>
        <w:t>ل</w:t>
      </w:r>
      <w:r>
        <w:rPr>
          <w:rtl w:val="true"/>
        </w:rPr>
        <w:t xml:space="preserve">) </w:t>
      </w:r>
      <w:r>
        <w:rPr>
          <w:rtl w:val="true"/>
        </w:rPr>
        <w:t>فزونى احاديث كافى بر كلّ صحاح</w:t>
      </w:r>
      <w:bookmarkEnd w:id="11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كافى با حدود </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 بدون تكرار </w:t>
      </w:r>
      <w:r>
        <w:rPr>
          <w:rFonts w:eastAsia="Amiri" w:cs="Amiri" w:ascii="Amiri" w:hAnsi="Amiri"/>
          <w:color w:val="111111"/>
          <w:sz w:val="28"/>
          <w:szCs w:val="28"/>
          <w:lang w:bidi="ar-SA"/>
        </w:rPr>
        <w:t>15413</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حديث، از نظر تعداد حديث از جهت متن و طريق، بركل صحاح ششگانۀ اهل‌سنت فزونى دارد </w:t>
      </w:r>
      <w:r>
        <w:rPr>
          <w:rStyle w:val="FootnoteAnchor"/>
          <w:rtl w:val="true"/>
        </w:rPr>
        <w:footnoteReference w:id="286"/>
      </w:r>
      <w:r>
        <w:rPr>
          <w:rFonts w:ascii="Amiri" w:hAnsi="Amiri" w:eastAsia="Amiri" w:cs="Amiri"/>
          <w:color w:val="111111"/>
          <w:sz w:val="28"/>
          <w:sz w:val="28"/>
          <w:szCs w:val="28"/>
          <w:rtl w:val="true"/>
          <w:lang w:bidi="ar-SA"/>
        </w:rPr>
        <w:t xml:space="preserve">زيرا مجموع صحيح بخارى </w:t>
      </w:r>
      <w:r>
        <w:rPr>
          <w:rFonts w:eastAsia="Amiri" w:cs="Amiri" w:ascii="Amiri" w:hAnsi="Amiri"/>
          <w:color w:val="111111"/>
          <w:sz w:val="28"/>
          <w:szCs w:val="28"/>
          <w:lang w:bidi="ar-SA"/>
        </w:rPr>
        <w:t>7275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287"/>
      </w:r>
      <w:r>
        <w:rPr>
          <w:rFonts w:ascii="Amiri" w:hAnsi="Amiri" w:eastAsia="Amiri" w:cs="Amiri"/>
          <w:color w:val="111111"/>
          <w:sz w:val="28"/>
          <w:sz w:val="28"/>
          <w:szCs w:val="28"/>
          <w:rtl w:val="true"/>
          <w:lang w:bidi="ar-SA"/>
        </w:rPr>
        <w:t xml:space="preserve">، و بنا به‌قولى كه ادعاى دقّت در آن شده، </w:t>
      </w:r>
      <w:r>
        <w:rPr>
          <w:rFonts w:eastAsia="Amiri" w:cs="Amiri" w:ascii="Amiri" w:hAnsi="Amiri"/>
          <w:color w:val="111111"/>
          <w:sz w:val="28"/>
          <w:szCs w:val="28"/>
          <w:lang w:bidi="ar-SA"/>
        </w:rPr>
        <w:t>7397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288"/>
      </w:r>
      <w:r>
        <w:rPr>
          <w:rFonts w:ascii="Amiri" w:hAnsi="Amiri" w:eastAsia="Amiri" w:cs="Amiri"/>
          <w:color w:val="111111"/>
          <w:sz w:val="28"/>
          <w:sz w:val="28"/>
          <w:szCs w:val="28"/>
          <w:rtl w:val="true"/>
          <w:lang w:bidi="ar-SA"/>
        </w:rPr>
        <w:t xml:space="preserve">، است كه با حذف احاديث مكرر، تعداد احاديث اين كتاب به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متصل مى‌رسد كه با ضميمه احاديث منقطع به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289"/>
      </w:r>
      <w:r>
        <w:rPr>
          <w:rFonts w:ascii="IRNazanin" w:hAnsi="IRNazanin" w:eastAsia="IRNazanin"/>
          <w:color w:val="111111"/>
          <w:sz w:val="28"/>
          <w:sz w:val="28"/>
          <w:szCs w:val="28"/>
          <w:rtl w:val="true"/>
          <w:lang w:bidi="fa-IR"/>
        </w:rPr>
        <w:t>افزايش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بدون مكرر حدود</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Style w:val="FootnoteAnchor"/>
          <w:rtl w:val="true"/>
        </w:rPr>
        <w:footnoteReference w:id="290"/>
      </w:r>
      <w:r>
        <w:rPr>
          <w:rFonts w:ascii="Amiri" w:hAnsi="Amiri" w:eastAsia="Amiri" w:cs="Amiri"/>
          <w:color w:val="111111"/>
          <w:sz w:val="28"/>
          <w:sz w:val="28"/>
          <w:szCs w:val="28"/>
          <w:rtl w:val="true"/>
          <w:lang w:bidi="ar-SA"/>
        </w:rPr>
        <w:t>، و سنن ابن ماجه با احاديث تكرارى</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 </w:t>
      </w:r>
      <w:bookmarkStart w:id="115" w:name="pg1976_27711"/>
    </w:p>
    <w:p>
      <w:pPr>
        <w:pStyle w:val="BookText"/>
        <w:rPr/>
      </w:pPr>
      <w:bookmarkEnd w:id="115"/>
      <w:r>
        <w:rPr>
          <w:rFonts w:ascii="Amiri" w:hAnsi="Amiri" w:eastAsia="Amiri" w:cs="Amiri"/>
          <w:color w:val="111111"/>
          <w:sz w:val="28"/>
          <w:sz w:val="28"/>
          <w:szCs w:val="28"/>
          <w:rtl w:val="true"/>
          <w:lang w:bidi="ar-SA"/>
        </w:rPr>
        <w:t xml:space="preserve">حديث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ابى‌داود با تكرار</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حديث </w:t>
      </w:r>
      <w:r>
        <w:rPr>
          <w:rStyle w:val="FootnoteAnchor"/>
          <w:rtl w:val="true"/>
        </w:rPr>
        <w:footnoteReference w:id="292"/>
      </w:r>
      <w:r>
        <w:rPr>
          <w:rFonts w:ascii="IRNazanin" w:hAnsi="IRNazanin" w:eastAsia="IRNazanin"/>
          <w:color w:val="111111"/>
          <w:sz w:val="28"/>
          <w:sz w:val="28"/>
          <w:szCs w:val="28"/>
          <w:rtl w:val="true"/>
          <w:lang w:bidi="fa-IR"/>
        </w:rPr>
        <w:t xml:space="preserve">، سنن‌نسائى و ابن ماجه به‌اندازۀ مسلم نمى‌رسد </w:t>
      </w:r>
      <w:r>
        <w:rPr>
          <w:rStyle w:val="FootnoteAnchor"/>
          <w:rtl w:val="true"/>
        </w:rPr>
        <w:footnoteReference w:id="293"/>
      </w:r>
      <w:r>
        <w:rPr>
          <w:rFonts w:ascii="IRNazanin" w:hAnsi="IRNazanin" w:eastAsia="IRNazanin"/>
          <w:color w:val="111111"/>
          <w:sz w:val="28"/>
          <w:sz w:val="28"/>
          <w:szCs w:val="28"/>
          <w:rtl w:val="true"/>
          <w:lang w:bidi="fa-IR"/>
        </w:rPr>
        <w:t xml:space="preserve">، و مى‌شود گفت روايات همۀ كتاب‌هاى حديثى جز دو صحيح بخارى و مسلم به حدود </w:t>
      </w:r>
      <w:r>
        <w:rPr>
          <w:rFonts w:eastAsia="IRNazanin" w:cs="IRNazanin"/>
          <w:color w:val="111111"/>
          <w:sz w:val="28"/>
          <w:szCs w:val="28"/>
          <w:lang w:bidi="fa-IR"/>
        </w:rPr>
        <w:t>9</w:t>
      </w:r>
      <w:r>
        <w:rPr>
          <w:rFonts w:ascii="IRNazanin" w:hAnsi="IRNazanin" w:eastAsia="IRNazanin"/>
          <w:color w:val="111111"/>
          <w:sz w:val="28"/>
          <w:sz w:val="28"/>
          <w:szCs w:val="28"/>
          <w:lang w:bidi="fa-IR"/>
        </w:rPr>
        <w:t>٠٠٠</w:t>
      </w:r>
      <w:r>
        <w:rPr>
          <w:rFonts w:ascii="IRNazanin" w:hAnsi="IRNazanin" w:eastAsia="IRNazanin"/>
          <w:color w:val="111111"/>
          <w:sz w:val="28"/>
          <w:sz w:val="28"/>
          <w:szCs w:val="28"/>
          <w:rtl w:val="true"/>
          <w:lang w:bidi="fa-IR"/>
        </w:rPr>
        <w:t xml:space="preserve"> حديث مى‌رسد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بنابراين، مجموع كتاب‌هاى معروف اهل‌سنت از حدود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تجاوز نمى‌كند؛ و اگر روايات اهل‌سنت در ظاهر زياد جلوه مى‌كند </w:t>
      </w:r>
      <w:r>
        <w:rPr>
          <w:rStyle w:val="FootnoteAnchor"/>
          <w:rtl w:val="true"/>
        </w:rPr>
        <w:footnoteReference w:id="295"/>
      </w:r>
      <w:r>
        <w:rPr>
          <w:rFonts w:ascii="IRNazanin" w:hAnsi="IRNazanin" w:eastAsia="IRNazanin"/>
          <w:color w:val="111111"/>
          <w:sz w:val="28"/>
          <w:sz w:val="28"/>
          <w:szCs w:val="28"/>
          <w:rtl w:val="true"/>
          <w:lang w:bidi="fa-IR"/>
        </w:rPr>
        <w:t>، به‌خاطر كثرت طرق است نه‌متن، چنان‌كه از ابن‌جوزى ابوالفرج نقل شده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المرادَ بهذا العدد الطُرق لا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مُتون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3766919_3650668749"/>
      <w:bookmarkStart w:id="117" w:name="_Toc38"/>
      <w:bookmarkEnd w:id="116"/>
      <w:r>
        <w:rPr/>
        <w:t>٢</w:t>
      </w:r>
      <w:r>
        <w:rPr>
          <w:rtl w:val="true"/>
        </w:rPr>
        <w:t xml:space="preserve">. </w:t>
      </w:r>
      <w:r>
        <w:rPr>
          <w:rtl w:val="true"/>
        </w:rPr>
        <w:t>كافى مورد تأييد دانشمندان</w:t>
      </w:r>
      <w:bookmarkEnd w:id="117"/>
    </w:p>
    <w:p>
      <w:pPr>
        <w:pStyle w:val="BookText"/>
        <w:rPr/>
      </w:pPr>
      <w:r>
        <w:rPr>
          <w:rFonts w:ascii="Amiri" w:hAnsi="Amiri" w:eastAsia="Amiri" w:cs="Amiri"/>
          <w:color w:val="111111"/>
          <w:sz w:val="28"/>
          <w:sz w:val="28"/>
          <w:szCs w:val="28"/>
          <w:rtl w:val="true"/>
          <w:lang w:bidi="ar-SA"/>
        </w:rPr>
        <w:t>كتاب كافى از نادر كتاب‌هايى است كه تأييد بسيارى از فقها و عالمان دين را به‌همراه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أجلّ كُتُب الشّيعة وأكثرها فائدة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كلينى موثّق‌ترين مردم و دقيق‌ترين آنها در نقل و ضبط حديث است، وى كتاب بزرگى كه معروف به‌كافى است را در طول بيست‌سال نوشت</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كلينى، ثقه، عارف به‌اخبار و داراى كتابى است به نام كافى كه </w:t>
      </w:r>
    </w:p>
    <w:p>
      <w:pPr>
        <w:pStyle w:val="BookText"/>
        <w:rPr/>
      </w:pPr>
      <w:r>
        <w:rPr>
          <w:rFonts w:ascii="Amiri" w:hAnsi="Amiri" w:eastAsia="Amiri" w:cs="Amiri"/>
          <w:color w:val="111111"/>
          <w:sz w:val="28"/>
          <w:sz w:val="28"/>
          <w:szCs w:val="28"/>
          <w:rtl w:val="true"/>
          <w:lang w:bidi="ar-SA"/>
        </w:rPr>
        <w:t>مشتمل بر سى كتاب است</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تعبير را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ابراز مى‌دارد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مشهورترين كتاب كلينى، كافى، يكى از اصول و استوانه‌هاى حديثى و مورد اعتماد طايفه شيعه است كه در طول</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سال به‌سرانجام رسيد</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 منضبطترين اصول، و جامع‌ترين، و نيكوترين تأليفات گروه نجات يافته و عظيم‌ترين آن است</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بحرانى </w:t>
      </w:r>
      <w:r>
        <w:rPr>
          <w:rStyle w:val="FootnoteAnchor"/>
          <w:rtl w:val="true"/>
        </w:rPr>
        <w:footnoteReference w:id="303"/>
      </w:r>
      <w:r>
        <w:rPr>
          <w:rFonts w:ascii="IRNazanin" w:hAnsi="IRNazanin" w:eastAsia="IRNazanin"/>
          <w:color w:val="111111"/>
          <w:sz w:val="28"/>
          <w:sz w:val="28"/>
          <w:szCs w:val="28"/>
          <w:rtl w:val="true"/>
          <w:lang w:bidi="fa-IR"/>
        </w:rPr>
        <w:t xml:space="preserve">، مازندرانى </w:t>
      </w:r>
      <w:r>
        <w:rPr>
          <w:rStyle w:val="FootnoteAnchor"/>
          <w:rtl w:val="true"/>
        </w:rPr>
        <w:footnoteReference w:id="304"/>
      </w:r>
      <w:r>
        <w:rPr>
          <w:rFonts w:ascii="Amiri" w:hAnsi="Amiri" w:eastAsia="Amiri" w:cs="Amiri"/>
          <w:color w:val="111111"/>
          <w:sz w:val="28"/>
          <w:sz w:val="28"/>
          <w:szCs w:val="28"/>
          <w:rtl w:val="true"/>
          <w:lang w:bidi="ar-SA"/>
        </w:rPr>
        <w:t xml:space="preserve">، ميرداماد </w:t>
      </w:r>
      <w:r>
        <w:rPr>
          <w:rStyle w:val="FootnoteAnchor"/>
          <w:rtl w:val="true"/>
        </w:rPr>
        <w:footnoteReference w:id="305"/>
      </w:r>
      <w:r>
        <w:rPr>
          <w:rFonts w:ascii="IRNazanin" w:hAnsi="IRNazanin" w:eastAsia="IRNazanin"/>
          <w:color w:val="111111"/>
          <w:sz w:val="28"/>
          <w:sz w:val="28"/>
          <w:szCs w:val="28"/>
          <w:rtl w:val="true"/>
          <w:lang w:bidi="fa-IR"/>
        </w:rPr>
        <w:t xml:space="preserve">، نمازى </w:t>
      </w:r>
      <w:r>
        <w:rPr>
          <w:rStyle w:val="FootnoteAnchor"/>
          <w:rtl w:val="true"/>
        </w:rPr>
        <w:footnoteReference w:id="306"/>
      </w:r>
      <w:r>
        <w:rPr>
          <w:rFonts w:ascii="IRNazanin" w:hAnsi="IRNazanin" w:eastAsia="IRNazanin"/>
          <w:color w:val="111111"/>
          <w:sz w:val="28"/>
          <w:sz w:val="28"/>
          <w:szCs w:val="28"/>
          <w:rtl w:val="true"/>
          <w:lang w:bidi="fa-IR"/>
        </w:rPr>
        <w:t xml:space="preserve">، قمى </w:t>
      </w:r>
      <w:r>
        <w:rPr>
          <w:rStyle w:val="FootnoteAnchor"/>
          <w:rtl w:val="true"/>
        </w:rPr>
        <w:footnoteReference w:id="307"/>
      </w:r>
      <w:r>
        <w:rPr>
          <w:rFonts w:ascii="IRNazanin" w:hAnsi="IRNazanin" w:eastAsia="IRNazanin"/>
          <w:color w:val="111111"/>
          <w:sz w:val="28"/>
          <w:sz w:val="28"/>
          <w:szCs w:val="28"/>
          <w:rtl w:val="true"/>
          <w:lang w:bidi="fa-IR"/>
        </w:rPr>
        <w:t xml:space="preserve">، حاجى نورى </w:t>
      </w:r>
      <w:r>
        <w:rPr>
          <w:rStyle w:val="FootnoteAnchor"/>
          <w:rtl w:val="true"/>
        </w:rPr>
        <w:footnoteReference w:id="308"/>
      </w:r>
      <w:r>
        <w:rPr>
          <w:rFonts w:ascii="Amiri" w:hAnsi="Amiri" w:eastAsia="Amiri" w:cs="Amiri"/>
          <w:color w:val="111111"/>
          <w:sz w:val="28"/>
          <w:sz w:val="28"/>
          <w:szCs w:val="28"/>
          <w:rtl w:val="true"/>
          <w:lang w:bidi="ar-SA"/>
        </w:rPr>
        <w:t xml:space="preserve">، از عالمان اهل سنت زركلى رجال‌شناس </w:t>
      </w:r>
      <w:r>
        <w:rPr>
          <w:rStyle w:val="FootnoteAnchor"/>
          <w:rtl w:val="true"/>
        </w:rPr>
        <w:footnoteReference w:id="309"/>
      </w:r>
      <w:r>
        <w:rPr>
          <w:rFonts w:ascii="Amiri" w:hAnsi="Amiri" w:eastAsia="Amiri" w:cs="Amiri"/>
          <w:color w:val="111111"/>
          <w:sz w:val="28"/>
          <w:sz w:val="28"/>
          <w:szCs w:val="28"/>
          <w:rtl w:val="true"/>
          <w:lang w:bidi="ar-SA"/>
        </w:rPr>
        <w:t xml:space="preserve">، عمر كحاله </w:t>
      </w:r>
      <w:r>
        <w:rPr>
          <w:rStyle w:val="FootnoteAnchor"/>
          <w:rtl w:val="true"/>
        </w:rPr>
        <w:footnoteReference w:id="310"/>
      </w:r>
      <w:r>
        <w:rPr>
          <w:rFonts w:ascii="Amiri" w:hAnsi="Amiri" w:eastAsia="Amiri" w:cs="Amiri"/>
          <w:color w:val="111111"/>
          <w:sz w:val="28"/>
          <w:sz w:val="28"/>
          <w:szCs w:val="28"/>
          <w:rtl w:val="true"/>
          <w:lang w:bidi="ar-SA"/>
        </w:rPr>
        <w:t xml:space="preserve">و احمد امين </w:t>
      </w:r>
      <w:r>
        <w:rPr>
          <w:rStyle w:val="FootnoteAnchor"/>
          <w:rtl w:val="true"/>
        </w:rPr>
        <w:footnoteReference w:id="311"/>
      </w:r>
      <w:r>
        <w:rPr>
          <w:rFonts w:ascii="Amiri" w:hAnsi="Amiri" w:eastAsia="Amiri" w:cs="Amiri"/>
          <w:color w:val="111111"/>
          <w:sz w:val="28"/>
          <w:sz w:val="28"/>
          <w:szCs w:val="28"/>
          <w:rtl w:val="true"/>
          <w:lang w:bidi="ar-SA"/>
        </w:rPr>
        <w:t>از آن ياد و تأييد نموده‌اند</w:t>
      </w:r>
      <w:r>
        <w:rPr>
          <w:rFonts w:eastAsia="Amiri" w:cs="Amiri" w:ascii="Amiri" w:hAnsi="Amiri"/>
          <w:color w:val="111111"/>
          <w:sz w:val="28"/>
          <w:szCs w:val="28"/>
          <w:rtl w:val="true"/>
          <w:lang w:bidi="ar-SA"/>
        </w:rPr>
        <w:t xml:space="preserve">. </w:t>
      </w:r>
      <w:bookmarkStart w:id="118" w:name="pg1976_27715"/>
    </w:p>
    <w:p>
      <w:pPr>
        <w:pStyle w:val="Heading4"/>
        <w:numPr>
          <w:ilvl w:val="3"/>
          <w:numId w:val="1"/>
        </w:numPr>
        <w:rPr/>
      </w:pPr>
      <w:bookmarkStart w:id="119" w:name="__RefHeading___Toc3766921_3650668749"/>
      <w:bookmarkStart w:id="120" w:name="_Toc39"/>
      <w:bookmarkEnd w:id="118"/>
      <w:bookmarkEnd w:id="119"/>
      <w:r>
        <w:rPr/>
        <w:t>٣</w:t>
      </w:r>
      <w:r>
        <w:rPr>
          <w:rtl w:val="true"/>
        </w:rPr>
        <w:t xml:space="preserve">. </w:t>
      </w:r>
      <w:r>
        <w:rPr>
          <w:rtl w:val="true"/>
        </w:rPr>
        <w:t>صحت و سقم روايات كافى</w:t>
      </w:r>
      <w:bookmarkEnd w:id="12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اينكه همۀ روايات كافى صحيح است يا نه؟ سه ديدگاه كلى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تالى‌تلوِ قرآن از آنِ اخبارى‌ها</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 تفريطى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وهابى‌ها و برخى ازنويسندگان معاصر</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 و واقع‌گرايانه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اكثر فرهيختگان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اين كتاب وجود دارد؛ ولى با توجه به‌اينكه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كلينى و هم‌عصرانش و علماى متأخر اماميه، داراى مفهوم متفاوت است؛ صحيح نزد مؤلف كافى و قدماى اماميه،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حديثى كه مورد اعتماد باشد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وثوق، به‌اندازه‌اى كه اطمينان پيدا شود كه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اعتماد، يا راوى است كه از رجال عدل امامى باشد كه در اين صورت قطع به‌صحت آن پيدا مى‌شود، و در غير اين صورت، قرائنى دلالت كند مبنى بر اينكه راوى دروغگو نيست </w:t>
      </w:r>
      <w:r>
        <w:rPr>
          <w:rStyle w:val="FootnoteAnchor"/>
          <w:rtl w:val="true"/>
        </w:rPr>
        <w:footnoteReference w:id="316"/>
      </w:r>
      <w:r>
        <w:rPr>
          <w:rFonts w:ascii="IRNazanin" w:hAnsi="IRNazanin" w:eastAsia="IRNazanin"/>
          <w:color w:val="111111"/>
          <w:sz w:val="28"/>
          <w:sz w:val="28"/>
          <w:szCs w:val="28"/>
          <w:rtl w:val="true"/>
          <w:lang w:bidi="fa-IR"/>
        </w:rPr>
        <w:t xml:space="preserve">بر پايۀ همين ملاك، كلينى نه‌تنها از راويان سنى </w:t>
      </w:r>
      <w:r>
        <w:rPr>
          <w:rStyle w:val="FootnoteAnchor"/>
          <w:rtl w:val="true"/>
        </w:rPr>
        <w:footnoteReference w:id="31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از افراد منحرف از مذهب نيز كه مورد اعتمادش بوده، چون أبان‌بن عثمان ناووسى </w:t>
      </w:r>
      <w:r>
        <w:rPr>
          <w:rStyle w:val="FootnoteAnchor"/>
          <w:rtl w:val="true"/>
        </w:rPr>
        <w:footnoteReference w:id="318"/>
      </w:r>
      <w:r>
        <w:rPr>
          <w:rFonts w:ascii="IRNazanin" w:hAnsi="IRNazanin" w:eastAsia="IRNazanin"/>
          <w:color w:val="111111"/>
          <w:sz w:val="28"/>
          <w:sz w:val="28"/>
          <w:szCs w:val="28"/>
          <w:rtl w:val="true"/>
          <w:lang w:bidi="fa-IR"/>
        </w:rPr>
        <w:t xml:space="preserve">و ابن‌فضّال فطحى </w:t>
      </w:r>
      <w:r>
        <w:rPr>
          <w:rStyle w:val="FootnoteAnchor"/>
          <w:rtl w:val="true"/>
        </w:rPr>
        <w:footnoteReference w:id="319"/>
      </w:r>
      <w:r>
        <w:rPr>
          <w:rFonts w:ascii="IRNazanin" w:hAnsi="IRNazanin" w:eastAsia="IRNazanin"/>
          <w:color w:val="111111"/>
          <w:sz w:val="28"/>
          <w:sz w:val="28"/>
          <w:szCs w:val="28"/>
          <w:rtl w:val="true"/>
          <w:lang w:bidi="fa-IR"/>
        </w:rPr>
        <w:t xml:space="preserve">، حديث گرفته است؛ زيرا وى چون نقل روايت از امامى را از ضروريات مذهب قلمداد نمى‌كرده، حديث از غير امامى را مانع نمى‌دانسته است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حديث صحيح، نزد متأخران اماميه، ابتدا عبارت بود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إتصلت روايته الى المعصوم بِعَدل امامي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 ولى بعدها قيدهايى برآن افزوده شد </w:t>
      </w:r>
      <w:r>
        <w:rPr>
          <w:rStyle w:val="FootnoteAnchor"/>
          <w:rtl w:val="true"/>
        </w:rPr>
        <w:footnoteReference w:id="322"/>
      </w:r>
      <w:r>
        <w:rPr>
          <w:rFonts w:ascii="Amiri" w:hAnsi="Amiri" w:eastAsia="Amiri" w:cs="Amiri"/>
          <w:color w:val="111111"/>
          <w:sz w:val="28"/>
          <w:sz w:val="28"/>
          <w:szCs w:val="28"/>
          <w:rtl w:val="true"/>
          <w:lang w:bidi="ar-SA"/>
        </w:rPr>
        <w:t>، و در نتيجه حديث صحيح عبارت شد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حديثى كه همه طبقات سندش، توسط راوى عدل امامى به‌معصوم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سرانجام، بنا بر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كلينى و قدما، همۀ روايات كافى، صحيح است </w:t>
      </w:r>
      <w:r>
        <w:rPr>
          <w:rStyle w:val="FootnoteAnchor"/>
          <w:rtl w:val="true"/>
        </w:rPr>
        <w:footnoteReference w:id="324"/>
      </w:r>
      <w:r>
        <w:rPr>
          <w:rFonts w:ascii="IRNazanin" w:hAnsi="IRNazanin" w:eastAsia="IRNazanin"/>
          <w:color w:val="111111"/>
          <w:sz w:val="28"/>
          <w:sz w:val="28"/>
          <w:szCs w:val="28"/>
          <w:rtl w:val="true"/>
          <w:lang w:bidi="fa-IR"/>
        </w:rPr>
        <w:t>، زيرا او در مقدمه كافى مى‌گويد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وَيَأخذ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يُرِيد علم الدّين والعمل به‌بالآثار الصّحيحة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والسّنن القائمة الّتي عليها العمل</w:t>
      </w:r>
      <w:r>
        <w:rPr>
          <w:rFonts w:eastAsia="IRNazanin" w:cs="IRNazanin"/>
          <w:color w:val="111111"/>
          <w:sz w:val="28"/>
          <w:szCs w:val="28"/>
          <w:rtl w:val="true"/>
          <w:lang w:bidi="fa-IR"/>
        </w:rPr>
        <w:t xml:space="preserve">. . .» </w:t>
      </w:r>
      <w:r>
        <w:rPr>
          <w:rStyle w:val="FootnoteAnchor"/>
          <w:rtl w:val="true"/>
        </w:rPr>
        <w:footnoteReference w:id="325"/>
      </w:r>
      <w:r>
        <w:rPr>
          <w:rFonts w:ascii="Amiri" w:hAnsi="Amiri" w:eastAsia="Amiri" w:cs="Amiri"/>
          <w:color w:val="111111"/>
          <w:sz w:val="28"/>
          <w:sz w:val="28"/>
          <w:szCs w:val="28"/>
          <w:rtl w:val="true"/>
          <w:lang w:bidi="ar-SA"/>
        </w:rPr>
        <w:t xml:space="preserve">، اما در عين‌حال، كلينى خودش را خالى از اشتباه ندانسته معيار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اِعرضُوها عَلَى كتاب‌الله فَمَا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وافَقَ كتابَ‌اللهِ عزّوجلّ فخُذُوه، وَماخَالَفَ كتابَ‌الله فَرُدّوه </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را كه ازگزاره‌هاى مهم و راهگشاى مذهب، و در ميان فرهيختگان اماميه امر مسلم و ترديدناپذير است، متذكر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نگاه متأخران اماميه، بى‌ترديد همه احاديث كافى صحيح نيست، بر همين پايه، برخى از پژوهشگران اماميه وقتى كافى را با اين معيار مورد كاوش قرار داده، </w:t>
      </w: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آن را </w:t>
      </w:r>
      <w:r>
        <w:rPr>
          <w:rStyle w:val="FootnoteAnchor"/>
          <w:rtl w:val="true"/>
        </w:rPr>
        <w:footnoteReference w:id="327"/>
      </w:r>
      <w:r>
        <w:rPr>
          <w:rFonts w:ascii="IRNazanin" w:hAnsi="IRNazanin" w:eastAsia="IRNazanin"/>
          <w:color w:val="111111"/>
          <w:sz w:val="28"/>
          <w:sz w:val="28"/>
          <w:szCs w:val="28"/>
          <w:rtl w:val="true"/>
          <w:lang w:bidi="fa-IR"/>
        </w:rPr>
        <w:t>، محقق ديگر</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مورد كافى را با اين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ديده‌اند، و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مورد موثق،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قوى، و </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كافى با معيار صحت متأخران برابرى نكرده است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121" w:name="pg1976_27721"/>
    </w:p>
    <w:p>
      <w:pPr>
        <w:pStyle w:val="Heading3"/>
        <w:numPr>
          <w:ilvl w:val="2"/>
          <w:numId w:val="1"/>
        </w:numPr>
        <w:rPr/>
      </w:pPr>
      <w:bookmarkStart w:id="122" w:name="__RefHeading___Toc3766923_3650668749"/>
      <w:bookmarkStart w:id="123" w:name="_Toc40"/>
      <w:bookmarkEnd w:id="121"/>
      <w:bookmarkEnd w:id="122"/>
      <w:r>
        <w:rPr>
          <w:rtl w:val="true"/>
        </w:rPr>
        <w:t>فصل چهارم</w:t>
      </w:r>
      <w:r>
        <w:rPr>
          <w:rtl w:val="true"/>
        </w:rPr>
        <w:t xml:space="preserve">: </w:t>
      </w:r>
      <w:r>
        <w:rPr>
          <w:rtl w:val="true"/>
        </w:rPr>
        <w:t>اهميت كافى در مقايسه با صحاح ششگانه</w:t>
      </w:r>
      <w:bookmarkEnd w:id="123"/>
    </w:p>
    <w:p>
      <w:pPr>
        <w:pStyle w:val="Heading4"/>
        <w:numPr>
          <w:ilvl w:val="3"/>
          <w:numId w:val="1"/>
        </w:numPr>
        <w:rPr/>
      </w:pPr>
      <w:bookmarkStart w:id="124" w:name="__RefHeading___Toc3766925_3650668749"/>
      <w:bookmarkStart w:id="125" w:name="_Toc41"/>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با توجّه به‌ويژگى‌هايى كه براى كافى شمارش شد، شيعه اماميه به‌اين كتاب اهميت فراوان مى‌دهند، به‌گونه‌اى كه نسخه‌هاى خطى آن در كتابخانه‌هاى ايران، عراق، افغانستان، لبنان، سوريه، هند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به‌حدود </w:t>
      </w:r>
      <w:r>
        <w:rPr>
          <w:rFonts w:eastAsia="IRNazanin" w:cs="IRNazanin"/>
          <w:color w:val="111111"/>
          <w:sz w:val="28"/>
          <w:szCs w:val="28"/>
          <w:lang w:bidi="fa-IR"/>
        </w:rPr>
        <w:t>16</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نسخه مى‌رسد؛ بيش از</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شرح،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حاشيه و بيش از</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 در بخش‌هاى مختلف آن، افزون بر</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چاپ، و ده‌ها كتاب در مورد فهرست، معجم و ترجمه به‌زبان غير عربى، در مورد كافى موجود است </w:t>
      </w:r>
      <w:r>
        <w:rPr>
          <w:rStyle w:val="FootnoteAnchor"/>
          <w:rtl w:val="true"/>
        </w:rPr>
        <w:footnoteReference w:id="330"/>
      </w:r>
      <w:r>
        <w:rPr>
          <w:rFonts w:ascii="IRNazanin" w:hAnsi="IRNazanin" w:eastAsia="IRNazanin"/>
          <w:color w:val="111111"/>
          <w:sz w:val="28"/>
          <w:sz w:val="28"/>
          <w:szCs w:val="28"/>
          <w:rtl w:val="true"/>
          <w:lang w:bidi="fa-IR"/>
        </w:rPr>
        <w:t>هرچند كه سطح پژوهش، شرح، ترجمه، و انتشار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در مورد اين كتاب به‌هيچ وجه رضايت بخش نيست، ولى در مقايسه با منابع حديثى اهل‌سنت، عالمان شيعه نسبت به‌اين كتاب واقع‌بينانه رفتار نموده‌اند</w:t>
      </w:r>
      <w:r>
        <w:rPr>
          <w:rFonts w:eastAsia="IRNazanin" w:cs="IRNazanin"/>
          <w:color w:val="111111"/>
          <w:sz w:val="28"/>
          <w:szCs w:val="28"/>
          <w:rtl w:val="true"/>
          <w:lang w:bidi="fa-IR"/>
        </w:rPr>
        <w:t>:</w:t>
      </w:r>
    </w:p>
    <w:p>
      <w:pPr>
        <w:pStyle w:val="Heading4"/>
        <w:numPr>
          <w:ilvl w:val="3"/>
          <w:numId w:val="1"/>
        </w:numPr>
        <w:rPr/>
      </w:pPr>
      <w:bookmarkStart w:id="126" w:name="__RefHeading___Toc3766927_3650668749"/>
      <w:bookmarkStart w:id="127" w:name="_Toc42"/>
      <w:bookmarkEnd w:id="126"/>
      <w:r>
        <w:rPr/>
        <w:t>١</w:t>
      </w:r>
      <w:r>
        <w:rPr>
          <w:rtl w:val="true"/>
        </w:rPr>
        <w:t xml:space="preserve">. </w:t>
      </w:r>
      <w:r>
        <w:rPr>
          <w:rtl w:val="true"/>
        </w:rPr>
        <w:t>صحيح بخارى</w:t>
      </w:r>
      <w:bookmarkEnd w:id="127"/>
    </w:p>
    <w:p>
      <w:pPr>
        <w:pStyle w:val="Heading5"/>
        <w:numPr>
          <w:ilvl w:val="4"/>
          <w:numId w:val="1"/>
        </w:numPr>
        <w:rPr/>
      </w:pPr>
      <w:bookmarkStart w:id="128" w:name="__RefHeading___Toc3766929_3650668749"/>
      <w:bookmarkStart w:id="129" w:name="_Toc43"/>
      <w:bookmarkEnd w:id="128"/>
      <w:r>
        <w:rPr>
          <w:rtl w:val="true"/>
        </w:rPr>
        <w:t>الف</w:t>
      </w:r>
      <w:r>
        <w:rPr>
          <w:rtl w:val="true"/>
        </w:rPr>
        <w:t xml:space="preserve">) </w:t>
      </w:r>
      <w:r>
        <w:rPr>
          <w:rtl w:val="true"/>
        </w:rPr>
        <w:t>اغراق نسبت به بخارى</w:t>
      </w:r>
      <w:bookmarkEnd w:id="12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منابع روايى معروف اهل‌سنّت، به ويژه صحيح </w:t>
      </w:r>
      <w:r>
        <w:rPr>
          <w:rStyle w:val="FootnoteAnchor"/>
          <w:rtl w:val="true"/>
        </w:rPr>
        <w:footnoteReference w:id="331"/>
      </w:r>
      <w:r>
        <w:rPr>
          <w:rFonts w:ascii="IRNazanin" w:hAnsi="IRNazanin" w:eastAsia="IRNazanin"/>
          <w:color w:val="111111"/>
          <w:sz w:val="28"/>
          <w:sz w:val="28"/>
          <w:szCs w:val="28"/>
          <w:rtl w:val="true"/>
          <w:lang w:bidi="fa-IR"/>
        </w:rPr>
        <w:t xml:space="preserve">بخارى </w:t>
      </w:r>
      <w:r>
        <w:rPr>
          <w:rStyle w:val="FootnoteAnchor"/>
          <w:rtl w:val="true"/>
        </w:rPr>
        <w:footnoteReference w:id="332"/>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متصل و غير مكرر، در ضمن</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باب </w:t>
      </w:r>
      <w:r>
        <w:rPr>
          <w:rStyle w:val="FootnoteAnchor"/>
          <w:rtl w:val="true"/>
        </w:rPr>
        <w:footnoteReference w:id="333"/>
      </w:r>
      <w:r>
        <w:rPr>
          <w:rFonts w:ascii="IRNazanin" w:hAnsi="IRNazanin" w:eastAsia="IRNazanin"/>
          <w:color w:val="111111"/>
          <w:sz w:val="28"/>
          <w:sz w:val="28"/>
          <w:szCs w:val="28"/>
          <w:rtl w:val="true"/>
          <w:lang w:bidi="fa-IR"/>
        </w:rPr>
        <w:t>، و صحيح مسلم، تعابير اغراق آميزى 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كتابهما أصحُّ الكُتُبِ بَعدَ كتابِ‌الله</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أصَحُّ الكُتُبِ بَعدالقرآن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صحيح بخارى و مسلم را تلقّى به‌قبول نموده‌اند و امت معصوم از خطا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آن‌دو بى‌نظير در حديث است </w:t>
      </w:r>
      <w:r>
        <w:rPr>
          <w:rFonts w:eastAsia="Amiri" w:cs="Amiri" w:ascii="Amiri" w:hAnsi="Amiri"/>
          <w:color w:val="111111"/>
          <w:sz w:val="28"/>
          <w:szCs w:val="28"/>
          <w:rtl w:val="true"/>
          <w:lang w:bidi="ar-SA"/>
        </w:rPr>
        <w:t xml:space="preserve">. . . » </w:t>
      </w:r>
      <w:r>
        <w:rPr>
          <w:rStyle w:val="FootnoteAnchor"/>
          <w:rtl w:val="true"/>
        </w:rPr>
        <w:footnoteReference w:id="336"/>
      </w:r>
      <w:r>
        <w:rPr>
          <w:rFonts w:ascii="IRNazanin" w:hAnsi="IRNazanin" w:eastAsia="IRNazanin"/>
          <w:color w:val="111111"/>
          <w:sz w:val="28"/>
          <w:sz w:val="28"/>
          <w:szCs w:val="28"/>
          <w:rtl w:val="true"/>
          <w:lang w:bidi="fa-IR"/>
        </w:rPr>
        <w:t xml:space="preserve">وجود دارد؛ ولى برخى ديگر از بزرگان اهل‌سنت اين معنى را قبول ندارند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به‌خود بخارى نيز تعابيرِ نه‌اغراق كه غلوآميزانه، ديده مى‌شود؛ محمدبن ابى‌حاتم الورّاق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بخارى را در خواب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نقلى رسول‌خدا از قبر بيرون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دنبال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مى‌رفت و هر قدمى كه آن حضرت برمى‌داشت بخارى پايش را جاى پاى پيامبر مى‌گذاشت</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ابوذرهروى از اباهيثم محمدبن‌مكى كشميهنى و او از محمدبن‌يوسف‌فَربَرى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البخارى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كَتَبتُ في‌كتاب الصّحيح حَدِيثاً إلّا إغتَسَلتُ قبل ذلك وَصَلّيتُ رَكعَتَين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در جاى ديگر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 تراجم جامعه بين قبر النّبي </w:t>
      </w:r>
      <w:bookmarkStart w:id="130" w:name="pg1976_27725"/>
    </w:p>
    <w:p>
      <w:pPr>
        <w:pStyle w:val="BookText"/>
        <w:rPr/>
      </w:pPr>
      <w:bookmarkEnd w:id="130"/>
      <w:r>
        <w:rPr>
          <w:rFonts w:ascii="Amiri" w:hAnsi="Amiri" w:eastAsia="Amiri" w:cs="Amiri"/>
          <w:color w:val="111111"/>
          <w:sz w:val="28"/>
          <w:sz w:val="28"/>
          <w:szCs w:val="28"/>
          <w:rtl w:val="true"/>
          <w:lang w:bidi="ar-SA"/>
        </w:rPr>
        <w:t xml:space="preserve">ومنبره و كان يُصلّي لكل ترجمة ركعتَين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بخارى مدعى است كه براى نوشتن هر حديثى كه خواسته بنويسد استخاره گرفته و دو ركعت نماز گزارده و يقين به‌صحت آن پيدا كرده است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3766931_3650668749"/>
      <w:bookmarkStart w:id="132" w:name="_Toc44"/>
      <w:bookmarkEnd w:id="131"/>
      <w:r>
        <w:rPr>
          <w:rtl w:val="true"/>
        </w:rPr>
        <w:t>ب</w:t>
      </w:r>
      <w:r>
        <w:rPr>
          <w:rtl w:val="true"/>
        </w:rPr>
        <w:t xml:space="preserve">) </w:t>
      </w:r>
      <w:r>
        <w:rPr>
          <w:rtl w:val="true"/>
        </w:rPr>
        <w:t>اختلاف در أصَحّيت</w:t>
      </w:r>
      <w:bookmarkEnd w:id="132"/>
    </w:p>
    <w:p>
      <w:pPr>
        <w:pStyle w:val="BookText"/>
        <w:rPr/>
      </w:pPr>
      <w:r>
        <w:rPr>
          <w:rFonts w:ascii="IRNazanin" w:hAnsi="IRNazanin" w:eastAsia="IRNazanin"/>
          <w:color w:val="111111"/>
          <w:sz w:val="28"/>
          <w:sz w:val="28"/>
          <w:szCs w:val="28"/>
          <w:rtl w:val="true"/>
          <w:lang w:bidi="fa-IR"/>
        </w:rPr>
        <w:t xml:space="preserve">ابوعلى الحسين‌بن على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حاكم صاحب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گروهى از علماى مغرب، معتقدند كتاب مسلم صحيح‌تر از همۀ كتاب‌هاست </w:t>
      </w:r>
      <w:r>
        <w:rPr>
          <w:rStyle w:val="FootnoteAnchor"/>
          <w:rtl w:val="true"/>
        </w:rPr>
        <w:footnoteReference w:id="342"/>
      </w:r>
      <w:r>
        <w:rPr>
          <w:rFonts w:ascii="IRNazanin" w:hAnsi="IRNazanin" w:eastAsia="IRNazanin"/>
          <w:color w:val="111111"/>
          <w:sz w:val="28"/>
          <w:sz w:val="28"/>
          <w:szCs w:val="28"/>
          <w:rtl w:val="true"/>
          <w:lang w:bidi="fa-IR"/>
        </w:rPr>
        <w:t>همچنين از ابوعلى نيشابورى اين عبارت در مورد صحيح مسلم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تَحت أدِيم السَّماء كتابٌ أصَحّ مِن كتاب مسلم بن‌الحجاج </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 از ابى‌عبدالرحمان النسائى نقل شده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هذه الكُتُب كُلُّها أجوَد من كتاب البخاري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از شافعى نقل است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 الكُتُبِ بَعد كتاب‌الله موطأ مالك </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 چه اينكه شافعى‌گفته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على ظَهرِالارض كتابٌ بَعد كتاب‌الله أصحُّ من كتاب مالك </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 از خطابى نقل شده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يُصنّف في علم الحديث مثل سنن ابي‌داود، و هو أحسن وَضعاً و أكثر فقهاً من الصَّحيحَين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تلقّى يادشده نسبت به‌بخارى و مسلم، تلقّى علمى نيست بلكه در ميان خود دانشمندان اهل سنت اين تلقى را، علمى و يقينى نمى‌دانند بلكه قابل ترديد </w:t>
      </w:r>
      <w:bookmarkStart w:id="133" w:name="pg1976_27728"/>
    </w:p>
    <w:p>
      <w:pPr>
        <w:pStyle w:val="BookText"/>
        <w:rPr/>
      </w:pPr>
      <w:bookmarkEnd w:id="133"/>
      <w:r>
        <w:rPr>
          <w:rFonts w:ascii="IRNazanin" w:hAnsi="IRNazanin" w:eastAsia="IRNazanin"/>
          <w:color w:val="111111"/>
          <w:sz w:val="28"/>
          <w:sz w:val="28"/>
          <w:szCs w:val="28"/>
          <w:rtl w:val="true"/>
          <w:lang w:bidi="fa-IR"/>
        </w:rPr>
        <w:t xml:space="preserve">است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 به‌قبول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نقد آن را اين‌گونه بيان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إنتقدها بعض الحفاظ، كالدارقطني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نسبت به‌عصمت امت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خالف في هذه المسألة الشيخ محيي‌الدّين الدينوري و قال لايستفاد القطع بالصّحة من ذلك </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نووى از ابوعمروبن‌الصلاح نقل مى‌كند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أحاديث الصحيحين التي ليست بمتواترة إنما تفيد الظن، فإنّها آحاد، والآحاد إنّما تفيد الظن على ما يقرّر و لافرق بين البخاري و مسلم و غيرهما في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يلزم من اجماع الامة على العمل بما فيهما، اجماعهم على أنّه مقطوع بأنّه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w:t>
      </w:r>
      <w:r>
        <w:rPr>
          <w:rStyle w:val="FootnoteAnchor"/>
          <w:rtl w:val="true"/>
        </w:rPr>
        <w:footnoteReference w:id="350"/>
      </w:r>
      <w:r>
        <w:rPr>
          <w:rFonts w:ascii="IRNazanin" w:hAnsi="IRNazanin" w:eastAsia="IRNazanin"/>
          <w:color w:val="111111"/>
          <w:sz w:val="28"/>
          <w:sz w:val="28"/>
          <w:szCs w:val="28"/>
          <w:rtl w:val="true"/>
          <w:lang w:bidi="fa-IR"/>
        </w:rPr>
        <w:t>سيوطى بعد از اينكه بخارى و مسلم را، صحيح‌ترين كتاب‌ها، و بخارى را فراتر از مسلم مى‌شمارد،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يَستَوعبا الصَّحيحَ و لا إلتزماه </w:t>
      </w:r>
      <w:r>
        <w:rPr>
          <w:rFonts w:eastAsia="IRNazanin" w:cs="IRNazanin"/>
          <w:color w:val="111111"/>
          <w:sz w:val="28"/>
          <w:szCs w:val="28"/>
          <w:rtl w:val="true"/>
          <w:lang w:bidi="fa-IR"/>
        </w:rPr>
        <w:t xml:space="preserve">. . .»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3766933_3650668749"/>
      <w:bookmarkStart w:id="135" w:name="_Toc45"/>
      <w:bookmarkEnd w:id="134"/>
      <w:r>
        <w:rPr>
          <w:rtl w:val="true"/>
        </w:rPr>
        <w:t>ج</w:t>
      </w:r>
      <w:r>
        <w:rPr>
          <w:rtl w:val="true"/>
        </w:rPr>
        <w:t xml:space="preserve">) </w:t>
      </w:r>
      <w:r>
        <w:rPr>
          <w:rtl w:val="true"/>
        </w:rPr>
        <w:t>نام اصلى صحيح بخارى</w:t>
      </w:r>
      <w:bookmarkEnd w:id="13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اصلى اين كتاب، ميان اهل 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الجامع المختص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بوده است كه بعدها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انداخته تا با اين عنوان كه از خود بخارى نقل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أخذتُ في كتابي الجامع إلّا ما صَحّ و تَرَكتُ من الصّحاح مَخافة 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هماهنگ شود </w:t>
      </w:r>
      <w:r>
        <w:rPr>
          <w:rStyle w:val="FootnoteAnchor"/>
          <w:rtl w:val="true"/>
        </w:rPr>
        <w:footnoteReference w:id="352"/>
      </w:r>
      <w:r>
        <w:rPr>
          <w:rFonts w:ascii="Amiri" w:hAnsi="Amiri" w:eastAsia="Amiri" w:cs="Amiri"/>
          <w:color w:val="111111"/>
          <w:sz w:val="28"/>
          <w:sz w:val="28"/>
          <w:szCs w:val="28"/>
          <w:rtl w:val="true"/>
          <w:lang w:bidi="ar-SA"/>
        </w:rPr>
        <w:t>و در منابع مختلف وقتى هدف تأليف اين كتاب را از زبان مؤلف آن مطرح مى‌كنند، مى‌نويسند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ابوعبدالله محمدبن‌اسماعيل البخاري، كُنّا عند اسحق بن راهويه </w:t>
      </w:r>
      <w:r>
        <w:rPr>
          <w:rStyle w:val="FootnoteAnchor"/>
          <w:rtl w:val="true"/>
        </w:rPr>
        <w:footnoteReference w:id="35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جَمَعتُم </w:t>
      </w:r>
      <w:bookmarkStart w:id="136" w:name="pg1976_27730"/>
    </w:p>
    <w:p>
      <w:pPr>
        <w:pStyle w:val="BookText"/>
        <w:rPr/>
      </w:pPr>
      <w:bookmarkEnd w:id="136"/>
      <w:r>
        <w:rPr>
          <w:rFonts w:ascii="Amiri" w:hAnsi="Amiri" w:eastAsia="Amiri" w:cs="Amiri"/>
          <w:color w:val="111111"/>
          <w:sz w:val="28"/>
          <w:sz w:val="28"/>
          <w:szCs w:val="28"/>
          <w:rtl w:val="true"/>
          <w:lang w:bidi="ar-SA"/>
        </w:rPr>
        <w:t>كتاباً 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لِصحيح سُنّةِ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ذلك في قلبي فأخذتُ في جمع الجامع الصّحيح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خود بخارى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خَرّجتُ الصحيحَ مِن ستّمأة ألف حديث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يا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 يكصدهزار حديث صحيح و دويست هزار حديث ناصحيح حفظ بوده است</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برخى اظهار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احاديث صحيحى كه نزد بخارى بوده تدوين مى‌گشت، به‌طور جدى كتاب بزرگى ايجاد مى‌شد </w:t>
      </w:r>
      <w:r>
        <w:rPr>
          <w:rStyle w:val="FootnoteAnchor"/>
          <w:rtl w:val="true"/>
        </w:rPr>
        <w:footnoteReference w:id="357"/>
      </w:r>
      <w:r>
        <w:rPr>
          <w:rFonts w:ascii="IRNazanin" w:hAnsi="IRNazanin" w:eastAsia="IRNazanin"/>
          <w:color w:val="111111"/>
          <w:sz w:val="28"/>
          <w:sz w:val="28"/>
          <w:szCs w:val="28"/>
          <w:rtl w:val="true"/>
          <w:lang w:bidi="fa-IR"/>
        </w:rPr>
        <w:t xml:space="preserve">كه گذشته از مطرح شدن اين سؤال اساسى كه آن روايات صحيح نيامده در بخارى چه رواياتى و در چه موضوعى بوده‌اند، و چرا در بخارى نيامده؟ </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همه گواه بر اين است كه بخارى مى‌خواسته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الجامع المخت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الجامع</w:t>
      </w:r>
      <w:r>
        <w:rPr>
          <w:rFonts w:eastAsia="IRNazanin" w:cs="IRNazanin"/>
          <w:color w:val="111111"/>
          <w:sz w:val="28"/>
          <w:szCs w:val="28"/>
          <w:rtl w:val="true"/>
          <w:lang w:bidi="fa-IR"/>
        </w:rPr>
        <w:t>» .</w:t>
      </w:r>
    </w:p>
    <w:p>
      <w:pPr>
        <w:pStyle w:val="Heading5"/>
        <w:numPr>
          <w:ilvl w:val="4"/>
          <w:numId w:val="1"/>
        </w:numPr>
        <w:rPr/>
      </w:pPr>
      <w:bookmarkStart w:id="137" w:name="__RefHeading___Toc3766935_3650668749"/>
      <w:bookmarkStart w:id="138" w:name="_Toc46"/>
      <w:bookmarkEnd w:id="137"/>
      <w:r>
        <w:rPr>
          <w:rtl w:val="true"/>
        </w:rPr>
        <w:t>د</w:t>
      </w:r>
      <w:r>
        <w:rPr>
          <w:rtl w:val="true"/>
        </w:rPr>
        <w:t xml:space="preserve">) </w:t>
      </w:r>
      <w:r>
        <w:rPr>
          <w:rtl w:val="true"/>
        </w:rPr>
        <w:t>انتساب كتاب به مؤلف</w:t>
      </w:r>
      <w:bookmarkEnd w:id="13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نگاهى به‌اين كتاب و شواهد به‌دست آمده اين نتيجه را مى‌گيريم كه كتاب بخارى پس از وفات بخارى توسط شاگردان وى، از نوشته‌هاى به‌جاى مانده از او، تكميل شده است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ابراهيم‌بن‌محمد مستملى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 يكى از كسانى است كه به‌صراحت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إستَنسَختُ كتاب البخاري من أصله الّذي كانَ عند صاحبه الفَربَري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فَرَأَيتُ فيه اشياءً لم‌تتمّ وأشياءً مُبيَضّة </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صحيح بخارى، ج</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العلم، باب ماجاء فى العلم، نسخه يك‌جلدى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رنگى</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العلم، باب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ماجاء فى العلم 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زدنى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البخارى بشرح السندى، بيروت، دارالمعرفة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صحيح البخارى، مصر، ادارة الطباعة المنيرية، ج</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باب، ذيل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ابى‌الوليدالباجى </w:t>
      </w:r>
      <w:r>
        <w:rPr>
          <w:rStyle w:val="FootnoteAnchor"/>
          <w:rtl w:val="true"/>
        </w:rPr>
        <w:footnoteReference w:id="363"/>
      </w:r>
      <w:r>
        <w:rPr>
          <w:rFonts w:ascii="IRNazanin" w:hAnsi="IRNazanin" w:eastAsia="IRNazanin"/>
          <w:color w:val="111111"/>
          <w:sz w:val="28"/>
          <w:sz w:val="28"/>
          <w:szCs w:val="28"/>
          <w:rtl w:val="true"/>
          <w:lang w:bidi="fa-IR"/>
        </w:rPr>
        <w:t>، علاوه بر آنچه از مستملى بازگو شد، موارد نقص آن را هم مى‌شمارد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لم يَثبت بعدها شيئاً، و منها أحاديث لم يترجم لها؛ فأضفنا بعض ذلك إلى بعض </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بخارى روايتى وجود دارد كه اين مدعا را به‌اثبات مى‌رساند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محمدُبن سلام، حدّثنا محمدبن الحسين الواسطي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أخبرنا محمدبن يوسف الفَربَري و حَدَّثنا محمد ابن اسماعيل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قُرِئ على المُحدِّث، فلا بأس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 .» </w:t>
      </w:r>
      <w:r>
        <w:rPr>
          <w:rStyle w:val="FootnoteAnchor"/>
          <w:rtl w:val="true"/>
        </w:rPr>
        <w:footnoteReference w:id="365"/>
      </w:r>
      <w:r>
        <w:rPr>
          <w:rFonts w:ascii="IRNazanin" w:hAnsi="IRNazanin" w:eastAsia="IRNazanin"/>
          <w:color w:val="111111"/>
          <w:sz w:val="28"/>
          <w:sz w:val="28"/>
          <w:szCs w:val="28"/>
          <w:rtl w:val="true"/>
          <w:lang w:bidi="fa-IR"/>
        </w:rPr>
        <w:t xml:space="preserve">، كه متأسفانه اين مورد در برخى نسخه‌هاى بخارى مورد دستبرد واقع شده و حذف گرديده است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همان‌گونه كه ملاحظه مى‌گردد، </w:t>
      </w:r>
    </w:p>
    <w:p>
      <w:pPr>
        <w:pStyle w:val="BookText"/>
        <w:rPr/>
      </w:pPr>
      <w:r>
        <w:rPr>
          <w:rFonts w:ascii="IRNazanin" w:hAnsi="IRNazanin" w:eastAsia="IRNazanin"/>
          <w:color w:val="111111"/>
          <w:sz w:val="28"/>
          <w:sz w:val="28"/>
          <w:szCs w:val="28"/>
          <w:rtl w:val="true"/>
          <w:lang w:bidi="fa-IR"/>
        </w:rPr>
        <w:t>گذشته از اشكالات ديگر، اسم مؤلف به‌جاى اينكه در ابتداى روايت آمده باشد، در وسط آن ذكر شده و اين نكته، گوياى اين است كه كسى ديگر بخارى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با اعتقاد براينكه صحيح بخارى توسط خود او تكميل نشده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هيچ نسخۀ از بخارى، به‌ترجمۀ عبدالرّحمان‌بن‌عوف و سعيدبن زيد، بر نخوردم با اينكه هر دوى آنها، جزء عشرة مبشّره‌اند، هر چند كه از اسلام آوردن سعيد در ابتداى سيرۀ نبوى سخن به‌ميان آورده است، و من به‌اين پندارم كه عدم ذكر ترجمۀ آن دو، كار ناقلان بخارى است، زيرا همان‌گونه كه بارها گفتم، بخارى كتابش را به‌صورت مسوّده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چك‌نويس نه به‌صورت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 و از دنيا رفته است، و از آنجا كه اسامى اشخاص بدون مراعات فضل و سابقه و آداب، در آن مسوّده آمده، مى‌رساند كه وى ترجمه و شرح حال آنها را جداگانه در جاى ديگر نوشته است، اما برخى ناقلان كتاب، بدون توجه، آن نوشته‌هاى پراكنده را به هم ضميمه نموده‌اند</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 بر عدم تكميل صحيح بخارى قبل از مرگ مؤلف او، گفته ابوالوليد الباجى است، وى صورت‌هاى مختلف و تقديم و تأخير روايات ابى‌اسحاق المستملى، ابى‌محمد السرخسى، و ابى‌الهيثم الكشميهنى، و ابى‌زيدالمروزى را دليل بر عدم تكميل صحيح بخارى قبل از فوت صاحب آن مى‌داند، با اينكه آنها روايات را از يك اصل، نسخه بردارى كرده‌اند؛ و وى اختلاف آنها را بدان جهت مى‌داند كه هركدام اين‌ها به‌بقچه يا رقعه‌اى كه دسترسى داشته، چيزى را افزوده‌اند</w:t>
      </w:r>
      <w:r>
        <w:rPr>
          <w:rFonts w:eastAsia="IRNazanin" w:cs="IRNazanin"/>
          <w:color w:val="111111"/>
          <w:sz w:val="28"/>
          <w:szCs w:val="28"/>
          <w:rtl w:val="true"/>
          <w:lang w:bidi="fa-IR"/>
        </w:rPr>
        <w:t xml:space="preserve">. . .»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139" w:name="pg1976_27736"/>
    </w:p>
    <w:p>
      <w:pPr>
        <w:pStyle w:val="Heading5"/>
        <w:numPr>
          <w:ilvl w:val="4"/>
          <w:numId w:val="1"/>
        </w:numPr>
        <w:rPr/>
      </w:pPr>
      <w:bookmarkStart w:id="140" w:name="__RefHeading___Toc3766937_3650668749"/>
      <w:bookmarkStart w:id="141" w:name="_Toc47"/>
      <w:bookmarkEnd w:id="139"/>
      <w:bookmarkEnd w:id="140"/>
      <w:r>
        <w:rPr>
          <w:rtl w:val="true"/>
        </w:rPr>
        <w:t>ه</w:t>
      </w:r>
      <w:r>
        <w:rPr>
          <w:rtl w:val="true"/>
        </w:rPr>
        <w:t xml:space="preserve">) </w:t>
      </w:r>
      <w:r>
        <w:rPr>
          <w:rtl w:val="true"/>
        </w:rPr>
        <w:t>نمود يافتن كينه بخارى نسبت به‌ابوحنيفه</w:t>
      </w:r>
      <w:bookmarkEnd w:id="1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افتتاح صحيح بخارى به‌حديث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الاعمالُ بِالنِّيات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سؤال را بر مى‌انگيزاند كه ميان اين روايت و كتاب الإيمان كه نخستين كتاب صحيح بخارى محسوب مى‌شود، چه ارتباطى است؟ براى اين‌كار بخارى، دو علت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بخارى به‌استادش عبدالرّحمان بن المهدى اقتدا كرده باشد؛ زيرا وى ياد آور شده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كتابى در ابوابى مختلف بنويسد، حديث عمربن‌الخطاب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الأعمال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در آن بگنجاند؛ يا آن را سر آغاز كتابش قرار دهد</w:t>
      </w:r>
      <w:r>
        <w:rPr>
          <w:rFonts w:eastAsia="IRNazanin" w:cs="IRNazanin"/>
          <w:color w:val="111111"/>
          <w:sz w:val="28"/>
          <w:szCs w:val="28"/>
          <w:rtl w:val="true"/>
          <w:lang w:bidi="fa-IR"/>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مهم و اصلى آن اين است كه بخارى خواسته با آوردن اين حديث در هفت‌جاى بخارى، از علقمةبن‌وقاص، از عمربن‌الخطاب </w:t>
      </w:r>
      <w:r>
        <w:rPr>
          <w:rStyle w:val="FootnoteAnchor"/>
          <w:rtl w:val="true"/>
        </w:rPr>
        <w:footnoteReference w:id="370"/>
      </w:r>
      <w:r>
        <w:rPr>
          <w:rFonts w:ascii="IRNazanin" w:hAnsi="IRNazanin" w:eastAsia="IRNazanin"/>
          <w:color w:val="111111"/>
          <w:sz w:val="28"/>
          <w:sz w:val="28"/>
          <w:szCs w:val="28"/>
          <w:rtl w:val="true"/>
          <w:lang w:bidi="fa-IR"/>
        </w:rPr>
        <w:t xml:space="preserve">، با امام‌ابوحنيفه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مخالفت كرده باشد؛ زيرا ابوحنيفه و پيروانش، عُنصر قصد و نيت را در احكام دخيل نمى‌دانستند، ولى بخارى با تأثير پذيرى از افرادى چون ابوبكربن ابى‌شيبه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نعيم‌بن‌حماد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عبدالله‌بن‌الزبير الحُمَيدى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غير آنها كه با ابوحنيفه عناد داشتند </w:t>
      </w:r>
      <w:r>
        <w:rPr>
          <w:rStyle w:val="FootnoteAnchor"/>
          <w:rtl w:val="true"/>
        </w:rPr>
        <w:footnoteReference w:id="371"/>
      </w:r>
      <w:r>
        <w:rPr>
          <w:rFonts w:ascii="Amiri" w:hAnsi="Amiri" w:eastAsia="Amiri" w:cs="Amiri"/>
          <w:color w:val="111111"/>
          <w:sz w:val="28"/>
          <w:sz w:val="28"/>
          <w:szCs w:val="28"/>
          <w:rtl w:val="true"/>
          <w:lang w:bidi="ar-SA"/>
        </w:rPr>
        <w:t xml:space="preserve">، نيت را در عرصه‌هاى وسيع عبادات و معاملات </w:t>
      </w:r>
      <w:r>
        <w:rPr>
          <w:rStyle w:val="FootnoteAnchor"/>
          <w:rtl w:val="true"/>
        </w:rPr>
        <w:footnoteReference w:id="372"/>
      </w:r>
      <w:r>
        <w:rPr>
          <w:rFonts w:ascii="IRNazanin" w:hAnsi="IRNazanin" w:eastAsia="IRNazanin"/>
          <w:color w:val="111111"/>
          <w:sz w:val="28"/>
          <w:sz w:val="28"/>
          <w:szCs w:val="28"/>
          <w:rtl w:val="true"/>
          <w:lang w:bidi="fa-IR"/>
        </w:rPr>
        <w:t xml:space="preserve">دخيل دانست، هرچند كه سيوطى براى شرح و توجيه اين روايت، از مردود بودن و نبودن برخى اسناد </w:t>
      </w:r>
      <w:r>
        <w:rPr>
          <w:rStyle w:val="FootnoteAnchor"/>
          <w:rtl w:val="true"/>
        </w:rPr>
        <w:footnoteReference w:id="373"/>
      </w:r>
      <w:r>
        <w:rPr>
          <w:rFonts w:ascii="Amiri" w:hAnsi="Amiri" w:eastAsia="Amiri" w:cs="Amiri"/>
          <w:color w:val="111111"/>
          <w:sz w:val="28"/>
          <w:sz w:val="28"/>
          <w:szCs w:val="28"/>
          <w:rtl w:val="true"/>
          <w:lang w:bidi="ar-SA"/>
        </w:rPr>
        <w:t xml:space="preserve">، غير متواتر بودن آن </w:t>
      </w:r>
      <w:r>
        <w:rPr>
          <w:rStyle w:val="FootnoteAnchor"/>
          <w:rtl w:val="true"/>
        </w:rPr>
        <w:footnoteReference w:id="374"/>
      </w:r>
      <w:r>
        <w:rPr>
          <w:rFonts w:ascii="Amiri" w:hAnsi="Amiri" w:eastAsia="Amiri" w:cs="Amiri"/>
          <w:color w:val="111111"/>
          <w:sz w:val="28"/>
          <w:sz w:val="28"/>
          <w:szCs w:val="28"/>
          <w:rtl w:val="true"/>
          <w:lang w:bidi="ar-SA"/>
        </w:rPr>
        <w:t xml:space="preserve">، مشكوك بودن عنوان </w:t>
      </w:r>
      <w:bookmarkStart w:id="142" w:name="pg1976_27738"/>
    </w:p>
    <w:p>
      <w:pPr>
        <w:pStyle w:val="BookText"/>
        <w:rPr/>
      </w:pPr>
      <w:bookmarkEnd w:id="142"/>
      <w:r>
        <w:rPr>
          <w:rFonts w:ascii="IRNazanin" w:hAnsi="IRNazanin" w:eastAsia="IRNazanin"/>
          <w:color w:val="111111"/>
          <w:sz w:val="28"/>
          <w:sz w:val="28"/>
          <w:szCs w:val="28"/>
          <w:rtl w:val="true"/>
          <w:lang w:bidi="fa-IR"/>
        </w:rPr>
        <w:t xml:space="preserve">عمربن‌الخطاب در شش نفر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روات آن خليفه دوم خوانده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مشكل ادبى حديث </w:t>
      </w:r>
      <w:r>
        <w:rPr>
          <w:rStyle w:val="FootnoteAnchor"/>
          <w:rtl w:val="true"/>
        </w:rPr>
        <w:footnoteReference w:id="376"/>
      </w:r>
      <w:r>
        <w:rPr>
          <w:rFonts w:ascii="Amiri" w:hAnsi="Amiri" w:eastAsia="Amiri" w:cs="Amiri"/>
          <w:color w:val="111111"/>
          <w:sz w:val="28"/>
          <w:sz w:val="28"/>
          <w:szCs w:val="28"/>
          <w:rtl w:val="true"/>
          <w:lang w:bidi="ar-SA"/>
        </w:rPr>
        <w:t xml:space="preserve">، مفهوم نيت </w:t>
      </w:r>
      <w:r>
        <w:rPr>
          <w:rStyle w:val="FootnoteAnchor"/>
          <w:rtl w:val="true"/>
        </w:rPr>
        <w:footnoteReference w:id="377"/>
      </w:r>
      <w:r>
        <w:rPr>
          <w:rFonts w:ascii="Amiri" w:hAnsi="Amiri" w:eastAsia="Amiri" w:cs="Amiri"/>
          <w:color w:val="111111"/>
          <w:sz w:val="28"/>
          <w:sz w:val="28"/>
          <w:szCs w:val="28"/>
          <w:rtl w:val="true"/>
          <w:lang w:bidi="ar-SA"/>
        </w:rPr>
        <w:t>، تلاش وسيعى به‌خرج داده است</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3766939_3650668749"/>
      <w:bookmarkStart w:id="144" w:name="_Toc48"/>
      <w:bookmarkEnd w:id="143"/>
      <w:r>
        <w:rPr>
          <w:rtl w:val="true"/>
        </w:rPr>
        <w:t>و</w:t>
      </w:r>
      <w:r>
        <w:rPr>
          <w:rtl w:val="true"/>
        </w:rPr>
        <w:t xml:space="preserve">) </w:t>
      </w:r>
      <w:r>
        <w:rPr>
          <w:rtl w:val="true"/>
        </w:rPr>
        <w:t>چالش‌هاى مهم صحيح بخارى</w:t>
      </w:r>
      <w:bookmarkEnd w:id="144"/>
    </w:p>
    <w:p>
      <w:pPr>
        <w:pStyle w:val="BookText"/>
        <w:rPr/>
      </w:pPr>
      <w:r>
        <w:rPr>
          <w:rFonts w:ascii="IRNazanin" w:hAnsi="IRNazanin" w:eastAsia="IRNazanin"/>
          <w:color w:val="111111"/>
          <w:sz w:val="28"/>
          <w:sz w:val="28"/>
          <w:szCs w:val="28"/>
          <w:rtl w:val="true"/>
          <w:lang w:bidi="fa-IR"/>
        </w:rPr>
        <w:t xml:space="preserve">نقد و به‌چالش گرفتن كتاب بخارى و مسلم، نزد اهل‌سنت نوعى عبور ازخط قرمز محسوب مى‌شود </w:t>
      </w:r>
      <w:r>
        <w:rPr>
          <w:rStyle w:val="FootnoteAnchor"/>
          <w:rtl w:val="true"/>
        </w:rPr>
        <w:footnoteReference w:id="378"/>
      </w:r>
      <w:r>
        <w:rPr>
          <w:rFonts w:ascii="Amiri" w:hAnsi="Amiri" w:eastAsia="Amiri" w:cs="Amiri"/>
          <w:color w:val="111111"/>
          <w:sz w:val="28"/>
          <w:sz w:val="28"/>
          <w:szCs w:val="28"/>
          <w:rtl w:val="true"/>
          <w:lang w:bidi="ar-SA"/>
        </w:rPr>
        <w:t>، ولى عده‌اى از عالمان نامدار آنها، اجازۀ خط شكنى را به‌خود داده و بخارى را مورد نقد قرارداده‌اند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ترتيب منطقى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وقسّم كلّ كتاب من هذه الكُتُب إلى أبواب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وهذالترتيب كماترى فيه شئ من الغرابة، وقد أَتعَبَ الشّارحون أنفُسَهم في تعرف الأساس المنطقي الّذي بَنَى عليه هذ التّرتيب بل فيه ما هُوَ أصعَب من ذلك</w:t>
      </w:r>
      <w:r>
        <w:rPr>
          <w:rFonts w:eastAsia="Amiri" w:cs="Amiri" w:ascii="Amiri" w:hAnsi="Amiri"/>
          <w:color w:val="111111"/>
          <w:sz w:val="28"/>
          <w:szCs w:val="28"/>
          <w:rtl w:val="true"/>
          <w:lang w:bidi="ar-SA"/>
        </w:rPr>
        <w:t xml:space="preserve">. . . »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شدن روايت، به‌گونه‌اى كه قسمتى از يك‌حديث در يك‌باب و قسمتى در باب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يك‌حديث در چندجا به‌اسناد متفاوت آمده است </w:t>
      </w:r>
      <w:r>
        <w:rPr>
          <w:rStyle w:val="FootnoteAnchor"/>
          <w:rtl w:val="true"/>
        </w:rPr>
        <w:footnoteReference w:id="380"/>
      </w:r>
      <w:r>
        <w:rPr>
          <w:rFonts w:ascii="IRNazanin" w:hAnsi="IRNazanin" w:eastAsia="IRNazanin"/>
          <w:color w:val="111111"/>
          <w:sz w:val="28"/>
          <w:sz w:val="28"/>
          <w:szCs w:val="28"/>
          <w:rtl w:val="true"/>
          <w:lang w:bidi="fa-IR"/>
        </w:rPr>
        <w:t>ابن‌حجرالعسقلانى، هدى‌السّارى مقدمة البخارى</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الفصل‌الثالث، مواردى از پريشانى در روايات بخارى را ذكر و به‌نوعى توجيه مى‌كند</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سند ذكر شده و در جاى ديگر قطع گرديده است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معنا حتّى با اين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وَقَلّما يُورد حَدِيثاً في مَوضِعَين بإسناد واحد و لفظ واحد </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 اظهار شده است؛ هرچند كه در توجيه </w:t>
      </w:r>
    </w:p>
    <w:p>
      <w:pPr>
        <w:pStyle w:val="BookText"/>
        <w:rPr/>
      </w:pPr>
      <w:r>
        <w:rPr>
          <w:rFonts w:ascii="IRNazanin" w:hAnsi="IRNazanin" w:eastAsia="IRNazanin"/>
          <w:color w:val="111111"/>
          <w:sz w:val="28"/>
          <w:sz w:val="28"/>
          <w:szCs w:val="28"/>
          <w:rtl w:val="true"/>
          <w:lang w:bidi="fa-IR"/>
        </w:rPr>
        <w:t xml:space="preserve">اين چالش‌گفته شده كه هدف بخارى در اين كتاب منحصر به‌آوردن حديث نبوده بلكه مقصود او، استنباط از روايات بوده است، به‌همين رو، برخى از ابواب اين كتاب بدون حديث و اسناد آن عنوان، و به‌جملۀ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فلان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شده است </w:t>
      </w:r>
      <w:r>
        <w:rPr>
          <w:rStyle w:val="FootnoteAnchor"/>
          <w:rtl w:val="true"/>
        </w:rPr>
        <w:footnoteReference w:id="384"/>
      </w:r>
      <w:r>
        <w:rPr>
          <w:rFonts w:ascii="Amiri" w:hAnsi="Amiri" w:eastAsia="Amiri" w:cs="Amiri"/>
          <w:color w:val="111111"/>
          <w:sz w:val="28"/>
          <w:sz w:val="28"/>
          <w:szCs w:val="28"/>
          <w:rtl w:val="true"/>
          <w:lang w:bidi="ar-SA"/>
        </w:rPr>
        <w:t>كه در اين صورت، بخارى كتاب روايى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حفّاظ، تعدادى از احاديث بخارى را كه به</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مورد مى‌رسد و در</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 مسلم مشتركند،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ويژه بخارى است، مورد نقد قرار داده‌اند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راويان بخارى غيرثقه و ضعيف‌اند، حديث‌شناسان حدود </w:t>
      </w: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نفر از رجال بخارى را تضعيف نموده‌اند و آن را با توجّه به‌ادعاى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صحيح‌ترين كتاب، پس از كتاب‌خدا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اساسى اين كتاب دانسته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الواقع هذه مُشكلة المشاكل، فالوقوف على أسرار الرّجال محال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آن، حديث‌شناسان اهل‌سنت در قواعد جرح و تعديل، نظر هماهنگى ندارند، از جمله عِكرمه مولى‌ابن‌عبّاس، كسى است كه منابع تاريخى و تفسيرى مملو از نقل اوست، درحالى‌كه گروهى او را تكذيب و جمعى او را توثيق نموده‌اند؛ ابن‌جرير الطبرى و بخارى او را مورد تأييد قرارداده‌اند و تاريخ و تفسير آن‌دو پر از نقل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مسلم او را تكذيب و جز يك حديث آن‌هم براى تقويت حديث سعيد بن جبير، از او نقل نمى‌كند </w:t>
      </w:r>
      <w:r>
        <w:rPr>
          <w:rStyle w:val="FootnoteAnchor"/>
          <w:rtl w:val="true"/>
        </w:rPr>
        <w:footnoteReference w:id="38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متن و اسناد بخارى، اختلاف فراوان در ضبط روايات مشاهده مى‌شود </w:t>
      </w:r>
      <w:r>
        <w:rPr>
          <w:rStyle w:val="FootnoteAnchor"/>
          <w:rtl w:val="true"/>
        </w:rPr>
        <w:footnoteReference w:id="389"/>
      </w:r>
      <w:r>
        <w:rPr>
          <w:rFonts w:ascii="IRNazanin" w:hAnsi="IRNazanin" w:eastAsia="IRNazanin"/>
          <w:color w:val="111111"/>
          <w:sz w:val="28"/>
          <w:sz w:val="28"/>
          <w:szCs w:val="28"/>
          <w:rtl w:val="true"/>
          <w:lang w:bidi="fa-IR"/>
        </w:rPr>
        <w:t>، و علت ناهمگونى را مى‌توان در اين سخن بخارى جست‌وجو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w:t>
      </w:r>
    </w:p>
    <w:p>
      <w:pPr>
        <w:pStyle w:val="BookText"/>
        <w:rPr/>
      </w:pPr>
      <w:r>
        <w:rPr>
          <w:rFonts w:ascii="Amiri" w:hAnsi="Amiri" w:eastAsia="Amiri" w:cs="Amiri"/>
          <w:color w:val="111111"/>
          <w:sz w:val="28"/>
          <w:sz w:val="28"/>
          <w:szCs w:val="28"/>
          <w:rtl w:val="true"/>
          <w:lang w:bidi="ar-SA"/>
        </w:rPr>
        <w:t>حَديثٍ سَمِعتُهُ بالبَصرةِ و كتَبتُهُ بالشّام، و رُبّ حَديثٍ سَمِعتُهُ بالشّام و كَتَبتُه بِمِص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بِكَمالِه؟ فَسَكتَ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بى‌ترديد هر قدر هم انسان از حافظه فوق‌العاده برخوردار باشد، عدم اشتباه غير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نگاه اجمالى به‌اين كتاب، تعصّب و عناد مؤلفش نسبت به‌اهل‌بيت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است؛ زيرا در اين كتاب از افرادى مغرض و بَدنامى چون عِمران بن حطّان از رؤساى خوارج، حريزبن عثمان الرحبى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مروان بن‌الحَكَم تبعيد شده به‌همراهِ پدرش توسّط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به‌طائف </w:t>
      </w:r>
      <w:r>
        <w:rPr>
          <w:rStyle w:val="FootnoteAnchor"/>
          <w:rtl w:val="true"/>
        </w:rPr>
        <w:footnoteReference w:id="392"/>
      </w:r>
      <w:r>
        <w:rPr>
          <w:rFonts w:ascii="IRNazanin" w:hAnsi="IRNazanin" w:eastAsia="IRNazanin"/>
          <w:color w:val="111111"/>
          <w:sz w:val="28"/>
          <w:sz w:val="28"/>
          <w:szCs w:val="28"/>
          <w:rtl w:val="true"/>
          <w:lang w:bidi="fa-IR"/>
        </w:rPr>
        <w:t xml:space="preserve">، و قاتل طلحةبن عبيدالله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به‌اصطلاح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مبشّره، در جنگ جمل </w:t>
      </w:r>
      <w:r>
        <w:rPr>
          <w:rStyle w:val="FootnoteAnchor"/>
          <w:rtl w:val="true"/>
        </w:rPr>
        <w:footnoteReference w:id="393"/>
      </w:r>
      <w:r>
        <w:rPr>
          <w:rFonts w:ascii="Amiri" w:hAnsi="Amiri" w:eastAsia="Amiri" w:cs="Amiri"/>
          <w:color w:val="111111"/>
          <w:sz w:val="28"/>
          <w:sz w:val="28"/>
          <w:szCs w:val="28"/>
          <w:rtl w:val="true"/>
          <w:lang w:bidi="ar-SA"/>
        </w:rPr>
        <w:t xml:space="preserve">، حديث نقل مى‌كند ولى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سال بيشتر فاصله نداشت </w:t>
      </w:r>
      <w:r>
        <w:rPr>
          <w:rStyle w:val="FootnoteAnchor"/>
          <w:rtl w:val="true"/>
        </w:rPr>
        <w:footnoteReference w:id="394"/>
      </w:r>
      <w:r>
        <w:rPr>
          <w:rFonts w:ascii="IRNazanin" w:hAnsi="IRNazanin" w:eastAsia="IRNazanin"/>
          <w:color w:val="111111"/>
          <w:sz w:val="28"/>
          <w:sz w:val="28"/>
          <w:szCs w:val="28"/>
          <w:rtl w:val="true"/>
          <w:lang w:bidi="fa-IR"/>
        </w:rPr>
        <w:t>، حديث نقل نمى‌كند، درحالى‌كه از شاگردان امام‌صادق همچون مالك‌بن‌انس، وهب‌بن‌خالد، حاتم ابن‌اسماعيل، عبدالوهّاب ثقفى‌كه مشايخ بخارى‌اند، روايت نقل مى‌كند ولى از نقل رواياتى كه آنان از امام شنيده‌اند خوددارى مى‌نمايد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اين مدعا عذرخواهى ابن‌تيميه شيخ وهابيان از جانب بخارى است كه وى احاديث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طريق يحيى بن سعيد شنيده ولى از نقل آن خوددارى </w:t>
      </w:r>
      <w:bookmarkStart w:id="145" w:name="pg1976_27744"/>
    </w:p>
    <w:p>
      <w:pPr>
        <w:pStyle w:val="BookText"/>
        <w:rPr/>
      </w:pPr>
      <w:bookmarkEnd w:id="145"/>
      <w:r>
        <w:rPr>
          <w:rFonts w:ascii="Amiri" w:hAnsi="Amiri" w:eastAsia="Amiri" w:cs="Amiri"/>
          <w:color w:val="111111"/>
          <w:sz w:val="28"/>
          <w:sz w:val="28"/>
          <w:szCs w:val="28"/>
          <w:rtl w:val="true"/>
          <w:lang w:bidi="ar-SA"/>
        </w:rPr>
        <w:t xml:space="preserve">ورزيده است </w:t>
      </w:r>
      <w:r>
        <w:rPr>
          <w:rStyle w:val="FootnoteAnchor"/>
          <w:rtl w:val="true"/>
        </w:rPr>
        <w:footnoteReference w:id="395"/>
      </w:r>
      <w:r>
        <w:rPr>
          <w:rFonts w:ascii="IRNazanin" w:hAnsi="IRNazanin" w:eastAsia="IRNazanin"/>
          <w:color w:val="111111"/>
          <w:sz w:val="28"/>
          <w:sz w:val="28"/>
          <w:szCs w:val="28"/>
          <w:rtl w:val="true"/>
          <w:lang w:bidi="fa-IR"/>
        </w:rPr>
        <w:t xml:space="preserve">ابن‌حجر تصريح مى‌كند كه بخارى به‌خاطر نقل حديث از مروان، مورد سرزنش قرارگرفته است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كتاب بخارى نه‌تنها آن‌گونه كه معرفى مى‌شود، نيست، كه با داشتن دَه‌ها اشكال فنّى در حد يك كتاب معمولى تنزّل مى‌يابد</w:t>
      </w:r>
      <w:r>
        <w:rPr>
          <w:rFonts w:eastAsia="IRNazanin" w:cs="IRNazanin"/>
          <w:color w:val="111111"/>
          <w:sz w:val="28"/>
          <w:szCs w:val="28"/>
          <w:rtl w:val="true"/>
          <w:lang w:bidi="fa-IR"/>
        </w:rPr>
        <w:t>.</w:t>
      </w:r>
    </w:p>
    <w:p>
      <w:pPr>
        <w:pStyle w:val="Heading4"/>
        <w:numPr>
          <w:ilvl w:val="3"/>
          <w:numId w:val="1"/>
        </w:numPr>
        <w:rPr/>
      </w:pPr>
      <w:bookmarkStart w:id="146" w:name="__RefHeading___Toc3766941_3650668749"/>
      <w:bookmarkStart w:id="147" w:name="_Toc49"/>
      <w:bookmarkEnd w:id="146"/>
      <w:r>
        <w:rPr/>
        <w:t>٢</w:t>
      </w:r>
      <w:r>
        <w:rPr>
          <w:rtl w:val="true"/>
        </w:rPr>
        <w:t xml:space="preserve">. </w:t>
      </w:r>
      <w:r>
        <w:rPr>
          <w:rtl w:val="true"/>
        </w:rPr>
        <w:t>نگاهى به‌جوامع ديگر اهل‌سنت</w:t>
      </w:r>
      <w:bookmarkEnd w:id="14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w:t>
      </w:r>
      <w:r>
        <w:rPr>
          <w:rStyle w:val="FootnoteAnchor"/>
          <w:rtl w:val="true"/>
        </w:rPr>
        <w:footnoteReference w:id="397"/>
      </w:r>
      <w:r>
        <w:rPr>
          <w:rFonts w:ascii="Amiri" w:hAnsi="Amiri" w:eastAsia="Amiri" w:cs="Amiri"/>
          <w:color w:val="111111"/>
          <w:sz w:val="28"/>
          <w:sz w:val="28"/>
          <w:szCs w:val="28"/>
          <w:rtl w:val="true"/>
          <w:lang w:bidi="ar-SA"/>
        </w:rPr>
        <w:t xml:space="preserve">، با حدود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 حديث غير مكرر </w:t>
      </w:r>
      <w:r>
        <w:rPr>
          <w:rStyle w:val="FootnoteAnchor"/>
          <w:rtl w:val="true"/>
        </w:rPr>
        <w:footnoteReference w:id="398"/>
      </w:r>
      <w:r>
        <w:rPr>
          <w:rFonts w:ascii="IRNazanin" w:hAnsi="IRNazanin" w:eastAsia="IRNazanin"/>
          <w:color w:val="111111"/>
          <w:sz w:val="28"/>
          <w:sz w:val="28"/>
          <w:szCs w:val="28"/>
          <w:rtl w:val="true"/>
          <w:lang w:bidi="fa-IR"/>
        </w:rPr>
        <w:t xml:space="preserve">، به‌ديد برخى به‌جهاتى چون عدم تقطيع روايت </w:t>
      </w:r>
      <w:r>
        <w:rPr>
          <w:rStyle w:val="FootnoteAnchor"/>
          <w:rtl w:val="true"/>
        </w:rPr>
        <w:footnoteReference w:id="399"/>
      </w:r>
      <w:r>
        <w:rPr>
          <w:rFonts w:ascii="Amiri" w:hAnsi="Amiri" w:eastAsia="Amiri" w:cs="Amiri"/>
          <w:color w:val="111111"/>
          <w:sz w:val="28"/>
          <w:sz w:val="28"/>
          <w:szCs w:val="28"/>
          <w:rtl w:val="true"/>
          <w:lang w:bidi="ar-SA"/>
        </w:rPr>
        <w:t xml:space="preserve">، آوردن حديث با همۀ عبارات و اسناد در يك‌جا </w:t>
      </w:r>
      <w:r>
        <w:rPr>
          <w:rStyle w:val="FootnoteAnchor"/>
          <w:rtl w:val="true"/>
        </w:rPr>
        <w:footnoteReference w:id="400"/>
      </w:r>
      <w:r>
        <w:rPr>
          <w:rFonts w:ascii="Amiri" w:hAnsi="Amiri" w:eastAsia="Amiri" w:cs="Amiri"/>
          <w:color w:val="111111"/>
          <w:sz w:val="28"/>
          <w:sz w:val="28"/>
          <w:szCs w:val="28"/>
          <w:rtl w:val="true"/>
          <w:lang w:bidi="ar-SA"/>
        </w:rPr>
        <w:t xml:space="preserve">، اضافه نكردن كلماتى از صحابه به‌حديث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مُدرّج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 تدوين مسلم در محضر شيوخ </w:t>
      </w:r>
      <w:r>
        <w:rPr>
          <w:rStyle w:val="FootnoteAnchor"/>
          <w:rtl w:val="true"/>
        </w:rPr>
        <w:footnoteReference w:id="403"/>
      </w:r>
      <w:r>
        <w:rPr>
          <w:rFonts w:ascii="Amiri" w:hAnsi="Amiri" w:eastAsia="Amiri" w:cs="Amiri"/>
          <w:color w:val="111111"/>
          <w:sz w:val="28"/>
          <w:sz w:val="28"/>
          <w:szCs w:val="28"/>
          <w:rtl w:val="true"/>
          <w:lang w:bidi="ar-SA"/>
        </w:rPr>
        <w:t xml:space="preserve">، عدم اشتباه و غلط در ضبط متن و اسناد حديث </w:t>
      </w:r>
      <w:r>
        <w:rPr>
          <w:rStyle w:val="FootnoteAnchor"/>
          <w:rtl w:val="true"/>
        </w:rPr>
        <w:footnoteReference w:id="404"/>
      </w:r>
      <w:r>
        <w:rPr>
          <w:rFonts w:ascii="IRNazanin" w:hAnsi="IRNazanin" w:eastAsia="IRNazanin"/>
          <w:color w:val="111111"/>
          <w:sz w:val="28"/>
          <w:sz w:val="28"/>
          <w:szCs w:val="28"/>
          <w:rtl w:val="true"/>
          <w:lang w:bidi="fa-IR"/>
        </w:rPr>
        <w:t xml:space="preserve">از بخارى برتر دانسته شده است، هرچند كه به‌عقيدۀ </w:t>
      </w:r>
    </w:p>
    <w:p>
      <w:p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تَرَكا كثيراً من الصَّحيح الَّذي حَفَظاه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اما عملاً به‌ديد مشهور اهل‌سنت، صحيح مسلم از نظر اعتبار، بعد از كتاب بخارى قرار دارد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نيز تعصّب و بى‌انصافى خودش را نتوانسته پنهان نمايد، وى گذشته ازكوتاهى‌هاى ديگر، در همان مقدمه كتابش اين تهمت بزرگ را به‌پيروان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مى‌بندد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الرافَضةَ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في السَّحاب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درحالى‌كه هيچ‌گاه شيعيان چنين ادعايى نكرده‌اند و چون آفتاب روشن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شقى‌ترين انسان در مسجد كوفه به‌درجه رفيع شهادت رسيد و در الغَرِى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به‌خاك سپرده شد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w:t>
      </w:r>
      <w:r>
        <w:rPr>
          <w:rStyle w:val="FootnoteAnchor"/>
          <w:rtl w:val="true"/>
        </w:rPr>
        <w:footnoteReference w:id="409"/>
      </w:r>
      <w:r>
        <w:rPr>
          <w:rFonts w:ascii="IRNazanin" w:hAnsi="IRNazanin" w:eastAsia="IRNazanin"/>
          <w:color w:val="111111"/>
          <w:sz w:val="28"/>
          <w:sz w:val="28"/>
          <w:szCs w:val="28"/>
          <w:rtl w:val="true"/>
          <w:lang w:bidi="fa-IR"/>
        </w:rPr>
        <w:t xml:space="preserve">ابى‌داود </w:t>
      </w:r>
      <w:r>
        <w:rPr>
          <w:rStyle w:val="FootnoteAnchor"/>
          <w:rtl w:val="true"/>
        </w:rPr>
        <w:footnoteReference w:id="410"/>
      </w:r>
      <w:r>
        <w:rPr>
          <w:rFonts w:ascii="Amiri" w:hAnsi="Amiri" w:eastAsia="Amiri" w:cs="Amiri"/>
          <w:color w:val="111111"/>
          <w:sz w:val="28"/>
          <w:sz w:val="28"/>
          <w:szCs w:val="28"/>
          <w:rtl w:val="true"/>
          <w:lang w:bidi="ar-SA"/>
        </w:rPr>
        <w:t>، حدود</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بامكررات</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به‌اعتقاد خطابى، كتابى است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يصنّف في علم الحديث مثل سنن ابي‌داود و هو أحسن وَصفاً و أكثر فقهاً من الصّحيحين</w:t>
      </w:r>
      <w:r>
        <w:rPr>
          <w:rFonts w:eastAsia="Amiri" w:cs="Amiri" w:ascii="Amiri" w:hAnsi="Amiri"/>
          <w:color w:val="111111"/>
          <w:sz w:val="28"/>
          <w:szCs w:val="28"/>
          <w:rtl w:val="true"/>
          <w:lang w:bidi="ar-SA"/>
        </w:rPr>
        <w:t xml:space="preserve">. . . » </w:t>
      </w:r>
      <w:r>
        <w:rPr>
          <w:rStyle w:val="FootnoteAnchor"/>
          <w:rtl w:val="true"/>
        </w:rPr>
        <w:footnoteReference w:id="412"/>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 xml:space="preserve">در آن، احاديث صحيح، حسن، لَين و شايسته براى عمل، گردآورى </w:t>
      </w:r>
      <w:r>
        <w:rPr>
          <w:rStyle w:val="FootnoteAnchor"/>
          <w:rtl w:val="true"/>
        </w:rPr>
        <w:footnoteReference w:id="413"/>
      </w:r>
      <w:r>
        <w:rPr>
          <w:rFonts w:ascii="Amiri" w:hAnsi="Amiri" w:eastAsia="Amiri" w:cs="Amiri"/>
          <w:color w:val="111111"/>
          <w:sz w:val="28"/>
          <w:sz w:val="28"/>
          <w:szCs w:val="28"/>
          <w:rtl w:val="true"/>
          <w:lang w:bidi="ar-SA"/>
        </w:rPr>
        <w:t xml:space="preserve">، و از نظر اعتبار، سومين مجموعۀ حديثى اهل سنت است </w:t>
      </w:r>
      <w:r>
        <w:rPr>
          <w:rStyle w:val="FootnoteAnchor"/>
          <w:rtl w:val="true"/>
        </w:rPr>
        <w:footnoteReference w:id="414"/>
      </w:r>
      <w:r>
        <w:rPr>
          <w:rFonts w:ascii="Amiri" w:hAnsi="Amiri" w:eastAsia="Amiri" w:cs="Amiri"/>
          <w:color w:val="111111"/>
          <w:sz w:val="28"/>
          <w:sz w:val="28"/>
          <w:szCs w:val="28"/>
          <w:rtl w:val="true"/>
          <w:lang w:bidi="ar-SA"/>
        </w:rPr>
        <w:t xml:space="preserve">، و هدف از تأليف آن، حصر احاديث الاحكام است </w:t>
      </w:r>
      <w:r>
        <w:rPr>
          <w:rStyle w:val="FootnoteAnchor"/>
          <w:rtl w:val="true"/>
        </w:rPr>
        <w:footnoteReference w:id="415"/>
      </w:r>
      <w:r>
        <w:rPr>
          <w:rFonts w:ascii="Amiri" w:hAnsi="Amiri" w:eastAsia="Amiri" w:cs="Amiri"/>
          <w:color w:val="111111"/>
          <w:sz w:val="28"/>
          <w:sz w:val="28"/>
          <w:szCs w:val="28"/>
          <w:rtl w:val="true"/>
          <w:lang w:bidi="ar-SA"/>
        </w:rPr>
        <w:t>، و به‌نقل از مؤلف 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وماذكرتُ في كتابي حديثاً إجتمع الناس على تركه </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و از نگاه روشى، اين كتاب و سنن نسائى به‌سه روش گرد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صحيحى كه در دو كتاب بخارى و مسلم عنوان شده، رواياتى كه مطابق شرايط </w:t>
      </w:r>
      <w:r>
        <w:rPr>
          <w:rStyle w:val="FootnoteAnchor"/>
          <w:rtl w:val="true"/>
        </w:rPr>
        <w:footnoteReference w:id="417"/>
      </w:r>
      <w:r>
        <w:rPr>
          <w:rFonts w:ascii="IRNazanin" w:hAnsi="IRNazanin" w:eastAsia="IRNazanin"/>
          <w:color w:val="111111"/>
          <w:sz w:val="28"/>
          <w:sz w:val="28"/>
          <w:szCs w:val="28"/>
          <w:rtl w:val="true"/>
          <w:lang w:bidi="fa-IR"/>
        </w:rPr>
        <w:t xml:space="preserve">آن دو، است هر چند كه آن دو بسيارى از احاديثى كه شرط مورد نظرش فراهم بوده نياورده‌اند و برابر با آن عمل نكرده‌اند </w:t>
      </w:r>
      <w:r>
        <w:rPr>
          <w:rStyle w:val="FootnoteAnchor"/>
          <w:rtl w:val="true"/>
        </w:rPr>
        <w:footnoteReference w:id="418"/>
      </w:r>
      <w:r>
        <w:rPr>
          <w:rFonts w:ascii="Amiri" w:hAnsi="Amiri" w:eastAsia="Amiri" w:cs="Amiri"/>
          <w:color w:val="111111"/>
          <w:sz w:val="28"/>
          <w:sz w:val="28"/>
          <w:szCs w:val="28"/>
          <w:rtl w:val="true"/>
          <w:lang w:bidi="ar-SA"/>
        </w:rPr>
        <w:t xml:space="preserve">، سوم رواياتى كه قطع به‌صحتش نداشته‌اند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ترمذى </w:t>
      </w:r>
      <w:r>
        <w:rPr>
          <w:rStyle w:val="FootnoteAnchor"/>
          <w:rtl w:val="true"/>
        </w:rPr>
        <w:footnoteReference w:id="420"/>
      </w:r>
      <w:r>
        <w:rPr>
          <w:rFonts w:ascii="Amiri" w:hAnsi="Amiri" w:eastAsia="Amiri" w:cs="Amiri"/>
          <w:color w:val="111111"/>
          <w:sz w:val="28"/>
          <w:sz w:val="28"/>
          <w:szCs w:val="28"/>
          <w:rtl w:val="true"/>
          <w:lang w:bidi="ar-SA"/>
        </w:rPr>
        <w:t xml:space="preserve">، با </w:t>
      </w: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چهارمين رتبه روايى نزذ اهل‌سنت را به‌خود اختصاص داده است</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به‌عقيده برخى، اين كتاب به‌خاطر وجود ضعف سند و احاديث غريب و منكر به‌ويژه در كتاب الفضائل، به‌درجۀ صحيح، نمى‌رسد </w:t>
      </w:r>
      <w:r>
        <w:rPr>
          <w:rStyle w:val="FootnoteAnchor"/>
          <w:rtl w:val="true"/>
        </w:rPr>
        <w:footnoteReference w:id="423"/>
      </w:r>
      <w:r>
        <w:rPr>
          <w:rFonts w:ascii="IRNazanin" w:hAnsi="IRNazanin" w:eastAsia="IRNazanin"/>
          <w:color w:val="111111"/>
          <w:sz w:val="28"/>
          <w:sz w:val="28"/>
          <w:szCs w:val="28"/>
          <w:rtl w:val="true"/>
          <w:lang w:bidi="fa-IR"/>
        </w:rPr>
        <w:t xml:space="preserve">ابن‌كثير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ردّ ديدگاه حاكم و خطيب كه سنن‌التّرمذى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هذا تساهل منهما، فإنّ فيه أحاديث كثيرة منكرة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ترمذى نخستين كسى است كه روايات را به‌صحيح و حسن و ضعيف تقسيم كرد </w:t>
      </w:r>
      <w:r>
        <w:rPr>
          <w:rStyle w:val="FootnoteAnchor"/>
          <w:rtl w:val="true"/>
        </w:rPr>
        <w:footnoteReference w:id="425"/>
      </w:r>
      <w:r>
        <w:rPr>
          <w:rFonts w:ascii="IRNazanin" w:hAnsi="IRNazanin" w:eastAsia="IRNazanin"/>
          <w:color w:val="111111"/>
          <w:sz w:val="28"/>
          <w:sz w:val="28"/>
          <w:szCs w:val="28"/>
          <w:rtl w:val="true"/>
          <w:lang w:bidi="fa-IR"/>
        </w:rPr>
        <w:t>، و هدف او، در اين كتاب گردآورى احاديث در باب فنون صناعت جديدى است كه در غير آن موجود نيست</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نسائى </w:t>
      </w:r>
      <w:r>
        <w:rPr>
          <w:rStyle w:val="FootnoteAnchor"/>
          <w:rtl w:val="true"/>
        </w:rPr>
        <w:footnoteReference w:id="427"/>
      </w:r>
      <w:r>
        <w:rPr>
          <w:rFonts w:ascii="Amiri" w:hAnsi="Amiri" w:eastAsia="Amiri" w:cs="Amiri"/>
          <w:color w:val="111111"/>
          <w:sz w:val="28"/>
          <w:sz w:val="28"/>
          <w:szCs w:val="28"/>
          <w:rtl w:val="true"/>
          <w:lang w:bidi="ar-SA"/>
        </w:rPr>
        <w:t>، با</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w:t>
      </w: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پنجمين رتبۀ روايى اهل سنت است</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و در مورد اين كتاب دو ديد متفاوت وجود دارد؛ برخى براين باورند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النّسائي أبدع الكتب المصنّفة في السُّنن تصنيفاً وأحسنها ترصيفاً </w:t>
      </w:r>
      <w:r>
        <w:rPr>
          <w:rFonts w:eastAsia="Amiri" w:cs="Amiri" w:ascii="Amiri" w:hAnsi="Amiri"/>
          <w:color w:val="111111"/>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 و اين كتاب را جامع ميان روش بخارى و مسلم با بهرۀ بيشتر در بيان علل حديث، قلمداد نموده‌اند و آن را بعد از بخارى و مسلم كتابى، داراى كمترين ضعف حديث و مجروح رجالى و همسنگ ابى‌داود و ترمذى و در مقابل سنن ابن‌ماجه برشمرده‌اند </w:t>
      </w:r>
      <w:r>
        <w:rPr>
          <w:rStyle w:val="FootnoteAnchor"/>
          <w:rtl w:val="true"/>
        </w:rPr>
        <w:footnoteReference w:id="431"/>
      </w:r>
      <w:r>
        <w:rPr>
          <w:rFonts w:ascii="Amiri" w:hAnsi="Amiri" w:eastAsia="Amiri" w:cs="Amiri"/>
          <w:color w:val="111111"/>
          <w:sz w:val="28"/>
          <w:sz w:val="28"/>
          <w:szCs w:val="28"/>
          <w:rtl w:val="true"/>
          <w:lang w:bidi="ar-SA"/>
        </w:rPr>
        <w:t>و از نسائى نقل شده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عَزَمتُ على جَمع السُّنن، استخرتُ اللهَ تعالى في الرواية عن شُيوخ كان في القلب منهم بعض الشئ، فوقعت الخِيرة على تركهم، فتركتُ جملة من الحديث كنتُ أعلم انها منها</w:t>
      </w:r>
      <w:r>
        <w:rPr>
          <w:rFonts w:eastAsia="Amiri" w:cs="Amiri" w:ascii="Amiri" w:hAnsi="Amiri"/>
          <w:color w:val="111111"/>
          <w:sz w:val="28"/>
          <w:szCs w:val="28"/>
          <w:rtl w:val="true"/>
          <w:lang w:bidi="ar-SA"/>
        </w:rPr>
        <w:t xml:space="preserve">! » </w:t>
      </w:r>
      <w:r>
        <w:rPr>
          <w:rStyle w:val="FootnoteAnchor"/>
          <w:rtl w:val="true"/>
        </w:rPr>
        <w:footnoteReference w:id="432"/>
      </w:r>
      <w:r>
        <w:rPr>
          <w:rFonts w:ascii="Amiri" w:hAnsi="Amiri" w:eastAsia="Amiri" w:cs="Amiri"/>
          <w:color w:val="111111"/>
          <w:sz w:val="28"/>
          <w:sz w:val="28"/>
          <w:szCs w:val="28"/>
          <w:rtl w:val="true"/>
          <w:lang w:bidi="ar-SA"/>
        </w:rPr>
        <w:t xml:space="preserve">، و به‌همين جهت شرط نسائى براى نقل حديث را سخت‌تر از شرط بخارى و مسلم دانسته‌اند </w:t>
      </w:r>
      <w:r>
        <w:rPr>
          <w:rStyle w:val="FootnoteAnchor"/>
          <w:rtl w:val="true"/>
        </w:rPr>
        <w:footnoteReference w:id="433"/>
      </w:r>
      <w:r>
        <w:rPr>
          <w:rFonts w:ascii="IRNazanin" w:hAnsi="IRNazanin" w:eastAsia="IRNazanin"/>
          <w:color w:val="111111"/>
          <w:sz w:val="28"/>
          <w:sz w:val="28"/>
          <w:szCs w:val="28"/>
          <w:rtl w:val="true"/>
          <w:lang w:bidi="fa-IR"/>
        </w:rPr>
        <w:t xml:space="preserve">اما در مقابل، ابن كثير، در پاسخ ابى‌على‌بن‌السكن و خطيب بغدادى كه سنن نسائى را صحيح </w:t>
      </w:r>
    </w:p>
    <w:p>
      <w:pPr>
        <w:pStyle w:val="BookText"/>
        <w:rPr/>
      </w:pPr>
      <w:r>
        <w:rPr>
          <w:rFonts w:ascii="IRNazanin" w:hAnsi="IRNazanin" w:eastAsia="IRNazanin"/>
          <w:color w:val="111111"/>
          <w:sz w:val="28"/>
          <w:sz w:val="28"/>
          <w:szCs w:val="28"/>
          <w:rtl w:val="true"/>
          <w:lang w:bidi="fa-IR"/>
        </w:rPr>
        <w:t>دانسته‌اند،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رجالاً مجهولين إمّا عيناً أو حالاً، و فيهم المجروح و فيه أحاديث ضعيفة و معللة و منكرة </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اين كتاب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السنن‌الكبرى </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نيز مشهور است وقتى او كتابش را به‌حاكم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كرد، حاكم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 كتاب صحيح است؟ وقتى از نسائى پاسخ منفى شنيد، دستور داد آن را از احاديث ضعيف تجريد كند، نسائى به‌دستور او عمل نموده و اسم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پس از آن، صحيح نسائى، بر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سنن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 مى‌رود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سنن سه‌گانه‌اى كه اشاره شد </w:t>
      </w:r>
      <w:r>
        <w:rPr>
          <w:rStyle w:val="FootnoteAnchor"/>
          <w:rtl w:val="true"/>
        </w:rPr>
        <w:footnoteReference w:id="437"/>
      </w:r>
      <w:r>
        <w:rPr>
          <w:rFonts w:ascii="Amiri" w:hAnsi="Amiri" w:eastAsia="Amiri" w:cs="Amiri"/>
          <w:color w:val="111111"/>
          <w:sz w:val="28"/>
          <w:sz w:val="28"/>
          <w:szCs w:val="28"/>
          <w:rtl w:val="true"/>
          <w:lang w:bidi="ar-SA"/>
        </w:rPr>
        <w:t>، اين عبارت نيز از زركشى نقل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الكتب الثّلاثة صحاحاً، اِمّا باعتبار الأغلب، لِانّ غالبها الصّحاح و الحسان و هي ملحقة بالصّحاح، والضعيف منها ربّما إلتَحَق بالحسن، فإطلاق الصّحة عليها من باب التغليب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سنن‌ابن‌ماجه، از</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مكرر</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 شكل گرفته است كه از اين تعداد، </w:t>
      </w:r>
      <w:r>
        <w:rPr>
          <w:rFonts w:eastAsia="IRNazanin" w:cs="IRNazanin"/>
          <w:color w:val="111111"/>
          <w:sz w:val="28"/>
          <w:szCs w:val="28"/>
          <w:lang w:bidi="fa-IR"/>
        </w:rPr>
        <w:t>3</w:t>
      </w:r>
      <w:r>
        <w:rPr>
          <w:rFonts w:ascii="IRNazanin" w:hAnsi="IRNazanin" w:eastAsia="IRNazanin"/>
          <w:color w:val="111111"/>
          <w:sz w:val="28"/>
          <w:sz w:val="28"/>
          <w:szCs w:val="28"/>
          <w:lang w:bidi="fa-IR"/>
        </w:rPr>
        <w:t>٠٠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آن در همه يا برخى كتاب‌هاى پنجگانۀ ديگر نيز عنوان شده و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آن در كتاب‌هاى ديگر موجود نيست كه از اين تعداد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با اسناد صحيح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 اسناد واهى و منكر و</w:t>
      </w:r>
      <w:r>
        <w:rPr>
          <w:rFonts w:eastAsia="IRNazanin" w:cs="IRNazanin"/>
          <w:color w:val="111111"/>
          <w:sz w:val="28"/>
          <w:szCs w:val="28"/>
          <w:lang w:bidi="fa-IR"/>
        </w:rPr>
        <w:t>613</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با اسناد ضعيف است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اين كتاب جزء صحاح ستّه اهل سنت محسوب است يا </w:t>
      </w:r>
      <w:bookmarkStart w:id="148" w:name="pg1976_27755"/>
    </w:p>
    <w:p>
      <w:pPr>
        <w:pStyle w:val="BookText"/>
        <w:rPr/>
      </w:pPr>
      <w:bookmarkEnd w:id="148"/>
      <w:r>
        <w:rPr>
          <w:rFonts w:ascii="IRNazanin" w:hAnsi="IRNazanin" w:eastAsia="IRNazanin"/>
          <w:color w:val="111111"/>
          <w:sz w:val="28"/>
          <w:sz w:val="28"/>
          <w:szCs w:val="28"/>
          <w:rtl w:val="true"/>
          <w:lang w:bidi="fa-IR"/>
        </w:rPr>
        <w:t xml:space="preserve">نه؟ </w:t>
      </w:r>
      <w:r>
        <w:rPr>
          <w:rStyle w:val="FootnoteAnchor"/>
          <w:rtl w:val="true"/>
        </w:rPr>
        <w:footnoteReference w:id="441"/>
      </w:r>
      <w:r>
        <w:rPr>
          <w:rFonts w:ascii="Amiri" w:hAnsi="Amiri" w:eastAsia="Amiri" w:cs="Amiri"/>
          <w:color w:val="111111"/>
          <w:sz w:val="28"/>
          <w:sz w:val="28"/>
          <w:szCs w:val="28"/>
          <w:rtl w:val="true"/>
          <w:lang w:bidi="ar-SA"/>
        </w:rPr>
        <w:t xml:space="preserve">، نظر واحدى وجود ندارد؛ برخى آن را در مرتبۀ صحاح نمى‌شمارند ولى اكثر متأخرين آن را از صحاح مى‌دانند </w:t>
      </w:r>
      <w:r>
        <w:rPr>
          <w:rStyle w:val="FootnoteAnchor"/>
          <w:rtl w:val="true"/>
        </w:rPr>
        <w:footnoteReference w:id="442"/>
      </w:r>
      <w:r>
        <w:rPr>
          <w:rFonts w:ascii="IRNazanin" w:hAnsi="IRNazanin" w:eastAsia="IRNazanin"/>
          <w:color w:val="111111"/>
          <w:sz w:val="28"/>
          <w:sz w:val="28"/>
          <w:szCs w:val="28"/>
          <w:rtl w:val="true"/>
          <w:lang w:bidi="fa-IR"/>
        </w:rPr>
        <w:t xml:space="preserve">، غالب نويسندگان مالكى به‌جاى اين كتاب، موطأ ابن‌مالك را جزء صحاح ستّه مى‌آورند </w:t>
      </w:r>
      <w:r>
        <w:rPr>
          <w:rStyle w:val="FootnoteAnchor"/>
          <w:rtl w:val="true"/>
        </w:rPr>
        <w:footnoteReference w:id="443"/>
      </w:r>
      <w:r>
        <w:rPr>
          <w:rFonts w:ascii="Amiri" w:hAnsi="Amiri" w:eastAsia="Amiri" w:cs="Amiri"/>
          <w:color w:val="111111"/>
          <w:sz w:val="28"/>
          <w:sz w:val="28"/>
          <w:szCs w:val="28"/>
          <w:rtl w:val="true"/>
          <w:lang w:bidi="ar-SA"/>
        </w:rPr>
        <w:t>، و سِندى اين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فيه بإخراج أحاديث عن رجال متّهمين بالكذب و سرقة الحديث، و بعض تلك الأحاديث لا تعرف إلاّ من جهتهم مثل حبيب بن ابي‌حبيب كاتب مالك </w:t>
      </w:r>
      <w:r>
        <w:rPr>
          <w:rFonts w:eastAsia="Amiri" w:cs="Amiri" w:ascii="Amiri" w:hAnsi="Amiri"/>
          <w:color w:val="111111"/>
          <w:sz w:val="28"/>
          <w:szCs w:val="28"/>
          <w:rtl w:val="true"/>
          <w:lang w:bidi="ar-SA"/>
        </w:rPr>
        <w:t xml:space="preserve">. . .» </w:t>
      </w:r>
      <w:r>
        <w:rPr>
          <w:rStyle w:val="FootnoteAnchor"/>
          <w:rtl w:val="true"/>
        </w:rPr>
        <w:footnoteReference w:id="444"/>
      </w:r>
      <w:r>
        <w:rPr>
          <w:rFonts w:ascii="Amiri" w:hAnsi="Amiri" w:eastAsia="Amiri" w:cs="Amiri"/>
          <w:color w:val="111111"/>
          <w:sz w:val="28"/>
          <w:sz w:val="28"/>
          <w:szCs w:val="28"/>
          <w:rtl w:val="true"/>
          <w:lang w:bidi="ar-SA"/>
        </w:rPr>
        <w:t>را، در مورد ابن‌ماجه به‌كار مى‌برد</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3766943_3650668749"/>
      <w:bookmarkStart w:id="150" w:name="_Toc50"/>
      <w:bookmarkEnd w:id="149"/>
      <w:r>
        <w:rPr>
          <w:rtl w:val="true"/>
        </w:rPr>
        <w:t>نتيجه‌گيرى</w:t>
      </w:r>
      <w:bookmarkEnd w:id="15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كه كافى و مؤلف آن، مورد تأييد قاطبة فقها و صاحب نظران اماميه است ولى كسى مدعى نيست كه همۀ شانزده‌هزار حديث آن، قطعى‌الصّدور و صحيح به‌اصطلاح متأخران اماميه است، گرچه نزد خود كلينى، اين كتاب با معيار صحيح به‌اصطلاح قدما برابر است؛ اما مجموعه‌هاى حديثى اهل‌سنت با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يافته‌اند، گذشته از چالش‌هايى كه اشاره شد، ابوريه در يك جمع‌بندى كلى، بعد از تقسيم حديث آحاد به‌صحيح، حسن، و ضعيف، كتاب‌هاى مشهور اهل‌سنّت چون بخارى، مسلم، ابوداود، ترمذى و نسايى را، از اين اقسام سه‌گانه خارج نمى‌داند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ابن‌كثير نيز در ردّ ديدگاه اغراق‌آميز ابى‌طاهر السّلفى، مبنى بر اينكه علماى مشرق و مغرب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خمسه به‌جز سنن ابن‌ماجه اتفاق نظر دارند،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تَسَاهُلٌ و قد أنكَرَه ابن الصّلاح وغيره </w:t>
      </w:r>
      <w:r>
        <w:rPr>
          <w:rFonts w:eastAsia="IRNazanin" w:cs="IRNazanin"/>
          <w:color w:val="111111"/>
          <w:sz w:val="28"/>
          <w:szCs w:val="28"/>
          <w:rtl w:val="true"/>
          <w:lang w:bidi="fa-IR"/>
        </w:rPr>
        <w:t xml:space="preserve">. . .»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976_27759"/>
      <w:bookmarkStart w:id="152" w:name="pg1976_27759"/>
      <w:bookmarkEnd w:id="152"/>
    </w:p>
    <w:p>
      <w:pPr>
        <w:pStyle w:val="Heading2"/>
        <w:numPr>
          <w:ilvl w:val="1"/>
          <w:numId w:val="1"/>
        </w:numPr>
        <w:rPr/>
      </w:pPr>
      <w:bookmarkStart w:id="153" w:name="pg1976_27759"/>
      <w:bookmarkStart w:id="154" w:name="__RefHeading___Toc3766945_3650668749"/>
      <w:bookmarkStart w:id="155" w:name="_Toc51"/>
      <w:bookmarkEnd w:id="153"/>
      <w:bookmarkEnd w:id="154"/>
      <w:r>
        <w:rPr>
          <w:rtl w:val="true"/>
        </w:rPr>
        <w:t>بخش دوم</w:t>
      </w:r>
      <w:r>
        <w:rPr>
          <w:rtl w:val="true"/>
        </w:rPr>
        <w:t xml:space="preserve">: </w:t>
      </w:r>
      <w:r>
        <w:rPr>
          <w:rtl w:val="true"/>
        </w:rPr>
        <w:t>نقل و نقد اشكالات بر اسناد كافى</w:t>
      </w:r>
      <w:bookmarkEnd w:id="15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3766947_3650668749"/>
      <w:bookmarkStart w:id="157" w:name="_Toc52"/>
      <w:bookmarkEnd w:id="156"/>
      <w:r>
        <w:rPr>
          <w:rtl w:val="true"/>
        </w:rPr>
        <w:t>اشاره</w:t>
      </w:r>
      <w:bookmarkEnd w:id="15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976_27763"/>
      <w:bookmarkStart w:id="159" w:name="pg1976_27763"/>
      <w:bookmarkEnd w:id="159"/>
    </w:p>
    <w:p>
      <w:pPr>
        <w:pStyle w:val="Heading3"/>
        <w:numPr>
          <w:ilvl w:val="2"/>
          <w:numId w:val="1"/>
        </w:numPr>
        <w:rPr/>
      </w:pPr>
      <w:bookmarkStart w:id="160" w:name="pg1976_27763"/>
      <w:bookmarkStart w:id="161" w:name="__RefHeading___Toc3766949_3650668749"/>
      <w:bookmarkStart w:id="162" w:name="_Toc53"/>
      <w:bookmarkEnd w:id="160"/>
      <w:bookmarkEnd w:id="161"/>
      <w:r>
        <w:rPr>
          <w:rtl w:val="true"/>
        </w:rPr>
        <w:t>آغاز</w:t>
      </w:r>
      <w:bookmarkEnd w:id="162"/>
    </w:p>
    <w:p>
      <w:pPr>
        <w:pStyle w:val="BookText"/>
        <w:rPr/>
      </w:pPr>
      <w:r>
        <w:rPr>
          <w:rFonts w:ascii="IRNazanin" w:hAnsi="IRNazanin" w:eastAsia="IRNazanin"/>
          <w:color w:val="111111"/>
          <w:sz w:val="28"/>
          <w:sz w:val="28"/>
          <w:szCs w:val="28"/>
          <w:rtl w:val="true"/>
          <w:lang w:bidi="fa-IR"/>
        </w:rPr>
        <w:t>با روشن شدن جايگاه كتاب كافى و مقايسۀ آن با منابع روايى اهل سنت به‌ويژه صحيح بخارى، در اين بخش سعى بر آن است كه انگيزه‌ها و اشكالات وهابيان بر اسناد كتاب كافى را در چند محور، مورد بررسى ونقد قرار داده وكوتاه‌ترين پاسخ‌ها را، با استفاده از منابع مختلف، ارائه دهيم</w:t>
      </w:r>
      <w:r>
        <w:rPr>
          <w:rFonts w:eastAsia="IRNazanin" w:cs="IRNazanin"/>
          <w:color w:val="111111"/>
          <w:sz w:val="28"/>
          <w:szCs w:val="28"/>
          <w:rtl w:val="true"/>
          <w:lang w:bidi="fa-IR"/>
        </w:rPr>
        <w:t>:</w:t>
      </w:r>
    </w:p>
    <w:p>
      <w:pPr>
        <w:pStyle w:val="Heading3"/>
        <w:numPr>
          <w:ilvl w:val="2"/>
          <w:numId w:val="1"/>
        </w:numPr>
        <w:rPr/>
      </w:pPr>
      <w:bookmarkStart w:id="163" w:name="__RefHeading___Toc3766951_3650668749"/>
      <w:bookmarkStart w:id="164" w:name="_Toc54"/>
      <w:bookmarkEnd w:id="163"/>
      <w:r>
        <w:rPr>
          <w:rtl w:val="true"/>
        </w:rPr>
        <w:t>فصل اول</w:t>
      </w:r>
      <w:r>
        <w:rPr>
          <w:rtl w:val="true"/>
        </w:rPr>
        <w:t xml:space="preserve">: </w:t>
      </w:r>
      <w:r>
        <w:rPr>
          <w:rtl w:val="true"/>
        </w:rPr>
        <w:t>انگيزه‌ها و اشكالات وهابى‌ها بر كافى</w:t>
      </w:r>
      <w:bookmarkEnd w:id="164"/>
    </w:p>
    <w:p>
      <w:pPr>
        <w:pStyle w:val="Heading4"/>
        <w:numPr>
          <w:ilvl w:val="3"/>
          <w:numId w:val="1"/>
        </w:numPr>
        <w:rPr/>
      </w:pPr>
      <w:bookmarkStart w:id="165" w:name="__RefHeading___Toc3766953_3650668749"/>
      <w:bookmarkStart w:id="166" w:name="_Toc55"/>
      <w:bookmarkEnd w:id="165"/>
      <w:r>
        <w:rPr>
          <w:rtl w:val="true"/>
        </w:rPr>
        <w:t>گفتار اول</w:t>
      </w:r>
      <w:r>
        <w:rPr>
          <w:rtl w:val="true"/>
        </w:rPr>
        <w:t xml:space="preserve">: </w:t>
      </w:r>
      <w:r>
        <w:rPr>
          <w:rtl w:val="true"/>
        </w:rPr>
        <w:t>انگيزه‌هاى وهابيان از نقد بر اصول كافى</w:t>
      </w:r>
      <w:bookmarkEnd w:id="166"/>
    </w:p>
    <w:p>
      <w:pPr>
        <w:pStyle w:val="Heading5"/>
        <w:numPr>
          <w:ilvl w:val="4"/>
          <w:numId w:val="1"/>
        </w:numPr>
        <w:rPr/>
      </w:pPr>
      <w:bookmarkStart w:id="167" w:name="__RefHeading___Toc3766955_3650668749"/>
      <w:bookmarkStart w:id="168" w:name="_Toc56"/>
      <w:bookmarkEnd w:id="167"/>
      <w:r>
        <w:rPr>
          <w:rtl w:val="true"/>
        </w:rPr>
        <w:t>اشاره</w:t>
      </w:r>
      <w:bookmarkEnd w:id="16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سؤال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كتاب، در حالى‌كه بايد جزء افتخارات مكتب اسلام و از ناب‌ترين مصاديق تمدن و فرهنگ غنى مسلمانان محسوب گردد، مورد بى‌مهرى وهابى‌ها قرار مى‌گيرد و آن را از جهات مختلف به‌چالش مى‌كشند؟ انگيزه‌هاى اين حركت تخريبى چيست و چرا هر سال كتاب‌هايى كه حاوى </w:t>
      </w:r>
      <w:r>
        <w:rPr>
          <w:rStyle w:val="FootnoteAnchor"/>
          <w:rtl w:val="true"/>
        </w:rPr>
        <w:footnoteReference w:id="447"/>
      </w:r>
      <w:r>
        <w:rPr>
          <w:rFonts w:ascii="Amiri" w:hAnsi="Amiri" w:eastAsia="Amiri" w:cs="Amiri"/>
          <w:color w:val="111111"/>
          <w:sz w:val="28"/>
          <w:sz w:val="28"/>
          <w:szCs w:val="28"/>
          <w:rtl w:val="true"/>
          <w:lang w:bidi="ar-SA"/>
        </w:rPr>
        <w:t xml:space="preserve">نقد اين كتاب است وارد </w:t>
      </w:r>
      <w:bookmarkStart w:id="169" w:name="pg1976_27765"/>
    </w:p>
    <w:p>
      <w:pPr>
        <w:pStyle w:val="BookText"/>
        <w:rPr/>
      </w:pPr>
      <w:bookmarkEnd w:id="169"/>
      <w:r>
        <w:rPr>
          <w:rFonts w:ascii="IRNazanin" w:hAnsi="IRNazanin" w:eastAsia="IRNazanin"/>
          <w:color w:val="111111"/>
          <w:sz w:val="28"/>
          <w:sz w:val="28"/>
          <w:szCs w:val="28"/>
          <w:rtl w:val="true"/>
          <w:lang w:bidi="fa-IR"/>
        </w:rPr>
        <w:t>بازار مى‌گردد؟ از لابلاى كتاب‌هاى ارائه شده از سوى وهابى‌ها، انگيزه‌هاى زير، سبب اين همه تهاجم تخريبى شده است</w:t>
      </w:r>
      <w:r>
        <w:rPr>
          <w:rFonts w:eastAsia="IRNazanin" w:cs="IRNazanin"/>
          <w:color w:val="111111"/>
          <w:sz w:val="28"/>
          <w:szCs w:val="28"/>
          <w:rtl w:val="true"/>
          <w:lang w:bidi="fa-IR"/>
        </w:rPr>
        <w:t>:</w:t>
      </w:r>
    </w:p>
    <w:p>
      <w:pPr>
        <w:pStyle w:val="Heading5"/>
        <w:numPr>
          <w:ilvl w:val="4"/>
          <w:numId w:val="1"/>
        </w:numPr>
        <w:rPr/>
      </w:pPr>
      <w:bookmarkStart w:id="170" w:name="__RefHeading___Toc3766957_3650668749"/>
      <w:bookmarkStart w:id="171" w:name="_Toc57"/>
      <w:bookmarkEnd w:id="170"/>
      <w:r>
        <w:rPr/>
        <w:t>١</w:t>
      </w:r>
      <w:r>
        <w:rPr>
          <w:rtl w:val="true"/>
        </w:rPr>
        <w:t xml:space="preserve">. </w:t>
      </w:r>
      <w:r>
        <w:rPr>
          <w:rtl w:val="true"/>
        </w:rPr>
        <w:t>اهميت كافى در ميان كتاب‌هاى روايى</w:t>
      </w:r>
      <w:bookmarkEnd w:id="17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كافى، در عرصه‌هاى فرهنگى و تمدن پرآوازۀ اسلام، از جهات گردآورى </w:t>
      </w:r>
      <w:r>
        <w:rPr>
          <w:rStyle w:val="FootnoteAnchor"/>
          <w:rtl w:val="true"/>
        </w:rPr>
        <w:footnoteReference w:id="448"/>
      </w:r>
      <w:r>
        <w:rPr>
          <w:rFonts w:ascii="IRNazanin" w:hAnsi="IRNazanin" w:eastAsia="IRNazanin"/>
          <w:color w:val="111111"/>
          <w:sz w:val="28"/>
          <w:sz w:val="28"/>
          <w:szCs w:val="28"/>
          <w:rtl w:val="true"/>
          <w:lang w:bidi="fa-IR"/>
        </w:rPr>
        <w:t xml:space="preserve">، زمانى </w:t>
      </w:r>
      <w:r>
        <w:rPr>
          <w:rStyle w:val="FootnoteAnchor"/>
          <w:rtl w:val="true"/>
        </w:rPr>
        <w:footnoteReference w:id="449"/>
      </w:r>
      <w:r>
        <w:rPr>
          <w:rFonts w:ascii="Amiri" w:hAnsi="Amiri" w:eastAsia="Amiri" w:cs="Amiri"/>
          <w:color w:val="111111"/>
          <w:sz w:val="28"/>
          <w:sz w:val="28"/>
          <w:szCs w:val="28"/>
          <w:rtl w:val="true"/>
          <w:lang w:bidi="ar-SA"/>
        </w:rPr>
        <w:t xml:space="preserve">، مكانى </w:t>
      </w:r>
      <w:r>
        <w:rPr>
          <w:rStyle w:val="FootnoteAnchor"/>
          <w:rtl w:val="true"/>
        </w:rPr>
        <w:footnoteReference w:id="450"/>
      </w:r>
      <w:r>
        <w:rPr>
          <w:rFonts w:ascii="Amiri" w:hAnsi="Amiri" w:eastAsia="Amiri" w:cs="Amiri"/>
          <w:color w:val="111111"/>
          <w:sz w:val="28"/>
          <w:sz w:val="28"/>
          <w:szCs w:val="28"/>
          <w:rtl w:val="true"/>
          <w:lang w:bidi="ar-SA"/>
        </w:rPr>
        <w:t xml:space="preserve">، كيفى </w:t>
      </w:r>
      <w:r>
        <w:rPr>
          <w:rStyle w:val="FootnoteAnchor"/>
          <w:rtl w:val="true"/>
        </w:rPr>
        <w:footnoteReference w:id="451"/>
      </w:r>
      <w:r>
        <w:rPr>
          <w:rFonts w:ascii="Amiri" w:hAnsi="Amiri" w:eastAsia="Amiri" w:cs="Amiri"/>
          <w:color w:val="111111"/>
          <w:sz w:val="28"/>
          <w:sz w:val="28"/>
          <w:szCs w:val="28"/>
          <w:rtl w:val="true"/>
          <w:lang w:bidi="ar-SA"/>
        </w:rPr>
        <w:t xml:space="preserve">، وكمّى </w:t>
      </w:r>
      <w:r>
        <w:rPr>
          <w:rStyle w:val="FootnoteAnchor"/>
          <w:rtl w:val="true"/>
        </w:rPr>
        <w:footnoteReference w:id="452"/>
      </w:r>
      <w:r>
        <w:rPr>
          <w:rFonts w:ascii="IRNazanin" w:hAnsi="IRNazanin" w:eastAsia="IRNazanin"/>
          <w:color w:val="111111"/>
          <w:sz w:val="28"/>
          <w:sz w:val="28"/>
          <w:szCs w:val="28"/>
          <w:rtl w:val="true"/>
          <w:lang w:bidi="fa-IR"/>
        </w:rPr>
        <w:t xml:space="preserve">، در ميان علماى اماميه از جايگاه ارزشمندى برخوردار است </w:t>
      </w:r>
      <w:r>
        <w:rPr>
          <w:rStyle w:val="FootnoteAnchor"/>
          <w:rtl w:val="true"/>
        </w:rPr>
        <w:footnoteReference w:id="453"/>
      </w:r>
      <w:r>
        <w:rPr>
          <w:rFonts w:ascii="IRNazanin" w:hAnsi="IRNazanin" w:eastAsia="IRNazanin"/>
          <w:color w:val="111111"/>
          <w:sz w:val="28"/>
          <w:sz w:val="28"/>
          <w:szCs w:val="28"/>
          <w:rtl w:val="true"/>
          <w:lang w:bidi="fa-IR"/>
        </w:rPr>
        <w:t xml:space="preserve">چنانچه در منابع مختلف وهابى‌ها پس از نام‌بردن كتاب كافى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أهم كتاب‌هاى حديثى نزد شيعه</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كتاب حديثى</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موثّق‌ترين كتاب‌هاى چهارگانه شيعه</w:t>
      </w:r>
      <w:r>
        <w:rPr>
          <w:rFonts w:eastAsia="IRNazanin" w:cs="IRNazanin"/>
          <w:color w:val="111111"/>
          <w:sz w:val="28"/>
          <w:szCs w:val="28"/>
          <w:rtl w:val="true"/>
          <w:lang w:bidi="fa-IR"/>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عرضه شده بر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وكافى براى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به‌منزله صحيح بخارى نزد اهل‌سّنت، مؤمن بودن به‌نصّ آن </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صحيح‌ترين كتاب‌هاى هشتگانه نزد شيعه</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 برشمرده و از اهميت آن پرده برمى‌دارند؛ هر چند كه تعابير ياد شده را از منابع شيعه بازگو مى‌كنند، ولى بزرگى و عظمت كافى از نگاه فرهيختگان شيعه را براى اهل سنّت به‌طور عموم و وهابى‌ها به‌طور ويژه، كه صحيح بخارى را بى‌بديل‌ترين كتاب </w:t>
      </w:r>
      <w:bookmarkStart w:id="172" w:name="pg1976_27767"/>
    </w:p>
    <w:p>
      <w:pPr>
        <w:pStyle w:val="BookText"/>
        <w:rPr/>
      </w:pPr>
      <w:bookmarkEnd w:id="172"/>
      <w:r>
        <w:rPr>
          <w:rFonts w:ascii="IRNazanin" w:hAnsi="IRNazanin" w:eastAsia="IRNazanin"/>
          <w:color w:val="111111"/>
          <w:sz w:val="28"/>
          <w:sz w:val="28"/>
          <w:szCs w:val="28"/>
          <w:rtl w:val="true"/>
          <w:lang w:bidi="fa-IR"/>
        </w:rPr>
        <w:t xml:space="preserve">پس از قرآن مى‌شمارند </w:t>
      </w:r>
      <w:r>
        <w:rPr>
          <w:rStyle w:val="FootnoteAnchor"/>
          <w:rtl w:val="true"/>
        </w:rPr>
        <w:footnoteReference w:id="459"/>
      </w:r>
      <w:r>
        <w:rPr>
          <w:rFonts w:ascii="IRNazanin" w:hAnsi="IRNazanin" w:eastAsia="IRNazanin"/>
          <w:color w:val="111111"/>
          <w:sz w:val="28"/>
          <w:sz w:val="28"/>
          <w:szCs w:val="28"/>
          <w:rtl w:val="true"/>
          <w:lang w:bidi="fa-IR"/>
        </w:rPr>
        <w:t>، غير قابل باور مى‌سازد و پذيرفتن كتابى فراتر از بخارى را غيرمنطقى و ناممكن مى‌دانند</w:t>
      </w:r>
      <w:r>
        <w:rPr>
          <w:rFonts w:eastAsia="IRNazanin" w:cs="IRNazanin"/>
          <w:color w:val="111111"/>
          <w:sz w:val="28"/>
          <w:szCs w:val="28"/>
          <w:rtl w:val="true"/>
          <w:lang w:bidi="fa-IR"/>
        </w:rPr>
        <w:t>!</w:t>
      </w:r>
    </w:p>
    <w:p>
      <w:pPr>
        <w:pStyle w:val="Heading5"/>
        <w:numPr>
          <w:ilvl w:val="4"/>
          <w:numId w:val="1"/>
        </w:numPr>
        <w:rPr/>
      </w:pPr>
      <w:bookmarkStart w:id="173" w:name="__RefHeading___Toc3766959_3650668749"/>
      <w:bookmarkStart w:id="174" w:name="_Toc58"/>
      <w:bookmarkEnd w:id="173"/>
      <w:r>
        <w:rPr/>
        <w:t>٢</w:t>
      </w:r>
      <w:r>
        <w:rPr>
          <w:rtl w:val="true"/>
        </w:rPr>
        <w:t xml:space="preserve">. </w:t>
      </w:r>
      <w:r>
        <w:rPr>
          <w:rtl w:val="true"/>
        </w:rPr>
        <w:t>ناسازگارى با اعتقاد وهابى‌ها</w:t>
      </w:r>
      <w:bookmarkEnd w:id="174"/>
    </w:p>
    <w:p>
      <w:pPr>
        <w:pStyle w:val="BookText"/>
        <w:rPr/>
      </w:pPr>
      <w:r>
        <w:rPr>
          <w:rFonts w:ascii="IRNazanin" w:hAnsi="IRNazanin" w:eastAsia="IRNazanin"/>
          <w:color w:val="111111"/>
          <w:sz w:val="28"/>
          <w:sz w:val="28"/>
          <w:szCs w:val="28"/>
          <w:rtl w:val="true"/>
          <w:lang w:bidi="fa-IR"/>
        </w:rPr>
        <w:t xml:space="preserve">ناسازگارى روايات كافى با مبانى اعتقادى آنان يكى ديگر از انگيزه‌هاى اشكالات وهابى‌ها بر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كتاب‌الحجّه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آنان كافى را به‌خاطر ظاهر عناوينى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أئمه وَجهُ‌الله</w:t>
      </w:r>
      <w:r>
        <w:rPr>
          <w:rFonts w:eastAsia="IRNazanin" w:cs="IRNazanin"/>
          <w:color w:val="111111"/>
          <w:sz w:val="28"/>
          <w:szCs w:val="28"/>
          <w:rtl w:val="true"/>
          <w:lang w:bidi="fa-IR"/>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عَينُ‌الله</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حسناء</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 چون معبودهاى يونان </w:t>
      </w:r>
      <w:r>
        <w:rPr>
          <w:rStyle w:val="FootnoteAnchor"/>
          <w:rtl w:val="true"/>
        </w:rPr>
        <w:footnoteReference w:id="463"/>
      </w:r>
      <w:r>
        <w:rPr>
          <w:rFonts w:ascii="Amiri" w:hAnsi="Amiri" w:eastAsia="Amiri" w:cs="Amiri"/>
          <w:color w:val="111111"/>
          <w:sz w:val="28"/>
          <w:sz w:val="28"/>
          <w:szCs w:val="28"/>
          <w:rtl w:val="true"/>
          <w:lang w:bidi="ar-SA"/>
        </w:rPr>
        <w:t xml:space="preserve">، مُحرِّم ومحلِّل اشياء </w:t>
      </w:r>
      <w:r>
        <w:rPr>
          <w:rStyle w:val="FootnoteAnchor"/>
          <w:rtl w:val="true"/>
        </w:rPr>
        <w:footnoteReference w:id="464"/>
      </w:r>
      <w:r>
        <w:rPr>
          <w:rFonts w:ascii="IRNazanin" w:hAnsi="IRNazanin" w:eastAsia="IRNazanin"/>
          <w:color w:val="111111"/>
          <w:sz w:val="28"/>
          <w:sz w:val="28"/>
          <w:szCs w:val="28"/>
          <w:rtl w:val="true"/>
          <w:lang w:bidi="fa-IR"/>
        </w:rPr>
        <w:t xml:space="preserve">، اسماءالله </w:t>
      </w:r>
      <w:r>
        <w:rPr>
          <w:rStyle w:val="FootnoteAnchor"/>
          <w:rtl w:val="true"/>
        </w:rPr>
        <w:footnoteReference w:id="465"/>
      </w:r>
      <w:r>
        <w:rPr>
          <w:rFonts w:ascii="IRNazanin" w:hAnsi="IRNazanin" w:eastAsia="IRNazanin"/>
          <w:color w:val="111111"/>
          <w:sz w:val="28"/>
          <w:sz w:val="28"/>
          <w:szCs w:val="28"/>
          <w:rtl w:val="true"/>
          <w:lang w:bidi="fa-IR"/>
        </w:rPr>
        <w:t xml:space="preserve">، فراتربودن مقام امامت از نبوت </w:t>
      </w:r>
      <w:r>
        <w:rPr>
          <w:rStyle w:val="FootnoteAnchor"/>
          <w:rtl w:val="true"/>
        </w:rPr>
        <w:footnoteReference w:id="466"/>
      </w:r>
      <w:r>
        <w:rPr>
          <w:rFonts w:ascii="Amiri" w:hAnsi="Amiri" w:eastAsia="Amiri" w:cs="Amiri"/>
          <w:color w:val="111111"/>
          <w:sz w:val="28"/>
          <w:sz w:val="28"/>
          <w:szCs w:val="28"/>
          <w:rtl w:val="true"/>
          <w:lang w:bidi="ar-SA"/>
        </w:rPr>
        <w:t xml:space="preserve">، معين بودن تعداد امامان </w:t>
      </w:r>
      <w:r>
        <w:rPr>
          <w:rStyle w:val="FootnoteAnchor"/>
          <w:rtl w:val="true"/>
        </w:rPr>
        <w:footnoteReference w:id="467"/>
      </w:r>
      <w:r>
        <w:rPr>
          <w:rFonts w:ascii="IRNazanin" w:hAnsi="IRNazanin" w:eastAsia="IRNazanin"/>
          <w:color w:val="111111"/>
          <w:sz w:val="28"/>
          <w:sz w:val="28"/>
          <w:szCs w:val="28"/>
          <w:rtl w:val="true"/>
          <w:lang w:bidi="fa-IR"/>
        </w:rPr>
        <w:t xml:space="preserve">، معصوم بودن آن‌ها </w:t>
      </w:r>
      <w:r>
        <w:rPr>
          <w:rStyle w:val="FootnoteAnchor"/>
          <w:rtl w:val="true"/>
        </w:rPr>
        <w:footnoteReference w:id="46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كه همه را منافى با مبانى اعتقادى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توحيد وشرك مفهوم خاصى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مى‌پندارند، منحرف و ترويج‌كننده اين اعتقادات مى‌شمارند</w:t>
      </w:r>
      <w:r>
        <w:rPr>
          <w:rFonts w:eastAsia="IRNazanin" w:cs="IRNazanin"/>
          <w:color w:val="111111"/>
          <w:sz w:val="28"/>
          <w:szCs w:val="28"/>
          <w:rtl w:val="true"/>
          <w:lang w:bidi="fa-IR"/>
        </w:rPr>
        <w:t>.</w:t>
      </w:r>
    </w:p>
    <w:p>
      <w:pPr>
        <w:pStyle w:val="Heading5"/>
        <w:numPr>
          <w:ilvl w:val="4"/>
          <w:numId w:val="1"/>
        </w:numPr>
        <w:rPr/>
      </w:pPr>
      <w:bookmarkStart w:id="175" w:name="__RefHeading___Toc3766961_3650668749"/>
      <w:bookmarkStart w:id="176" w:name="_Toc59"/>
      <w:bookmarkEnd w:id="175"/>
      <w:r>
        <w:rPr/>
        <w:t>٣</w:t>
      </w:r>
      <w:r>
        <w:rPr>
          <w:rtl w:val="true"/>
        </w:rPr>
        <w:t xml:space="preserve">. </w:t>
      </w:r>
      <w:r>
        <w:rPr>
          <w:rtl w:val="true"/>
        </w:rPr>
        <w:t>مذمت صحابه در كافى</w:t>
      </w:r>
      <w:bookmarkEnd w:id="17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انگيزه كه به‌نظر مى‌رسد خشم آنان را نسبت به‌اين كتاب بر انگيخته است، ظواهر برخى روايات كافى در مذمّت و طعن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درآثار اين </w:t>
      </w:r>
      <w:bookmarkStart w:id="177" w:name="pg1976_27769"/>
    </w:p>
    <w:p>
      <w:pPr>
        <w:pStyle w:val="BookText"/>
        <w:rPr/>
      </w:pPr>
      <w:bookmarkEnd w:id="177"/>
      <w:r>
        <w:rPr>
          <w:rFonts w:ascii="IRNazanin" w:hAnsi="IRNazanin" w:eastAsia="IRNazanin"/>
          <w:color w:val="111111"/>
          <w:sz w:val="28"/>
          <w:sz w:val="28"/>
          <w:szCs w:val="28"/>
          <w:rtl w:val="true"/>
          <w:lang w:bidi="fa-IR"/>
        </w:rPr>
        <w:t>گروه عناوينى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تكفير، لعن و سبّ صحابه </w:t>
      </w:r>
      <w:r>
        <w:rPr>
          <w:rStyle w:val="FootnoteAnchor"/>
          <w:rtl w:val="true"/>
        </w:rPr>
        <w:footnoteReference w:id="469"/>
      </w:r>
      <w:r>
        <w:rPr>
          <w:rFonts w:ascii="Amiri" w:hAnsi="Amiri" w:eastAsia="Amiri" w:cs="Amiri"/>
          <w:color w:val="111111"/>
          <w:sz w:val="28"/>
          <w:sz w:val="28"/>
          <w:szCs w:val="28"/>
          <w:rtl w:val="true"/>
          <w:lang w:bidi="ar-SA"/>
        </w:rPr>
        <w:t xml:space="preserve">، تكفير ابابكر و عمر و عثمان </w:t>
      </w:r>
      <w:r>
        <w:rPr>
          <w:rStyle w:val="FootnoteAnchor"/>
          <w:rtl w:val="true"/>
        </w:rPr>
        <w:footnoteReference w:id="470"/>
      </w:r>
      <w:r>
        <w:rPr>
          <w:rFonts w:ascii="IRNazanin" w:hAnsi="IRNazanin" w:eastAsia="IRNazanin"/>
          <w:color w:val="111111"/>
          <w:sz w:val="28"/>
          <w:sz w:val="28"/>
          <w:szCs w:val="28"/>
          <w:rtl w:val="true"/>
          <w:lang w:bidi="fa-IR"/>
        </w:rPr>
        <w:t xml:space="preserve">، طعن بر عمربن‌الخطاب </w:t>
      </w:r>
      <w:r>
        <w:rPr>
          <w:rStyle w:val="FootnoteAnchor"/>
          <w:rtl w:val="true"/>
        </w:rPr>
        <w:footnoteReference w:id="471"/>
      </w:r>
      <w:r>
        <w:rPr>
          <w:rFonts w:ascii="Amiri" w:hAnsi="Amiri" w:eastAsia="Amiri" w:cs="Amiri"/>
          <w:color w:val="111111"/>
          <w:sz w:val="28"/>
          <w:sz w:val="28"/>
          <w:szCs w:val="28"/>
          <w:rtl w:val="true"/>
          <w:lang w:bidi="ar-SA"/>
        </w:rPr>
        <w:t xml:space="preserve">، معذّب بودن منكران ولايت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كه بى‌ترديد به‌عقيده آنها شالوده و زير بناى فكرى آنان را در مورد جانشينى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هدف قرار مى‌دهد و سرانجام حكومت خلفاى سه‌گانه را ناحق و ظالمانه مى‌سازد، غير قابل تحمّل دانسته و مسسبِّب اين قضيه را كتاب كافى مى‌دانند و ترديدى نيست كه اگر همانند ديگر مسلمانان، كتاب كافى را به‌ميزان اعتبار صحيح بخارى، معتبر بشمارند، پيامد سخت ناگوارى را براى وهابى‌ها به‌ارمغان آورده ودَه‌ها سؤال اساسى را به‌وجود خواهد آورد</w:t>
      </w:r>
      <w:r>
        <w:rPr>
          <w:rFonts w:eastAsia="IRNazanin" w:cs="IRNazanin"/>
          <w:color w:val="111111"/>
          <w:sz w:val="28"/>
          <w:szCs w:val="28"/>
          <w:rtl w:val="true"/>
          <w:lang w:bidi="fa-IR"/>
        </w:rPr>
        <w:t>.</w:t>
      </w:r>
    </w:p>
    <w:p>
      <w:pPr>
        <w:pStyle w:val="Heading5"/>
        <w:numPr>
          <w:ilvl w:val="4"/>
          <w:numId w:val="1"/>
        </w:numPr>
        <w:rPr/>
      </w:pPr>
      <w:bookmarkStart w:id="178" w:name="__RefHeading___Toc3766963_3650668749"/>
      <w:bookmarkStart w:id="179" w:name="_Toc60"/>
      <w:bookmarkEnd w:id="178"/>
      <w:r>
        <w:rPr/>
        <w:t>۴</w:t>
      </w:r>
      <w:r>
        <w:rPr>
          <w:rtl w:val="true"/>
        </w:rPr>
        <w:t xml:space="preserve">. </w:t>
      </w:r>
      <w:r>
        <w:rPr>
          <w:rtl w:val="true"/>
        </w:rPr>
        <w:t xml:space="preserve">تحريف قرآن و مصحف على </w:t>
      </w:r>
      <w:r>
        <w:rPr>
          <w:rtl w:val="true"/>
        </w:rPr>
        <w:t>(</w:t>
      </w:r>
      <w:r>
        <w:rPr>
          <w:rtl w:val="true"/>
        </w:rPr>
        <w:t>ع</w:t>
      </w:r>
      <w:r>
        <w:rPr>
          <w:rtl w:val="true"/>
        </w:rPr>
        <w:t xml:space="preserve">) </w:t>
      </w:r>
      <w:r>
        <w:rPr>
          <w:rtl w:val="true"/>
        </w:rPr>
        <w:t>و</w:t>
      </w:r>
      <w:r>
        <w:rPr>
          <w:rtl w:val="true"/>
        </w:rPr>
        <w:t>. . .</w:t>
      </w:r>
      <w:bookmarkEnd w:id="179"/>
    </w:p>
    <w:p>
      <w:pPr>
        <w:pStyle w:val="BookText"/>
        <w:rPr/>
      </w:pPr>
      <w:r>
        <w:rPr>
          <w:rFonts w:ascii="Amiri" w:hAnsi="Amiri" w:eastAsia="Amiri" w:cs="Amiri"/>
          <w:color w:val="111111"/>
          <w:sz w:val="28"/>
          <w:sz w:val="28"/>
          <w:szCs w:val="28"/>
          <w:rtl w:val="true"/>
          <w:lang w:bidi="ar-SA"/>
        </w:rPr>
        <w:t xml:space="preserve">تحريف قرآن‌كريم </w:t>
      </w:r>
      <w:r>
        <w:rPr>
          <w:rStyle w:val="FootnoteAnchor"/>
          <w:rtl w:val="true"/>
        </w:rPr>
        <w:footnoteReference w:id="473"/>
      </w:r>
      <w:r>
        <w:rPr>
          <w:rFonts w:ascii="IRNazanin" w:hAnsi="IRNazanin" w:eastAsia="IRNazanin"/>
          <w:color w:val="111111"/>
          <w:sz w:val="28"/>
          <w:sz w:val="28"/>
          <w:szCs w:val="28"/>
          <w:rtl w:val="true"/>
          <w:lang w:bidi="fa-IR"/>
        </w:rPr>
        <w:t xml:space="preserve">و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وتقيه </w:t>
      </w:r>
      <w:r>
        <w:rPr>
          <w:rStyle w:val="FootnoteAnchor"/>
          <w:rtl w:val="true"/>
        </w:rPr>
        <w:footnoteReference w:id="475"/>
      </w:r>
      <w:r>
        <w:rPr>
          <w:rFonts w:ascii="IRNazanin" w:hAnsi="IRNazanin" w:eastAsia="IRNazanin"/>
          <w:color w:val="111111"/>
          <w:sz w:val="28"/>
          <w:sz w:val="28"/>
          <w:szCs w:val="28"/>
          <w:rtl w:val="true"/>
          <w:lang w:bidi="fa-IR"/>
        </w:rPr>
        <w:t xml:space="preserve">و مسأله بَداء </w:t>
      </w:r>
      <w:r>
        <w:rPr>
          <w:rStyle w:val="FootnoteAnchor"/>
          <w:rtl w:val="true"/>
        </w:rPr>
        <w:footnoteReference w:id="47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را نيز به‌كتاب كافى منسوب كرده و اين كتاب را منشأ اين اعتقادات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يادشده دست‌آويزى براى قدح ونقد اين كتاب قرار گرفته است</w:t>
      </w:r>
      <w:r>
        <w:rPr>
          <w:rFonts w:eastAsia="IRNazanin" w:cs="IRNazanin"/>
          <w:color w:val="111111"/>
          <w:sz w:val="28"/>
          <w:szCs w:val="28"/>
          <w:rtl w:val="true"/>
          <w:lang w:bidi="fa-IR"/>
        </w:rPr>
        <w:t>:</w:t>
      </w:r>
    </w:p>
    <w:p>
      <w:pPr>
        <w:pStyle w:val="Heading4"/>
        <w:numPr>
          <w:ilvl w:val="3"/>
          <w:numId w:val="1"/>
        </w:numPr>
        <w:rPr/>
      </w:pPr>
      <w:bookmarkStart w:id="180" w:name="__RefHeading___Toc3766965_3650668749"/>
      <w:bookmarkStart w:id="181" w:name="_Toc61"/>
      <w:bookmarkEnd w:id="180"/>
      <w:r>
        <w:rPr>
          <w:rtl w:val="true"/>
        </w:rPr>
        <w:t>گفتار دوم</w:t>
      </w:r>
      <w:r>
        <w:rPr>
          <w:rtl w:val="true"/>
        </w:rPr>
        <w:t xml:space="preserve">: </w:t>
      </w:r>
      <w:r>
        <w:rPr>
          <w:rtl w:val="true"/>
        </w:rPr>
        <w:t>اشكالات وهابيان بر كتاب كافى</w:t>
      </w:r>
      <w:bookmarkEnd w:id="181"/>
    </w:p>
    <w:p>
      <w:pPr>
        <w:pStyle w:val="Heading5"/>
        <w:numPr>
          <w:ilvl w:val="4"/>
          <w:numId w:val="1"/>
        </w:numPr>
        <w:rPr/>
      </w:pPr>
      <w:bookmarkStart w:id="182" w:name="__RefHeading___Toc3766967_3650668749"/>
      <w:bookmarkStart w:id="183" w:name="_Toc62"/>
      <w:bookmarkEnd w:id="182"/>
      <w:r>
        <w:rPr/>
        <w:t>١</w:t>
      </w:r>
      <w:r>
        <w:rPr>
          <w:rtl w:val="true"/>
        </w:rPr>
        <w:t xml:space="preserve">. </w:t>
      </w:r>
      <w:r>
        <w:rPr>
          <w:rtl w:val="true"/>
        </w:rPr>
        <w:t>عدم حجيت روايات كافى</w:t>
      </w:r>
      <w:bookmarkEnd w:id="183"/>
    </w:p>
    <w:p>
      <w:pPr>
        <w:pStyle w:val="Heading6"/>
        <w:numPr>
          <w:ilvl w:val="5"/>
          <w:numId w:val="1"/>
        </w:numPr>
        <w:rPr/>
      </w:pPr>
      <w:bookmarkStart w:id="184" w:name="__RefHeading___Toc3766969_3650668749"/>
      <w:bookmarkStart w:id="185" w:name="_Toc63"/>
      <w:bookmarkEnd w:id="184"/>
      <w:r>
        <w:rPr>
          <w:rtl w:val="true"/>
        </w:rPr>
        <w:t>اشاره</w:t>
      </w:r>
      <w:bookmarkEnd w:id="18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ناكارآمد خواندن حجيت روايات شيعه به‌طور عموم و احاديث كافى به‌طور خصوص از دو جهت، صورت مى‌گيرد</w:t>
      </w:r>
      <w:r>
        <w:rPr>
          <w:rFonts w:eastAsia="IRNazanin" w:cs="IRNazanin"/>
          <w:color w:val="111111"/>
          <w:sz w:val="28"/>
          <w:szCs w:val="28"/>
          <w:rtl w:val="true"/>
          <w:lang w:bidi="fa-IR"/>
        </w:rPr>
        <w:t xml:space="preserve">: </w:t>
      </w:r>
      <w:bookmarkStart w:id="186" w:name="pg1976_27771"/>
    </w:p>
    <w:p>
      <w:pPr>
        <w:pStyle w:val="Heading6"/>
        <w:numPr>
          <w:ilvl w:val="5"/>
          <w:numId w:val="1"/>
        </w:numPr>
        <w:rPr/>
      </w:pPr>
      <w:bookmarkStart w:id="187" w:name="__RefHeading___Toc3766971_3650668749"/>
      <w:bookmarkStart w:id="188" w:name="_Toc64"/>
      <w:bookmarkEnd w:id="186"/>
      <w:bookmarkEnd w:id="187"/>
      <w:r>
        <w:rPr>
          <w:rtl w:val="true"/>
        </w:rPr>
        <w:t>الف</w:t>
      </w:r>
      <w:r>
        <w:rPr>
          <w:rtl w:val="true"/>
        </w:rPr>
        <w:t xml:space="preserve">) </w:t>
      </w:r>
      <w:r>
        <w:rPr>
          <w:rtl w:val="true"/>
        </w:rPr>
        <w:t>فقدان دانش حديث‌شناسى در شيعه</w:t>
      </w:r>
      <w:bookmarkEnd w:id="188"/>
    </w:p>
    <w:p>
      <w:pPr>
        <w:pStyle w:val="BookText"/>
        <w:rPr/>
      </w:pPr>
      <w:r>
        <w:rPr>
          <w:rFonts w:ascii="IRNazanin" w:hAnsi="IRNazanin" w:eastAsia="IRNazanin"/>
          <w:color w:val="111111"/>
          <w:sz w:val="28"/>
          <w:sz w:val="28"/>
          <w:szCs w:val="28"/>
          <w:rtl w:val="true"/>
          <w:lang w:bidi="fa-IR"/>
        </w:rPr>
        <w:t>يكى از ايرادهايى كه وهابى‌ها بركتاب كافى مى‌گيرند، عدم حجيت احاديث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اين اشكال به‌صورت كلى از سوى ابن‌تيميه حرانى در پاسخ علامه حلّى طرح شده است، ولى پس از ابن‌تيميه، نخست توسط ابوزهره در مصر و سپس از سوى وهابى‌ها در عربستان گسترش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شخص كه شيعه را دروغگوترين طوايف مى‌خواند </w:t>
      </w:r>
      <w:r>
        <w:rPr>
          <w:rStyle w:val="FootnoteAnchor"/>
          <w:rtl w:val="true"/>
        </w:rPr>
        <w:footnoteReference w:id="477"/>
      </w:r>
      <w:r>
        <w:rPr>
          <w:rFonts w:ascii="IRNazanin" w:hAnsi="IRNazanin" w:eastAsia="IRNazanin"/>
          <w:color w:val="111111"/>
          <w:sz w:val="28"/>
          <w:sz w:val="28"/>
          <w:szCs w:val="28"/>
          <w:rtl w:val="true"/>
          <w:lang w:bidi="fa-IR"/>
        </w:rPr>
        <w:t>، با كمال بى‌اعتنايى به‌مدارك و منابع شيعه،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روايات را كدامين ثقه براى شما نقل نموده‌اند؟ شما كه آنها را درك نكرده‌ايد و از احوال آنها اطلاعى نداريد و كتاب‌هايى كه بر آنها اعتماد شود و احاديث صحيح را از ناصحيح و رجال سند آنها را بشناساند، نداريد</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به‌زبان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نقد ابن‌تيميه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مختصرالتّحفة الاثنى‌عشرية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به‌اين تعبير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درگذشته شيعيان به‌روايات اصحاب‌شان بدون تحقيق و تفتيش از رجال احاديث، عمل مى‌كردند وكسى نبود در ميان آنها كه رجال اسناد را بررسى و كتاب جرح و تعديل بنويسد تا اينكه قريب سالِ</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ق كشّى كتاب مختصرى كه جز به‌تحير آنها نيفزود، درعرصه رجال‌شناسى نوشت وپس از او نجاشى و شيخ طوسى در باب جرح و تعديل سخن گفتند</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189" w:name="pg1976_27773"/>
    </w:p>
    <w:p>
      <w:pPr>
        <w:pStyle w:val="BookText"/>
        <w:rPr/>
      </w:pPr>
      <w:bookmarkEnd w:id="189"/>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قفارى وتهمت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چون ديده است شيخ‌شان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مجمل چيزى اظهار داشته كه نمى‌تواند كتاب كافى را زيرسؤال ببرد، ناچار شده بگويد كه اگر ابن‌تيميه وهم‌قطاران وى در مورد كافى چيزى به‌طور صريح نگفته‌اند، بدان جهت بوده كه يا اين‌گونه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بوده است، يا علماى شيعه را تحقير مى‌كردند يا اينكه اين دست كتاب‌ها در دوران دولت صفوى تدوين و به‌علماى نخست شيعه نسبت داده شد</w:t>
      </w:r>
      <w:r>
        <w:rPr>
          <w:rFonts w:eastAsia="IRNazanin" w:cs="IRNazanin"/>
          <w:color w:val="111111"/>
          <w:sz w:val="28"/>
          <w:szCs w:val="28"/>
          <w:rtl w:val="true"/>
          <w:lang w:bidi="fa-IR"/>
        </w:rPr>
        <w:t>!</w:t>
      </w:r>
    </w:p>
    <w:p>
      <w:pPr>
        <w:pStyle w:val="Heading6"/>
        <w:numPr>
          <w:ilvl w:val="5"/>
          <w:numId w:val="1"/>
        </w:numPr>
        <w:rPr/>
      </w:pPr>
      <w:bookmarkStart w:id="190" w:name="__RefHeading___Toc3766973_3650668749"/>
      <w:bookmarkStart w:id="191" w:name="_Toc65"/>
      <w:bookmarkEnd w:id="190"/>
      <w:r>
        <w:rPr>
          <w:rtl w:val="true"/>
        </w:rPr>
        <w:t>ب</w:t>
      </w:r>
      <w:r>
        <w:rPr>
          <w:rtl w:val="true"/>
        </w:rPr>
        <w:t xml:space="preserve">) </w:t>
      </w:r>
      <w:r>
        <w:rPr>
          <w:rtl w:val="true"/>
        </w:rPr>
        <w:t xml:space="preserve">نرسيدن اسناد كافى به‌رسول‌الله </w:t>
      </w:r>
      <w:r>
        <w:rPr>
          <w:rtl w:val="true"/>
        </w:rPr>
        <w:t>(</w:t>
      </w:r>
      <w:r>
        <w:rPr>
          <w:rtl w:val="true"/>
        </w:rPr>
        <w:t>ص</w:t>
      </w:r>
      <w:r>
        <w:rPr>
          <w:rtl w:val="true"/>
        </w:rPr>
        <w:t>)</w:t>
      </w:r>
      <w:bookmarkEnd w:id="1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قفارى با مقايسه‌اى كه ميان كتب حديثى اهل‌سنت و شيعه انجام مى‌دهد، اين فرق بزرگ و واضح را برمى‌شمارد كه كتاب‌هاى ششگانه اهل‌سنّت به‌نبى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اما كتاب‌هاى شيعه به‌يكى از امامان‌شان و بيشتر به‌امام صادق و بخشى به‌امام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به‌ندرت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مى‌رسد، زيرا شيعه ميان پيامبرخدا و امامان‌شان فرقى نمى‌گذارند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قدجاء في أصول الكافي مايُفيدأنّ كُتُبَ الحديث عندهم كانت موضع التّداول السّرّي بينهم، ولهذا لم تكن متّصلةُ السّند بسبب ظروف التقيّة كما يَدّعُون </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آنكه، همه روايات كتاب‌هاى اهل‌سنّت با توجه به اينكه سندشان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از همۀ نقص‌ها وقدح‌ها بدور است اما كتاب‌هاى شيعه از جمله كافى كه مهم‌ترين كتاب حديثى شيعه است، چون از يك‌سو، شيعه فاقد حديث‌شناسى است و از ديگر سو، اسناد روايات آنها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 اعتبار ندارند</w:t>
      </w:r>
      <w:r>
        <w:rPr>
          <w:rFonts w:eastAsia="IRNazanin" w:cs="IRNazanin"/>
          <w:color w:val="111111"/>
          <w:sz w:val="28"/>
          <w:szCs w:val="28"/>
          <w:rtl w:val="true"/>
          <w:lang w:bidi="fa-IR"/>
        </w:rPr>
        <w:t xml:space="preserve">. </w:t>
      </w:r>
      <w:bookmarkStart w:id="192" w:name="pg1976_27775"/>
    </w:p>
    <w:p>
      <w:pPr>
        <w:pStyle w:val="Heading5"/>
        <w:numPr>
          <w:ilvl w:val="4"/>
          <w:numId w:val="1"/>
        </w:numPr>
        <w:rPr/>
      </w:pPr>
      <w:bookmarkStart w:id="193" w:name="__RefHeading___Toc3766975_3650668749"/>
      <w:bookmarkStart w:id="194" w:name="_Toc66"/>
      <w:bookmarkEnd w:id="192"/>
      <w:bookmarkEnd w:id="193"/>
      <w:r>
        <w:rPr>
          <w:rtl w:val="true"/>
        </w:rPr>
        <w:t>بررسى و نقد اشكال اسنادى</w:t>
      </w:r>
      <w:bookmarkEnd w:id="194"/>
    </w:p>
    <w:p>
      <w:pPr>
        <w:pStyle w:val="Heading6"/>
        <w:numPr>
          <w:ilvl w:val="5"/>
          <w:numId w:val="1"/>
        </w:numPr>
        <w:rPr/>
      </w:pPr>
      <w:bookmarkStart w:id="195" w:name="__RefHeading___Toc3766977_3650668749"/>
      <w:bookmarkStart w:id="196" w:name="_Toc67"/>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سخن ابن‌تيميه نسبت به‌اعتقادات شيعه اماميه هر چند كلى و مجمل ارائه گرديده است از جهاتى قابل نقض و نادرست است</w:t>
      </w:r>
      <w:r>
        <w:rPr>
          <w:rFonts w:eastAsia="IRNazanin" w:cs="IRNazanin"/>
          <w:color w:val="111111"/>
          <w:sz w:val="28"/>
          <w:szCs w:val="28"/>
          <w:rtl w:val="true"/>
          <w:lang w:bidi="fa-IR"/>
        </w:rPr>
        <w:t>:</w:t>
      </w:r>
    </w:p>
    <w:p>
      <w:pPr>
        <w:pStyle w:val="Heading6"/>
        <w:numPr>
          <w:ilvl w:val="5"/>
          <w:numId w:val="1"/>
        </w:numPr>
        <w:rPr/>
      </w:pPr>
      <w:bookmarkStart w:id="197" w:name="__RefHeading___Toc3766979_3650668749"/>
      <w:bookmarkStart w:id="198" w:name="_Toc68"/>
      <w:bookmarkEnd w:id="197"/>
      <w:r>
        <w:rPr>
          <w:rtl w:val="true"/>
        </w:rPr>
        <w:t>الف</w:t>
      </w:r>
      <w:r>
        <w:rPr>
          <w:rtl w:val="true"/>
        </w:rPr>
        <w:t xml:space="preserve">) </w:t>
      </w:r>
      <w:r>
        <w:rPr>
          <w:rtl w:val="true"/>
        </w:rPr>
        <w:t>افترا و تهمت به‌شيعه</w:t>
      </w:r>
      <w:bookmarkEnd w:id="19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قفارى عبارت زير را به ابن‌تيميه، در پاسخ اين سخن علامه‌حلّى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أئمه شيعه احاديث را از جدشان رسول‌الله مى‌گيرند</w:t>
      </w:r>
      <w:r>
        <w:rPr>
          <w:rFonts w:eastAsia="IRNazanin" w:cs="IRNazanin"/>
          <w:color w:val="111111"/>
          <w:sz w:val="28"/>
          <w:szCs w:val="28"/>
          <w:rtl w:val="true"/>
          <w:lang w:bidi="fa-IR"/>
        </w:rPr>
        <w:t xml:space="preserve">» </w:t>
      </w:r>
      <w:r>
        <w:rPr>
          <w:rStyle w:val="FootnoteAnchor"/>
          <w:rtl w:val="true"/>
        </w:rPr>
        <w:footnoteReference w:id="482"/>
      </w:r>
      <w:r>
        <w:rPr>
          <w:rFonts w:ascii="Amiri" w:hAnsi="Amiri" w:eastAsia="Amiri" w:cs="Amiri"/>
          <w:color w:val="111111"/>
          <w:sz w:val="28"/>
          <w:sz w:val="28"/>
          <w:szCs w:val="28"/>
          <w:rtl w:val="true"/>
          <w:lang w:bidi="ar-SA"/>
        </w:rPr>
        <w:t>، نسبت مى‌دهد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لقدجاء على لسان جملة من اعلام اهل‌السنّة بأنَّ الرافضة من أعظم الطوائف إفتراء للكذب وتَكذيباً للصّدق </w:t>
      </w:r>
      <w:r>
        <w:rPr>
          <w:rFonts w:eastAsia="Amiri" w:cs="Amiri" w:ascii="Amiri" w:hAnsi="Amiri"/>
          <w:color w:val="111111"/>
          <w:sz w:val="28"/>
          <w:szCs w:val="28"/>
          <w:rtl w:val="true"/>
          <w:lang w:bidi="ar-SA"/>
        </w:rPr>
        <w:t xml:space="preserve">. . .» </w:t>
      </w:r>
      <w:r>
        <w:rPr>
          <w:rStyle w:val="FootnoteAnchor"/>
          <w:rtl w:val="true"/>
        </w:rPr>
        <w:footnoteReference w:id="483"/>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همين مطلب از ناحيه قفارى وشيخ او، نمى‌تواند جز مصداق كذب و افتراء باشد؛ زيرا مسلمانان شيعه همانند اهل‌سنّت به‌وحدانيت خداوند گواهند و به‌رسالت انبياى الهى به‌ويژه خاتم و افضل آن‌ها، معتقد و معترفند و اقرار به‌قبر و قيامت و حساب داشته و به فروعات دين كه در منابع روايى شما نيز آمده است، پاى بندند، و خودشان را مسلمان و مؤمن مى‌شمارند </w:t>
      </w:r>
      <w:r>
        <w:rPr>
          <w:rStyle w:val="FootnoteAnchor"/>
          <w:rtl w:val="true"/>
        </w:rPr>
        <w:footnoteReference w:id="484"/>
      </w:r>
      <w:r>
        <w:rPr>
          <w:rFonts w:ascii="IRNazanin" w:hAnsi="IRNazanin" w:eastAsia="IRNazanin"/>
          <w:color w:val="111111"/>
          <w:sz w:val="28"/>
          <w:sz w:val="28"/>
          <w:szCs w:val="28"/>
          <w:rtl w:val="true"/>
          <w:lang w:bidi="fa-IR"/>
        </w:rPr>
        <w:t xml:space="preserve">و اگر اين امور، مظاهر كذب و افتراء قلمداد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سخنى ديگر است و در غير اين صورت چگونه بخش عظيمى از مسلمانان توسط شيخ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به‌كذب و افتراء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w:t>
      </w:r>
    </w:p>
    <w:p>
      <w:pPr>
        <w:pStyle w:val="BookText"/>
        <w:rPr/>
      </w:pPr>
      <w:r>
        <w:rPr>
          <w:rFonts w:ascii="IRNazanin" w:hAnsi="IRNazanin" w:eastAsia="IRNazanin"/>
          <w:color w:val="111111"/>
          <w:sz w:val="28"/>
          <w:sz w:val="28"/>
          <w:szCs w:val="28"/>
          <w:rtl w:val="true"/>
          <w:lang w:bidi="fa-IR"/>
        </w:rPr>
        <w:t xml:space="preserve">مسلمانان شيعه با توجّه به‌اعتقاد و باورهايى كه از امامان‌معصوم خويش گرفته‌اند، خود را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هفتادوچند گروه امت اسلامى، مى‌شمارند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اسلامى نه‌تنها در قبال مسلمانان كه در برابر غير مسلمانان، مأمور به‌ظواهرند، و اينكه در واقع كدام گروه راستگويند و به‌وظايف اسلامى خود آن‌طورى كه بايد، عمل كرده‌اند، در پيشگاه قادر مطلق روشن است </w:t>
      </w:r>
      <w:r>
        <w:rPr>
          <w:rStyle w:val="FootnoteAnchor"/>
          <w:rtl w:val="true"/>
        </w:rPr>
        <w:footnoteReference w:id="486"/>
      </w:r>
      <w:r>
        <w:rPr>
          <w:rFonts w:ascii="IRNazanin" w:hAnsi="IRNazanin" w:eastAsia="IRNazanin"/>
          <w:color w:val="111111"/>
          <w:sz w:val="28"/>
          <w:sz w:val="28"/>
          <w:szCs w:val="28"/>
          <w:rtl w:val="true"/>
          <w:lang w:bidi="fa-IR"/>
        </w:rPr>
        <w:t xml:space="preserve">، گرچه اهل‌سنت و شيعه در پاره‌اى از مسائل اساسى چون جانشينى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 دارند ولى اين مسأله سبب تكذيب و بهتان‌هايى كه ابن‌تيميه جرئت بستنش را كرده،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اصول اعتقادى و منابع رفتار دينى و شرعى خويش را از خلف تا سلف‌شان، همان‌گونه كه علامه حلى اشاره كرد، از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و در همۀ جهات آراء و باورهايشان، همان آراء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برگرفته از كتاب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سلف صالحِ پيروان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فروع‌شان را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على و حسن‌بن‌على و حسين‌بن‌على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ذريه پاك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نموده‌اند، و هر يك ازحلقه‌هاى اتصال ميان آن‌ها گروه زيادى از ثقاتِ شيعه و حافظان مورد اطمينان به‌صورت حجت قطعى از نسلى به‌نسل ديگر منتقل نموده‌اند، و از نسل‌هاى بعدى به‌همين صورت، به‌دست ما رسيده است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ناصرالقفارى مدعى است كه اگر شيخ الاسلامش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موردكافى چيزى نگفته از آن‌جهت بوده كه از كتاب كافى اطلاع نداشته ويا كافى سرِّى بوده است </w:t>
      </w:r>
    </w:p>
    <w:p>
      <w:pPr>
        <w:pStyle w:val="BookText"/>
        <w:rPr/>
      </w:pPr>
      <w:r>
        <w:rPr>
          <w:rFonts w:ascii="IRNazanin" w:hAnsi="IRNazanin" w:eastAsia="IRNazanin"/>
          <w:color w:val="111111"/>
          <w:sz w:val="28"/>
          <w:sz w:val="28"/>
          <w:szCs w:val="28"/>
          <w:rtl w:val="true"/>
          <w:lang w:bidi="fa-IR"/>
        </w:rPr>
        <w:t>و يا اينكه در زمان صفوى‌ها تدوين و به‌كلينى منسوب شده است؛ هر سه گزينه نه تنها دور از شأن يك‌محقق است كه از انسانى كه كمترين سواد دينى و اسلامى داشته باشد، نيز بدور خواهد بود و هرگز چنين سخن بى‌اساس و مضحك را نخواهد گفت؛ زيرا اگر ابن‌تيميه از كافى اطلاع نداشته بى‌ترديد عدم اطلاع، براى كسى كه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عيب بزرگ و نابخشودنى و براى پيروان وى همچون قفارى رسوايى و سرشكستگى دنيا و آخرت است، و اگر چنانچه اطلاع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قطعاً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در مورد كافى چيزى نگفته، شكى نيست كه در اين كتاب ارزشمند، چالش و موردى نمى‌ديده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ادعاى مخفى بودن كافى از منظراهل علم و يا تدوين آن در زمان صفوى‌ها و انتساب آن به‌كلينى را، چگونه مى‌شود باوركرد و به‌ديگران باوراند؟ درحالى‌كه سلسله صفوى در قرن دهم بنيانگذارى شد و نخستين پادشاه و مؤسِّس آن، شاه اسماعيل صفوى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به‌قدرت رسيد وتشيع را مذهب رسمى اعلان كرد </w:t>
      </w:r>
      <w:r>
        <w:rPr>
          <w:rStyle w:val="FootnoteAnchor"/>
          <w:rtl w:val="true"/>
        </w:rPr>
        <w:footnoteReference w:id="488"/>
      </w:r>
      <w:r>
        <w:rPr>
          <w:rFonts w:ascii="IRNazanin" w:hAnsi="IRNazanin" w:eastAsia="IRNazanin"/>
          <w:color w:val="111111"/>
          <w:sz w:val="28"/>
          <w:sz w:val="28"/>
          <w:szCs w:val="28"/>
          <w:rtl w:val="true"/>
          <w:lang w:bidi="fa-IR"/>
        </w:rPr>
        <w:t xml:space="preserve">و اين درحالى است كه عده‌اى از عالمان مكتب خلفا كه پيش از ابن‌تيميه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از كلينى ياد نموده و او را عالم، امام، بزرگ، محدِّث و صاحب تصنيف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ابن‌ماكولا </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كلينى را از فقهاى شيعه مى‌داند كه وارد بغداد شد و در باب السّلسله سكونت گزيد </w:t>
      </w:r>
      <w:r>
        <w:rPr>
          <w:rStyle w:val="FootnoteAnchor"/>
          <w:rtl w:val="true"/>
        </w:rPr>
        <w:footnoteReference w:id="489"/>
      </w:r>
      <w:r>
        <w:rPr>
          <w:rFonts w:ascii="IRNazanin" w:hAnsi="IRNazanin" w:eastAsia="IRNazanin"/>
          <w:color w:val="111111"/>
          <w:sz w:val="28"/>
          <w:sz w:val="28"/>
          <w:szCs w:val="28"/>
          <w:rtl w:val="true"/>
          <w:lang w:bidi="fa-IR"/>
        </w:rPr>
        <w:t xml:space="preserve">ابن‌عساكر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كلينى به‌شيخ‌الرّافضه ياد نموده و ورود او را به‌شهر دمشق و بَعلبَك براى شنيدن حديث و تحديث، گزارش مى‌كند </w:t>
      </w:r>
      <w:r>
        <w:rPr>
          <w:rStyle w:val="FootnoteAnchor"/>
          <w:rtl w:val="true"/>
        </w:rPr>
        <w:footnoteReference w:id="490"/>
      </w:r>
      <w:r>
        <w:rPr>
          <w:rFonts w:ascii="IRNazanin" w:hAnsi="IRNazanin" w:eastAsia="IRNazanin"/>
          <w:color w:val="111111"/>
          <w:sz w:val="28"/>
          <w:sz w:val="28"/>
          <w:szCs w:val="28"/>
          <w:rtl w:val="true"/>
          <w:lang w:bidi="fa-IR"/>
        </w:rPr>
        <w:t xml:space="preserve">ابن اثيرالجزرى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بزرگ و فاضل و مجدِّد مذهب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قرن سوم هجرى، </w:t>
      </w:r>
    </w:p>
    <w:p>
      <w:pPr>
        <w:pStyle w:val="BookText"/>
        <w:rPr/>
      </w:pPr>
      <w:r>
        <w:rPr>
          <w:rFonts w:ascii="IRNazanin" w:hAnsi="IRNazanin" w:eastAsia="IRNazanin"/>
          <w:color w:val="111111"/>
          <w:sz w:val="28"/>
          <w:sz w:val="28"/>
          <w:szCs w:val="28"/>
          <w:rtl w:val="true"/>
          <w:lang w:bidi="fa-IR"/>
        </w:rPr>
        <w:t xml:space="preserve">مى‌شمارد </w:t>
      </w:r>
      <w:r>
        <w:rPr>
          <w:rStyle w:val="FootnoteAnchor"/>
          <w:rtl w:val="true"/>
        </w:rPr>
        <w:footnoteReference w:id="491"/>
      </w:r>
      <w:r>
        <w:rPr>
          <w:rFonts w:ascii="Amiri" w:hAnsi="Amiri" w:eastAsia="Amiri" w:cs="Amiri"/>
          <w:color w:val="111111"/>
          <w:sz w:val="28"/>
          <w:sz w:val="28"/>
          <w:szCs w:val="28"/>
          <w:rtl w:val="true"/>
          <w:lang w:bidi="ar-SA"/>
        </w:rPr>
        <w:t xml:space="preserve">عزّالدين‌ابن‌اثير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كلينى را از علما و ائمۀ اماميه، مى‌خواند </w:t>
      </w:r>
      <w:r>
        <w:rPr>
          <w:rStyle w:val="FootnoteAnchor"/>
          <w:rtl w:val="true"/>
        </w:rPr>
        <w:footnoteReference w:id="492"/>
      </w:r>
      <w:r>
        <w:rPr>
          <w:rFonts w:ascii="IRNazanin" w:hAnsi="IRNazanin" w:eastAsia="IRNazanin"/>
          <w:color w:val="111111"/>
          <w:sz w:val="28"/>
          <w:sz w:val="28"/>
          <w:szCs w:val="28"/>
          <w:rtl w:val="true"/>
          <w:lang w:bidi="fa-IR"/>
        </w:rPr>
        <w:t>چه اينكه هم عصران ابن‌تيميه و عالمانِ كمى پس از او، نيز از كلينى نام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موارد متعدد به‌روايات كافى استناد مى‌كند </w:t>
      </w:r>
      <w:r>
        <w:rPr>
          <w:rStyle w:val="FootnoteAnchor"/>
          <w:rtl w:val="true"/>
        </w:rPr>
        <w:footnoteReference w:id="493"/>
      </w: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رجالى ديگر، كلينى را شيخ شيعه و عالم اماميه و صاحب تصانيف مى‌شمارد </w:t>
      </w:r>
      <w:r>
        <w:rPr>
          <w:rStyle w:val="FootnoteAnchor"/>
          <w:rtl w:val="true"/>
        </w:rPr>
        <w:footnoteReference w:id="494"/>
      </w:r>
      <w:r>
        <w:rPr>
          <w:rFonts w:ascii="IRNazanin" w:hAnsi="IRNazanin" w:eastAsia="IRNazanin"/>
          <w:color w:val="111111"/>
          <w:sz w:val="28"/>
          <w:sz w:val="28"/>
          <w:szCs w:val="28"/>
          <w:rtl w:val="true"/>
          <w:lang w:bidi="fa-IR"/>
        </w:rPr>
        <w:t xml:space="preserve">ابن‌حجر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كلينى را از فضلاى اماميه و از تصنيف‌كنندگان بر وِفق مذهب، مى‌شمارد </w:t>
      </w:r>
      <w:r>
        <w:rPr>
          <w:rStyle w:val="FootnoteAnchor"/>
          <w:rtl w:val="true"/>
        </w:rPr>
        <w:footnoteReference w:id="495"/>
      </w:r>
      <w:r>
        <w:rPr>
          <w:rFonts w:ascii="IRNazanin" w:hAnsi="IRNazanin" w:eastAsia="IRNazanin"/>
          <w:color w:val="111111"/>
          <w:sz w:val="28"/>
          <w:sz w:val="28"/>
          <w:szCs w:val="28"/>
          <w:rtl w:val="true"/>
          <w:lang w:bidi="fa-IR"/>
        </w:rPr>
        <w:t xml:space="preserve">، اسماعيل پاشا بغدادى كلينى را از فقهاى شيعه امامى مؤلف كتاب‌هاى تعبيرالرؤيا، الرّدّ على‌القرامطه، كتاب‌التوحيد، كتاب الكافى فى‌الحديث داراى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مى‌خواند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سخن قفارى همانند ديگر گفته‌هاى او، كه شيخ‌الاسلام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از كتاب كافى اطلاع نداشته و يا كافى مخفى بوده و يا در زمان صفوى‌ها پديد آمد و به‌كلينى منسوب شد، از بى‌پايه‌ترين ادعا و رسواترين سخنى است كه نه مايه علمى دارد و نه با منابع خود آنان سازگار است</w:t>
      </w:r>
      <w:r>
        <w:rPr>
          <w:rFonts w:eastAsia="IRNazanin" w:cs="IRNazanin"/>
          <w:color w:val="111111"/>
          <w:sz w:val="28"/>
          <w:szCs w:val="28"/>
          <w:rtl w:val="true"/>
          <w:lang w:bidi="fa-IR"/>
        </w:rPr>
        <w:t xml:space="preserve">. </w:t>
      </w:r>
      <w:bookmarkStart w:id="199" w:name="pg1976_27784"/>
    </w:p>
    <w:p>
      <w:pPr>
        <w:pStyle w:val="Heading6"/>
        <w:numPr>
          <w:ilvl w:val="5"/>
          <w:numId w:val="1"/>
        </w:numPr>
        <w:rPr/>
      </w:pPr>
      <w:bookmarkStart w:id="200" w:name="__RefHeading___Toc3766981_3650668749"/>
      <w:bookmarkStart w:id="201" w:name="_Toc69"/>
      <w:bookmarkEnd w:id="199"/>
      <w:bookmarkEnd w:id="200"/>
      <w:r>
        <w:rPr>
          <w:rtl w:val="true"/>
        </w:rPr>
        <w:t>ب</w:t>
      </w:r>
      <w:r>
        <w:rPr>
          <w:rtl w:val="true"/>
        </w:rPr>
        <w:t xml:space="preserve">) </w:t>
      </w:r>
      <w:r>
        <w:rPr>
          <w:rtl w:val="true"/>
        </w:rPr>
        <w:t xml:space="preserve">ادعاى نرسيدن اسناد كافى به‌رسول‌الله </w:t>
      </w:r>
      <w:r>
        <w:rPr>
          <w:rtl w:val="true"/>
        </w:rPr>
        <w:t>(</w:t>
      </w:r>
      <w:r>
        <w:rPr>
          <w:rtl w:val="true"/>
        </w:rPr>
        <w:t>ص</w:t>
      </w:r>
      <w:r>
        <w:rPr>
          <w:rtl w:val="true"/>
        </w:rPr>
        <w:t>) !</w:t>
      </w:r>
      <w:bookmarkEnd w:id="201"/>
    </w:p>
    <w:p>
      <w:pPr>
        <w:pStyle w:val="Heading6"/>
        <w:numPr>
          <w:ilvl w:val="5"/>
          <w:numId w:val="1"/>
        </w:numPr>
        <w:rPr/>
      </w:pPr>
      <w:bookmarkStart w:id="202" w:name="__RefHeading___Toc3766983_3650668749"/>
      <w:bookmarkStart w:id="203" w:name="_Toc70"/>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بخش دوم سخن قفارى نسبت به‌منابع حديثى شيعه، ازجمله كتاب كافى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كافى برخلاف كتاب‌هاى ششگانه اهل سنت كه همه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بسيار اندك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به‌ندرت به‌على‌بن‌ابى‌طالب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بقيه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497"/>
      </w:r>
      <w:r>
        <w:rPr>
          <w:rFonts w:ascii="IRNazanin" w:hAnsi="IRNazanin" w:eastAsia="IRNazanin"/>
          <w:color w:val="111111"/>
          <w:sz w:val="28"/>
          <w:sz w:val="28"/>
          <w:szCs w:val="28"/>
          <w:rtl w:val="true"/>
          <w:lang w:bidi="fa-IR"/>
        </w:rPr>
        <w:t>گرچه وى نتوانست از شيخ‌الاسلام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اين ادعايش مدد جسته و نظرش را غير قابل ترديد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ادعاى قفارى، صورت قضيه را مجسّم نموده است و از كسى كه از يك‌سو، بَدبينانه و تعصّب‌آميزانه به‌اعتقادات و باورهاى ديگران نگاه مى‌كند و از ديگرسو، از درك عمق قضيه و معرفت جايگاه علمى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عاجز باشد جز اين انتظارى نخواهد رفت؛ اين ادعاى او از چند جهت مردود و غير قابل قبول است</w:t>
      </w:r>
      <w:r>
        <w:rPr>
          <w:rFonts w:eastAsia="IRNazanin" w:cs="IRNazanin"/>
          <w:color w:val="111111"/>
          <w:sz w:val="28"/>
          <w:szCs w:val="28"/>
          <w:rtl w:val="true"/>
          <w:lang w:bidi="fa-IR"/>
        </w:rPr>
        <w:t>:</w:t>
      </w:r>
    </w:p>
    <w:p>
      <w:pPr>
        <w:pStyle w:val="Heading6"/>
        <w:numPr>
          <w:ilvl w:val="5"/>
          <w:numId w:val="1"/>
        </w:numPr>
        <w:rPr/>
      </w:pPr>
      <w:bookmarkStart w:id="204" w:name="__RefHeading___Toc3766985_3650668749"/>
      <w:bookmarkStart w:id="205" w:name="_Toc71"/>
      <w:bookmarkEnd w:id="204"/>
      <w:r>
        <w:rPr>
          <w:rtl w:val="true"/>
        </w:rPr>
        <w:t xml:space="preserve">يك </w:t>
      </w:r>
      <w:r>
        <w:rPr>
          <w:rtl w:val="true"/>
        </w:rPr>
        <w:t xml:space="preserve">- </w:t>
      </w:r>
      <w:r>
        <w:rPr>
          <w:rtl w:val="true"/>
        </w:rPr>
        <w:t xml:space="preserve">اتّصال احاديث شيعه به‌رسول‌الله </w:t>
      </w:r>
      <w:r>
        <w:rPr>
          <w:rtl w:val="true"/>
        </w:rPr>
        <w:t>(</w:t>
      </w:r>
      <w:r>
        <w:rPr>
          <w:rtl w:val="true"/>
        </w:rPr>
        <w:t>ص</w:t>
      </w:r>
      <w:r>
        <w:rPr>
          <w:rtl w:val="true"/>
        </w:rPr>
        <w:t>)</w:t>
      </w:r>
      <w:bookmarkEnd w:id="205"/>
    </w:p>
    <w:p>
      <w:pPr>
        <w:pStyle w:val="BookText"/>
        <w:rPr/>
      </w:pPr>
      <w:r>
        <w:rPr>
          <w:rFonts w:ascii="IRNazanin" w:hAnsi="IRNazanin" w:eastAsia="IRNazanin"/>
          <w:color w:val="111111"/>
          <w:sz w:val="28"/>
          <w:sz w:val="28"/>
          <w:szCs w:val="28"/>
          <w:rtl w:val="true"/>
          <w:lang w:bidi="fa-IR"/>
        </w:rPr>
        <w:t xml:space="preserve">هرچند با نگاه سطحى به‌كتاب كافى كمتر روايتى 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مستند شده است؛ ولى در واقع پيروان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معارف ودستورات دينى و احكام خويش را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مى‌گيرند و هيچگاه به‌اجتهاد و رأى خود سرانه عمل نمى‌كنند </w:t>
      </w:r>
      <w:r>
        <w:rPr>
          <w:rStyle w:val="FootnoteAnchor"/>
          <w:rtl w:val="true"/>
        </w:rPr>
        <w:footnoteReference w:id="498"/>
      </w:r>
      <w:r>
        <w:rPr>
          <w:rFonts w:ascii="IRNazanin" w:hAnsi="IRNazanin" w:eastAsia="IRNazanin"/>
          <w:color w:val="111111"/>
          <w:sz w:val="28"/>
          <w:sz w:val="28"/>
          <w:szCs w:val="28"/>
          <w:rtl w:val="true"/>
          <w:lang w:bidi="fa-IR"/>
        </w:rPr>
        <w:t xml:space="preserve">، و امامان شيعه با ويژگى‌هاى خاصى كه دارند، هر آنچه براى هدايت مردم ارائه مى‌دهند و مى‌گويند، جز ازكتاب خدا و سنّت جدشان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اتفاقاً همين پرسش در زمان خود امامان شيعه، مطرح بوده است وآنان پاسخ سؤالات را به‌روشنى تمام، داده‌اند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امام، حديث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هشام‌بن‌سالم وحمّادبن‌عثمان و غير آنها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سَمِعنَا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حَديثُ اَبي، وحَديثُ اَبي حديثُ جَدّي، وَ حديثُ </w:t>
      </w:r>
    </w:p>
    <w:p>
      <w:pPr>
        <w:pStyle w:val="BookText"/>
        <w:rPr/>
      </w:pPr>
      <w:r>
        <w:rPr>
          <w:rFonts w:ascii="Amiri" w:hAnsi="Amiri" w:eastAsia="Amiri" w:cs="Amiri"/>
          <w:color w:val="111111"/>
          <w:sz w:val="28"/>
          <w:sz w:val="28"/>
          <w:szCs w:val="28"/>
          <w:rtl w:val="true"/>
          <w:lang w:bidi="ar-SA"/>
        </w:rPr>
        <w:t xml:space="preserve">جدّي حديثُ الحُسين، وحديثُ الحسين، حَديثُ الحسَن، وحديث الحسنِ حديثُ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اميرالمُؤمنين حديثُ رسول‌الله وحديثُ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قول‌اللهِ عزّ وجل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اجتهاد به‌رأي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امام جفربن‌محمد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مسأله‌اى پرسيد،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 ان‌كان كذا وَكذا ما يَكُون القول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در پاسخ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أجبتُكَ فيه مِن شَيئ، فهو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لَسنَا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أرأيت </w:t>
      </w:r>
      <w:r>
        <w:rPr>
          <w:rFonts w:eastAsia="IRNazanin" w:cs="IRNazanin"/>
          <w:color w:val="111111"/>
          <w:sz w:val="28"/>
          <w:szCs w:val="28"/>
          <w:rtl w:val="true"/>
          <w:lang w:bidi="fa-IR"/>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في شيء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مضمون را ابوجعفر محمدبن الحسن الصفّار از اصحاب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 مى‌كند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سؤال وقتى از امام ابى‌الحسن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پرسيده مى‌شود، اين‌گونه پاسخ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بل‌كلُّ شيء نقوله، في كتاب‌الله وسنّة نبيّه </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يكي پس از ديگري، وارث علم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به‌چند سند جابربن‌عبدالله الانصارى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لَوكُنّا نُحَدّث النّاسَ أوحَدّثناهُم برأينا، لكُنّا من الهالكين، ولَكِنَّا نُحَدِّثهم بآثارعندنا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يتوارثها كابرعن كابر، نَكنزها كما يَكنز هؤلاء ذهبهم وفضّتهم </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چه اينكه رجال شناش اهل‌سنت، ابن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الكامل فى‌الجرح، به‌اين نكته اعتراف مى‌كند ومى‌گويد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كثيرعن أبيه، عن‌جابر، عن‌النّبي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و عن آبائه </w:t>
      </w:r>
      <w:r>
        <w:rPr>
          <w:rFonts w:eastAsia="IRNazanin" w:cs="IRNazanin"/>
          <w:color w:val="111111"/>
          <w:sz w:val="28"/>
          <w:szCs w:val="28"/>
          <w:rtl w:val="true"/>
          <w:lang w:bidi="fa-IR"/>
        </w:rPr>
        <w:t xml:space="preserve">. . .»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ائمه از پيامبر و دانش پيامبر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به‌نقل از فضيل‌بن‌يسار،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على بيّنة من رَبّنا، بَيّنَها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فَبَيّنَها نَبِيُّه لنا، فلولا ذلك كُنّا كَهَؤُلاء النّاس </w:t>
      </w:r>
      <w:r>
        <w:rPr>
          <w:rFonts w:eastAsia="IRNazanin" w:cs="IRNazanin"/>
          <w:color w:val="111111"/>
          <w:sz w:val="28"/>
          <w:szCs w:val="28"/>
          <w:rtl w:val="true"/>
          <w:lang w:bidi="fa-IR"/>
        </w:rPr>
        <w:t xml:space="preserve">» </w:t>
      </w:r>
      <w:r>
        <w:rPr>
          <w:rStyle w:val="FootnoteAnchor"/>
          <w:rtl w:val="true"/>
        </w:rPr>
        <w:footnoteReference w:id="506"/>
      </w:r>
      <w:r>
        <w:rPr>
          <w:rFonts w:ascii="Amiri" w:hAnsi="Amiri" w:eastAsia="Amiri" w:cs="Amiri"/>
          <w:color w:val="111111"/>
          <w:sz w:val="28"/>
          <w:sz w:val="28"/>
          <w:szCs w:val="28"/>
          <w:rtl w:val="true"/>
          <w:lang w:bidi="ar-SA"/>
        </w:rPr>
        <w:t>بصائرالدّرجات، ج</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اميرالمؤمنين انّ النّبى علمه العلم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حلال و حرام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سماعةبن‌مهران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إنّ‌الله عَلّم رسُولَه الحلالَ والحَرامَ والتأويلَ، فَعَلّم رسول‌الله عِلمه كُلَّهُ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08"/>
      </w:r>
      <w:r>
        <w:rPr>
          <w:rFonts w:ascii="Amiri" w:hAnsi="Amiri" w:eastAsia="Amiri" w:cs="Amiri"/>
          <w:color w:val="111111"/>
          <w:sz w:val="28"/>
          <w:sz w:val="28"/>
          <w:szCs w:val="28"/>
          <w:rtl w:val="true"/>
          <w:lang w:bidi="ar-SA"/>
        </w:rPr>
        <w:t>، درنقلى اين جمله را اضافه دارد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ومَا يحتاج إليه النّاسُ فعَلّمَ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ذلكَ كُلُّه </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به‌همين جهت است كه صالح‌بن‌ابى‌الاسود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جعفربن محمّد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سَلُوني قَبل أن تَفقِدُوني، فإنّه لايُحَدِّثُكُم أحَدٌ بِمثلِ حَديثي </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شدن هزار باب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به‌سندهاى مختلفى نقل شده كه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رسول‌الله بِألف حديث، لكلِّ حديثٍ ألف باب </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درحديث طولانى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ضمن سؤالى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پاسخ‌هاى جامعى را در مورد آيات قرآن، شأن نزول، زمان، محل، مورد و چگونگى نزول، تفسير، عام وخاص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مى‌شنود وآن‌ها را با دست مباركش با املاى حضرت، مكتوب مى‌كند </w:t>
      </w:r>
      <w:r>
        <w:rPr>
          <w:rStyle w:val="FootnoteAnchor"/>
          <w:rtl w:val="true"/>
        </w:rPr>
        <w:footnoteReference w:id="51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مكتوب و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بنا را بر نوشتن حديث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داشت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باخط خودش و املاى پيامبرخدا مسائل حرام وحلال را مكتوب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حضرتش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أُكتُب مَا أملى عليك،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أتخاف عَلَيّ النّسيان؟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أخاف عليك النّسيان، ودعوتُ‌الله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يجعلك حافظاً، ولكن أُكتُب لشركائك،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شركائي يا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ألائمة </w:t>
      </w:r>
    </w:p>
    <w:p>
      <w:pPr>
        <w:pStyle w:val="BookText"/>
        <w:rPr/>
      </w:pPr>
      <w:r>
        <w:rPr>
          <w:rFonts w:ascii="IRNazanin" w:hAnsi="IRNazanin" w:eastAsia="IRNazanin"/>
          <w:color w:val="111111"/>
          <w:sz w:val="28"/>
          <w:sz w:val="28"/>
          <w:szCs w:val="28"/>
          <w:rtl w:val="true"/>
          <w:lang w:bidi="fa-IR"/>
        </w:rPr>
        <w:t>من وُلدك، بهم تسقي أُمتي الغيث، و بهم يُستجاب دعائهم، وبهم 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عن‌الناس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البلاء، و بهم تنزل الرّحمة من السّماء، وهذا أوّلهم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ثانيهم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امام حسين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من وُلدك </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اين، گذشته از روايات متواترى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 كه درمنابع اهل‌سنت نقل شده،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مصحف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هيچ ترديدى را در مردود بودن ادعاى پيروان ابن‌تيميه باقى نمى‌گذارد و اين نتيجه را مى‌دهد كه علم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كتاب الهى و سخنان و روايات آن‌ها، متصل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چيزى را از خود و به‌اجتهاد وآراى خود بيان نمى‌كنند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خود ابن‌تيميه دراصل أخذ علم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پدرانشان تا برسد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وايضاًجعفرالصّادق أَخَذَ عن أبيه وعن غيره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وكذلك أبوهُ عن علي‌بن‌الحسين وغيره و كذلك علي‌بن الحسين أخَذَ العلم عن غيرالحسين أكثر ممّا أخَذَ عن الحسين، فإنَّ الحسين قُتل إحدى وستين و عَلِيٌّ صغير </w:t>
      </w:r>
      <w:r>
        <w:rPr>
          <w:rFonts w:eastAsia="IRNazanin" w:cs="IRNazanin"/>
          <w:color w:val="111111"/>
          <w:sz w:val="28"/>
          <w:szCs w:val="28"/>
          <w:rtl w:val="true"/>
          <w:lang w:bidi="fa-IR"/>
        </w:rPr>
        <w:t xml:space="preserve">. . .» </w:t>
      </w:r>
      <w:r>
        <w:rPr>
          <w:rStyle w:val="FootnoteAnchor"/>
          <w:rtl w:val="true"/>
        </w:rPr>
        <w:footnoteReference w:id="516"/>
      </w:r>
      <w:r>
        <w:rPr>
          <w:rFonts w:ascii="IRNazanin" w:hAnsi="IRNazanin" w:eastAsia="IRNazanin"/>
          <w:color w:val="111111"/>
          <w:sz w:val="28"/>
          <w:sz w:val="28"/>
          <w:szCs w:val="28"/>
          <w:rtl w:val="true"/>
          <w:lang w:bidi="fa-IR"/>
        </w:rPr>
        <w:t xml:space="preserve">، ولى در مورد سنِّ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اشتباه مى‌گردد؛ واگر در مورد على‌بن‌الحسين حداقل از مناظره‌اى كه ميان ابن‌زياد </w:t>
      </w:r>
      <w:bookmarkStart w:id="206" w:name="pg1976_27792"/>
    </w:p>
    <w:p>
      <w:pPr>
        <w:pStyle w:val="BookText"/>
        <w:rPr/>
      </w:pPr>
      <w:bookmarkEnd w:id="206"/>
      <w:r>
        <w:rPr>
          <w:rFonts w:ascii="Amiri" w:hAnsi="Amiri" w:eastAsia="Amiri" w:cs="Amiri"/>
          <w:color w:val="111111"/>
          <w:sz w:val="28"/>
          <w:sz w:val="28"/>
          <w:szCs w:val="28"/>
          <w:rtl w:val="true"/>
          <w:lang w:bidi="ar-SA"/>
        </w:rPr>
        <w:t xml:space="preserve">و على‌بن الحسين در كوفه </w:t>
      </w:r>
      <w:r>
        <w:rPr>
          <w:rStyle w:val="FootnoteAnchor"/>
          <w:rtl w:val="true"/>
        </w:rPr>
        <w:footnoteReference w:id="517"/>
      </w:r>
      <w:r>
        <w:rPr>
          <w:rFonts w:ascii="IRNazanin" w:hAnsi="IRNazanin" w:eastAsia="IRNazanin"/>
          <w:color w:val="111111"/>
          <w:sz w:val="28"/>
          <w:sz w:val="28"/>
          <w:szCs w:val="28"/>
          <w:rtl w:val="true"/>
          <w:lang w:bidi="fa-IR"/>
        </w:rPr>
        <w:t xml:space="preserve">و نيزگفت وگوى يزيد با امام سجاد در شام </w:t>
      </w:r>
      <w:r>
        <w:rPr>
          <w:rStyle w:val="FootnoteAnchor"/>
          <w:rtl w:val="true"/>
        </w:rPr>
        <w:footnoteReference w:id="518"/>
      </w:r>
      <w:r>
        <w:rPr>
          <w:rFonts w:ascii="IRNazanin" w:hAnsi="IRNazanin" w:eastAsia="IRNazanin"/>
          <w:color w:val="111111"/>
          <w:sz w:val="28"/>
          <w:sz w:val="28"/>
          <w:szCs w:val="28"/>
          <w:rtl w:val="true"/>
          <w:lang w:bidi="fa-IR"/>
        </w:rPr>
        <w:t xml:space="preserve">، 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مى‌داشت چنين حرفى را نمى زد</w:t>
      </w:r>
      <w:r>
        <w:rPr>
          <w:rFonts w:eastAsia="IRNazanin" w:cs="IRNazanin"/>
          <w:color w:val="111111"/>
          <w:sz w:val="28"/>
          <w:szCs w:val="28"/>
          <w:rtl w:val="true"/>
          <w:lang w:bidi="fa-IR"/>
        </w:rPr>
        <w:t>!</w:t>
      </w:r>
    </w:p>
    <w:p>
      <w:pPr>
        <w:pStyle w:val="Heading6"/>
        <w:numPr>
          <w:ilvl w:val="5"/>
          <w:numId w:val="1"/>
        </w:numPr>
        <w:rPr/>
      </w:pPr>
      <w:bookmarkStart w:id="207" w:name="__RefHeading___Toc3766987_3650668749"/>
      <w:bookmarkStart w:id="208" w:name="_Toc72"/>
      <w:bookmarkEnd w:id="207"/>
      <w:r>
        <w:rPr>
          <w:rtl w:val="true"/>
        </w:rPr>
        <w:t xml:space="preserve">دو </w:t>
      </w:r>
      <w:r>
        <w:rPr>
          <w:rtl w:val="true"/>
        </w:rPr>
        <w:t xml:space="preserve">- </w:t>
      </w:r>
      <w:r>
        <w:rPr>
          <w:rtl w:val="true"/>
        </w:rPr>
        <w:t xml:space="preserve">عدم اتصال همه روايات مكتب خلفاء به‌رسول‌الله </w:t>
      </w:r>
      <w:r>
        <w:rPr>
          <w:rtl w:val="true"/>
        </w:rPr>
        <w:t>(</w:t>
      </w:r>
      <w:r>
        <w:rPr>
          <w:rtl w:val="true"/>
        </w:rPr>
        <w:t>ص</w:t>
      </w:r>
      <w:r>
        <w:rPr>
          <w:rtl w:val="true"/>
        </w:rPr>
        <w:t>)</w:t>
      </w:r>
      <w:bookmarkEnd w:id="208"/>
    </w:p>
    <w:p>
      <w:pPr>
        <w:pStyle w:val="BookText"/>
        <w:rPr/>
      </w:pPr>
      <w:r>
        <w:rPr>
          <w:rFonts w:ascii="IRNazanin" w:hAnsi="IRNazanin" w:eastAsia="IRNazanin"/>
          <w:color w:val="111111"/>
          <w:sz w:val="28"/>
          <w:sz w:val="28"/>
          <w:szCs w:val="28"/>
          <w:rtl w:val="true"/>
          <w:lang w:bidi="fa-IR"/>
        </w:rPr>
        <w:t xml:space="preserve">اينكه قفارى ادعا مى‌كند، روايات منابع ششگانه اهل‌سنت منسوب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بايد گفت هرچند كه احاديث اين كتاب‌ها به‌نحوى به‌پيامبر ارتباط داده شده </w:t>
      </w:r>
      <w:r>
        <w:rPr>
          <w:rStyle w:val="FootnoteAnchor"/>
          <w:rtl w:val="true"/>
        </w:rPr>
        <w:footnoteReference w:id="519"/>
      </w:r>
      <w:r>
        <w:rPr>
          <w:rFonts w:ascii="IRNazanin" w:hAnsi="IRNazanin" w:eastAsia="IRNazanin"/>
          <w:color w:val="111111"/>
          <w:sz w:val="28"/>
          <w:sz w:val="28"/>
          <w:szCs w:val="28"/>
          <w:rtl w:val="true"/>
          <w:lang w:bidi="fa-IR"/>
        </w:rPr>
        <w:t xml:space="preserve">، ولى همه آنها از اين ويژگى برخوردار نيستند، بلكه موارد فراوانى يافت مى‌شود كه متصل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بخارى </w:t>
      </w:r>
      <w:r>
        <w:rPr>
          <w:rStyle w:val="FootnoteAnchor"/>
          <w:rtl w:val="true"/>
        </w:rPr>
        <w:footnoteReference w:id="520"/>
      </w:r>
      <w:r>
        <w:rPr>
          <w:rFonts w:ascii="IRNazanin" w:hAnsi="IRNazanin" w:eastAsia="IRNazanin"/>
          <w:color w:val="111111"/>
          <w:sz w:val="28"/>
          <w:sz w:val="28"/>
          <w:szCs w:val="28"/>
          <w:rtl w:val="true"/>
          <w:lang w:bidi="fa-IR"/>
        </w:rPr>
        <w:t xml:space="preserve">، نخستين مجموعۀ حديثى و صحيح‌ترين كتاب پس از قرآن </w:t>
      </w:r>
      <w:r>
        <w:rPr>
          <w:rStyle w:val="FootnoteAnchor"/>
          <w:rtl w:val="true"/>
        </w:rPr>
        <w:footnoteReference w:id="521"/>
      </w:r>
      <w:r>
        <w:rPr>
          <w:rFonts w:ascii="IRNazanin" w:hAnsi="IRNazanin" w:eastAsia="IRNazanin"/>
          <w:color w:val="111111"/>
          <w:sz w:val="28"/>
          <w:sz w:val="28"/>
          <w:szCs w:val="28"/>
          <w:rtl w:val="true"/>
          <w:lang w:bidi="fa-IR"/>
        </w:rPr>
        <w:t xml:space="preserve">، گذشته از اينكه از افرادى چون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 و همانند او حديث مى‌كند، روايات غير مستند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فراوان به‌چشم مى‌خورد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صحيح مسلم، دومين مجموعه حديثى اهل‌سنّت هرچند كه در آن روايات غير مسند به‌پيامبر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ديده مى‌شود، ولى همچنان همانند بخارى به‌نقل از امثال ابوهريره پرداخته واحاديث غير متصل در آن وجود دارد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ابن‌ماجه، كه از نظر اعتبار به‌سختى ششمين صحاح ششگانه محسوب مى‌گردد </w:t>
      </w:r>
      <w:r>
        <w:rPr>
          <w:rStyle w:val="FootnoteAnchor"/>
          <w:rtl w:val="true"/>
        </w:rPr>
        <w:footnoteReference w:id="525"/>
      </w:r>
      <w:r>
        <w:rPr>
          <w:rFonts w:ascii="IRNazanin" w:hAnsi="IRNazanin" w:eastAsia="IRNazanin"/>
          <w:color w:val="111111"/>
          <w:sz w:val="28"/>
          <w:sz w:val="28"/>
          <w:szCs w:val="28"/>
          <w:rtl w:val="true"/>
          <w:lang w:bidi="fa-IR"/>
        </w:rPr>
        <w:t xml:space="preserve">در آن نيز، روايات غير مسند به‌رسول‌الله فراوان مشاهده مى‌گردد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ابى‌داود، گذشته از اينكه همانند ديگر كتاب‌هاى اهل‌سنت، افراد بَدنامى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فراوان در اسنادش وجود دارد، احاديث غير متصل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درآن موجود است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209" w:name="pg1976_27796"/>
    </w:p>
    <w:p>
      <w:pPr>
        <w:pStyle w:val="BookText"/>
        <w:rPr/>
      </w:pPr>
      <w:bookmarkEnd w:id="209"/>
      <w:r>
        <w:rPr>
          <w:rFonts w:ascii="Amiri" w:hAnsi="Amiri" w:eastAsia="Amiri" w:cs="Amiri"/>
          <w:color w:val="111111"/>
          <w:sz w:val="28"/>
          <w:sz w:val="28"/>
          <w:szCs w:val="28"/>
          <w:rtl w:val="true"/>
          <w:lang w:bidi="ar-SA"/>
        </w:rPr>
        <w:t xml:space="preserve">در سنن الترمذى نيز سندهاى غير مستند به‌رسول‌الله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فراوان آمده است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نسائى هم وضع بهترى ازهم‌قطارانش ندارد</w:t>
      </w:r>
      <w:r>
        <w:rPr>
          <w:rFonts w:eastAsia="IRNazanin" w:cs="IRNazanin"/>
          <w:color w:val="111111"/>
          <w:sz w:val="28"/>
          <w:szCs w:val="28"/>
          <w:rtl w:val="true"/>
          <w:lang w:bidi="fa-IR"/>
        </w:rPr>
        <w:t>.</w:t>
      </w:r>
    </w:p>
    <w:p>
      <w:pPr>
        <w:pStyle w:val="Heading6"/>
        <w:numPr>
          <w:ilvl w:val="5"/>
          <w:numId w:val="1"/>
        </w:numPr>
        <w:rPr/>
      </w:pPr>
      <w:bookmarkStart w:id="210" w:name="__RefHeading___Toc3766989_3650668749"/>
      <w:bookmarkStart w:id="211" w:name="_Toc73"/>
      <w:bookmarkEnd w:id="210"/>
      <w:r>
        <w:rPr>
          <w:rtl w:val="true"/>
        </w:rPr>
        <w:t>ج</w:t>
      </w:r>
      <w:r>
        <w:rPr>
          <w:rtl w:val="true"/>
        </w:rPr>
        <w:t xml:space="preserve">) </w:t>
      </w:r>
      <w:r>
        <w:rPr>
          <w:rtl w:val="true"/>
        </w:rPr>
        <w:t>فقدان معيار شناخت حديث صحيح از ناصحيح</w:t>
      </w:r>
      <w:r>
        <w:rPr>
          <w:rtl w:val="true"/>
        </w:rPr>
        <w:t>!</w:t>
      </w:r>
      <w:bookmarkEnd w:id="211"/>
    </w:p>
    <w:p>
      <w:pPr>
        <w:pStyle w:val="Heading6"/>
        <w:numPr>
          <w:ilvl w:val="5"/>
          <w:numId w:val="1"/>
        </w:numPr>
        <w:rPr/>
      </w:pPr>
      <w:bookmarkStart w:id="212" w:name="__RefHeading___Toc3766991_3650668749"/>
      <w:bookmarkStart w:id="213" w:name="_Toc74"/>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در بخش‌سوم از اشكال، ابن‌تيميه و آلوسى مدعى شدند كه شيعه ملاك و معيارى براى تشخيص احاديث صحيح از ناصحيح ندارند، و از منابعى‌كه آنها را در تشخيص روايات يارى نمايد،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اين ادعا غير معقول و از جهاتى مردود است و براى ابطال و نقد اين ادعا به‌چند نكته اشاره مى‌شود</w:t>
      </w:r>
      <w:r>
        <w:rPr>
          <w:rFonts w:eastAsia="IRNazanin" w:cs="IRNazanin"/>
          <w:color w:val="111111"/>
          <w:sz w:val="28"/>
          <w:szCs w:val="28"/>
          <w:rtl w:val="true"/>
          <w:lang w:bidi="fa-IR"/>
        </w:rPr>
        <w:t>:</w:t>
      </w:r>
    </w:p>
    <w:p>
      <w:pPr>
        <w:pStyle w:val="Heading6"/>
        <w:numPr>
          <w:ilvl w:val="5"/>
          <w:numId w:val="1"/>
        </w:numPr>
        <w:rPr/>
      </w:pPr>
      <w:bookmarkStart w:id="214" w:name="__RefHeading___Toc3766993_3650668749"/>
      <w:bookmarkStart w:id="215" w:name="_Toc75"/>
      <w:bookmarkEnd w:id="214"/>
      <w:r>
        <w:rPr>
          <w:rtl w:val="true"/>
        </w:rPr>
        <w:t xml:space="preserve">يك </w:t>
      </w:r>
      <w:r>
        <w:rPr>
          <w:rtl w:val="true"/>
        </w:rPr>
        <w:t xml:space="preserve">- </w:t>
      </w:r>
      <w:r>
        <w:rPr>
          <w:rtl w:val="true"/>
        </w:rPr>
        <w:t xml:space="preserve">تقدُّم تدوين حديث در مكتب اهل‌بيت </w:t>
      </w:r>
      <w:r>
        <w:rPr>
          <w:rtl w:val="true"/>
        </w:rPr>
        <w:t>(</w:t>
      </w:r>
      <w:r>
        <w:rPr>
          <w:rtl w:val="true"/>
        </w:rPr>
        <w:t>عليهم السلام</w:t>
      </w:r>
      <w:r>
        <w:rPr>
          <w:rtl w:val="true"/>
        </w:rPr>
        <w:t>)</w:t>
      </w:r>
      <w:bookmarkEnd w:id="215"/>
    </w:p>
    <w:p>
      <w:pPr>
        <w:pStyle w:val="Heading6"/>
        <w:numPr>
          <w:ilvl w:val="5"/>
          <w:numId w:val="1"/>
        </w:numPr>
        <w:rPr/>
      </w:pPr>
      <w:bookmarkStart w:id="216" w:name="__RefHeading___Toc3766995_3650668749"/>
      <w:bookmarkStart w:id="217" w:name="_Toc76"/>
      <w:bookmarkEnd w:id="216"/>
      <w:r>
        <w:rPr>
          <w:rtl w:val="true"/>
        </w:rPr>
        <w:t>اشاره</w:t>
      </w:r>
      <w:bookmarkEnd w:id="2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ترديدى نيست كه تدوين حديث، در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ابتداى تاريخ اسلام آغاز شد و هيچ منعى براى كتابت و انتشار حديث وجود نداشت و افراد زيادى به‌تدوين حديث رسول‌الله همّت گماردند؛ از اين رو از ورود احاديث دروغ وجعلى از نخستين روزها، جلوگيرى به‌عمل آمد؛ برخلاف مكتب خلفاء كه پس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به‌بهانه‌اى واهى </w:t>
      </w:r>
      <w:r>
        <w:rPr>
          <w:rStyle w:val="FootnoteAnchor"/>
          <w:rtl w:val="true"/>
        </w:rPr>
        <w:footnoteReference w:id="529"/>
      </w:r>
      <w:r>
        <w:rPr>
          <w:rFonts w:ascii="IRNazanin" w:hAnsi="IRNazanin" w:eastAsia="IRNazanin"/>
          <w:color w:val="111111"/>
          <w:sz w:val="28"/>
          <w:sz w:val="28"/>
          <w:szCs w:val="28"/>
          <w:rtl w:val="true"/>
          <w:lang w:bidi="fa-IR"/>
        </w:rPr>
        <w:t>از كتابت حديث جلوگيرى و تا اواسط قرن دوم اين ممنوعيت اعمال مى‌شد و آثار و پيامد آن تا قرن سوم ادامه يافت</w:t>
      </w:r>
      <w:r>
        <w:rPr>
          <w:rFonts w:eastAsia="IRNazanin" w:cs="IRNazanin"/>
          <w:color w:val="111111"/>
          <w:sz w:val="28"/>
          <w:szCs w:val="28"/>
          <w:rtl w:val="true"/>
          <w:lang w:bidi="fa-IR"/>
        </w:rPr>
        <w:t xml:space="preserve">. </w:t>
      </w:r>
      <w:r>
        <w:rPr>
          <w:rStyle w:val="FootnoteAnchor"/>
          <w:rtl w:val="true"/>
        </w:rPr>
        <w:footnoteReference w:id="530"/>
      </w:r>
      <w:bookmarkStart w:id="218" w:name="pg1976_27798"/>
    </w:p>
    <w:p>
      <w:pPr>
        <w:pStyle w:val="Heading6"/>
        <w:numPr>
          <w:ilvl w:val="5"/>
          <w:numId w:val="1"/>
        </w:numPr>
        <w:rPr/>
      </w:pPr>
      <w:bookmarkStart w:id="219" w:name="__RefHeading___Toc3766997_3650668749"/>
      <w:bookmarkStart w:id="220" w:name="_Toc77"/>
      <w:bookmarkEnd w:id="218"/>
      <w:bookmarkEnd w:id="219"/>
      <w:r>
        <w:rPr>
          <w:rtl w:val="true"/>
        </w:rPr>
        <w:t>اوّل</w:t>
      </w:r>
      <w:r>
        <w:rPr>
          <w:rtl w:val="true"/>
        </w:rPr>
        <w:t xml:space="preserve">: </w:t>
      </w:r>
      <w:r>
        <w:rPr>
          <w:rtl w:val="true"/>
        </w:rPr>
        <w:t xml:space="preserve">مكتوبات اميرالمؤمنين </w:t>
      </w:r>
      <w:r>
        <w:rPr>
          <w:rtl w:val="true"/>
        </w:rPr>
        <w:t>(</w:t>
      </w:r>
      <w:r>
        <w:rPr>
          <w:rtl w:val="true"/>
        </w:rPr>
        <w:t>ع</w:t>
      </w:r>
      <w:r>
        <w:rPr>
          <w:rtl w:val="true"/>
        </w:rPr>
        <w:t>)</w:t>
      </w:r>
      <w:bookmarkEnd w:id="220"/>
    </w:p>
    <w:p>
      <w:pPr>
        <w:pStyle w:val="BookText"/>
        <w:rPr/>
      </w:pPr>
      <w:r>
        <w:rPr>
          <w:rFonts w:ascii="IRNazanin" w:hAnsi="IRNazanin" w:eastAsia="IRNazanin"/>
          <w:color w:val="111111"/>
          <w:sz w:val="28"/>
          <w:sz w:val="28"/>
          <w:szCs w:val="28"/>
          <w:rtl w:val="true"/>
          <w:lang w:bidi="fa-IR"/>
        </w:rPr>
        <w:t xml:space="preserve">گذشته از سخن ابن‌ابى‌الحديد در خصوص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همه فضائل وعلوم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أقُولُ فى رجُل أقَرَّ له أعداؤه وخصومُه بالفضل، ولم يمكن جَحدُ مناقبه، ولا كتمانُ فضائله،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عرفتَ أنَّ أشرف العلوم هو العلم الإلهى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ومن‌كلامه عليه‌السّلام اقتُبِسَ، وعنه نُقِل، وإليه إنتهى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ومن‌العلوم عِلمُ الفقه، و هو عليه السّلام أصلُهُ وأساسُه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ومن‌العلوم، علمُ تفسيرالقرآن، وعنه أُخِذَ، و منه فُرِّعَ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ومن‌العلوم علمُ الطَّريقة والحقيقة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وقد عرفتَ أنَّ أربابَ هذالفنّ فى جميع بلاد الاسلام إليه ينتهون</w:t>
      </w:r>
      <w:r>
        <w:rPr>
          <w:rFonts w:eastAsia="IRNazanin" w:cs="IRNazanin"/>
          <w:color w:val="111111"/>
          <w:sz w:val="28"/>
          <w:szCs w:val="28"/>
          <w:rtl w:val="true"/>
          <w:lang w:bidi="fa-IR"/>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نخستين آثار مكتوب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پديد آورنده كتاب در تاريخ اسلام است؛ كتاب وى در زمان حيات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به‌املاى ايشان مكتوب شد، از اين كتاب در منابع مختلف،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ويژگى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الجامعةُ فَهِي كتابٌ طُولُهُ سَبعونَ ذراعاً إملاءُ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فَلقِ فِيه، وخطّ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وَاللهِ فيه جَميعُ مَا يَحتاجُ النّاسُ إلى يَومِ القيامة، حَتّى أنَّ فيهِ أرشَ الخَدشِ، والجَلدَةَ ونِصفَ الجَلدةِ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محتوا را با عبارت ديگر بيان نموده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صيرفى مى‌گويد من با حَكَم‌بن‌عيينه نزد ابى‌جعفر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در مسأله‌اى اختلاف پيش‌آمد،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به‌فرزندش جعفربن‌محمد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قُم فَاخرُج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وقتى كتاب را آورد، كتاب بزرگ و مدروج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اِملاءُ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فوَالله لاتَجِدُون العلمَ أوثق منه عند قوم كان يَنزل عليهم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عصر بخارى وجود داشته است، و وى در چندجا از اين صحيفه به‌نقل حديث پرداخته است </w:t>
      </w:r>
      <w:r>
        <w:rPr>
          <w:rStyle w:val="FootnoteAnchor"/>
          <w:rtl w:val="true"/>
        </w:rPr>
        <w:footnoteReference w:id="533"/>
      </w:r>
      <w:r>
        <w:rPr>
          <w:rFonts w:ascii="Amiri" w:hAnsi="Amiri" w:eastAsia="Amiri" w:cs="Amiri"/>
          <w:color w:val="111111"/>
          <w:sz w:val="28"/>
          <w:sz w:val="28"/>
          <w:szCs w:val="28"/>
          <w:rtl w:val="true"/>
          <w:lang w:bidi="ar-SA"/>
        </w:rPr>
        <w:t>كه درآن كتاب شريف از دِيه، آزادى اسير و كشته نشدن مسلمان توسط كافر وحدود و ديات بحث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نيز در صحيح خود </w:t>
      </w:r>
      <w:r>
        <w:rPr>
          <w:rStyle w:val="FootnoteAnchor"/>
          <w:rtl w:val="true"/>
        </w:rPr>
        <w:footnoteReference w:id="534"/>
      </w:r>
      <w:r>
        <w:rPr>
          <w:rFonts w:ascii="IRNazanin" w:hAnsi="IRNazanin" w:eastAsia="IRNazanin"/>
          <w:color w:val="111111"/>
          <w:sz w:val="28"/>
          <w:sz w:val="28"/>
          <w:szCs w:val="28"/>
          <w:rtl w:val="true"/>
          <w:lang w:bidi="fa-IR"/>
        </w:rPr>
        <w:t xml:space="preserve">از صحيفه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غلاف شمشيرش مى‌آويخت، احمد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قريب به‌سخن مسلم را آورده است با اين اضافه كه حضرت تصريح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أخَذتُها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فرائض‌الصَّدقة </w:t>
      </w:r>
      <w:r>
        <w:rPr>
          <w:rFonts w:eastAsia="IRNazanin" w:cs="IRNazanin"/>
          <w:color w:val="111111"/>
          <w:sz w:val="28"/>
          <w:szCs w:val="28"/>
          <w:rtl w:val="true"/>
          <w:lang w:bidi="fa-IR"/>
        </w:rPr>
        <w:t xml:space="preserve">»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به‌احتمال قوى آنچه نزد </w:t>
      </w:r>
    </w:p>
    <w:p>
      <w:pPr>
        <w:pStyle w:val="BookText"/>
        <w:rPr/>
      </w:pPr>
      <w:r>
        <w:rPr>
          <w:rFonts w:ascii="IRNazanin" w:hAnsi="IRNazanin" w:eastAsia="IRNazanin"/>
          <w:color w:val="111111"/>
          <w:sz w:val="28"/>
          <w:sz w:val="28"/>
          <w:szCs w:val="28"/>
          <w:rtl w:val="true"/>
          <w:lang w:bidi="fa-IR"/>
        </w:rPr>
        <w:t xml:space="preserve">اميرالمؤمنين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ديات وجود داشته و آن را در غلاف شمشيرش مى‌بسته است، غير از صحيفه‌اى است كه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اثر مكتوب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براعتراف عالمان اهل‌سنّت، تدوين و جمع‌آورى كتاب‌خدا يعنى قرآن كريم همراه شأن نزول آيات، تفاسير و تأويل آن بود كه پس از رحلت پيامبرخدا انجام گرفت؛ ابن‌حجرهيتمى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سَلُوني عَن كتابِ الله فانّه لَيسَ من آية إلّا و قَد عَرَفتُ بليلٍ نَزَلت اَم بنهارٍ، أم في سَهلٍ أوجبلٍ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أبى‌داود، از محمدبن‌سرين نقل مى‌كند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تُوُفّي رسول‌الله أبطأ علي عن بيعة ابي‌بكر، فلقيه أبوبكر، فقال أكرهتَ إمارتي؟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آليتُ لا أرتدي بردائي إلّا إلى الصّلاة حتّى أجمع القرآن، فزعَمُوا أنّه كَتَبَهُ على تنزيله، قال محمدبن سيرين لو أصبتُ ذلك الكتاب كانَ فيه العلم </w:t>
      </w:r>
      <w:r>
        <w:rPr>
          <w:rFonts w:eastAsia="IRNazanin" w:cs="IRNazanin"/>
          <w:color w:val="111111"/>
          <w:sz w:val="28"/>
          <w:szCs w:val="28"/>
          <w:rtl w:val="true"/>
          <w:lang w:bidi="fa-IR"/>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شيعه جزئيات بيشترى از اين قرآن به‌دست مى‌دهد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اثر ماندگار مكتوب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مالك اشتر به‌مردم مصر است كه نه‌تنها عزت و افتخار پيروان مكتب اسلام است كه تنها سند جاودانه و منشور بين‌الاديان و دستورالعمل حكومت‌دارى، نشأت گرفته از روح بلند آن بزرگ‌مردِ تاريخ است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ماندگارش گروه‌ها و طبقات اجتماعى هفتگانه را </w:t>
      </w:r>
      <w:r>
        <w:rPr>
          <w:rStyle w:val="FootnoteAnchor"/>
          <w:rtl w:val="true"/>
        </w:rPr>
        <w:footnoteReference w:id="540"/>
      </w:r>
      <w:r>
        <w:rPr>
          <w:rFonts w:ascii="Amiri" w:hAnsi="Amiri" w:eastAsia="Amiri" w:cs="Amiri"/>
          <w:color w:val="111111"/>
          <w:sz w:val="28"/>
          <w:sz w:val="28"/>
          <w:szCs w:val="28"/>
          <w:rtl w:val="true"/>
          <w:lang w:bidi="ar-SA"/>
        </w:rPr>
        <w:t>با اصول و مبانى و وظايف‌شان شرح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آثار مكتوب صدر اسلام </w:t>
      </w:r>
      <w:bookmarkStart w:id="221" w:name="pg1976_27804"/>
    </w:p>
    <w:p>
      <w:pPr>
        <w:pStyle w:val="BookText"/>
        <w:rPr/>
      </w:pPr>
      <w:bookmarkEnd w:id="221"/>
      <w:r>
        <w:rPr>
          <w:rFonts w:ascii="Amiri" w:hAnsi="Amiri" w:eastAsia="Amiri" w:cs="Amiri"/>
          <w:color w:val="111111"/>
          <w:sz w:val="28"/>
          <w:sz w:val="28"/>
          <w:szCs w:val="28"/>
          <w:rtl w:val="true"/>
          <w:lang w:bidi="ar-SA"/>
        </w:rPr>
        <w:t>است كه شامل امثال و حكمت‌ها و عبرت‌ها و موعظه و اخبار نوادر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است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ناصواب و غير منصفانه است كه ابن‌تيميه بدون تحقيق و اطّلاع، چيزى را بگويد كه سبب شرمسارى وى و پيروانش‌گردد</w:t>
      </w:r>
      <w:r>
        <w:rPr>
          <w:rFonts w:eastAsia="IRNazanin" w:cs="IRNazanin"/>
          <w:color w:val="111111"/>
          <w:sz w:val="28"/>
          <w:szCs w:val="28"/>
          <w:rtl w:val="true"/>
          <w:lang w:bidi="fa-IR"/>
        </w:rPr>
        <w:t>.</w:t>
      </w:r>
    </w:p>
    <w:p>
      <w:pPr>
        <w:pStyle w:val="Heading6"/>
        <w:numPr>
          <w:ilvl w:val="5"/>
          <w:numId w:val="1"/>
        </w:numPr>
        <w:rPr/>
      </w:pPr>
      <w:bookmarkStart w:id="222" w:name="__RefHeading___Toc3766999_3650668749"/>
      <w:bookmarkStart w:id="223" w:name="_Toc78"/>
      <w:bookmarkEnd w:id="222"/>
      <w:r>
        <w:rPr>
          <w:rtl w:val="true"/>
        </w:rPr>
        <w:t>دوم</w:t>
      </w:r>
      <w:r>
        <w:rPr>
          <w:rtl w:val="true"/>
        </w:rPr>
        <w:t xml:space="preserve">: </w:t>
      </w:r>
      <w:r>
        <w:rPr>
          <w:rtl w:val="true"/>
        </w:rPr>
        <w:t xml:space="preserve">صحيفه‌هاى مكتوب پس از على </w:t>
      </w:r>
      <w:r>
        <w:rPr>
          <w:rtl w:val="true"/>
        </w:rPr>
        <w:t>(</w:t>
      </w:r>
      <w:r>
        <w:rPr>
          <w:rtl w:val="true"/>
        </w:rPr>
        <w:t>ع</w:t>
      </w:r>
      <w:r>
        <w:rPr>
          <w:rtl w:val="true"/>
        </w:rPr>
        <w:t>)</w:t>
      </w:r>
      <w:bookmarkEnd w:id="223"/>
    </w:p>
    <w:p>
      <w:pPr>
        <w:pStyle w:val="BookText"/>
        <w:rPr/>
      </w:pPr>
      <w:r>
        <w:rPr>
          <w:rFonts w:ascii="IRNazanin" w:hAnsi="IRNazanin" w:eastAsia="IRNazanin"/>
          <w:color w:val="111111"/>
          <w:sz w:val="28"/>
          <w:sz w:val="28"/>
          <w:szCs w:val="28"/>
          <w:rtl w:val="true"/>
          <w:lang w:bidi="fa-IR"/>
        </w:rPr>
        <w:t xml:space="preserve">پس از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صحيفه‌هايى توسط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تابعين به‌رشته تحرير درآمد كه فراگير بخش‌هايى از احاديث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اوائل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صحيفه‌اى كه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نبوى در آن گرد آورى شد، توسط صحابى گرامى ابورافع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542"/>
      </w:r>
      <w:r>
        <w:rPr>
          <w:rFonts w:ascii="Amiri" w:hAnsi="Amiri" w:eastAsia="Amiri" w:cs="Amiri"/>
          <w:color w:val="111111"/>
          <w:sz w:val="28"/>
          <w:sz w:val="28"/>
          <w:szCs w:val="28"/>
          <w:rtl w:val="true"/>
          <w:lang w:bidi="ar-SA"/>
        </w:rPr>
        <w:t xml:space="preserve">اين صحابى كتاب‌هايى به‌نام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والاحكام والقضايا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ذكر اسناد رواياتش تنظيم نمود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دومين صحيفه‌اى كه احاديث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جاى داد، توسط صحابى نامى جندب‌بن‌جناده ابوذر غفارى تدوين شد كه در آن برخى از امور واقع پس از آن‌حضرت را شرح داده است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صحيفه‌هاى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صحيفه‌اى كه مجموعه‌اى از احاديث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گرد آورى شد، توسط گروهى از تابعين تدوين شده است، كه اين گروه خود به‌چند طبقه تقسيم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نخست عبارتند از اصبغ‌بن‌نباته 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 عبدالله‌بن‌ابى رافع كاتب اميرالمؤمنين و از اصحاب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الاعور الهمدانى </w:t>
      </w:r>
      <w:r>
        <w:rPr>
          <w:rStyle w:val="FootnoteAnchor"/>
          <w:rtl w:val="true"/>
        </w:rPr>
        <w:footnoteReference w:id="547"/>
      </w:r>
      <w:r>
        <w:rPr>
          <w:rFonts w:ascii="Amiri" w:hAnsi="Amiri" w:eastAsia="Amiri" w:cs="Amiri"/>
          <w:color w:val="111111"/>
          <w:sz w:val="28"/>
          <w:sz w:val="28"/>
          <w:szCs w:val="28"/>
          <w:rtl w:val="true"/>
          <w:lang w:bidi="ar-SA"/>
        </w:rPr>
        <w:t xml:space="preserve">، سليم بن‌قيس‌الهلالى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 على‌بن‌رافع صاحب اميرالمؤمنين كاتب و خازن بيت‌المال </w:t>
      </w:r>
      <w:r>
        <w:rPr>
          <w:rStyle w:val="FootnoteAnchor"/>
          <w:rtl w:val="true"/>
        </w:rPr>
        <w:footnoteReference w:id="549"/>
      </w:r>
      <w:r>
        <w:rPr>
          <w:rFonts w:ascii="Amiri" w:hAnsi="Amiri" w:eastAsia="Amiri" w:cs="Amiri"/>
          <w:color w:val="111111"/>
          <w:sz w:val="28"/>
          <w:sz w:val="28"/>
          <w:szCs w:val="28"/>
          <w:rtl w:val="true"/>
          <w:lang w:bidi="ar-SA"/>
        </w:rPr>
        <w:t xml:space="preserve">ربيعةبن‌سميع </w:t>
      </w:r>
      <w:r>
        <w:rPr>
          <w:rStyle w:val="FootnoteAnchor"/>
          <w:rtl w:val="true"/>
        </w:rPr>
        <w:footnoteReference w:id="550"/>
      </w:r>
      <w:r>
        <w:rPr>
          <w:rFonts w:ascii="Amiri" w:hAnsi="Amiri" w:eastAsia="Amiri" w:cs="Amiri"/>
          <w:color w:val="111111"/>
          <w:sz w:val="28"/>
          <w:sz w:val="28"/>
          <w:szCs w:val="28"/>
          <w:rtl w:val="true"/>
          <w:lang w:bidi="ar-SA"/>
        </w:rPr>
        <w:t xml:space="preserve">، عبيدالله بن‌الحُرّ الجعفى </w:t>
      </w:r>
      <w:r>
        <w:rPr>
          <w:rStyle w:val="FootnoteAnchor"/>
          <w:rtl w:val="true"/>
        </w:rPr>
        <w:footnoteReference w:id="551"/>
      </w:r>
      <w:r>
        <w:rPr>
          <w:rFonts w:ascii="Amiri" w:hAnsi="Amiri" w:eastAsia="Amiri" w:cs="Amiri"/>
          <w:color w:val="111111"/>
          <w:sz w:val="28"/>
          <w:sz w:val="28"/>
          <w:szCs w:val="28"/>
          <w:rtl w:val="true"/>
          <w:lang w:bidi="ar-SA"/>
        </w:rPr>
        <w:t xml:space="preserve">، محمدبن قيس البَجَلى التّابعى صاحب اميرالمؤمنين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دوم كه صحيفه‌هايى را تدوين نموده‌اند، على‌بن‌الحسين زين‌العابدين </w:t>
      </w:r>
      <w:r>
        <w:rPr>
          <w:rStyle w:val="FootnoteAnchor"/>
          <w:rtl w:val="true"/>
        </w:rPr>
        <w:footnoteReference w:id="553"/>
      </w:r>
      <w:r>
        <w:rPr>
          <w:rFonts w:ascii="Amiri" w:hAnsi="Amiri" w:eastAsia="Amiri" w:cs="Amiri"/>
          <w:color w:val="111111"/>
          <w:sz w:val="28"/>
          <w:sz w:val="28"/>
          <w:szCs w:val="28"/>
          <w:rtl w:val="true"/>
          <w:lang w:bidi="ar-SA"/>
        </w:rPr>
        <w:t xml:space="preserve">، جابربن يزيد الجعفى التّابعى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اصحاب امام‌سجاد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زيدالشهيد ابن على‌بن الحسين </w:t>
      </w:r>
      <w:r>
        <w:rPr>
          <w:rStyle w:val="FootnoteAnchor"/>
          <w:rtl w:val="true"/>
        </w:rPr>
        <w:footnoteReference w:id="555"/>
      </w:r>
      <w:r>
        <w:rPr>
          <w:rFonts w:ascii="Amiri" w:hAnsi="Amiri" w:eastAsia="Amiri" w:cs="Amiri"/>
          <w:color w:val="111111"/>
          <w:sz w:val="28"/>
          <w:sz w:val="28"/>
          <w:szCs w:val="28"/>
          <w:rtl w:val="true"/>
          <w:lang w:bidi="ar-SA"/>
        </w:rPr>
        <w:t xml:space="preserve">حسين‌بن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ابى‌الجهم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طبقه گروهى است كه احاديث را از امام زين‌العابدين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يحيى‌بن القسم بن‌قيس بن‌محمّد الانصارى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 عبدالمؤمن بن‌القسم‌بن قيس‌فهد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الانصارى </w:t>
      </w:r>
      <w:r>
        <w:rPr>
          <w:rStyle w:val="FootnoteAnchor"/>
          <w:rtl w:val="true"/>
        </w:rPr>
        <w:footnoteReference w:id="558"/>
      </w:r>
      <w:r>
        <w:rPr>
          <w:rFonts w:ascii="Amiri" w:hAnsi="Amiri" w:eastAsia="Amiri" w:cs="Amiri"/>
          <w:color w:val="111111"/>
          <w:sz w:val="28"/>
          <w:sz w:val="28"/>
          <w:szCs w:val="28"/>
          <w:rtl w:val="true"/>
          <w:lang w:bidi="ar-SA"/>
        </w:rPr>
        <w:t xml:space="preserve">زرارة بن‌أعين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محمدبن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الطّايى </w:t>
      </w:r>
      <w:r>
        <w:rPr>
          <w:rStyle w:val="FootnoteAnchor"/>
          <w:rtl w:val="true"/>
        </w:rPr>
        <w:footnoteReference w:id="560"/>
      </w:r>
      <w:r>
        <w:rPr>
          <w:rFonts w:ascii="Amiri" w:hAnsi="Amiri" w:eastAsia="Amiri" w:cs="Amiri"/>
          <w:color w:val="111111"/>
          <w:sz w:val="28"/>
          <w:sz w:val="28"/>
          <w:szCs w:val="28"/>
          <w:rtl w:val="true"/>
          <w:lang w:bidi="ar-SA"/>
        </w:rPr>
        <w:t xml:space="preserve">، بسام‌بن عبدالله الصيرفى </w:t>
      </w:r>
      <w:r>
        <w:rPr>
          <w:rStyle w:val="FootnoteAnchor"/>
          <w:rtl w:val="true"/>
        </w:rPr>
        <w:footnoteReference w:id="561"/>
      </w:r>
      <w:r>
        <w:rPr>
          <w:rFonts w:ascii="Amiri" w:hAnsi="Amiri" w:eastAsia="Amiri" w:cs="Amiri"/>
          <w:color w:val="111111"/>
          <w:sz w:val="28"/>
          <w:sz w:val="28"/>
          <w:szCs w:val="28"/>
          <w:rtl w:val="true"/>
          <w:lang w:bidi="ar-SA"/>
        </w:rPr>
        <w:t xml:space="preserve">، ابوعبيدة الحذاء زيادبن عيسى ابورجاءالكوفى </w:t>
      </w:r>
      <w:r>
        <w:rPr>
          <w:rStyle w:val="FootnoteAnchor"/>
          <w:rtl w:val="true"/>
        </w:rPr>
        <w:footnoteReference w:id="562"/>
      </w:r>
      <w:r>
        <w:rPr>
          <w:rFonts w:ascii="Amiri" w:hAnsi="Amiri" w:eastAsia="Amiri" w:cs="Amiri"/>
          <w:color w:val="111111"/>
          <w:sz w:val="28"/>
          <w:sz w:val="28"/>
          <w:szCs w:val="28"/>
          <w:rtl w:val="true"/>
          <w:lang w:bidi="ar-SA"/>
        </w:rPr>
        <w:t xml:space="preserve">، زكريابن عبدالله الفياض ابويحيى </w:t>
      </w:r>
      <w:r>
        <w:rPr>
          <w:rStyle w:val="FootnoteAnchor"/>
          <w:rtl w:val="true"/>
        </w:rPr>
        <w:footnoteReference w:id="563"/>
      </w:r>
      <w:r>
        <w:rPr>
          <w:rFonts w:ascii="Amiri" w:hAnsi="Amiri" w:eastAsia="Amiri" w:cs="Amiri"/>
          <w:color w:val="111111"/>
          <w:sz w:val="28"/>
          <w:sz w:val="28"/>
          <w:szCs w:val="28"/>
          <w:rtl w:val="true"/>
          <w:lang w:bidi="ar-SA"/>
        </w:rPr>
        <w:t xml:space="preserve">،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بن‌ابى‌فاخته ابوجهم مولى أمّ‌هانى </w:t>
      </w:r>
      <w:r>
        <w:rPr>
          <w:rStyle w:val="FootnoteAnchor"/>
          <w:rtl w:val="true"/>
        </w:rPr>
        <w:footnoteReference w:id="564"/>
      </w:r>
      <w:r>
        <w:rPr>
          <w:rFonts w:ascii="Amiri" w:hAnsi="Amiri" w:eastAsia="Amiri" w:cs="Amiri"/>
          <w:color w:val="111111"/>
          <w:sz w:val="28"/>
          <w:sz w:val="28"/>
          <w:szCs w:val="28"/>
          <w:rtl w:val="true"/>
          <w:lang w:bidi="ar-SA"/>
        </w:rPr>
        <w:t xml:space="preserve">، حجدربن مغيرة الطايى </w:t>
      </w:r>
      <w:r>
        <w:rPr>
          <w:rStyle w:val="FootnoteAnchor"/>
          <w:rtl w:val="true"/>
        </w:rPr>
        <w:footnoteReference w:id="565"/>
      </w:r>
      <w:r>
        <w:rPr>
          <w:rFonts w:ascii="Amiri" w:hAnsi="Amiri" w:eastAsia="Amiri" w:cs="Amiri"/>
          <w:color w:val="111111"/>
          <w:sz w:val="28"/>
          <w:sz w:val="28"/>
          <w:szCs w:val="28"/>
          <w:rtl w:val="true"/>
          <w:lang w:bidi="ar-SA"/>
        </w:rPr>
        <w:t xml:space="preserve">، معاويةبن عماربن‌ابى‌معاوية خبّاب‌بن عبدالله الدّهنى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المطلب الزهرى القريشى </w:t>
      </w:r>
      <w:r>
        <w:rPr>
          <w:rStyle w:val="FootnoteAnchor"/>
          <w:rtl w:val="true"/>
        </w:rPr>
        <w:footnoteReference w:id="567"/>
      </w:r>
      <w:r>
        <w:rPr>
          <w:rFonts w:ascii="Amiri" w:hAnsi="Amiri" w:eastAsia="Amiri" w:cs="Amiri"/>
          <w:color w:val="111111"/>
          <w:sz w:val="28"/>
          <w:sz w:val="28"/>
          <w:szCs w:val="28"/>
          <w:rtl w:val="true"/>
          <w:lang w:bidi="ar-SA"/>
        </w:rPr>
        <w:t xml:space="preserve">، عبدالله‌بن ميمون‌بن الأسود القداح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چهارم و عصر ظهور اصول چهارصدگانه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و پديد آورندگان حديثى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اصحاب و شاگردان امام‌صادق‌اند و اصول اربع‌مائة آثار مكتوب اين طبقه است</w:t>
      </w:r>
      <w:r>
        <w:rPr>
          <w:rFonts w:eastAsia="IRNazanin" w:cs="IRNazanin"/>
          <w:color w:val="111111"/>
          <w:sz w:val="28"/>
          <w:szCs w:val="28"/>
          <w:rtl w:val="true"/>
          <w:lang w:bidi="fa-IR"/>
        </w:rPr>
        <w:t xml:space="preserve">. </w:t>
      </w:r>
      <w:bookmarkStart w:id="224" w:name="pg1976_27811"/>
    </w:p>
    <w:p>
      <w:pPr>
        <w:pStyle w:val="Heading6"/>
        <w:numPr>
          <w:ilvl w:val="5"/>
          <w:numId w:val="1"/>
        </w:numPr>
        <w:rPr/>
      </w:pPr>
      <w:bookmarkStart w:id="225" w:name="__RefHeading___Toc3767001_3650668749"/>
      <w:bookmarkStart w:id="226" w:name="_Toc79"/>
      <w:bookmarkEnd w:id="224"/>
      <w:bookmarkEnd w:id="225"/>
      <w:r>
        <w:rPr>
          <w:rtl w:val="true"/>
        </w:rPr>
        <w:t xml:space="preserve">دو </w:t>
      </w:r>
      <w:r>
        <w:rPr>
          <w:rtl w:val="true"/>
        </w:rPr>
        <w:t xml:space="preserve">- </w:t>
      </w:r>
      <w:r>
        <w:rPr>
          <w:rtl w:val="true"/>
        </w:rPr>
        <w:t xml:space="preserve">نقش امام‌صادق </w:t>
      </w:r>
      <w:r>
        <w:rPr>
          <w:rtl w:val="true"/>
        </w:rPr>
        <w:t>(</w:t>
      </w:r>
      <w:r>
        <w:rPr>
          <w:rtl w:val="true"/>
        </w:rPr>
        <w:t>ع</w:t>
      </w:r>
      <w:r>
        <w:rPr>
          <w:rtl w:val="true"/>
        </w:rPr>
        <w:t xml:space="preserve">) </w:t>
      </w:r>
      <w:r>
        <w:rPr>
          <w:rtl w:val="true"/>
        </w:rPr>
        <w:t>در تدوين و انتقال حديث</w:t>
      </w:r>
      <w:bookmarkEnd w:id="226"/>
    </w:p>
    <w:p>
      <w:pPr>
        <w:pStyle w:val="Heading6"/>
        <w:numPr>
          <w:ilvl w:val="5"/>
          <w:numId w:val="1"/>
        </w:numPr>
        <w:rPr/>
      </w:pPr>
      <w:bookmarkStart w:id="227" w:name="__RefHeading___Toc3767003_3650668749"/>
      <w:bookmarkStart w:id="228" w:name="_Toc80"/>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ترديدى نيست كه جعفربن محمد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 ترويج و احياى علوم و سنّت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اساسى‌ترين نقش را ايفا نموده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در تربيت شاگردانى از پيروان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افراد زيادى از رؤساى مذاهب اسلامى و نامداران حديثى، از محضر او كسب دانش نموده‌اند، و در ميان مذاهب اسلامى از جايگاه ويژه‌اى برخوردار است</w:t>
      </w:r>
      <w:r>
        <w:rPr>
          <w:rFonts w:eastAsia="IRNazanin" w:cs="IRNazanin"/>
          <w:color w:val="111111"/>
          <w:sz w:val="28"/>
          <w:szCs w:val="28"/>
          <w:rtl w:val="true"/>
          <w:lang w:bidi="fa-IR"/>
        </w:rPr>
        <w:t>:</w:t>
      </w:r>
    </w:p>
    <w:p>
      <w:pPr>
        <w:pStyle w:val="Heading6"/>
        <w:numPr>
          <w:ilvl w:val="5"/>
          <w:numId w:val="1"/>
        </w:numPr>
        <w:rPr/>
      </w:pPr>
      <w:bookmarkStart w:id="229" w:name="__RefHeading___Toc3767005_3650668749"/>
      <w:bookmarkStart w:id="230" w:name="_Toc81"/>
      <w:bookmarkEnd w:id="229"/>
      <w:r>
        <w:rPr>
          <w:rtl w:val="true"/>
        </w:rPr>
        <w:t xml:space="preserve">اول </w:t>
      </w:r>
      <w:r>
        <w:rPr>
          <w:rtl w:val="true"/>
        </w:rPr>
        <w:t xml:space="preserve">- </w:t>
      </w:r>
      <w:r>
        <w:rPr>
          <w:rtl w:val="true"/>
        </w:rPr>
        <w:t>جايگاه امام‌صادق نزد عالمان اهل‌سنّت</w:t>
      </w:r>
      <w:bookmarkEnd w:id="230"/>
    </w:p>
    <w:p>
      <w:pPr>
        <w:pStyle w:val="BookText"/>
        <w:rPr/>
      </w:pPr>
      <w:r>
        <w:rPr>
          <w:rFonts w:ascii="IRNazanin" w:hAnsi="IRNazanin" w:eastAsia="IRNazanin"/>
          <w:color w:val="111111"/>
          <w:sz w:val="28"/>
          <w:sz w:val="28"/>
          <w:szCs w:val="28"/>
          <w:rtl w:val="true"/>
          <w:lang w:bidi="fa-IR"/>
        </w:rPr>
        <w:t xml:space="preserve">جايگاه علمى و معنوى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مقام امامتش و نيز فضائل و كرامات حضرت، در احاديث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بركسى پوشيده نيست ولى از آن‌جهت كه روى سخن اين نوشتار با طرفداران ابن‌تيميه است، به چند نمونه از اظهارنظرهاى دانشمندان اهل‌سنّت بسنده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به‌اعتقاد اين مورخ مشهور،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أفضل النّاس و أعلمهم بدين‌الله و كان من أهل العلم الَّذين سمعوا منه، اذا روَوا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العالم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منصور 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جعفربن‌محمد، سيد و عالم و بقية الاخيار بنى‌هاشم و مصداق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اَوْرَثْنَا الْكِتَابَ الَّذِينَ اصْطَفَيْنَا مِنْ عِبَادِنَا فَمِنْهُمْ ظَالِمٌ لِّنَفْسِهِ وَمِنْهُم مُّقْتَصِدٌ وَمِنْهُمْ سَابِقٌ بِالْخَيْرَاتِ بِإِذْنِ اللهِ ذلِكَ هُوَ الْفَضْلُ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برگزيده خدا و از سابقين بود</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مالك‌بن‌انس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مدت زمانى كه نزد او در رفت وآمد بودم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فماكنتُ أراهُ إلّا </w:t>
      </w:r>
    </w:p>
    <w:p>
      <w:pPr>
        <w:pStyle w:val="BookText"/>
        <w:rPr/>
      </w:pPr>
      <w:r>
        <w:rPr>
          <w:rFonts w:ascii="Amiri" w:hAnsi="Amiri" w:eastAsia="Amiri" w:cs="Amiri"/>
          <w:color w:val="111111"/>
          <w:sz w:val="28"/>
          <w:sz w:val="28"/>
          <w:szCs w:val="28"/>
          <w:rtl w:val="true"/>
          <w:lang w:bidi="ar-SA"/>
        </w:rPr>
        <w:t xml:space="preserve">عَلَى إحدى ثلاث خصالٍ، إمّا مُصَلٍّ وإما صائمٍ و إمّا يَقرأُ القرآن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جعفربن محمدبن‌علي‌بن علي بن الحسين الهاشمي، ابوعبدالله احدالائمة الاعلام، بَرّ، صادق كبيرالشأن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سادات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فِقهاً وعِلماً و فَضلاً يُحتجُّ بحديثه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عمروبن‌ابي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به‌جعفربن‌محمد، انسان به‌عِلم مى‌رسد كه او از سلاله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74"/>
      </w:r>
      <w:r>
        <w:rPr>
          <w:rFonts w:ascii="IRNazanin" w:hAnsi="IRNazanin" w:eastAsia="IRNazanin"/>
          <w:color w:val="111111"/>
          <w:sz w:val="28"/>
          <w:sz w:val="28"/>
          <w:szCs w:val="28"/>
          <w:rtl w:val="true"/>
          <w:lang w:bidi="fa-IR"/>
        </w:rPr>
        <w:t xml:space="preserve">هر چند كه ذهبى عمرو را به‌خاطر شيعه بودنش كذّاب مى‌خواند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ابوحنيفه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رأيتُ أحداً أفقَه من جعفربن‌محمّد </w:t>
      </w:r>
      <w:r>
        <w:rPr>
          <w:rFonts w:eastAsia="Amiri" w:cs="Amiri" w:ascii="Amiri" w:hAnsi="Amiri"/>
          <w:color w:val="111111"/>
          <w:sz w:val="28"/>
          <w:szCs w:val="28"/>
          <w:rtl w:val="true"/>
          <w:lang w:bidi="ar-SA"/>
        </w:rPr>
        <w:t xml:space="preserve">» </w:t>
      </w:r>
      <w:r>
        <w:rPr>
          <w:rStyle w:val="FootnoteAnchor"/>
          <w:rtl w:val="true"/>
        </w:rPr>
        <w:footnoteReference w:id="577"/>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السَّنَتانِ لَهَلَكَ النُّعمان </w:t>
      </w:r>
      <w:r>
        <w:rPr>
          <w:rFonts w:eastAsia="IRNazanin" w:cs="IRNazanin"/>
          <w:color w:val="111111"/>
          <w:sz w:val="28"/>
          <w:szCs w:val="28"/>
          <w:rtl w:val="true"/>
          <w:lang w:bidi="fa-IR"/>
        </w:rPr>
        <w:t xml:space="preserve">» . </w:t>
      </w:r>
      <w:r>
        <w:rPr>
          <w:rStyle w:val="FootnoteAnchor"/>
          <w:rtl w:val="true"/>
        </w:rPr>
        <w:footnoteReference w:id="578"/>
      </w:r>
      <w:bookmarkStart w:id="231" w:name="pg1976_27815"/>
    </w:p>
    <w:p>
      <w:pPr>
        <w:pStyle w:val="BookText"/>
        <w:rPr/>
      </w:pPr>
      <w:bookmarkEnd w:id="23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ابن‌تيميّه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كثيرالدعابة و التَّبَسُّم، فاذا ذكرعنده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لونه و ما رأيته يحدث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طهارة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 من العلماء و العبادالَّذين يخشون‌الله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خيرالدين‌الزركلي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هاشمى قريشى، امام ششم اماميه و از أجلّ تابعين و داراى منزلت رفيع در علم است و جماعتى، همچون ابوحنيفه و مالك، از او حديث نقل كرده‌اند</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3767007_3650668749"/>
      <w:bookmarkStart w:id="233" w:name="_Toc82"/>
      <w:bookmarkEnd w:id="232"/>
      <w:r>
        <w:rPr>
          <w:rtl w:val="true"/>
        </w:rPr>
        <w:t>دوم</w:t>
      </w:r>
      <w:r>
        <w:rPr>
          <w:rtl w:val="true"/>
        </w:rPr>
        <w:t xml:space="preserve">: </w:t>
      </w:r>
      <w:r>
        <w:rPr>
          <w:rtl w:val="true"/>
        </w:rPr>
        <w:t xml:space="preserve">تربيت يافتگان مكتب امام‌صادق </w:t>
      </w:r>
      <w:r>
        <w:rPr>
          <w:rtl w:val="true"/>
        </w:rPr>
        <w:t>(</w:t>
      </w:r>
      <w:r>
        <w:rPr>
          <w:rtl w:val="true"/>
        </w:rPr>
        <w:t>ع</w:t>
      </w:r>
      <w:r>
        <w:rPr>
          <w:rtl w:val="true"/>
        </w:rPr>
        <w:t>)</w:t>
      </w:r>
      <w:bookmarkEnd w:id="23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شاگردان و ياران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مليت و آراء به‌بيش از چهار هزار نفرِ مورد اعتماد مى‌رسيدند و از اين تعداد بسيارى از آنها ائمه مذاهب و رؤساى طوائف بودند؛ همچون ابوحنيفه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مالك‌بن‌انس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پيشواى مالكى‌ها </w:t>
      </w:r>
      <w:r>
        <w:rPr>
          <w:rStyle w:val="FootnoteAnchor"/>
          <w:rtl w:val="true"/>
        </w:rPr>
        <w:footnoteReference w:id="581"/>
      </w:r>
      <w:r>
        <w:rPr>
          <w:rFonts w:ascii="IRNazanin" w:hAnsi="IRNazanin" w:eastAsia="IRNazanin"/>
          <w:color w:val="111111"/>
          <w:sz w:val="28"/>
          <w:sz w:val="28"/>
          <w:szCs w:val="28"/>
          <w:rtl w:val="true"/>
          <w:lang w:bidi="fa-IR"/>
        </w:rPr>
        <w:t xml:space="preserve">سفيان ثورى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رؤساى مذاهب و ناقلان حديث، سفيان‌بن عيينه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شعبةبن الحجاج‌بن الوردالعتكى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فضيل‌بن عياض‌بن سعدبن بشرالتميمى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حاتم‌بن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بخارى ومسلم و ترمذى وگروهى از او حديث كرده‌اند، حفص‌بن غياث بن طلق بن‌معاويةبن‌مالك ابوعمروالكوفى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زهيربن محمد التميمى ابوالمنذر الخراسانى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يحيى‌بن سعيدبن فروخ القطان الحافظ البصرى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اسماعيل بن جعفر ابى‌كثير الانصارى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ابراهيم بن‌محمد ابى‌يحيى الاسلمى ابواسحاق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ضحاك‌بن مخلد ابوعاصم النبيل البصرى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شيخ طوسى حدود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نفر را با مشخصات كامل از اصحاب و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مى‌برد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بسيارى از شاگردان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الاربعمأة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در مجموعه‌هاى كتب اربعه </w:t>
      </w:r>
      <w:r>
        <w:rPr>
          <w:rStyle w:val="FootnoteAnchor"/>
          <w:rtl w:val="true"/>
        </w:rPr>
        <w:footnoteReference w:id="584"/>
      </w:r>
      <w:r>
        <w:rPr>
          <w:rFonts w:ascii="IRNazanin" w:hAnsi="IRNazanin" w:eastAsia="IRNazanin"/>
          <w:color w:val="111111"/>
          <w:sz w:val="28"/>
          <w:sz w:val="28"/>
          <w:szCs w:val="28"/>
          <w:rtl w:val="true"/>
          <w:lang w:bidi="fa-IR"/>
        </w:rPr>
        <w:t>گنجانده شد، تدوين كردند</w:t>
      </w:r>
      <w:r>
        <w:rPr>
          <w:rFonts w:eastAsia="IRNazanin" w:cs="IRNazanin"/>
          <w:color w:val="111111"/>
          <w:sz w:val="28"/>
          <w:szCs w:val="28"/>
          <w:rtl w:val="true"/>
          <w:lang w:bidi="fa-IR"/>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بر كتاب‌هاى حديثى كه مؤلف آن احاديثى را كه از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مستقيماً شنيده، اطلاق مى‌شود</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اين‌گونه كتاب‌هاى حديثى از چند جهت ارزشمند و موجب حكم به‌صحت حديث در آن، مى‌شود؛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دراين‌كتاب‌ها احتمال خطا و نسيان و تبديل الفاظ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بسيار اندك است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يك‌حديث در چند اصل از اصول چهارصدگانه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حديث، در يك و دو و سه اصل به‌سندهاى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حديث، در اصل كسى كه وى جزء اصحاب اجماع است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شيعه، به‌اصول اربعمأة ازجهت قرائت، روايت، حفظ، تصحيح و ارائه فهرست از آن‌ها، اهمّيت فراوان مى‌دادند </w:t>
      </w:r>
      <w:r>
        <w:rPr>
          <w:rStyle w:val="FootnoteAnchor"/>
          <w:rtl w:val="true"/>
        </w:rPr>
        <w:footnoteReference w:id="589"/>
      </w:r>
      <w:r>
        <w:rPr>
          <w:rFonts w:ascii="IRNazanin" w:hAnsi="IRNazanin" w:eastAsia="IRNazanin"/>
          <w:color w:val="111111"/>
          <w:sz w:val="28"/>
          <w:sz w:val="28"/>
          <w:szCs w:val="28"/>
          <w:rtl w:val="true"/>
          <w:lang w:bidi="fa-IR"/>
        </w:rPr>
        <w:t xml:space="preserve">كه پاره‌اى از آنها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الستّةعشر</w:t>
      </w:r>
      <w:r>
        <w:rPr>
          <w:rFonts w:eastAsia="IRNazanin" w:cs="IRNazanin"/>
          <w:color w:val="111111"/>
          <w:sz w:val="28"/>
          <w:szCs w:val="28"/>
          <w:rtl w:val="true"/>
          <w:lang w:bidi="fa-IR"/>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 بيش از يك‌صد مورد آنها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 .» </w:t>
      </w:r>
      <w:r>
        <w:rPr>
          <w:rStyle w:val="FootnoteAnchor"/>
          <w:rtl w:val="true"/>
        </w:rPr>
        <w:footnoteReference w:id="591"/>
      </w:r>
      <w:r>
        <w:rPr>
          <w:rFonts w:ascii="IRNazanin" w:hAnsi="IRNazanin" w:eastAsia="IRNazanin"/>
          <w:color w:val="111111"/>
          <w:sz w:val="28"/>
          <w:sz w:val="28"/>
          <w:szCs w:val="28"/>
          <w:rtl w:val="true"/>
          <w:lang w:bidi="fa-IR"/>
        </w:rPr>
        <w:t>،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bookmarkStart w:id="234" w:name="pg1976_27819"/>
    </w:p>
    <w:p>
      <w:pPr>
        <w:pStyle w:val="BookText"/>
        <w:rPr/>
      </w:pPr>
      <w:bookmarkEnd w:id="234"/>
      <w:r>
        <w:rPr>
          <w:rFonts w:ascii="IRNazanin" w:hAnsi="IRNazanin" w:eastAsia="IRNazanin"/>
          <w:color w:val="111111"/>
          <w:sz w:val="28"/>
          <w:sz w:val="28"/>
          <w:szCs w:val="28"/>
          <w:rtl w:val="true"/>
          <w:lang w:bidi="fa-IR"/>
        </w:rPr>
        <w:t xml:space="preserve">برخى همچون شيخ طوسى در ضمن بحث‌هاى ديگر عده‌اى از پديدآورندگان آن اصول را نام‌برده و رواياتى‌كه از آنها نقل شده را </w:t>
      </w:r>
      <w:r>
        <w:rPr>
          <w:rStyle w:val="FootnoteAnchor"/>
          <w:rtl w:val="true"/>
        </w:rPr>
        <w:footnoteReference w:id="592"/>
      </w:r>
      <w:r>
        <w:rPr>
          <w:rFonts w:ascii="Amiri" w:hAnsi="Amiri" w:eastAsia="Amiri" w:cs="Amiri"/>
          <w:color w:val="111111"/>
          <w:sz w:val="28"/>
          <w:sz w:val="28"/>
          <w:szCs w:val="28"/>
          <w:rtl w:val="true"/>
          <w:lang w:bidi="ar-SA"/>
        </w:rPr>
        <w:t>، ياد آورى نموده است</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3767009_3650668749"/>
      <w:bookmarkStart w:id="236" w:name="_Toc83"/>
      <w:bookmarkEnd w:id="235"/>
      <w:r>
        <w:rPr>
          <w:rtl w:val="true"/>
        </w:rPr>
        <w:t xml:space="preserve">سه </w:t>
      </w:r>
      <w:r>
        <w:rPr>
          <w:rtl w:val="true"/>
        </w:rPr>
        <w:t xml:space="preserve">- </w:t>
      </w:r>
      <w:r>
        <w:rPr>
          <w:rtl w:val="true"/>
        </w:rPr>
        <w:t xml:space="preserve">تدوين دانش رجال در مكتب اهل‌بيت </w:t>
      </w:r>
      <w:r>
        <w:rPr>
          <w:rtl w:val="true"/>
        </w:rPr>
        <w:t>(</w:t>
      </w:r>
      <w:r>
        <w:rPr>
          <w:rtl w:val="true"/>
        </w:rPr>
        <w:t>عليهم السلام</w:t>
      </w:r>
      <w:r>
        <w:rPr>
          <w:rtl w:val="true"/>
        </w:rPr>
        <w:t>)</w:t>
      </w:r>
      <w:bookmarkEnd w:id="236"/>
    </w:p>
    <w:p>
      <w:pPr>
        <w:pStyle w:val="BookText"/>
        <w:rPr/>
      </w:pPr>
      <w:r>
        <w:rPr>
          <w:rFonts w:ascii="IRNazanin" w:hAnsi="IRNazanin" w:eastAsia="IRNazanin"/>
          <w:color w:val="111111"/>
          <w:sz w:val="28"/>
          <w:sz w:val="28"/>
          <w:szCs w:val="28"/>
          <w:rtl w:val="true"/>
          <w:lang w:bidi="fa-IR"/>
        </w:rPr>
        <w:t xml:space="preserve">از ايرادهاى اجمالى ابن‌تيميه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برشيعه اين‌بود كه روايات شيعه از جمله كافى بدون نقد و بررسى اسناد، مورد پذيرش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پيروان او اين ايراد را واضح‌تر بيان كرده و مى‌گويد كه در شيعه دانشى كه به‌وسيله آن شيعه را از غير شيعه امتياز دهد و راويان را مورد جرح و تعديل قراردهد وجود نداشته تا اينكه كشّى در حدود سال‌هاى </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هجرى كتاب مختصرى در علم رجال نوشت، پس از او غضائرى و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مفصّل‌تر وارد شدند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به‌نظر مى‌رسد اين ايراد نيز از عدم اطلاع ابن‌تيميه و پيروان وى، از معارف و علوم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شده است، و ترديدى نيست كه اطلاع نداشتن كسى از مسأله‌اى هيچ‌گاه دليل بر فقدان و يا بى‌اعتبار بودن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بى‌پايگى اين ايراد روشن گردد، تذكر نكات زير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بى‌ترديد همين ايراد، پر رنگ‌تر و معقولانه‌تر و به‌طريق أولى متوجّه احاديث خود وهابيان است؛ زيرا بيش از يك‌قرن، تدوين و نقل حديث در فرهنگ آنها ممنوع و جرم محسوب مى‌شد، و پس از آنكه محدوديت نقل وتدوين حديث برداشته شد، هزاران حديث از سوى افراد فرصت طلب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 و صدها حديث در باب جعل فضيلت، وارد بازار حديث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نكته كسى ترديد ندارد كه از نخستين روزهايى كه ممنوعيت سياسى حديث برداشته شد، آنچه مهم بود، گردآورى حديث بود نه‌پالايش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همان‌گونه كه اشاره شد، احاديث در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به‌رشته تحرير درآمد و اسناد و رجال آنها كاملاً مشخص و شناخته شده بودند، راويان مشكوكى وجود نداشتند تا نسبت به‌آن‌ها اقدام علمى و پيشگيرانه همچون معيارهاى جرح و تعديل وضع به‌كار گرفته شود؛ زيرا رواتى كه احاديث رسول‌الله را به‌نسل پس از خود منتقل نموده‌اند،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اباذر، سلمان، مقداد، حسن‌بن‌على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اند كه نسبت به‌اين‌ها كسى ترديد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عدم نياز به‌وضع و به‌كارگيرى معيارهاى نقد و بررسى اسناد و مدارك حديث، نخستين كتاب رجالى توسط يكى از پيروان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و او ابومحمد عبدالله بنجبلّةبن حيان‌بن ابحر الكنانى متوفاى</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ق است كه به نقل از پدرش جبلّه و وى از پدرش حيان كه صحابى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كتابش را در علم رجال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عالم نامدار اهل‌سنت مدعى است كه اولين كسى كه در علم رجال صحبت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ولى نبايد از نظر دور داشت كه اولاً ، شعبه متوفى</w:t>
      </w:r>
      <w:r>
        <w:rPr>
          <w:rFonts w:eastAsia="IRNazanin" w:cs="IRNazanin"/>
          <w:color w:val="111111"/>
          <w:sz w:val="28"/>
          <w:szCs w:val="28"/>
          <w:lang w:bidi="fa-IR"/>
        </w:rPr>
        <w:t>26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 است، در حالى‌كه عبدالله‌بن‌جبلّه متوفى</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ق است؛ بنابراين، بيش از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پيروان اهل‌بيت پيشقدم در تدوين دانش رجال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سيوطى درصدد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است، نه‌شيعه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وعدم ذكر او از تدوين نخستين كتاب رجالى در شيعه، دليل بر نبود آن نيست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حسن‌بن‌فضّال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و سومين كتاب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على‌بن الحسن‌بن الفضّال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چهارمين </w:t>
      </w:r>
      <w:r>
        <w:rPr>
          <w:rStyle w:val="FootnoteAnchor"/>
          <w:rtl w:val="true"/>
        </w:rPr>
        <w:footnoteReference w:id="594"/>
      </w:r>
      <w:r>
        <w:rPr>
          <w:rFonts w:ascii="Amiri" w:hAnsi="Amiri" w:eastAsia="Amiri" w:cs="Amiri"/>
          <w:color w:val="111111"/>
          <w:sz w:val="28"/>
          <w:sz w:val="28"/>
          <w:szCs w:val="28"/>
          <w:rtl w:val="true"/>
          <w:lang w:bidi="ar-SA"/>
        </w:rPr>
        <w:t>كتاب، در دانش رجال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رجال محمدبن‌خالد البرقى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از ديگر كتاب‌هاى رجالى شيعه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احتمال دارد محمدبن خالدالبرقى، همان ابى‌جعفر احمدبن ابى عبدالله البرقى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باشد كه كتاب رجال وى هم‌اكنون موجود است كه در آن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سال‌هاى يازدهم تا زمان خودش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مردان، سلمان‌بن‌الاسلام مولى رسول‌الله و مقدادبن‌عمرو و ابوذرغفارى، ابوليلى و شبير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تا مى‌رسد به‌براءبن عازب انصارى و عرفة الأزدى، كه حدود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نفر از اصحاب رسول‌الله را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امام‌حسن‌بن‌على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ابومحمد الحسن‌بن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مى‌شمارد؛ و از زنانى كه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كرده‌اند، فاطمۀ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أمّ‌سلمة بنت‌اميه، أمّ أيمن، زينب‌العطارة، عايشه بنت‌ابى‌بكر، أمّ‌هانى‌بنت ابى‌طالب، صفية بنت عبدالمطلب از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بانوانى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بعدى، نقل حديث كرده‌اند، نام‌برده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اسامى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كه به‌ابوبكر اعتراض داشتند،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المنكرين على أبي‌بكر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مى‌برد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انصار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مهاجرين هستند و مضمون گفته‌هاى آن‌هارا ضبط كرده است</w:t>
      </w:r>
      <w:r>
        <w:rPr>
          <w:rFonts w:eastAsia="IRNazanin" w:cs="IRNazanin"/>
          <w:color w:val="111111"/>
          <w:sz w:val="28"/>
          <w:szCs w:val="28"/>
          <w:rtl w:val="true"/>
          <w:lang w:bidi="fa-IR"/>
        </w:rPr>
        <w:t xml:space="preserve">. </w:t>
      </w:r>
      <w:r>
        <w:rPr>
          <w:rStyle w:val="FootnoteAnchor"/>
          <w:rtl w:val="true"/>
        </w:rPr>
        <w:footnoteReference w:id="59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كتاب‌هاى مطوّل‌ترى براساس نياز روز، چون رجال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تاريخ آل زراره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تكملةرسالة ابى‌غالب الزّرارى فى‌آل أعين الغضائرى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 رجال </w:t>
      </w:r>
    </w:p>
    <w:p>
      <w:pPr>
        <w:pStyle w:val="BookText"/>
        <w:rPr/>
      </w:pPr>
      <w:r>
        <w:rPr>
          <w:rFonts w:ascii="IRNazanin" w:hAnsi="IRNazanin" w:eastAsia="IRNazanin"/>
          <w:color w:val="111111"/>
          <w:sz w:val="28"/>
          <w:sz w:val="28"/>
          <w:szCs w:val="28"/>
          <w:rtl w:val="true"/>
          <w:lang w:bidi="fa-IR"/>
        </w:rPr>
        <w:t xml:space="preserve">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 رجال‌الطّوسى، فهرست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 فهرست منتخب‌الدّين‌على‌بن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معالم‌العلماءِ ابن‌شهرآشوب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ابن‌داودالحلى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 درجلد اول آن </w:t>
      </w:r>
      <w:r>
        <w:rPr>
          <w:rFonts w:eastAsia="Amiri" w:cs="Amiri" w:ascii="Amiri" w:hAnsi="Amiri"/>
          <w:color w:val="111111"/>
          <w:sz w:val="28"/>
          <w:szCs w:val="28"/>
          <w:lang w:bidi="ar-SA"/>
        </w:rPr>
        <w:t>1744</w:t>
      </w:r>
      <w:r>
        <w:rPr>
          <w:rFonts w:ascii="Amiri" w:hAnsi="Amiri" w:eastAsia="Amiri" w:cs="Amiri"/>
          <w:color w:val="111111"/>
          <w:sz w:val="28"/>
          <w:sz w:val="28"/>
          <w:szCs w:val="28"/>
          <w:rtl w:val="true"/>
          <w:lang w:bidi="ar-SA"/>
        </w:rPr>
        <w:t>تن جزء ممدوحين و در جلد دوم</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نفر كه خالى از مورد نيستند، مورد بحث و بررسى قرار داده است</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علامه‌حلّى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 معاصر با ابن‌تيميه، سرانجام متأخرينى از علما و فرهيختگان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مجموعه‌هاى رجالى و جرح و تعديل احاديث را مفصّل‌تر ارائه داده‌اند</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ادعاى ابن‌تيميه وپيروانش مبنى بر اينكه مباحث حديث‌شناسى در مكتب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ادعاى كاملاً بى‌اساس است</w:t>
      </w:r>
      <w:r>
        <w:rPr>
          <w:rFonts w:eastAsia="IRNazanin" w:cs="IRNazanin"/>
          <w:color w:val="111111"/>
          <w:sz w:val="28"/>
          <w:szCs w:val="28"/>
          <w:rtl w:val="true"/>
          <w:lang w:bidi="fa-IR"/>
        </w:rPr>
        <w:t xml:space="preserve">. </w:t>
      </w:r>
      <w:bookmarkStart w:id="237" w:name="pg1976_27828"/>
    </w:p>
    <w:p>
      <w:pPr>
        <w:pStyle w:val="Heading6"/>
        <w:numPr>
          <w:ilvl w:val="5"/>
          <w:numId w:val="1"/>
        </w:numPr>
        <w:rPr/>
      </w:pPr>
      <w:bookmarkStart w:id="238" w:name="__RefHeading___Toc3767011_3650668749"/>
      <w:bookmarkStart w:id="239" w:name="_Toc84"/>
      <w:bookmarkEnd w:id="237"/>
      <w:bookmarkEnd w:id="238"/>
      <w:r>
        <w:rPr>
          <w:rtl w:val="true"/>
        </w:rPr>
        <w:t xml:space="preserve">چهار </w:t>
      </w:r>
      <w:r>
        <w:rPr>
          <w:rtl w:val="true"/>
        </w:rPr>
        <w:t xml:space="preserve">- </w:t>
      </w:r>
      <w:r>
        <w:rPr>
          <w:rtl w:val="true"/>
        </w:rPr>
        <w:t>پيامد منع تدوين ونقل حديث</w:t>
      </w:r>
      <w:bookmarkEnd w:id="239"/>
    </w:p>
    <w:p>
      <w:pPr>
        <w:pStyle w:val="Heading6"/>
        <w:numPr>
          <w:ilvl w:val="5"/>
          <w:numId w:val="1"/>
        </w:numPr>
        <w:rPr/>
      </w:pPr>
      <w:bookmarkStart w:id="240" w:name="__RefHeading___Toc3767013_3650668749"/>
      <w:bookmarkStart w:id="241" w:name="_Toc85"/>
      <w:bookmarkEnd w:id="240"/>
      <w:r>
        <w:rPr>
          <w:rtl w:val="true"/>
        </w:rPr>
        <w:t xml:space="preserve">اول </w:t>
      </w:r>
      <w:r>
        <w:rPr>
          <w:rtl w:val="true"/>
        </w:rPr>
        <w:t xml:space="preserve">- </w:t>
      </w:r>
      <w:r>
        <w:rPr>
          <w:rtl w:val="true"/>
        </w:rPr>
        <w:t>فرمان منع تدوين حديث</w:t>
      </w:r>
      <w:bookmarkEnd w:id="241"/>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منع تدوين ونقل حديث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منع تدوين حديث</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كسى‌كه در تاريخ حديث از وى به‌عنوان نماد منعِ حديث ياد مى‌شود، عمربن‌الخطاب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نقل الزُّهرى، عمربن‌الخطاب ابتدا تصميم گرفت كتابى درمورد سُنَن و آثار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بنويسد و اين قضيه را با ديگر اصحاب به مشورت گذارد، و همه، كار او را پسنديدند؛ اما پس از حدود يك ماه ترديد، تصميم نهايى خود را بر انصراف از تدوين كتاب مورد نظر، اعلان كرد وگفت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إنّي كنتُ ذَكَرتُ لكم من كتابة السُّنَن ما قد عَلِمتُم، ثُمَّ تذكرتُ فاذاً أُناسٌ مِن أهل الكتاب قبلكم قدكَتَبُوا مع كتاب‌الله كُتُباً فأكبُوا عليها و تَرَكُوا كتاب‌الله، و إنّي وَاللهِ لا ألبس كتاب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فترك كتاب السُّنَن </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ابن‌سعد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عمر،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استخاراللهَ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مى‌آورد </w:t>
      </w:r>
      <w:r>
        <w:rPr>
          <w:rStyle w:val="FootnoteAnchor"/>
          <w:rtl w:val="true"/>
        </w:rPr>
        <w:footnoteReference w:id="609"/>
      </w:r>
      <w:r>
        <w:rPr>
          <w:rFonts w:ascii="IRNazanin" w:hAnsi="IRNazanin" w:eastAsia="IRNazanin"/>
          <w:color w:val="111111"/>
          <w:sz w:val="28"/>
          <w:sz w:val="28"/>
          <w:szCs w:val="28"/>
          <w:rtl w:val="true"/>
          <w:lang w:bidi="fa-IR"/>
        </w:rPr>
        <w:t>، همين معنا را ابن‌وهب اين‌گونه بازگو مى‌كند كه عمر خواست احاديث رسول‌الله را تدوين نمايد يا تدوين كرده بود، ولى از تصميمش برگشت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لاكتاب مع كتاب‌الله </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 اما ابن‌حجر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درعصر صحابه و بزرگان تابعين مدون نشده بود، علت را دو چيز مى‌شمارد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كانوا في ابتداء الحال قد نُهوا عن ذلك، كما ثبت </w:t>
      </w:r>
    </w:p>
    <w:p>
      <w:pPr>
        <w:pStyle w:val="BookText"/>
        <w:rPr/>
      </w:pPr>
      <w:r>
        <w:rPr>
          <w:rFonts w:ascii="Amiri" w:hAnsi="Amiri" w:eastAsia="Amiri" w:cs="Amiri"/>
          <w:color w:val="111111"/>
          <w:sz w:val="28"/>
          <w:sz w:val="28"/>
          <w:szCs w:val="28"/>
          <w:rtl w:val="true"/>
          <w:lang w:bidi="ar-SA"/>
        </w:rPr>
        <w:t xml:space="preserve">في صحيح مسلم </w:t>
      </w:r>
      <w:r>
        <w:rPr>
          <w:rStyle w:val="FootnoteAnchor"/>
          <w:rtl w:val="true"/>
        </w:rPr>
        <w:footnoteReference w:id="611"/>
      </w:r>
      <w:r>
        <w:rPr>
          <w:rFonts w:ascii="Amiri" w:hAnsi="Amiri" w:eastAsia="Amiri" w:cs="Amiri"/>
          <w:color w:val="111111"/>
          <w:sz w:val="28"/>
          <w:sz w:val="28"/>
          <w:szCs w:val="28"/>
          <w:rtl w:val="true"/>
          <w:lang w:bidi="ar-SA"/>
        </w:rPr>
        <w:t>خشية أن يَخلط بعض ذلك بالقرآن العظيم،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لسعة حفظهم و سيلان أذهانهم، ولِأنّ اكثرهم كانوا لايعرفون الكتابة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شواهد، اين نتيجه به‌دست مى‌آيد كه عمربن‌الخطاب به‌اين بهانه واهى كه از يك‌سو، احاديث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اشتباه و درهم آميخته مى‌شود و ازديگرسو، چون اهل‌كتاب گفته‌هاى پيامبران‌شان را نوشتند وبا كتاب آسمانى آنان درآميختند، دچار انحراف شدند؛ نبايد احاديث پيامبر را نقل و تدوين‌كرد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كه جلوگيرى از كتابت حديث توسط عمربن‌الخطاب مشهور است، ولى از ابابكربن ابى‌قحافه فرمان صريح‌تر مبنى بر منع تدوين و نقل آن گزارش شده و يا دست‌كم ميان اين دو شخصيت هماهنگى كاملى وجود داشته است؛ عالم نامدار اهل‌سنت شيخ‌الازهر بحث مفصّلى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كتابة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مى‌دهد و در قسمتى از آن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بعد از رحلت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گردهم آورد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تُحَدِّثون عن رسول‌الله أحاديث تَختلفون فيها، والنّاس بعدكم أشّدُ اختلافاً، فلا تُحَدِّثوا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فمَن سئلكم،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بَينَنَا و بينكم كتاب‌الله، فاستحلّوا حلاله و حَرِّمُوا حرامَهُ </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عمربن‌الخطاب وقتى قرظةبن كعب الانصارى را به‌سوى عراق به‌عنوان كاردار خود فرستاد، تا قسمتى از راه وى را همراهى كرد، سپس علت همراهى و </w:t>
      </w:r>
    </w:p>
    <w:p>
      <w:pPr>
        <w:pStyle w:val="BookText"/>
        <w:rPr/>
      </w:pPr>
      <w:r>
        <w:rPr>
          <w:rFonts w:ascii="IRNazanin" w:hAnsi="IRNazanin" w:eastAsia="IRNazanin"/>
          <w:color w:val="111111"/>
          <w:sz w:val="28"/>
          <w:sz w:val="28"/>
          <w:szCs w:val="28"/>
          <w:rtl w:val="true"/>
          <w:lang w:bidi="fa-IR"/>
        </w:rPr>
        <w:t>مشايعت خود را از او، اين‌گونه توضيح دادكه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رهسپار مردمى هستيد كه قرآن را شنيده‌اند بنابراين آنها را به‌سوى احاديث نكشانيد و مشغول نسازيد، به‌قرآن آشكارا بپردازيد و از روايت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بكاهيد</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عثمان‌بن‌عفان، نيز روى منبر با اين فرمان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لايَحِلُّ لِأحدٍ أن يَروي حديثاً لم يُسمَع به‌في عهد ابي‌بكر ولاعهدعُمَر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اعلام مى‌كند كه نقل روايت به‌استثناى رواياتى كه خودش شنيده ممنوع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سيره را معاويه نيز درجهت منع از نقل وتدوين احاديث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ادامه داد وحتّى به‌مردم هشدار 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وأحَاديثَ، إلّا حَديثاً كانَ في عَهدِ عُمَرَ، فإنَّ عُمَرَ كانَ يُخِيفُ النَّاسَ في‌اللهِ عزّ وجلّ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عمربن‌الخطاب تنها به‌دستور منع از نقل و تدوين احاديث اكتفا نكرد، بلكه براى نيل به‌اهداف خود از هيچ تلاشى دريغ نورزيد و كار را به‌جايى رساند كه برخى از اصحاب را كه به‌نقل احاديث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مى‌ورزيدند، تحت فشار قرار داده وآنان را نزد خود محصور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نقل كنزالعمّال، عبدالرحمان‌بن‌عوف سوگند ياد مى‌كند كه عمر از دنيا نرفت مگر اينكه عده‌اى از اصحاب چون عبدالله‌بن‌حُذيفه، ابى‌الدرداء، ابوذر غفارى و عقبةبن‌عامر را كه در اطراف كشور اسلامى آن روز پراكنده بودند، فراخواند و آنها را تهديد كرد وگفت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أقِيمُوا عندي لاوالله لاتفارقُوني مَا عِشتُ </w:t>
      </w:r>
      <w:r>
        <w:rPr>
          <w:rFonts w:eastAsia="IRNazanin" w:cs="IRNazanin"/>
          <w:color w:val="111111"/>
          <w:sz w:val="28"/>
          <w:szCs w:val="28"/>
          <w:rtl w:val="true"/>
          <w:lang w:bidi="fa-IR"/>
        </w:rPr>
        <w:t xml:space="preserve">. . .»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242" w:name="pg1976_27835"/>
    </w:p>
    <w:p>
      <w:pPr>
        <w:pStyle w:val="BookText"/>
        <w:rPr/>
      </w:pPr>
      <w:bookmarkEnd w:id="242"/>
      <w:r>
        <w:rPr>
          <w:rFonts w:ascii="IRNazanin" w:hAnsi="IRNazanin" w:eastAsia="IRNazanin"/>
          <w:color w:val="111111"/>
          <w:sz w:val="28"/>
          <w:sz w:val="28"/>
          <w:szCs w:val="28"/>
          <w:rtl w:val="true"/>
          <w:lang w:bidi="fa-IR"/>
        </w:rPr>
        <w:t xml:space="preserve">ممنوعيت از نقل و تدوين حديث قريب به‌يك قرن ادامه يافت تا اينكه عمربن عبدالعزيز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فرمان ويژه‌اى اين محدوديت را لغو كرد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3" w:name="__RefHeading___Toc3767015_3650668749"/>
      <w:bookmarkStart w:id="244" w:name="_Toc86"/>
      <w:bookmarkEnd w:id="243"/>
      <w:r>
        <w:rPr>
          <w:rtl w:val="true"/>
        </w:rPr>
        <w:t xml:space="preserve">دوم </w:t>
      </w:r>
      <w:r>
        <w:rPr>
          <w:rtl w:val="true"/>
        </w:rPr>
        <w:t xml:space="preserve">- </w:t>
      </w:r>
      <w:r>
        <w:rPr>
          <w:rtl w:val="true"/>
        </w:rPr>
        <w:t xml:space="preserve">نابودكردن احاديث رسول‌الله </w:t>
      </w:r>
      <w:r>
        <w:rPr>
          <w:rtl w:val="true"/>
        </w:rPr>
        <w:t>(</w:t>
      </w:r>
      <w:r>
        <w:rPr>
          <w:rtl w:val="true"/>
        </w:rPr>
        <w:t>ص</w:t>
      </w:r>
      <w:r>
        <w:rPr>
          <w:rtl w:val="true"/>
        </w:rPr>
        <w:t>)</w:t>
      </w:r>
      <w:bookmarkEnd w:id="244"/>
    </w:p>
    <w:p>
      <w:pPr>
        <w:pStyle w:val="BookText"/>
        <w:rPr/>
      </w:pPr>
      <w:r>
        <w:rPr>
          <w:rFonts w:ascii="IRNazanin" w:hAnsi="IRNazanin" w:eastAsia="IRNazanin"/>
          <w:color w:val="111111"/>
          <w:sz w:val="28"/>
          <w:sz w:val="28"/>
          <w:szCs w:val="28"/>
          <w:rtl w:val="true"/>
          <w:lang w:bidi="fa-IR"/>
        </w:rPr>
        <w:t>ترديدى نيست كه اين محدوديت گذشته از پيامدهاى مخرب معنوى و فرهنگى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پيامدهاى منفى وملموس فراوانى در پى‌داشت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زدن </w:t>
      </w:r>
      <w:r>
        <w:rPr>
          <w:rFonts w:eastAsia="IRNazanin" w:cs="IRNazanin"/>
          <w:color w:val="111111"/>
          <w:sz w:val="28"/>
          <w:szCs w:val="28"/>
          <w:lang w:bidi="fa-IR"/>
        </w:rPr>
        <w:t>5</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حديث توسط ابابكر؛ وى در زمان خلافتش پانصد حديث از احاديث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گردآورده بود، به‌روايت دخترش أمُّ‌المؤمنين عايشه، آتش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شبى را درحالى به‌صبح آورد كه بسيار منقلب بود؛ اين حالتِ او، مرا سخت غمگين ساخت فرداى آن‌شب به‌من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بُنَيَّة هَلُمِّي‌الأحاديث الَّتي عندكِ، فجِئتُه بها، فدعَا بنارٍ فأحرَقَها </w:t>
      </w:r>
      <w:r>
        <w:rPr>
          <w:rFonts w:eastAsia="IRNazanin" w:cs="IRNazanin"/>
          <w:color w:val="111111"/>
          <w:sz w:val="28"/>
          <w:szCs w:val="28"/>
          <w:rtl w:val="true"/>
          <w:lang w:bidi="fa-IR"/>
        </w:rPr>
        <w:t xml:space="preserve">. .» </w:t>
      </w:r>
      <w:r>
        <w:rPr>
          <w:rStyle w:val="FootnoteAnchor"/>
          <w:rtl w:val="true"/>
        </w:rPr>
        <w:footnoteReference w:id="619"/>
      </w:r>
      <w:r>
        <w:rPr>
          <w:rFonts w:ascii="IRNazanin" w:hAnsi="IRNazanin" w:eastAsia="IRNazanin"/>
          <w:color w:val="111111"/>
          <w:sz w:val="28"/>
          <w:sz w:val="28"/>
          <w:szCs w:val="28"/>
          <w:rtl w:val="true"/>
          <w:lang w:bidi="fa-IR"/>
        </w:rPr>
        <w:t>، ابوريه بعد از نقل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رشيد رضا به‌اين روايت اطمينان داشت و آن را صحيح مى‌شمرد</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عمربن‌الخطاب؛ قاسم‌بن محمدبن ابى‌بكرمى‌گويد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خلافت عمربن‌الخطاب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فراوان شد، عمر از مردم خواست احاديث </w:t>
      </w:r>
      <w:bookmarkStart w:id="245" w:name="pg1976_27837"/>
    </w:p>
    <w:p>
      <w:pPr>
        <w:pStyle w:val="BookText"/>
        <w:rPr/>
      </w:pPr>
      <w:bookmarkEnd w:id="245"/>
      <w:r>
        <w:rPr>
          <w:rFonts w:ascii="IRNazanin" w:hAnsi="IRNazanin" w:eastAsia="IRNazanin"/>
          <w:color w:val="111111"/>
          <w:sz w:val="28"/>
          <w:sz w:val="28"/>
          <w:szCs w:val="28"/>
          <w:rtl w:val="true"/>
          <w:lang w:bidi="fa-IR"/>
        </w:rPr>
        <w:t>گردآورى شده را نزد او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أتوهُ بها أمَرَ بِتَحريقها </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سراسرى عمر؛ يحيى‌بن جعدة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عمربن‌خطاب ابتدا خواست سنت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مكتوب نمايد ولى از تصميمش برگشت سپس در ضمن فرمانى به‌شهرها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هركسى چيزى از حديث است بايد آن را نابود نمايد</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كردن كتاب؛ ابى‌برده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كتاب‌هاى زيادى نوشته بودم، عمر به‌من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كتاب‌هايت را نزد من بياور، وقتى آوردم آنها را شُست</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احراق و ازبين بردن احاديث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ممانعت از گسترش سيره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انگيزه‌هاى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 قطعى و مسلم بوده است</w:t>
      </w:r>
      <w:r>
        <w:rPr>
          <w:rFonts w:eastAsia="IRNazanin" w:cs="IRNazanin"/>
          <w:color w:val="111111"/>
          <w:sz w:val="28"/>
          <w:szCs w:val="28"/>
          <w:rtl w:val="true"/>
          <w:lang w:bidi="fa-IR"/>
        </w:rPr>
        <w:t>.</w:t>
      </w:r>
    </w:p>
    <w:p>
      <w:pPr>
        <w:pStyle w:val="Heading6"/>
        <w:numPr>
          <w:ilvl w:val="5"/>
          <w:numId w:val="1"/>
        </w:numPr>
        <w:rPr/>
      </w:pPr>
      <w:bookmarkStart w:id="246" w:name="__RefHeading___Toc3767017_3650668749"/>
      <w:bookmarkStart w:id="247" w:name="_Toc87"/>
      <w:bookmarkEnd w:id="246"/>
      <w:r>
        <w:rPr>
          <w:rtl w:val="true"/>
        </w:rPr>
        <w:t xml:space="preserve">سوم </w:t>
      </w:r>
      <w:r>
        <w:rPr>
          <w:rtl w:val="true"/>
        </w:rPr>
        <w:t xml:space="preserve">- </w:t>
      </w:r>
      <w:r>
        <w:rPr>
          <w:rtl w:val="true"/>
        </w:rPr>
        <w:t>ظهور جاعلان حديث</w:t>
      </w:r>
      <w:bookmarkEnd w:id="24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بى‌ترديد حديث‌سازى در تاريخ سنّت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عملكرد و موضعگيرى سياسى حاكميت ابتداى زمان رحلت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بنى‌هاشم به‌ويژه على‌بن ابى‌طالب براى توجيه و ماندن برسر قدرت و فضيلت پوشى آن‌حضرت بوده است؛ و اينكه بخارى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اين كتاب را از ميان</w:t>
      </w:r>
      <w:r>
        <w:rPr>
          <w:rFonts w:eastAsia="IRNazanin" w:cs="IRNazanin"/>
          <w:color w:val="111111"/>
          <w:sz w:val="28"/>
          <w:szCs w:val="28"/>
          <w:lang w:bidi="fa-IR"/>
        </w:rPr>
        <w:t>6</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هزار حديث برگزيدم</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يا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أخرج في هذا الكتاب الّا صحيحاً، و ما تركتُ من الصّحيح أكثَر </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در جاى ديگر از وى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يك‌صد هزار حديث صحيح و دويست هزار حديث غير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حفظ بودم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 اين سؤال را ايجاد مى‌كند كه احاديث صحيح فراوانى كه بخارى در صحيحش نياورده و عمداً فروگذار كرده، از چه سنخ روايات بوده؟ آيا مى‌تواند جز روايات اساسى و درعرصه‌هاى حكومت و راهكارهاى صلاح امت پس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بخشى از جعل سازى‌ها، محصول ممانعت از انتشار و كتابت احاديث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w:t>
      </w:r>
      <w:r>
        <w:rPr>
          <w:rStyle w:val="FootnoteAnchor"/>
          <w:rtl w:val="true"/>
        </w:rPr>
        <w:footnoteReference w:id="627"/>
      </w:r>
      <w:r>
        <w:rPr>
          <w:rFonts w:ascii="IRNazanin" w:hAnsi="IRNazanin" w:eastAsia="IRNazanin"/>
          <w:color w:val="111111"/>
          <w:sz w:val="28"/>
          <w:sz w:val="28"/>
          <w:szCs w:val="28"/>
          <w:rtl w:val="true"/>
          <w:lang w:bidi="fa-IR"/>
        </w:rPr>
        <w:t xml:space="preserve">، و بخش ديگر از دروغ‌پردازى‌ها، در فضل‌تراشى و مشروع‌سازى سردمداران و حاكمان اسلامى اختصاص يافته است؛ ابن الجوزى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احاديث ساختگى 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گردآورده است كه عناوين دروغ زير مشاهده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ابابكرملاك ورود به‌بهشت</w:t>
      </w:r>
      <w:r>
        <w:rPr>
          <w:rFonts w:eastAsia="IRNazanin" w:cs="IRNazanin"/>
          <w:color w:val="111111"/>
          <w:sz w:val="28"/>
          <w:szCs w:val="28"/>
          <w:rtl w:val="true"/>
          <w:lang w:bidi="fa-IR"/>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جانشينى ابابكر از سوى خداوند</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شايستگى براى امامت جز ابابكر</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پيامبر بود اگرمحمد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نشده بود</w:t>
      </w:r>
      <w:r>
        <w:rPr>
          <w:rFonts w:eastAsia="IRNazanin" w:cs="IRNazanin"/>
          <w:color w:val="111111"/>
          <w:sz w:val="28"/>
          <w:szCs w:val="28"/>
          <w:rtl w:val="true"/>
          <w:lang w:bidi="fa-IR"/>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ابابكر و عمر زينت بهشت‌اند</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 ابابكر و عمر مجوز بهشت براى على</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حورية بهشتى درون سيب خليفة شهيد عثمان بن عفان</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برگ‌هاى درختان بهشت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رسول‌الله ابوبكرالصديق عمرالفاروق عثمان ذوالنورين يقتل‌مظلوماً</w:t>
      </w:r>
      <w:r>
        <w:rPr>
          <w:rFonts w:eastAsia="IRNazanin" w:cs="IRNazanin"/>
          <w:color w:val="111111"/>
          <w:sz w:val="28"/>
          <w:szCs w:val="28"/>
          <w:rtl w:val="true"/>
          <w:lang w:bidi="fa-IR"/>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باردار شدن عايشه ا ز </w:t>
      </w:r>
      <w:bookmarkStart w:id="248" w:name="pg1976_27841"/>
    </w:p>
    <w:p>
      <w:pPr>
        <w:pStyle w:val="BookText"/>
        <w:rPr/>
      </w:pPr>
      <w:bookmarkEnd w:id="248"/>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معاويه امين روى زمين </w:t>
      </w:r>
      <w:r>
        <w:rPr>
          <w:rFonts w:eastAsia="Amiri" w:cs="Amiri" w:ascii="Amiri" w:hAnsi="Amiri"/>
          <w:color w:val="111111"/>
          <w:sz w:val="28"/>
          <w:szCs w:val="28"/>
          <w:rtl w:val="true"/>
          <w:lang w:bidi="ar-SA"/>
        </w:rPr>
        <w:t xml:space="preserve">! »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عناوين بالا نمونه‌اى از صدها اراجيفى است كه در منابع مورد اعتماد وهابى‌ها به‌چشم مى‌خورد كه ابن‌الجوزى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ابراهيم فوزى دركتاب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لكذب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ابوريه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على‌السّنّة المحمّدية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بخشى از دروغ‌ها را منعكس ساخته‌اند؛ چه اينكه راويان كاذب و غير اعتماد در منابع آنان به‌بيش از يك‌هزار نفر مى‌رسد و پديد آورنده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الدّكتور ناصرالقفاري في أصول مذهبه حول‌السّنّة ورواتها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استفاده از منابع تراجم و رجال شناسان خود اهل‌سنت، </w:t>
      </w:r>
      <w:r>
        <w:rPr>
          <w:rFonts w:eastAsia="IRNazanin" w:cs="IRNazanin"/>
          <w:color w:val="111111"/>
          <w:sz w:val="28"/>
          <w:szCs w:val="28"/>
          <w:lang w:bidi="fa-IR"/>
        </w:rPr>
        <w:t>16</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نفر از روات حديثى آنان را ضعيف و كاذب و وضّاع، مى‌شمارد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ممانعت از تدوين ونقل حديث در مكتب خلفا كه از يك‌سو، سبب از بين رفتن بخش بزرگى از سنت رسول‌خدا شد و در بخش‌هاى مختلف كمبود منابع احكام رخ داد، و از ديگرسو، زمينه حضور جاعلان حديث، فراهم گشت، مباحث حديث‌شناسى ضرورت پيدا كرد و اهل‌سنت چاره‌اى نداشتند جز اينكه به‌پالايش روايات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امر در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ضرورت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شيعه در تدوين علم رجال به‌ويژه بعد از حضور، پيشقدم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آنچه نويسندگان منتقد، منابع شيعه از جمله كافى را بى‌اعتبار مى‌شمارند، مردود است</w:t>
      </w:r>
      <w:r>
        <w:rPr>
          <w:rFonts w:eastAsia="IRNazanin" w:cs="IRNazanin"/>
          <w:color w:val="111111"/>
          <w:sz w:val="28"/>
          <w:szCs w:val="28"/>
          <w:rtl w:val="true"/>
          <w:lang w:bidi="fa-IR"/>
        </w:rPr>
        <w:t>.</w:t>
      </w:r>
    </w:p>
    <w:p>
      <w:pPr>
        <w:pStyle w:val="Heading5"/>
        <w:numPr>
          <w:ilvl w:val="4"/>
          <w:numId w:val="1"/>
        </w:numPr>
        <w:rPr/>
      </w:pPr>
      <w:bookmarkStart w:id="249" w:name="__RefHeading___Toc3767019_3650668749"/>
      <w:bookmarkStart w:id="250" w:name="_Toc88"/>
      <w:bookmarkEnd w:id="249"/>
      <w:r>
        <w:rPr/>
        <w:t>٢</w:t>
      </w:r>
      <w:r>
        <w:rPr>
          <w:rtl w:val="true"/>
        </w:rPr>
        <w:t xml:space="preserve">. </w:t>
      </w:r>
      <w:r>
        <w:rPr>
          <w:rtl w:val="true"/>
        </w:rPr>
        <w:t>اضافه شدن بر تعداد كتاب هاى كافى</w:t>
      </w:r>
      <w:bookmarkEnd w:id="250"/>
    </w:p>
    <w:p>
      <w:pPr>
        <w:pStyle w:val="Heading6"/>
        <w:numPr>
          <w:ilvl w:val="5"/>
          <w:numId w:val="1"/>
        </w:numPr>
        <w:rPr/>
      </w:pPr>
      <w:bookmarkStart w:id="251" w:name="__RefHeading___Toc3767021_3650668749"/>
      <w:bookmarkStart w:id="252" w:name="_Toc89"/>
      <w:bookmarkEnd w:id="251"/>
      <w:r>
        <w:rPr>
          <w:rtl w:val="true"/>
        </w:rPr>
        <w:t>اشاره</w:t>
      </w:r>
      <w:bookmarkEnd w:id="25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نقدهايى كه از جهت اسناد بر كتاب كافى گرفته شده، شماره و تعداد كتاب‌هاى‌آن است، و ناهمگون بودن تعداد كتاب‌هاى كافى سبب شده كه برخى از </w:t>
      </w:r>
      <w:bookmarkStart w:id="253" w:name="pg1976_27843"/>
    </w:p>
    <w:p>
      <w:pPr>
        <w:pStyle w:val="BookText"/>
        <w:rPr/>
      </w:pPr>
      <w:bookmarkEnd w:id="253"/>
      <w:r>
        <w:rPr>
          <w:rFonts w:ascii="IRNazanin" w:hAnsi="IRNazanin" w:eastAsia="IRNazanin"/>
          <w:color w:val="111111"/>
          <w:sz w:val="28"/>
          <w:sz w:val="28"/>
          <w:szCs w:val="28"/>
          <w:rtl w:val="true"/>
          <w:lang w:bidi="fa-IR"/>
        </w:rPr>
        <w:t>نويسندگان وهابى، كافى را تحريف شده بدانند و اين تهمت را به‌شيعه ببندند كه پس از كلينى بر تعداد كتاب‌هاى كافى افزوده‌اند</w:t>
      </w:r>
      <w:r>
        <w:rPr>
          <w:rFonts w:eastAsia="IRNazanin" w:cs="IRNazanin"/>
          <w:color w:val="111111"/>
          <w:sz w:val="28"/>
          <w:szCs w:val="28"/>
          <w:rtl w:val="true"/>
          <w:lang w:bidi="fa-IR"/>
        </w:rPr>
        <w:t>!</w:t>
      </w:r>
    </w:p>
    <w:p>
      <w:pPr>
        <w:pStyle w:val="Heading6"/>
        <w:numPr>
          <w:ilvl w:val="5"/>
          <w:numId w:val="1"/>
        </w:numPr>
        <w:rPr/>
      </w:pPr>
      <w:bookmarkStart w:id="254" w:name="__RefHeading___Toc3767023_3650668749"/>
      <w:bookmarkStart w:id="255" w:name="_Toc90"/>
      <w:bookmarkEnd w:id="254"/>
      <w:r>
        <w:rPr>
          <w:rtl w:val="true"/>
        </w:rPr>
        <w:t>الف</w:t>
      </w:r>
      <w:r>
        <w:rPr>
          <w:rtl w:val="true"/>
        </w:rPr>
        <w:t xml:space="preserve">) </w:t>
      </w:r>
      <w:r>
        <w:rPr>
          <w:rtl w:val="true"/>
        </w:rPr>
        <w:t>طرح اصل اتّهام</w:t>
      </w:r>
      <w:bookmarkEnd w:id="255"/>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افترا را اين‌گونه شرح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برهمان حالتى كه كلينى آن را تأليف كرد،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چنين نشد بلكه به‌مرور زمان در هر نسخه‌اى چيز جديدى از سوى نسخه‌برداران، برآن اضافه گشت؛ البته اين‌كار از سوى شيعيان عجيب و غريب نيست، زيرا وقتى خود كلينى تجويز كنندۀ كذب به‌خدا و رسول واهل‌بيت او باشد، چرا كذب بستن به‌كلينى جايز نباشد؟ </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آن‌گاه شاهدى كه بر افزايش حجم كتاب كافى مى‌آورد، تعداد كتاب‌هاى آن است، و مدعى مى‌شود كه در زمان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به‌اعتراف او، كتاب كافى مشتمل بر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كتاب بوده است </w:t>
      </w:r>
      <w:r>
        <w:rPr>
          <w:rStyle w:val="FootnoteAnchor"/>
          <w:rtl w:val="true"/>
        </w:rPr>
        <w:footnoteReference w:id="640"/>
      </w:r>
      <w:r>
        <w:rPr>
          <w:rFonts w:ascii="IRNazanin" w:hAnsi="IRNazanin" w:eastAsia="IRNazanin"/>
          <w:color w:val="111111"/>
          <w:sz w:val="28"/>
          <w:sz w:val="28"/>
          <w:szCs w:val="28"/>
          <w:rtl w:val="true"/>
          <w:lang w:bidi="fa-IR"/>
        </w:rPr>
        <w:t xml:space="preserve">، امّا بعد از گذشت زمان شيخ شيعه حسين كركى‌العاملى متوفاى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حاوى</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 يعنى</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كه بى‌ترديد هركتاب مشتمل بر صدها روايت خواهد بود، بركافى افزوده شده است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ناصربن عبدالله القفارى، همين ادعا را مطرح نموده ومدعى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قرن پنجم تا يازدهم،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كتاب كه هر كتاب دَه‌ها باب دارد و هرباب شامل مجموعه‌اى از روايات است، بر كافى افزوده شده است؛ و شايد اين امر، طبيعى باشد؛ زيرا كسانى كه </w:t>
      </w:r>
      <w:bookmarkStart w:id="256" w:name="pg1976_27845"/>
    </w:p>
    <w:p>
      <w:pPr>
        <w:pStyle w:val="BookText"/>
        <w:rPr/>
      </w:pPr>
      <w:bookmarkEnd w:id="256"/>
      <w:r>
        <w:rPr>
          <w:rFonts w:ascii="Amiri" w:hAnsi="Amiri" w:eastAsia="Amiri" w:cs="Amiri"/>
          <w:color w:val="111111"/>
          <w:sz w:val="28"/>
          <w:sz w:val="28"/>
          <w:szCs w:val="28"/>
          <w:rtl w:val="true"/>
          <w:lang w:bidi="ar-SA"/>
        </w:rPr>
        <w:t>بر رسول‌خدا و صحابه و نزديكان او، نسبت دروغ بدهند، به‌طريق اولى به‌شيوخ خويش دروغ خواهند بست</w:t>
      </w:r>
      <w:r>
        <w:rPr>
          <w:rFonts w:eastAsia="Amiri" w:cs="Amiri" w:ascii="Amiri" w:hAnsi="Amiri"/>
          <w:color w:val="111111"/>
          <w:sz w:val="28"/>
          <w:szCs w:val="28"/>
          <w:rtl w:val="true"/>
          <w:lang w:bidi="ar-SA"/>
        </w:rPr>
        <w:t xml:space="preserve">! </w:t>
      </w:r>
      <w:r>
        <w:rPr>
          <w:rStyle w:val="FootnoteAnchor"/>
          <w:rtl w:val="true"/>
        </w:rPr>
        <w:footnoteReference w:id="642"/>
      </w:r>
    </w:p>
    <w:p>
      <w:pPr>
        <w:pStyle w:val="Heading6"/>
        <w:numPr>
          <w:ilvl w:val="5"/>
          <w:numId w:val="1"/>
        </w:numPr>
        <w:rPr/>
      </w:pPr>
      <w:bookmarkStart w:id="257" w:name="__RefHeading___Toc3767025_3650668749"/>
      <w:bookmarkStart w:id="258" w:name="_Toc91"/>
      <w:bookmarkEnd w:id="257"/>
      <w:r>
        <w:rPr>
          <w:rtl w:val="true"/>
        </w:rPr>
        <w:t>ب</w:t>
      </w:r>
      <w:r>
        <w:rPr>
          <w:rtl w:val="true"/>
        </w:rPr>
        <w:t xml:space="preserve">) </w:t>
      </w:r>
      <w:r>
        <w:rPr>
          <w:rtl w:val="true"/>
        </w:rPr>
        <w:t>بررسى و نقدِ افزودن بركتاب‌هاى كافى</w:t>
      </w:r>
      <w:bookmarkEnd w:id="258"/>
    </w:p>
    <w:p>
      <w:pPr>
        <w:pStyle w:val="Heading6"/>
        <w:numPr>
          <w:ilvl w:val="5"/>
          <w:numId w:val="1"/>
        </w:numPr>
        <w:rPr/>
      </w:pPr>
      <w:bookmarkStart w:id="259" w:name="__RefHeading___Toc3767027_3650668749"/>
      <w:bookmarkStart w:id="260" w:name="_Toc92"/>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هرچند كه اشكال ياد شده از سوى وهابى‌ها، از ناهمگونى اظهار نظرها و مدارك خود پيروان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ناشى شده است؛ ولى در عين‌حال اين ايراد بركافى وارد نيست وگفته‌هاى ياد شده، با روح تحقيق و پژوهش سازگارى ندارد</w:t>
      </w:r>
      <w:r>
        <w:rPr>
          <w:rFonts w:eastAsia="IRNazanin" w:cs="IRNazanin"/>
          <w:color w:val="111111"/>
          <w:sz w:val="28"/>
          <w:szCs w:val="28"/>
          <w:rtl w:val="true"/>
          <w:lang w:bidi="fa-IR"/>
        </w:rPr>
        <w:t>:</w:t>
      </w:r>
    </w:p>
    <w:p>
      <w:pPr>
        <w:pStyle w:val="Heading6"/>
        <w:numPr>
          <w:ilvl w:val="5"/>
          <w:numId w:val="1"/>
        </w:numPr>
        <w:rPr/>
      </w:pPr>
      <w:bookmarkStart w:id="261" w:name="__RefHeading___Toc3767029_3650668749"/>
      <w:bookmarkStart w:id="262" w:name="_Toc93"/>
      <w:bookmarkEnd w:id="261"/>
      <w:r>
        <w:rPr>
          <w:rtl w:val="true"/>
        </w:rPr>
        <w:t xml:space="preserve">يك </w:t>
      </w:r>
      <w:r>
        <w:rPr>
          <w:rtl w:val="true"/>
        </w:rPr>
        <w:t xml:space="preserve">- </w:t>
      </w:r>
      <w:r>
        <w:rPr>
          <w:rtl w:val="true"/>
        </w:rPr>
        <w:t>اظهار نظرهاى متفاوت</w:t>
      </w:r>
      <w:bookmarkEnd w:id="26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گزارش از كتاب كافى، تعداد كتاب‌هاى آن را</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كتاب مى‌شمارد </w:t>
      </w:r>
      <w:r>
        <w:rPr>
          <w:rStyle w:val="FootnoteAnchor"/>
          <w:rtl w:val="true"/>
        </w:rPr>
        <w:footnoteReference w:id="643"/>
      </w:r>
      <w:r>
        <w:rPr>
          <w:rFonts w:ascii="Amiri" w:hAnsi="Amiri" w:eastAsia="Amiri" w:cs="Amiri"/>
          <w:color w:val="111111"/>
          <w:sz w:val="28"/>
          <w:sz w:val="28"/>
          <w:szCs w:val="28"/>
          <w:rtl w:val="true"/>
          <w:lang w:bidi="ar-SA"/>
        </w:rPr>
        <w:t xml:space="preserve">، اما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كتاب‌هاى كافى را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نام مى‌برد </w:t>
      </w:r>
      <w:r>
        <w:rPr>
          <w:rStyle w:val="FootnoteAnchor"/>
          <w:rtl w:val="true"/>
        </w:rPr>
        <w:footnoteReference w:id="644"/>
      </w:r>
      <w:r>
        <w:rPr>
          <w:rFonts w:ascii="IRNazanin" w:hAnsi="IRNazanin" w:eastAsia="IRNazanin"/>
          <w:color w:val="111111"/>
          <w:sz w:val="28"/>
          <w:sz w:val="28"/>
          <w:szCs w:val="28"/>
          <w:rtl w:val="true"/>
          <w:lang w:bidi="fa-IR"/>
        </w:rPr>
        <w:t xml:space="preserve">، ولى آنچه هسته اصلى اشكال را شكل مى‌دهد و توجّه منتقدان را به‌خود جلب نموده و مورد استناد قرار گرفته </w:t>
      </w:r>
      <w:r>
        <w:rPr>
          <w:rStyle w:val="FootnoteAnchor"/>
          <w:rtl w:val="true"/>
        </w:rPr>
        <w:footnoteReference w:id="645"/>
      </w:r>
      <w:r>
        <w:rPr>
          <w:rFonts w:ascii="IRNazanin" w:hAnsi="IRNazanin" w:eastAsia="IRNazanin"/>
          <w:color w:val="111111"/>
          <w:sz w:val="28"/>
          <w:sz w:val="28"/>
          <w:szCs w:val="28"/>
          <w:rtl w:val="true"/>
          <w:lang w:bidi="fa-IR"/>
        </w:rPr>
        <w:t xml:space="preserve">، سخن ميرزا محمدباقرالموسوى الخوانسارى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كلينى در اجازه نامه سيدحسين‌بن‌السيد حيدركركى‌العاملى است، كه همه تصنيفات مرحوم كلينى را به‌نقل از ابن‌قُولويه اجازۀ نقل مى‌دهد، ودر آنجا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جميع مُصنّفات ومَرويِات الشّيخ الاِمام ثقة الاسلام ابي‌جعفر محمّدبن‌يعقوب الكليني الّتي مِن جُملتها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خمسون كتاباً بالأسانيد الّتي فيه لكُلِّ حديث متّصلة بالائمة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خودش مى‌گويد</w:t>
      </w:r>
      <w:r>
        <w:rPr>
          <w:rFonts w:eastAsia="IRNazanin" w:cs="IRNazanin"/>
          <w:color w:val="111111"/>
          <w:sz w:val="28"/>
          <w:szCs w:val="28"/>
          <w:rtl w:val="true"/>
          <w:lang w:bidi="fa-IR"/>
        </w:rPr>
        <w:t xml:space="preserve">: </w:t>
      </w:r>
      <w:bookmarkStart w:id="263" w:name="pg1976_27847"/>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ديدگاه با نظر شيخ طوسى كه گفت كتاب كافى</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كتاب است سازگارى ندارد</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اجازات كتابش، چند مورد از اجازه نامه‌هاى فقهاى شيعه، مجموعه كتاب‌هاى كافى را</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كتاب ضبط مى‌كند </w:t>
      </w:r>
      <w:r>
        <w:rPr>
          <w:rStyle w:val="FootnoteAnchor"/>
          <w:rtl w:val="true"/>
        </w:rPr>
        <w:footnoteReference w:id="647"/>
      </w:r>
      <w:r>
        <w:rPr>
          <w:rFonts w:ascii="IRNazanin" w:hAnsi="IRNazanin" w:eastAsia="IRNazanin"/>
          <w:color w:val="111111"/>
          <w:sz w:val="28"/>
          <w:sz w:val="28"/>
          <w:szCs w:val="28"/>
          <w:rtl w:val="true"/>
          <w:lang w:bidi="fa-IR"/>
        </w:rPr>
        <w:t>، و صاحب روضات‌الجنات مطلب خودش را از بحارالانوار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قفارى و مؤلّف انتصارالحق، بر تعداد كتاب‌هاى كافى، ناشى از اظهارنظرهاى نويسندگان شيعه در اين مورد است</w:t>
      </w:r>
      <w:r>
        <w:rPr>
          <w:rFonts w:eastAsia="IRNazanin" w:cs="IRNazanin"/>
          <w:color w:val="111111"/>
          <w:sz w:val="28"/>
          <w:szCs w:val="28"/>
          <w:rtl w:val="true"/>
          <w:lang w:bidi="fa-IR"/>
        </w:rPr>
        <w:t>.</w:t>
      </w:r>
    </w:p>
    <w:p>
      <w:pPr>
        <w:pStyle w:val="Heading6"/>
        <w:numPr>
          <w:ilvl w:val="5"/>
          <w:numId w:val="1"/>
        </w:numPr>
        <w:rPr/>
      </w:pPr>
      <w:bookmarkStart w:id="264" w:name="__RefHeading___Toc3767031_3650668749"/>
      <w:bookmarkStart w:id="265" w:name="_Toc94"/>
      <w:bookmarkEnd w:id="264"/>
      <w:r>
        <w:rPr>
          <w:rtl w:val="true"/>
        </w:rPr>
        <w:t xml:space="preserve">دو </w:t>
      </w:r>
      <w:r>
        <w:rPr>
          <w:rtl w:val="true"/>
        </w:rPr>
        <w:t xml:space="preserve">- </w:t>
      </w:r>
      <w:r>
        <w:rPr>
          <w:rtl w:val="true"/>
        </w:rPr>
        <w:t>عدم تأييد عدد پنجاه</w:t>
      </w:r>
      <w:bookmarkEnd w:id="26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كه عدد پنجاه كتاب، تنها مستندش بحارالانوار علامه مجلسى است، ولى اين نكته را نبايد از نظر دور داشت كه از يك سو، ديدگاه خود اين‌عالم شيعى بر عدد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كتاب استوار نيست بلكه در اجازات برخى از بزرگان شيعه عدد پنجاه اشاره شده است، از ديگر سو، در اجازه‌نامه‌هاى بسيارى از فقها و انديشمندان شيعى كه تصانيف مرحوم كلينى از جمله كافى را اجازه روايت مى‌دهند، از عدد</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كتاب در مورد كتاب‌هاى كافى نام نمى‌برند؛ دراجازه الشّيخ زين‌الدين ابوالحسن على‌بن هلال الجزائرى براى الشّيخ على‌بن عبدالعالى الكركى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در تصوير اجازه الشّيخ على‌بن عبدالعالى الكركى براى فرزندش الشّيخ ابراهيم بن‌عبدالعالى </w:t>
      </w:r>
      <w:r>
        <w:rPr>
          <w:rStyle w:val="FootnoteAnchor"/>
          <w:rtl w:val="true"/>
        </w:rPr>
        <w:footnoteReference w:id="649"/>
      </w:r>
      <w:r>
        <w:rPr>
          <w:rFonts w:ascii="Amiri" w:hAnsi="Amiri" w:eastAsia="Amiri" w:cs="Amiri"/>
          <w:color w:val="111111"/>
          <w:sz w:val="28"/>
          <w:sz w:val="28"/>
          <w:szCs w:val="28"/>
          <w:rtl w:val="true"/>
          <w:lang w:bidi="ar-SA"/>
        </w:rPr>
        <w:t xml:space="preserve">، و در اجازه همان عالِم شيعى براى قاضى </w:t>
      </w:r>
      <w:bookmarkStart w:id="266" w:name="pg1976_27849"/>
    </w:p>
    <w:p>
      <w:pPr>
        <w:pStyle w:val="BookText"/>
        <w:rPr/>
      </w:pPr>
      <w:bookmarkEnd w:id="266"/>
      <w:r>
        <w:rPr>
          <w:rFonts w:ascii="Amiri" w:hAnsi="Amiri" w:eastAsia="Amiri" w:cs="Amiri"/>
          <w:color w:val="111111"/>
          <w:sz w:val="28"/>
          <w:sz w:val="28"/>
          <w:szCs w:val="28"/>
          <w:rtl w:val="true"/>
          <w:lang w:bidi="ar-SA"/>
        </w:rPr>
        <w:t xml:space="preserve">صفى‌الدّين عيسى </w:t>
      </w:r>
      <w:r>
        <w:rPr>
          <w:rStyle w:val="FootnoteAnchor"/>
          <w:rtl w:val="true"/>
        </w:rPr>
        <w:footnoteReference w:id="650"/>
      </w:r>
      <w:r>
        <w:rPr>
          <w:rFonts w:ascii="Amiri" w:hAnsi="Amiri" w:eastAsia="Amiri" w:cs="Amiri"/>
          <w:color w:val="111111"/>
          <w:sz w:val="28"/>
          <w:sz w:val="28"/>
          <w:szCs w:val="28"/>
          <w:rtl w:val="true"/>
          <w:lang w:bidi="ar-SA"/>
        </w:rPr>
        <w:t xml:space="preserve">، و الشّيخ ابراهيم بن‌سليمان القطيعى در اجازه روايت به‌خليفه شاه‌محمود </w:t>
      </w:r>
      <w:r>
        <w:rPr>
          <w:rStyle w:val="FootnoteAnchor"/>
          <w:rtl w:val="true"/>
        </w:rPr>
        <w:footnoteReference w:id="651"/>
      </w:r>
      <w:r>
        <w:rPr>
          <w:rFonts w:ascii="Amiri" w:hAnsi="Amiri" w:eastAsia="Amiri" w:cs="Amiri"/>
          <w:color w:val="111111"/>
          <w:sz w:val="28"/>
          <w:sz w:val="28"/>
          <w:szCs w:val="28"/>
          <w:rtl w:val="true"/>
          <w:lang w:bidi="ar-SA"/>
        </w:rPr>
        <w:t xml:space="preserve">، الشّيخ ابراهيم بن‌سليمان در اجازه‌نامه‌اى خود به‌الشيخ شمس‌الدّين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اجازه خود به‌الشيخ ابراهيم بن على‌بن عبدالعالى الميسى </w:t>
      </w:r>
      <w:r>
        <w:rPr>
          <w:rStyle w:val="FootnoteAnchor"/>
          <w:rtl w:val="true"/>
        </w:rPr>
        <w:footnoteReference w:id="653"/>
      </w:r>
      <w:r>
        <w:rPr>
          <w:rFonts w:ascii="IRNazanin" w:hAnsi="IRNazanin" w:eastAsia="IRNazanin"/>
          <w:color w:val="111111"/>
          <w:sz w:val="28"/>
          <w:sz w:val="28"/>
          <w:szCs w:val="28"/>
          <w:rtl w:val="true"/>
          <w:lang w:bidi="fa-IR"/>
        </w:rPr>
        <w:t xml:space="preserve">و اجازه عام از علامه بنى‌زهره الحلبى </w:t>
      </w:r>
      <w:r>
        <w:rPr>
          <w:rStyle w:val="FootnoteAnchor"/>
          <w:rtl w:val="true"/>
        </w:rPr>
        <w:footnoteReference w:id="654"/>
      </w:r>
      <w:r>
        <w:rPr>
          <w:rFonts w:ascii="Amiri" w:hAnsi="Amiri" w:eastAsia="Amiri" w:cs="Amiri"/>
          <w:color w:val="111111"/>
          <w:sz w:val="28"/>
          <w:sz w:val="28"/>
          <w:szCs w:val="28"/>
          <w:rtl w:val="true"/>
          <w:lang w:bidi="ar-SA"/>
        </w:rPr>
        <w:t xml:space="preserve">، و السيد محمدبن الحسين بن محمّدابى‌الرضا، در اجازه‌اى براى السيد شمس‌الدين محمدبن السيد جمال الدين احمد بن ابى‌العالى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شهيد</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و در اجازه شهيد اوّل محمّدبن‌مكى براى على بن ابى‌محمد الحسن زين‌الدين بن‌شمس الدين الحائرى </w:t>
      </w:r>
      <w:r>
        <w:rPr>
          <w:rStyle w:val="FootnoteAnchor"/>
          <w:rtl w:val="true"/>
        </w:rPr>
        <w:footnoteReference w:id="656"/>
      </w:r>
      <w:r>
        <w:rPr>
          <w:rFonts w:ascii="IRNazanin" w:hAnsi="IRNazanin" w:eastAsia="IRNazanin"/>
          <w:color w:val="111111"/>
          <w:sz w:val="28"/>
          <w:sz w:val="28"/>
          <w:szCs w:val="28"/>
          <w:rtl w:val="true"/>
          <w:lang w:bidi="fa-IR"/>
        </w:rPr>
        <w:t xml:space="preserve">و ديگران؛ هيچ‌كدام عدد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كتاب را براى كافى نمى‌شمارند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عدد</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كتاب، براى مجموعه كافى نزد فقهاى شيعه مسأله‌اى شناخته شده نبوده است بلكه سليقه‌هايى مختلف در تنظيم و شمارش عناوين، عدد</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كتاب را ايجاد نموده است</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3767033_3650668749"/>
      <w:bookmarkStart w:id="268" w:name="_Toc95"/>
      <w:bookmarkEnd w:id="267"/>
      <w:r>
        <w:rPr>
          <w:rtl w:val="true"/>
        </w:rPr>
        <w:t xml:space="preserve">سه </w:t>
      </w:r>
      <w:r>
        <w:rPr>
          <w:rtl w:val="true"/>
        </w:rPr>
        <w:t xml:space="preserve">- </w:t>
      </w:r>
      <w:r>
        <w:rPr>
          <w:rtl w:val="true"/>
        </w:rPr>
        <w:t>سليقه‌هاى مختلف در شمارش</w:t>
      </w:r>
      <w:bookmarkEnd w:id="26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ذوق و سلايق انسان‌ها متفاوت است، و همين ويژگى سبب مى‌شود كه دستاورد آن نيز متفاوت باشد؛ از اين رو، همواره درطول تاريخ، به‌ويژه در خلق عناوين علوم و تنظيم آن‌ها، اعمال سليقه‌هايى صورت گرفته كه با سليقه ديگران هرچند از يك خانواده و يك پدر و مادر باشند،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عناوين و كتاب‌هاى كافى، يكى از مسائلى است كه بر پايه سلائق و ذوق خاص، نتيجه‌اى </w:t>
      </w:r>
    </w:p>
    <w:p>
      <w:pPr>
        <w:pStyle w:val="BookText"/>
        <w:rPr/>
      </w:pPr>
      <w:r>
        <w:rPr>
          <w:rFonts w:ascii="IRNazanin" w:hAnsi="IRNazanin" w:eastAsia="IRNazanin"/>
          <w:color w:val="111111"/>
          <w:sz w:val="28"/>
          <w:sz w:val="28"/>
          <w:szCs w:val="28"/>
          <w:rtl w:val="true"/>
          <w:lang w:bidi="fa-IR"/>
        </w:rPr>
        <w:t>ناهماهنگ داده است، و معناى اين سخن هرگز اين نخواهد بود كه اصل كتاب كافى مورد دست‌برد واقع شده است، بلكه همان محتوا را در قالب‌هاى مختلف و عناوين بيشتر يا كمتر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سى‌كتاب؛ گروهى از فرهيختگان مكتب اهل‌بيت همانند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كتاب را براى كافى مى‌شمارند </w:t>
      </w:r>
      <w:r>
        <w:rPr>
          <w:rStyle w:val="FootnoteAnchor"/>
          <w:rtl w:val="true"/>
        </w:rPr>
        <w:footnoteReference w:id="657"/>
      </w:r>
      <w:r>
        <w:rPr>
          <w:rFonts w:ascii="Amiri" w:hAnsi="Amiri" w:eastAsia="Amiri" w:cs="Amiri"/>
          <w:color w:val="111111"/>
          <w:sz w:val="28"/>
          <w:sz w:val="28"/>
          <w:szCs w:val="28"/>
          <w:rtl w:val="true"/>
          <w:lang w:bidi="ar-SA"/>
        </w:rPr>
        <w:t xml:space="preserve">وى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يك كتاب مى‌داند، 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نمى‌آورد </w:t>
      </w:r>
      <w:r>
        <w:rPr>
          <w:rStyle w:val="FootnoteAnchor"/>
          <w:rtl w:val="true"/>
        </w:rPr>
        <w:footnoteReference w:id="658"/>
      </w:r>
      <w:r>
        <w:rPr>
          <w:rFonts w:ascii="IRNazanin" w:hAnsi="IRNazanin" w:eastAsia="IRNazanin"/>
          <w:color w:val="111111"/>
          <w:sz w:val="28"/>
          <w:sz w:val="28"/>
          <w:szCs w:val="28"/>
          <w:rtl w:val="true"/>
          <w:lang w:bidi="fa-IR"/>
        </w:rPr>
        <w:t xml:space="preserve">، و دوعنوان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عنوان يك‌كتاب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وحاجى نورى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 را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كتاب ياد مى‌كنند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سى‌ويك كتاب؛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كافى را مشتمل بر</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مى‌داند، و تفاوت آمار وى با شيخ در اين است كه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دو كتاب شمرده 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برعكس شيخ، به‌عنوان كتاب صحيح است </w:t>
      </w:r>
      <w:r>
        <w:rPr>
          <w:rStyle w:val="FootnoteAnchor"/>
          <w:rtl w:val="true"/>
        </w:rPr>
        <w:footnoteReference w:id="660"/>
      </w:r>
      <w:r>
        <w:rPr>
          <w:rFonts w:ascii="IRNazanin" w:hAnsi="IRNazanin" w:eastAsia="IRNazanin"/>
          <w:color w:val="111111"/>
          <w:sz w:val="28"/>
          <w:sz w:val="28"/>
          <w:szCs w:val="28"/>
          <w:rtl w:val="true"/>
          <w:lang w:bidi="fa-IR"/>
        </w:rPr>
        <w:t xml:space="preserve">، برخى ديگر با ضميمه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به‌مجموعه كافى آن‌را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با جدا دانستن 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مى‌دانند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سى‌وچهار؛ آقا بزرگ تهرانى، كافى را جامع</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16</w:t>
      </w:r>
      <w:r>
        <w:rPr>
          <w:rFonts w:ascii="IRNazanin" w:hAnsi="IRNazanin" w:eastAsia="IRNazanin"/>
          <w:color w:val="111111"/>
          <w:sz w:val="28"/>
          <w:sz w:val="28"/>
          <w:szCs w:val="28"/>
          <w:lang w:bidi="fa-IR"/>
        </w:rPr>
        <w:t>٠٠٠</w:t>
      </w:r>
      <w:r>
        <w:rPr>
          <w:rFonts w:ascii="IRNazanin" w:hAnsi="IRNazanin" w:eastAsia="IRNazanin"/>
          <w:color w:val="111111"/>
          <w:sz w:val="28"/>
          <w:sz w:val="28"/>
          <w:szCs w:val="28"/>
          <w:rtl w:val="true"/>
          <w:lang w:bidi="fa-IR"/>
        </w:rPr>
        <w:t xml:space="preserve"> حديث، مى‌داند</w:t>
      </w:r>
      <w:r>
        <w:rPr>
          <w:rFonts w:eastAsia="IRNazanin" w:cs="IRNazanin"/>
          <w:color w:val="111111"/>
          <w:sz w:val="28"/>
          <w:szCs w:val="28"/>
          <w:rtl w:val="true"/>
          <w:lang w:bidi="fa-IR"/>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و شكى نيست كه اين عالم شيعه نمى‌خواسته آمار دقيق ارائه دهد </w:t>
      </w:r>
    </w:p>
    <w:p>
      <w:pPr>
        <w:pStyle w:val="BookText"/>
        <w:rPr/>
      </w:pPr>
      <w:r>
        <w:rPr>
          <w:rFonts w:ascii="IRNazanin" w:hAnsi="IRNazanin" w:eastAsia="IRNazanin"/>
          <w:color w:val="111111"/>
          <w:sz w:val="28"/>
          <w:sz w:val="28"/>
          <w:szCs w:val="28"/>
          <w:rtl w:val="true"/>
          <w:lang w:bidi="fa-IR"/>
        </w:rPr>
        <w:t>بلكه نظرش بر اين بوده كه گزارشى از مجموعه‌هاى تصانيف اماميه ارائه دهد؛ و در نسخه طبع دارالكتب العلميه تصحيح على‌اكبر غفارى كه بخش فروع آن با نسخه‌اى كه توسط محمدطاهربن علاءالدين محمدالابهرى الاصفهانى در سال</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نسخه بردارى و مقابله شده، با كتاب روضه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هفت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ابواب‌الانبذة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به‌شمارش آورده است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سى‌وپنج؛ برخى از پژوهشگران، مجموع كتاب‌هاى كافى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بيش از</w:t>
      </w:r>
      <w:r>
        <w:rPr>
          <w:rFonts w:eastAsia="IRNazanin" w:cs="IRNazanin"/>
          <w:color w:val="111111"/>
          <w:sz w:val="28"/>
          <w:szCs w:val="28"/>
          <w:lang w:bidi="fa-IR"/>
        </w:rPr>
        <w:t>15</w:t>
      </w:r>
      <w:r>
        <w:rPr>
          <w:rFonts w:ascii="IRNazanin" w:hAnsi="IRNazanin" w:eastAsia="IRNazanin"/>
          <w:color w:val="111111"/>
          <w:sz w:val="28"/>
          <w:sz w:val="28"/>
          <w:szCs w:val="28"/>
          <w:lang w:bidi="fa-IR"/>
        </w:rPr>
        <w:t>٠٠٠</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آمار مى‌دهند </w:t>
      </w:r>
      <w:r>
        <w:rPr>
          <w:rStyle w:val="FootnoteAnchor"/>
          <w:rtl w:val="true"/>
        </w:rPr>
        <w:footnoteReference w:id="664"/>
      </w:r>
      <w:r>
        <w:rPr>
          <w:rFonts w:ascii="IRNazanin" w:hAnsi="IRNazanin" w:eastAsia="IRNazanin"/>
          <w:color w:val="111111"/>
          <w:sz w:val="28"/>
          <w:sz w:val="28"/>
          <w:szCs w:val="28"/>
          <w:rtl w:val="true"/>
          <w:lang w:bidi="fa-IR"/>
        </w:rPr>
        <w:t>همان‌گونه كه ملاحظه مى‌كنيد تعداد كتاب‌ها و باب‌ها افزايش نشان مى‌دهد، ولى تعداد احاديث كمتر از آمارى است كه آقابزرگ طهرانى نشان داده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آمارهاى ارائه شده، اين نتيجه به‌دست مى‌آيد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نخواسته‌اند كتاب‌هاى كافى را دقيقاً به‌شمارش آورند وآن را با مشخصات و عناوين مشخص كنند بلكه مى‌خواسته‌اند يك‌گزارش كلى از اين مجموعه گرانقدر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 كردن برخى از كتاب‌ها با ديگرى </w:t>
      </w:r>
      <w:r>
        <w:rPr>
          <w:rStyle w:val="FootnoteAnchor"/>
          <w:rtl w:val="true"/>
        </w:rPr>
        <w:footnoteReference w:id="665"/>
      </w:r>
      <w:r>
        <w:rPr>
          <w:rFonts w:ascii="IRNazanin" w:hAnsi="IRNazanin" w:eastAsia="IRNazanin"/>
          <w:color w:val="111111"/>
          <w:sz w:val="28"/>
          <w:sz w:val="28"/>
          <w:szCs w:val="28"/>
          <w:rtl w:val="true"/>
          <w:lang w:bidi="fa-IR"/>
        </w:rPr>
        <w:t xml:space="preserve">، و يا مستقل انگاشتن آن‌ها، براساس سلائق، نقش برجسته‌اى در اين آمارها داشته است، و اين‌كار امرى طبيعى است و هيچ‌گاه مفهومش اين نيست كه در محتواى كتاب هم دخل و تصرّف‌هايى صورت گرفته است؛ چنان‌كه مرحوم فيض‌كاشانى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شرحى بر كتاب كافى است چند كتاب كافى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را با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كتاب‌العقل والعلم </w:t>
      </w:r>
      <w:bookmarkStart w:id="269" w:name="pg1976_27855"/>
    </w:p>
    <w:p>
      <w:pPr>
        <w:pStyle w:val="BookText"/>
        <w:rPr/>
      </w:pPr>
      <w:bookmarkEnd w:id="269"/>
      <w:r>
        <w:rPr>
          <w:rFonts w:ascii="IRNazanin" w:hAnsi="IRNazanin" w:eastAsia="IRNazanin"/>
          <w:color w:val="111111"/>
          <w:sz w:val="28"/>
          <w:sz w:val="28"/>
          <w:szCs w:val="28"/>
          <w:rtl w:val="true"/>
          <w:lang w:bidi="fa-IR"/>
        </w:rPr>
        <w:t xml:space="preserve">والتّوحيد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آن‌گاه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العقل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فرض طلب العلم والحثّ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ادامه داده است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3767035_3650668749"/>
      <w:bookmarkStart w:id="271" w:name="_Toc96"/>
      <w:bookmarkEnd w:id="270"/>
      <w:r>
        <w:rPr>
          <w:rtl w:val="true"/>
        </w:rPr>
        <w:t xml:space="preserve">چهار </w:t>
      </w:r>
      <w:r>
        <w:rPr>
          <w:rtl w:val="true"/>
        </w:rPr>
        <w:t xml:space="preserve">- </w:t>
      </w:r>
      <w:r>
        <w:rPr>
          <w:rtl w:val="true"/>
        </w:rPr>
        <w:t>راه‌حل نهايى</w:t>
      </w:r>
      <w:bookmarkEnd w:id="271"/>
    </w:p>
    <w:p>
      <w:pPr>
        <w:pStyle w:val="BookText"/>
        <w:rPr/>
      </w:pPr>
      <w:r>
        <w:rPr>
          <w:rFonts w:ascii="Amiri" w:hAnsi="Amiri" w:eastAsia="Amiri" w:cs="Amiri"/>
          <w:color w:val="111111"/>
          <w:sz w:val="28"/>
          <w:sz w:val="28"/>
          <w:szCs w:val="28"/>
          <w:rtl w:val="true"/>
          <w:lang w:bidi="ar-SA"/>
        </w:rPr>
        <w:t xml:space="preserve">مؤلفان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مذهب‌الشّيعه</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انتصارالحق</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با اينكه مى‌توانستند نقد خويش را با منطق علمى نَه‌توهين و تعبيرات منصفانه، نَه‌افتراء بيان نمايند ولى با قطع نظر از اينكه به‌فقهاى شيعه تهمت بسته‌اند، از نكات زير غفلت نموده و سرانجام دچار محاسبه نادرست شده‌اند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جامع نگرى؛ اين دو نويسنده و ديگران مى‌توانستند با توجّه به‌همه ديدگاه‌هاى فقهاى اماميه نسبت به‌كافى، داورى نمايند درحالى‌كه آن دو، فقط نظر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فرازى از روضات الجنّات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ديده‌اند و حتّى به‌خود كتاب كافى كه ا مكان دست رسى به‌آن، ميسّر بوده و در اختيار داشته، مراجعه نكرده‌اند تا ببينند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كتابى كه پس از شيخ طوسى بر كافى افزوده شده، در كجاى كافى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مى‌توانستند ميان آمارى كه شيخ داده و نسخه فعلى‌كافى </w:t>
      </w:r>
      <w:r>
        <w:rPr>
          <w:rStyle w:val="FootnoteAnchor"/>
          <w:rtl w:val="true"/>
        </w:rPr>
        <w:footnoteReference w:id="670"/>
      </w:r>
      <w:r>
        <w:rPr>
          <w:rFonts w:ascii="IRNazanin" w:hAnsi="IRNazanin" w:eastAsia="IRNazanin"/>
          <w:color w:val="111111"/>
          <w:sz w:val="28"/>
          <w:sz w:val="28"/>
          <w:szCs w:val="28"/>
          <w:rtl w:val="true"/>
          <w:lang w:bidi="fa-IR"/>
        </w:rPr>
        <w:t>، مقايسه كنند تا دريابند چه تفاوتى به‌چشم مى‌خورد و چند كتاب برحجم كافى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خمسون كتاباً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با ترديد برخورد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نظر با آنچه شيخ طوسى در فهرستش آورده، سازگارى ندارد</w:t>
      </w:r>
      <w:r>
        <w:rPr>
          <w:rFonts w:eastAsia="IRNazanin" w:cs="IRNazanin"/>
          <w:color w:val="111111"/>
          <w:sz w:val="28"/>
          <w:szCs w:val="28"/>
          <w:rtl w:val="true"/>
          <w:lang w:bidi="fa-IR"/>
        </w:rPr>
        <w:t xml:space="preserve">» </w:t>
      </w:r>
      <w:r>
        <w:rPr>
          <w:rStyle w:val="FootnoteAnchor"/>
          <w:rtl w:val="true"/>
        </w:rPr>
        <w:footnoteReference w:id="671"/>
      </w:r>
      <w:r>
        <w:rPr>
          <w:rFonts w:ascii="Amiri" w:hAnsi="Amiri" w:eastAsia="Amiri" w:cs="Amiri"/>
          <w:color w:val="111111"/>
          <w:sz w:val="28"/>
          <w:sz w:val="28"/>
          <w:szCs w:val="28"/>
          <w:rtl w:val="true"/>
          <w:lang w:bidi="ar-SA"/>
        </w:rPr>
        <w:t>، معنايش اين است كه من اين جمله را قبول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w:t>
      </w:r>
    </w:p>
    <w:p>
      <w:pPr>
        <w:pStyle w:val="BookText"/>
        <w:rPr/>
      </w:pPr>
      <w:r>
        <w:rPr>
          <w:rFonts w:ascii="IRNazanin" w:hAnsi="IRNazanin" w:eastAsia="IRNazanin"/>
          <w:color w:val="111111"/>
          <w:sz w:val="28"/>
          <w:sz w:val="28"/>
          <w:szCs w:val="28"/>
          <w:rtl w:val="true"/>
          <w:lang w:bidi="fa-IR"/>
        </w:rPr>
        <w:t>اين، در ميانه قرن‌هاى</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دو عالم شيعه، مى‌زيسته‌اند، فقهاى ديگر نيز نسبت به‌كافى اظهارنظر نموده‌اند و كسى رقم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كتاب را تأييد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رقم پنجاه كتاب؛ همان‌گونه كه اشاره رفت، ذوق و سلائق شارحان و تصحيح كنندگان، همواره نسبت به‌منابع كهن به‌ويژه منابع حديثى متفاوت بوده است، برخى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را زير عنوان يك‌كتاب مى‌آوردند </w:t>
      </w:r>
      <w:r>
        <w:rPr>
          <w:rStyle w:val="FootnoteAnchor"/>
          <w:rtl w:val="true"/>
        </w:rPr>
        <w:footnoteReference w:id="672"/>
      </w:r>
      <w:r>
        <w:rPr>
          <w:rFonts w:ascii="IRNazanin" w:hAnsi="IRNazanin" w:eastAsia="IRNazanin"/>
          <w:color w:val="111111"/>
          <w:sz w:val="28"/>
          <w:sz w:val="28"/>
          <w:szCs w:val="28"/>
          <w:rtl w:val="true"/>
          <w:lang w:bidi="fa-IR"/>
        </w:rPr>
        <w:t xml:space="preserve">، برخى ديگر همان عنوان‌ها را به‌عنوان كتاب‌هاى مستقل مى‌شمردند </w:t>
      </w:r>
      <w:r>
        <w:rPr>
          <w:rStyle w:val="FootnoteAnchor"/>
          <w:rtl w:val="true"/>
        </w:rPr>
        <w:footnoteReference w:id="673"/>
      </w:r>
      <w:r>
        <w:rPr>
          <w:rFonts w:ascii="IRNazanin" w:hAnsi="IRNazanin" w:eastAsia="IRNazanin"/>
          <w:color w:val="111111"/>
          <w:sz w:val="28"/>
          <w:sz w:val="28"/>
          <w:szCs w:val="28"/>
          <w:rtl w:val="true"/>
          <w:lang w:bidi="fa-IR"/>
        </w:rPr>
        <w:t>از اين رو، بر پايه سليقه برخى ديگر، عناوينى را كه در فهرست شيخ ذكر شده و منتقدان بر كافى، آن را قبول دارند و يا فرض را بر مقبوليت آن گذارده‌اند مى‌توان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مجموع كتاب‌هاى كافى را با عدد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كتاب، تصحيح كرد </w:t>
      </w:r>
      <w:r>
        <w:rPr>
          <w:rStyle w:val="FootnoteAnchor"/>
          <w:rtl w:val="true"/>
        </w:rPr>
        <w:footnoteReference w:id="674"/>
      </w:r>
      <w:r>
        <w:rPr>
          <w:rFonts w:ascii="IRNazanin" w:hAnsi="IRNazanin" w:eastAsia="IRNazanin"/>
          <w:color w:val="111111"/>
          <w:sz w:val="28"/>
          <w:sz w:val="28"/>
          <w:szCs w:val="28"/>
          <w:rtl w:val="true"/>
          <w:lang w:bidi="fa-IR"/>
        </w:rPr>
        <w:t xml:space="preserve">و اين درحالى است كه در اصل تعداد روايات هيچ تغييرى ايجاد نمى‌شود بلكه فقط برخى عناوين كتاب‌ها كوچكتر و برخى عناوينى‌كه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كلينى هفت محور كلى را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مطرح مى‌كند و چندين مبحث را تحت يك كتاب مى‌آورد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بر فرض صحت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نه‌تنها رقم</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قابل تصحيح است </w:t>
      </w:r>
    </w:p>
    <w:p>
      <w:pPr>
        <w:pStyle w:val="BookText"/>
        <w:rPr/>
      </w:pPr>
      <w:r>
        <w:rPr>
          <w:rFonts w:ascii="IRNazanin" w:hAnsi="IRNazanin" w:eastAsia="IRNazanin"/>
          <w:color w:val="111111"/>
          <w:sz w:val="28"/>
          <w:sz w:val="28"/>
          <w:szCs w:val="28"/>
          <w:rtl w:val="true"/>
          <w:lang w:bidi="fa-IR"/>
        </w:rPr>
        <w:t>كه بيش از آن را هم مى‌شود عنوان گذارى نمود و عناوينى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الوقوف </w:t>
      </w:r>
      <w:r>
        <w:rPr>
          <w:rStyle w:val="FootnoteAnchor"/>
          <w:rtl w:val="true"/>
        </w:rPr>
        <w:footnoteReference w:id="676"/>
      </w:r>
      <w:r>
        <w:rPr>
          <w:rFonts w:ascii="Amiri" w:hAnsi="Amiri" w:eastAsia="Amiri" w:cs="Amiri"/>
          <w:color w:val="111111"/>
          <w:sz w:val="28"/>
          <w:sz w:val="28"/>
          <w:szCs w:val="28"/>
          <w:rtl w:val="true"/>
          <w:lang w:bidi="ar-SA"/>
        </w:rPr>
        <w:t xml:space="preserve">، و كتاب الوضوء </w:t>
      </w:r>
      <w:r>
        <w:rPr>
          <w:rStyle w:val="FootnoteAnchor"/>
          <w:rtl w:val="true"/>
        </w:rPr>
        <w:footnoteReference w:id="677"/>
      </w:r>
      <w:r>
        <w:rPr>
          <w:rFonts w:ascii="IRNazanin" w:hAnsi="IRNazanin" w:eastAsia="IRNazanin"/>
          <w:color w:val="111111"/>
          <w:sz w:val="28"/>
          <w:sz w:val="28"/>
          <w:szCs w:val="28"/>
          <w:rtl w:val="true"/>
          <w:lang w:bidi="fa-IR"/>
        </w:rPr>
        <w:t>نامگذارى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ارقام مختلف؛ ظاهراً دكترالقفارى و نويسندگانى از اين دست به‌صحيح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صحيح‌ترين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ادعاى اكثر فقهاى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گذشته از ملاحظاتى كه در بخش نخست اين كتاب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نگاه اجمالى هم نينداخته‌اند تا ببينند اين كتاب از اين جهت چه وضعيتى دارد، و آيا نسبت به‌اين كتاب اعمال سليقه‌ها در تنظيم آن پس از بخارى، صورت نگرفته است؟ ابن‌حجر عالم نامدار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اين كتاب كه يك مجلد از شرحش را به‌عنوان مقدمه شرح خود اختصاص مى‌دهد، در ضمن شرح مجموعه كتاب‌هاى صحيح بخارى ازكتاب الايمان تا كتاب التوحيد،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با تمام مشخصاتش نام مى‌برد </w:t>
      </w:r>
      <w:r>
        <w:rPr>
          <w:rStyle w:val="FootnoteAnchor"/>
          <w:rtl w:val="true"/>
        </w:rPr>
        <w:footnoteReference w:id="678"/>
      </w:r>
      <w:r>
        <w:rPr>
          <w:rFonts w:ascii="IRNazanin" w:hAnsi="IRNazanin" w:eastAsia="IRNazanin"/>
          <w:color w:val="111111"/>
          <w:sz w:val="28"/>
          <w:sz w:val="28"/>
          <w:szCs w:val="28"/>
          <w:rtl w:val="true"/>
          <w:lang w:bidi="fa-IR"/>
        </w:rPr>
        <w:t xml:space="preserve">، و كرمانى شارح ديگر آن،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Style w:val="FootnoteAnchor"/>
          <w:rtl w:val="true"/>
        </w:rPr>
        <w:footnoteReference w:id="679"/>
      </w:r>
      <w:r>
        <w:rPr>
          <w:rFonts w:ascii="Amiri" w:hAnsi="Amiri" w:eastAsia="Amiri" w:cs="Amiri"/>
          <w:color w:val="111111"/>
          <w:sz w:val="28"/>
          <w:sz w:val="28"/>
          <w:szCs w:val="28"/>
          <w:rtl w:val="true"/>
          <w:lang w:bidi="ar-SA"/>
        </w:rPr>
        <w:t xml:space="preserve">و السّندى حاشيه نويس صحيح بخارى، مجموعه كتاب‌هاى صحيح بخارى را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تنظيم مى‌كند </w:t>
      </w:r>
      <w:r>
        <w:rPr>
          <w:rStyle w:val="FootnoteAnchor"/>
          <w:rtl w:val="true"/>
        </w:rPr>
        <w:footnoteReference w:id="680"/>
      </w:r>
      <w:r>
        <w:rPr>
          <w:rFonts w:ascii="Amiri" w:hAnsi="Amiri" w:eastAsia="Amiri" w:cs="Amiri"/>
          <w:color w:val="111111"/>
          <w:sz w:val="28"/>
          <w:sz w:val="28"/>
          <w:szCs w:val="28"/>
          <w:rtl w:val="true"/>
          <w:lang w:bidi="ar-SA"/>
        </w:rPr>
        <w:t xml:space="preserve">، درحالى‌كه اين كتاب با تصحيح دكتر مصطفى ديب‌البغا، با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كتاب و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و </w:t>
      </w: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تنظيم و ارائه شده است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اينكه دومين مجموعه حديث، يعنى صحيح مسلم، با شرح 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Style w:val="FootnoteAnchor"/>
          <w:rtl w:val="true"/>
        </w:rPr>
        <w:footnoteReference w:id="682"/>
      </w:r>
      <w:r>
        <w:rPr>
          <w:rFonts w:ascii="Amiri" w:hAnsi="Amiri" w:eastAsia="Amiri" w:cs="Amiri"/>
          <w:color w:val="111111"/>
          <w:sz w:val="28"/>
          <w:sz w:val="28"/>
          <w:szCs w:val="28"/>
          <w:rtl w:val="true"/>
          <w:lang w:bidi="ar-SA"/>
        </w:rPr>
        <w:t xml:space="preserve">و همين كتاب با تنظيم محمد عبدالباقى در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تنظيم شده است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272" w:name="pg1976_27862"/>
    </w:p>
    <w:p>
      <w:pPr>
        <w:pStyle w:val="BookText"/>
        <w:rPr/>
      </w:pPr>
      <w:bookmarkEnd w:id="272"/>
      <w:r>
        <w:rPr>
          <w:rFonts w:ascii="IRNazanin" w:hAnsi="IRNazanin" w:eastAsia="IRNazanin"/>
          <w:color w:val="111111"/>
          <w:sz w:val="28"/>
          <w:sz w:val="28"/>
          <w:szCs w:val="28"/>
          <w:rtl w:val="true"/>
          <w:lang w:bidi="fa-IR"/>
        </w:rPr>
        <w:t>بنابراين اگر ادعاى ناصرالقفارى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در مورد كافى نسبت به‌كتاب‌هاى آن،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قرن نهم به‌بعد،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بر صحيح بخارى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فرهيختگان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تغييراتى را اعمال سليقه شخصى مى‌دانند نه‌جعل‌سازى، در نتيجه ادعاى اين‌چنين نسبت به‌منابع شيعه به‌ويژه كافى بى‌اساس خواهد بود و در غير اين صورت صحيح‌ترين كتاب پس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زير سؤال خواهد رفت</w:t>
      </w:r>
      <w:r>
        <w:rPr>
          <w:rFonts w:eastAsia="IRNazanin" w:cs="IRNazanin"/>
          <w:color w:val="111111"/>
          <w:sz w:val="28"/>
          <w:szCs w:val="28"/>
          <w:rtl w:val="true"/>
          <w:lang w:bidi="fa-IR"/>
        </w:rPr>
        <w:t>.</w:t>
      </w:r>
    </w:p>
    <w:p>
      <w:pPr>
        <w:pStyle w:val="Heading5"/>
        <w:numPr>
          <w:ilvl w:val="4"/>
          <w:numId w:val="1"/>
        </w:numPr>
        <w:rPr/>
      </w:pPr>
      <w:bookmarkStart w:id="273" w:name="__RefHeading___Toc3767037_3650668749"/>
      <w:bookmarkStart w:id="274" w:name="_Toc97"/>
      <w:bookmarkEnd w:id="273"/>
      <w:r>
        <w:rPr/>
        <w:t>٣</w:t>
      </w:r>
      <w:r>
        <w:rPr>
          <w:rtl w:val="true"/>
        </w:rPr>
        <w:t xml:space="preserve">. </w:t>
      </w:r>
      <w:r>
        <w:rPr>
          <w:rtl w:val="true"/>
        </w:rPr>
        <w:t>ترديد در روضۀ كافى</w:t>
      </w:r>
      <w:bookmarkEnd w:id="274"/>
    </w:p>
    <w:p>
      <w:pPr>
        <w:pStyle w:val="Heading6"/>
        <w:numPr>
          <w:ilvl w:val="5"/>
          <w:numId w:val="1"/>
        </w:numPr>
        <w:rPr/>
      </w:pPr>
      <w:bookmarkStart w:id="275" w:name="__RefHeading___Toc3767039_3650668749"/>
      <w:bookmarkStart w:id="276" w:name="_Toc98"/>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از ديگر نقدهايى كه بر كافى گرفته شده، اين است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نَه‌جزء مجموعه كافى است و نَه از تأليفات كلينى، بلكه فقهاى شيعه آن را به‌دروغ به‌كلينى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را نخست ابوزهره طرح و از دو جهت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كافى و از تأليفات كلينى نمى‌شمارد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از جهت تفاوت درسند ميان كافى و روضه با استناد به‌اوّلين روايت كتاب روضه كه كلينى از راوى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اسماعيل‌بن بزيع</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مستقيماً نقل كرده، درحالى‌كه كلينى نمى‌توانسته او را ملاقات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از جهت استناد به‌ديدگاه‌هاى فقهاى شيعه كه وى مدعى است اكثر فقهاى شيعه برآنند كه روضه جزء كافى نيست و بعضى از شاگردان كلينى آن را به‌كافى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قليل به‌كثير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ملحق نموده‌اند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ناصر قفارى بعد از اين سؤال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هل‌هُومن‌تأليفات الكليني أم مزيد فيما بَعدُ على </w:t>
      </w:r>
      <w:bookmarkStart w:id="277" w:name="pg1976_27864"/>
    </w:p>
    <w:p>
      <w:pPr>
        <w:pStyle w:val="BookText"/>
        <w:rPr/>
      </w:pPr>
      <w:bookmarkEnd w:id="277"/>
      <w:r>
        <w:rPr>
          <w:rFonts w:ascii="IRNazanin" w:hAnsi="IRNazanin" w:eastAsia="IRNazanin"/>
          <w:color w:val="111111"/>
          <w:sz w:val="28"/>
          <w:sz w:val="28"/>
          <w:szCs w:val="28"/>
          <w:rtl w:val="true"/>
          <w:lang w:bidi="fa-IR"/>
        </w:rPr>
        <w:t xml:space="preserve">كتابه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فكأنّ أمرَالزّيادةِ شييءٌ طبيعيٌّ و واردٌ في‌كلِّ‌حال </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اينكه يك‌كتاب كامل وضخيم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خود شيعيان درآن ترديد دارند و مؤلفى براى آن نمى‌شناسند، به دور از شأن قلم و عفت آن،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وكأنّهُ بَذرالشّيطان </w:t>
      </w:r>
      <w:r>
        <w:rPr>
          <w:rFonts w:eastAsia="IRNazanin" w:cs="IRNazanin"/>
          <w:color w:val="111111"/>
          <w:sz w:val="28"/>
          <w:szCs w:val="28"/>
          <w:rtl w:val="true"/>
          <w:lang w:bidi="fa-IR"/>
        </w:rPr>
        <w:t xml:space="preserve">!» . </w:t>
      </w:r>
      <w:r>
        <w:rPr>
          <w:rStyle w:val="FootnoteAnchor"/>
          <w:rtl w:val="true"/>
        </w:rPr>
        <w:footnoteReference w:id="687"/>
      </w:r>
    </w:p>
    <w:p>
      <w:pPr>
        <w:pStyle w:val="Heading6"/>
        <w:numPr>
          <w:ilvl w:val="5"/>
          <w:numId w:val="1"/>
        </w:numPr>
        <w:rPr/>
      </w:pPr>
      <w:bookmarkStart w:id="278" w:name="__RefHeading___Toc3767041_3650668749"/>
      <w:bookmarkStart w:id="279" w:name="_Toc99"/>
      <w:bookmarkEnd w:id="278"/>
      <w:r>
        <w:rPr>
          <w:rtl w:val="true"/>
        </w:rPr>
        <w:t>بررسى و نقد ترديد در روضۀ كافى</w:t>
      </w:r>
      <w:bookmarkEnd w:id="279"/>
    </w:p>
    <w:p>
      <w:pPr>
        <w:pStyle w:val="Heading6"/>
        <w:numPr>
          <w:ilvl w:val="5"/>
          <w:numId w:val="1"/>
        </w:numPr>
        <w:rPr/>
      </w:pPr>
      <w:bookmarkStart w:id="280" w:name="__RefHeading___Toc3767043_3650668749"/>
      <w:bookmarkStart w:id="281" w:name="_Toc100"/>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اين نقد، ازدوجهت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استناد بر كافى وارد شده است كه هردو مورد جداگانه مورد كاوش قرار مى‌گيرد</w:t>
      </w:r>
      <w:r>
        <w:rPr>
          <w:rFonts w:eastAsia="IRNazanin" w:cs="IRNazanin"/>
          <w:color w:val="111111"/>
          <w:sz w:val="28"/>
          <w:szCs w:val="28"/>
          <w:rtl w:val="true"/>
          <w:lang w:bidi="fa-IR"/>
        </w:rPr>
        <w:t>.</w:t>
      </w:r>
    </w:p>
    <w:p>
      <w:pPr>
        <w:pStyle w:val="Heading6"/>
        <w:numPr>
          <w:ilvl w:val="5"/>
          <w:numId w:val="1"/>
        </w:numPr>
        <w:rPr/>
      </w:pPr>
      <w:bookmarkStart w:id="282" w:name="__RefHeading___Toc3767045_3650668749"/>
      <w:bookmarkStart w:id="283" w:name="_Toc101"/>
      <w:bookmarkEnd w:id="282"/>
      <w:r>
        <w:rPr>
          <w:rtl w:val="true"/>
        </w:rPr>
        <w:t>الف</w:t>
      </w:r>
      <w:r>
        <w:rPr>
          <w:rtl w:val="true"/>
        </w:rPr>
        <w:t xml:space="preserve">) </w:t>
      </w:r>
      <w:r>
        <w:rPr>
          <w:rtl w:val="true"/>
        </w:rPr>
        <w:t>تعمّق در سند</w:t>
      </w:r>
      <w:bookmarkEnd w:id="283"/>
    </w:p>
    <w:p>
      <w:pPr>
        <w:pStyle w:val="BookText"/>
        <w:rPr/>
      </w:pPr>
      <w:r>
        <w:rPr>
          <w:rFonts w:ascii="IRNazanin" w:hAnsi="IRNazanin" w:eastAsia="IRNazanin"/>
          <w:color w:val="111111"/>
          <w:sz w:val="28"/>
          <w:sz w:val="28"/>
          <w:szCs w:val="28"/>
          <w:rtl w:val="true"/>
          <w:lang w:bidi="fa-IR"/>
        </w:rPr>
        <w:t xml:space="preserve">عالم مصرى به‌طور مشخص روى نخستين روايت روضه انگشت گذاشت و با توجه به‌اينكه عصر كلينى اجازه نمى‌داده كه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اسماعيل‌بن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و از او حديث استماع كند، اين نتيجه را گرفت كه روضه از كلينى نيست و نمى‌تواند جزء مجموعه كتاب‌هاى كافى باشد؛ ولى اين نتيجه گيرى به‌دلايلى شتاب زده و غير محققانه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سَند براى يك‌روايت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نَه‌چندان عميق به‌متن روضه، روشن است كه كلينى سه سَند براى اين روايت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درحقيقت منشور راهبرد زندگى براى پيروانش محسوب مى‌گردد، ذكر مى‌كند </w:t>
      </w:r>
      <w:r>
        <w:rPr>
          <w:rStyle w:val="FootnoteAnchor"/>
          <w:rtl w:val="true"/>
        </w:rPr>
        <w:footnoteReference w:id="688"/>
      </w:r>
      <w:r>
        <w:rPr>
          <w:rFonts w:ascii="IRNazanin" w:hAnsi="IRNazanin" w:eastAsia="IRNazanin"/>
          <w:color w:val="111111"/>
          <w:sz w:val="28"/>
          <w:sz w:val="28"/>
          <w:szCs w:val="28"/>
          <w:rtl w:val="true"/>
          <w:lang w:bidi="fa-IR"/>
        </w:rPr>
        <w:t xml:space="preserve">، و ابوزهره گو اينكه دوسند ديگر را نديده، تنها روى سند دوم بدون 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و محل عطف آن، داورى نموده است، درحالى‌كه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اسماعيل را عطف مى‌كند به‌على‌بن </w:t>
      </w:r>
    </w:p>
    <w:p>
      <w:pPr>
        <w:pStyle w:val="BookText"/>
        <w:rPr/>
      </w:pPr>
      <w:r>
        <w:rPr>
          <w:rFonts w:ascii="Amiri" w:hAnsi="Amiri" w:eastAsia="Amiri" w:cs="Amiri"/>
          <w:color w:val="111111"/>
          <w:sz w:val="28"/>
          <w:sz w:val="28"/>
          <w:szCs w:val="28"/>
          <w:rtl w:val="true"/>
          <w:lang w:bidi="ar-SA"/>
        </w:rPr>
        <w:t xml:space="preserve">فضّال، و على‌بن فضّال از روات ابراهيم‌بن‌هاشم است </w:t>
      </w:r>
      <w:r>
        <w:rPr>
          <w:rStyle w:val="FootnoteAnchor"/>
          <w:rtl w:val="true"/>
        </w:rPr>
        <w:footnoteReference w:id="689"/>
      </w:r>
      <w:r>
        <w:rPr>
          <w:rFonts w:ascii="Amiri" w:hAnsi="Amiri" w:eastAsia="Amiri" w:cs="Amiri"/>
          <w:color w:val="111111"/>
          <w:sz w:val="28"/>
          <w:sz w:val="28"/>
          <w:szCs w:val="28"/>
          <w:rtl w:val="true"/>
          <w:lang w:bidi="ar-SA"/>
        </w:rPr>
        <w:t>، و كلينى براى كوتاه‌تر نمودن عبارت، اين هنر را به‌كار برده است كه دراين صورت، سند حديث به‌كلينى متصل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قوّت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ملا صالح مازندرانى، هر سه سند اين روايت را نزد متأخران ضعيف مى‌شمارد ولى اين ضعف را به‌لحاظ صحت محتواى حديث وتأييد نقلى وعقلى‌آن، مضرّ نمى‌داند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سند نخست را مجهول و سند دوم را به‌خاطر محمدبن‌سنان نزد گروهى، و نيز سند سوم را ضعيف مى‌داند و از ديد خود او معتبر است </w:t>
      </w:r>
      <w:r>
        <w:rPr>
          <w:rStyle w:val="FootnoteAnchor"/>
          <w:rtl w:val="true"/>
        </w:rPr>
        <w:footnoteReference w:id="691"/>
      </w:r>
      <w:r>
        <w:rPr>
          <w:rFonts w:ascii="Amiri" w:hAnsi="Amiri" w:eastAsia="Amiri" w:cs="Amiri"/>
          <w:color w:val="111111"/>
          <w:sz w:val="28"/>
          <w:sz w:val="28"/>
          <w:szCs w:val="28"/>
          <w:rtl w:val="true"/>
          <w:lang w:bidi="ar-SA"/>
        </w:rPr>
        <w:t>، ولى سند سوم اين روايت صحيح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سندسوم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پژوهش وسيعى كه درآخرين چاپ اين مجموعه گرانسنگ </w:t>
      </w:r>
      <w:r>
        <w:rPr>
          <w:rStyle w:val="FootnoteAnchor"/>
          <w:rtl w:val="true"/>
        </w:rPr>
        <w:footnoteReference w:id="692"/>
      </w:r>
      <w:r>
        <w:rPr>
          <w:rFonts w:ascii="IRNazanin" w:hAnsi="IRNazanin" w:eastAsia="IRNazanin"/>
          <w:color w:val="111111"/>
          <w:sz w:val="28"/>
          <w:sz w:val="28"/>
          <w:szCs w:val="28"/>
          <w:rtl w:val="true"/>
          <w:lang w:bidi="fa-IR"/>
        </w:rPr>
        <w:t>، صورت گرفته، بى‌ترديد سند سوم از ضعف خارج مى‌گردد؛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يكى از تعليقه‌ها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ابراهيم‌بن‌محمدبن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قلم يا نسخه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بن‌محمد، عن جعفربن‌محمد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كه در نسخه‌هاى فعلى موجود است براساس حواشى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ابن محمد عن جعفربن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 </w:t>
      </w:r>
      <w:r>
        <w:rPr>
          <w:rStyle w:val="FootnoteAnchor"/>
          <w:rtl w:val="true"/>
        </w:rPr>
        <w:footnoteReference w:id="693"/>
      </w:r>
      <w:r>
        <w:rPr>
          <w:rFonts w:ascii="Amiri" w:hAnsi="Amiri" w:eastAsia="Amiri" w:cs="Amiri"/>
          <w:color w:val="111111"/>
          <w:sz w:val="28"/>
          <w:sz w:val="28"/>
          <w:szCs w:val="28"/>
          <w:rtl w:val="true"/>
          <w:lang w:bidi="ar-SA"/>
        </w:rPr>
        <w:t xml:space="preserve">و حسين‌بن‌محمد، حسين‌بن‌محمد اشعرى قمى استاد كلينى است </w:t>
      </w:r>
      <w:r>
        <w:rPr>
          <w:rStyle w:val="FootnoteAnchor"/>
          <w:rtl w:val="true"/>
        </w:rPr>
        <w:footnoteReference w:id="694"/>
      </w:r>
      <w:r>
        <w:rPr>
          <w:rFonts w:ascii="IRNazanin" w:hAnsi="IRNazanin" w:eastAsia="IRNazanin"/>
          <w:color w:val="111111"/>
          <w:sz w:val="28"/>
          <w:sz w:val="28"/>
          <w:szCs w:val="28"/>
          <w:rtl w:val="true"/>
          <w:lang w:bidi="fa-IR"/>
        </w:rPr>
        <w:t xml:space="preserve">، و در موارد متعدد در اصول و فروع، </w:t>
      </w:r>
      <w:bookmarkStart w:id="284" w:name="pg1976_27868"/>
    </w:p>
    <w:p>
      <w:pPr>
        <w:pStyle w:val="BookText"/>
        <w:rPr/>
      </w:pPr>
      <w:bookmarkEnd w:id="284"/>
      <w:r>
        <w:rPr>
          <w:rFonts w:ascii="Amiri" w:hAnsi="Amiri" w:eastAsia="Amiri" w:cs="Amiri"/>
          <w:color w:val="111111"/>
          <w:sz w:val="28"/>
          <w:sz w:val="28"/>
          <w:szCs w:val="28"/>
          <w:rtl w:val="true"/>
          <w:lang w:bidi="ar-SA"/>
        </w:rPr>
        <w:t xml:space="preserve">كلينى از حسين‌بن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الاشعرى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از جعفربن‌محمد مالك الكوفى و وى از قاسم‌بن‌الربيع</w:t>
      </w:r>
      <w:r>
        <w:rPr>
          <w:rFonts w:eastAsia="Amiri" w:cs="Amiri" w:ascii="Amiri" w:hAnsi="Amiri"/>
          <w:color w:val="111111"/>
          <w:sz w:val="28"/>
          <w:szCs w:val="28"/>
          <w:rtl w:val="true"/>
          <w:lang w:bidi="ar-SA"/>
        </w:rPr>
        <w:t xml:space="preserve">. . . </w:t>
      </w:r>
      <w:r>
        <w:rPr>
          <w:rStyle w:val="FootnoteAnchor"/>
          <w:rtl w:val="true"/>
        </w:rPr>
        <w:footnoteReference w:id="695"/>
      </w:r>
      <w:r>
        <w:rPr>
          <w:rFonts w:ascii="IRNazanin" w:hAnsi="IRNazanin" w:eastAsia="IRNazanin"/>
          <w:color w:val="111111"/>
          <w:sz w:val="28"/>
          <w:sz w:val="28"/>
          <w:szCs w:val="28"/>
          <w:rtl w:val="true"/>
          <w:lang w:bidi="fa-IR"/>
        </w:rPr>
        <w:t>، حديث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گذشته از اينكه اكثر فقهاى متأخر اماميه، همه روايات كافى را صحيح نمى‌دانند </w:t>
      </w:r>
      <w:r>
        <w:rPr>
          <w:rStyle w:val="FootnoteAnchor"/>
          <w:rtl w:val="true"/>
        </w:rPr>
        <w:footnoteReference w:id="696"/>
      </w:r>
      <w:r>
        <w:rPr>
          <w:rFonts w:ascii="IRNazanin" w:hAnsi="IRNazanin" w:eastAsia="IRNazanin"/>
          <w:color w:val="111111"/>
          <w:sz w:val="28"/>
          <w:sz w:val="28"/>
          <w:szCs w:val="28"/>
          <w:rtl w:val="true"/>
          <w:lang w:bidi="fa-IR"/>
        </w:rPr>
        <w:t>، با توجّه به‌آنچه اشاره شد، اتصال اين روايت به‌كلينى كه مَطلع روضه است به‌هر سه سند برقرار، و سندسوم آن، تصحيح مى‌شود</w:t>
      </w:r>
      <w:r>
        <w:rPr>
          <w:rFonts w:eastAsia="IRNazanin" w:cs="IRNazanin"/>
          <w:color w:val="111111"/>
          <w:sz w:val="28"/>
          <w:szCs w:val="28"/>
          <w:rtl w:val="true"/>
          <w:lang w:bidi="fa-IR"/>
        </w:rPr>
        <w:t>.</w:t>
      </w:r>
    </w:p>
    <w:p>
      <w:pPr>
        <w:pStyle w:val="Heading6"/>
        <w:numPr>
          <w:ilvl w:val="5"/>
          <w:numId w:val="1"/>
        </w:numPr>
        <w:rPr/>
      </w:pPr>
      <w:bookmarkStart w:id="285" w:name="__RefHeading___Toc3767047_3650668749"/>
      <w:bookmarkStart w:id="286" w:name="_Toc102"/>
      <w:bookmarkEnd w:id="285"/>
      <w:r>
        <w:rPr>
          <w:rtl w:val="true"/>
        </w:rPr>
        <w:t>ب</w:t>
      </w:r>
      <w:r>
        <w:rPr>
          <w:rtl w:val="true"/>
        </w:rPr>
        <w:t xml:space="preserve">) </w:t>
      </w:r>
      <w:r>
        <w:rPr>
          <w:rtl w:val="true"/>
        </w:rPr>
        <w:t>بررسى موارد استناد</w:t>
      </w:r>
      <w:bookmarkEnd w:id="286"/>
    </w:p>
    <w:p>
      <w:pPr>
        <w:pStyle w:val="Heading6"/>
        <w:numPr>
          <w:ilvl w:val="5"/>
          <w:numId w:val="1"/>
        </w:numPr>
        <w:rPr/>
      </w:pPr>
      <w:bookmarkStart w:id="287" w:name="__RefHeading___Toc3767049_3650668749"/>
      <w:bookmarkStart w:id="288" w:name="_Toc103"/>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منتقدان عدم مستند بودنِ روضه كافى به‌كلينى، به‌گفته‌هاى فقهاى شيعه بَسَنده نموده‌اند و اعتراف آنها را دليل بر مدعاى خويش شمرده‌اند </w:t>
      </w:r>
      <w:r>
        <w:rPr>
          <w:rStyle w:val="FootnoteAnchor"/>
          <w:rtl w:val="true"/>
        </w:rPr>
        <w:footnoteReference w:id="697"/>
      </w:r>
      <w:r>
        <w:rPr>
          <w:rFonts w:ascii="IRNazanin" w:hAnsi="IRNazanin" w:eastAsia="IRNazanin"/>
          <w:color w:val="111111"/>
          <w:sz w:val="28"/>
          <w:sz w:val="28"/>
          <w:szCs w:val="28"/>
          <w:rtl w:val="true"/>
          <w:lang w:bidi="fa-IR"/>
        </w:rPr>
        <w:t>، كه از جهاتى هم مورد مستند و هم استناد دچار چالش است</w:t>
      </w:r>
      <w:r>
        <w:rPr>
          <w:rFonts w:eastAsia="IRNazanin" w:cs="IRNazanin"/>
          <w:color w:val="111111"/>
          <w:sz w:val="28"/>
          <w:szCs w:val="28"/>
          <w:rtl w:val="true"/>
          <w:lang w:bidi="fa-IR"/>
        </w:rPr>
        <w:t>.</w:t>
      </w:r>
    </w:p>
    <w:p>
      <w:pPr>
        <w:pStyle w:val="Heading6"/>
        <w:numPr>
          <w:ilvl w:val="5"/>
          <w:numId w:val="1"/>
        </w:numPr>
        <w:rPr/>
      </w:pPr>
      <w:bookmarkStart w:id="289" w:name="__RefHeading___Toc3767051_3650668749"/>
      <w:bookmarkStart w:id="290" w:name="_Toc104"/>
      <w:bookmarkEnd w:id="289"/>
      <w:r>
        <w:rPr>
          <w:rtl w:val="true"/>
        </w:rPr>
        <w:t xml:space="preserve">يك </w:t>
      </w:r>
      <w:r>
        <w:rPr>
          <w:rtl w:val="true"/>
        </w:rPr>
        <w:t xml:space="preserve">- </w:t>
      </w:r>
      <w:r>
        <w:rPr>
          <w:rtl w:val="true"/>
        </w:rPr>
        <w:t>ادعاى خلاف واقع ابوزهره</w:t>
      </w:r>
      <w:r>
        <w:rPr>
          <w:rtl w:val="true"/>
        </w:rPr>
        <w:t>!</w:t>
      </w:r>
      <w:bookmarkEnd w:id="29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عالم اهل‌سنت با پروراندن مورد نقد خويش، اين نتيجه كلى را مى‌گيرد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مشكوك في نسبتها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الى‌الكليني، وأنَّ اكثرين على أنّها لَيسَت من الكافي ولكن ألحَقَها به‌بعض تلامذه على القول بأنّهَا من تصنيفه، و كأنّهم رؤوا أن يَجمَعوا كل رواية من مصنّف، فالحقوا القليل بالكثير </w:t>
      </w:r>
      <w:r>
        <w:rPr>
          <w:rFonts w:eastAsia="IRNazanin" w:cs="IRNazanin"/>
          <w:color w:val="111111"/>
          <w:sz w:val="28"/>
          <w:szCs w:val="28"/>
          <w:rtl w:val="true"/>
          <w:lang w:bidi="fa-IR"/>
        </w:rPr>
        <w:t xml:space="preserve">» </w:t>
      </w:r>
      <w:r>
        <w:rPr>
          <w:rStyle w:val="FootnoteAnchor"/>
          <w:rtl w:val="true"/>
        </w:rPr>
        <w:footnoteReference w:id="698"/>
      </w:r>
      <w:r>
        <w:rPr>
          <w:rFonts w:ascii="Amiri" w:hAnsi="Amiri" w:eastAsia="Amiri" w:cs="Amiri"/>
          <w:color w:val="111111"/>
          <w:sz w:val="28"/>
          <w:sz w:val="28"/>
          <w:szCs w:val="28"/>
          <w:rtl w:val="true"/>
          <w:lang w:bidi="ar-SA"/>
        </w:rPr>
        <w:t>اين عبارت كه مدعى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فقهاى شيعه معتقدند روضه از كلينى </w:t>
      </w:r>
    </w:p>
    <w:p>
      <w:pPr>
        <w:pStyle w:val="BookText"/>
        <w:rPr/>
      </w:pPr>
      <w:r>
        <w:rPr>
          <w:rFonts w:ascii="IRNazanin" w:hAnsi="IRNazanin" w:eastAsia="IRNazanin"/>
          <w:color w:val="111111"/>
          <w:sz w:val="28"/>
          <w:sz w:val="28"/>
          <w:szCs w:val="28"/>
          <w:rtl w:val="true"/>
          <w:lang w:bidi="fa-IR"/>
        </w:rPr>
        <w:t xml:space="preserve">نيست؛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جملۀ قبليش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أنّه حَكى في رياض العلماء عن الفاضل القزويني أنّ الّروضةَ من تصنيف ابن إدريس</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كه يك نفر مدعى اين معنا شده نَه اكثر، كاملاً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نسبت به‌كتاب روضه ايجاد ترديدكرده و در منابع مختلف عنوان شده، نسبتى است كه به‌ملّا خليل‌بن‌الغازى القزوينى داده شده و صاحب رياض‌العلما در ترجمه قزوينى به‌عنوان اعتقادات عجيب و غريب او،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الرّوضةَ ليسَ من تأليف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من تأليف ابن إدريس و إن ساعَده في الأخير بعض الاصحاب </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 و اضافه مى‌كند كه چه بسا اين قول به‌شهيد ثانى نسبت داده شده ولى به‌اثبات نرسيده است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مؤلف انتصارالحق به‌اين كتاب استناد كرده، در دو جا، يكى در ترجمه ملاخليل قزوينى و ديگرى درترجمه كلينى </w:t>
      </w:r>
      <w:r>
        <w:rPr>
          <w:rStyle w:val="FootnoteAnchor"/>
          <w:rtl w:val="true"/>
        </w:rPr>
        <w:footnoteReference w:id="701"/>
      </w:r>
      <w:r>
        <w:rPr>
          <w:rFonts w:ascii="Amiri" w:hAnsi="Amiri" w:eastAsia="Amiri" w:cs="Amiri"/>
          <w:color w:val="111111"/>
          <w:sz w:val="28"/>
          <w:sz w:val="28"/>
          <w:szCs w:val="28"/>
          <w:rtl w:val="true"/>
          <w:lang w:bidi="ar-SA"/>
        </w:rPr>
        <w:t xml:space="preserve">، و شهيدى تبريزى در مرءات </w:t>
      </w:r>
      <w:r>
        <w:rPr>
          <w:rStyle w:val="FootnoteAnchor"/>
          <w:rtl w:val="true"/>
        </w:rPr>
        <w:footnoteReference w:id="702"/>
      </w:r>
      <w:r>
        <w:rPr>
          <w:rFonts w:ascii="Amiri" w:hAnsi="Amiri" w:eastAsia="Amiri" w:cs="Amiri"/>
          <w:color w:val="111111"/>
          <w:sz w:val="28"/>
          <w:sz w:val="28"/>
          <w:szCs w:val="28"/>
          <w:rtl w:val="true"/>
          <w:lang w:bidi="ar-SA"/>
        </w:rPr>
        <w:t xml:space="preserve">، و درايتى در مقدمه الشّافى فى شرح الاصول‌الكافى </w:t>
      </w:r>
      <w:r>
        <w:rPr>
          <w:rStyle w:val="FootnoteAnchor"/>
          <w:rtl w:val="true"/>
        </w:rPr>
        <w:footnoteReference w:id="703"/>
      </w:r>
      <w:r>
        <w:rPr>
          <w:rFonts w:ascii="IRNazanin" w:hAnsi="IRNazanin" w:eastAsia="IRNazanin"/>
          <w:color w:val="111111"/>
          <w:sz w:val="28"/>
          <w:sz w:val="28"/>
          <w:szCs w:val="28"/>
          <w:rtl w:val="true"/>
          <w:lang w:bidi="fa-IR"/>
        </w:rPr>
        <w:t>، اين سخن را گفته‌اند و همه، گوينده اين نسبت را ملّا خليل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صحت و سقم اين نسبت به‌ملّا خليل و شهيد ثانى، چند نكته قابل ذكر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بلكه همه آن‌هايى كه اين نسبت را بازگو نموده‌اند، با نگاهِ شك و ترديد برخورد كرده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ينُسَب </w:t>
      </w:r>
      <w:r>
        <w:rPr>
          <w:rFonts w:eastAsia="IRNazanin" w:cs="IRNazanin"/>
          <w:color w:val="111111"/>
          <w:sz w:val="28"/>
          <w:szCs w:val="28"/>
          <w:rtl w:val="true"/>
          <w:lang w:bidi="fa-IR"/>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آورده‌اند، بلكه در مورد شهيد ثانى اين نسبت را با جمله‌هاى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يُثبَت </w:t>
      </w:r>
      <w:r>
        <w:rPr>
          <w:rFonts w:eastAsia="Amiri" w:cs="Amiri" w:ascii="Amiri" w:hAnsi="Amiri"/>
          <w:color w:val="111111"/>
          <w:sz w:val="28"/>
          <w:szCs w:val="28"/>
          <w:rtl w:val="true"/>
          <w:lang w:bidi="ar-SA"/>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تغفل </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انكار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w:t>
      </w:r>
    </w:p>
    <w:p>
      <w:pPr>
        <w:pStyle w:val="BookText"/>
        <w:rPr/>
      </w:pPr>
      <w:r>
        <w:rPr>
          <w:rFonts w:ascii="IRNazanin" w:hAnsi="IRNazanin" w:eastAsia="IRNazanin"/>
          <w:color w:val="111111"/>
          <w:sz w:val="28"/>
          <w:sz w:val="28"/>
          <w:szCs w:val="28"/>
          <w:rtl w:val="true"/>
          <w:lang w:bidi="fa-IR"/>
        </w:rPr>
        <w:t>اين، مؤلف رياض‌العلماء كه بى‌ترديد روضات الجنات از او گرفته، در ضمن نقد افكار و آراى ملا خليل قزوينى، يكى از باورهاى نادرست او را، انتساب روضه كافى به‌ابن ادريس مى‌شمارد؛ و نتيجه‌اش اين‌خواهد شد كه وى اين باور او را قبول نداشته ودر نتيجه ادعاى ابوزهره مبنى بر اينكه اكثر علماى شيعه نسبت به‌روضه ترديد دارند،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نادرستى ادّعا و آراى 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صحت نسبت ادعاى ملا خليل قزوينى، از چند جهت ديدگاه او مورد قبول نيست؛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شيعى اخبارى سرسخت و مخالف شديد مجتهدان بوده است و مؤلف روضات‌الجنات در مورد او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و مِن جلمة الاخباريين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نكرين لطريقةالاجتهاد أشَدّ الانكار </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نسبت به‌كافى ديدگاه اغراق آميزى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جميع روايات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عمل به‌آن‌ها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تأييد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كافي‌كافٍ لِشيعتنا </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 داشته است؛ از اين رو ديدگاه او نسبت به‌كافى، مورد تأييد ديگران واقع نشده است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اعتقادات عجيب و غيرمتعارف داشته و گاهى تابع معتزله </w:t>
      </w:r>
      <w:r>
        <w:rPr>
          <w:rStyle w:val="FootnoteAnchor"/>
          <w:rtl w:val="true"/>
        </w:rPr>
        <w:footnoteReference w:id="710"/>
      </w:r>
      <w:r>
        <w:rPr>
          <w:rFonts w:ascii="Amiri" w:hAnsi="Amiri" w:eastAsia="Amiri" w:cs="Amiri"/>
          <w:color w:val="111111"/>
          <w:sz w:val="28"/>
          <w:sz w:val="28"/>
          <w:szCs w:val="28"/>
          <w:rtl w:val="true"/>
          <w:lang w:bidi="ar-SA"/>
        </w:rPr>
        <w:t>، بوده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نمازجمعه در زمان غيبت </w:t>
      </w:r>
      <w:r>
        <w:rPr>
          <w:rStyle w:val="FootnoteAnchor"/>
          <w:rtl w:val="true"/>
        </w:rPr>
        <w:footnoteReference w:id="711"/>
      </w:r>
      <w:r>
        <w:rPr>
          <w:rFonts w:ascii="IRNazanin" w:hAnsi="IRNazanin" w:eastAsia="IRNazanin"/>
          <w:color w:val="111111"/>
          <w:sz w:val="28"/>
          <w:sz w:val="28"/>
          <w:szCs w:val="28"/>
          <w:rtl w:val="true"/>
          <w:lang w:bidi="fa-IR"/>
        </w:rPr>
        <w:t xml:space="preserve">، اثبات معدومات </w:t>
      </w:r>
      <w:r>
        <w:rPr>
          <w:rStyle w:val="FootnoteAnchor"/>
          <w:rtl w:val="true"/>
        </w:rPr>
        <w:footnoteReference w:id="712"/>
      </w:r>
      <w:r>
        <w:rPr>
          <w:rFonts w:ascii="IRNazanin" w:hAnsi="IRNazanin" w:eastAsia="IRNazanin"/>
          <w:color w:val="111111"/>
          <w:sz w:val="28"/>
          <w:sz w:val="28"/>
          <w:szCs w:val="28"/>
          <w:rtl w:val="true"/>
          <w:lang w:bidi="fa-IR"/>
        </w:rPr>
        <w:t>، از اين موارد محسوب مى‌گردد؛ يكى از اعتقادات غريب او همين نبودن روضه از آنِ كلينى است كه به‌شدت از سوى ديگران مورد انكار واقع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ازديدگاه خوانسارى ملا خليل قزوينى سلامت روحى و روانى هم نداشته </w:t>
      </w:r>
      <w:bookmarkStart w:id="291" w:name="pg1976_27875"/>
    </w:p>
    <w:p>
      <w:pPr>
        <w:pStyle w:val="BookText"/>
        <w:rPr/>
      </w:pPr>
      <w:bookmarkEnd w:id="291"/>
      <w:r>
        <w:rPr>
          <w:rFonts w:ascii="IRNazanin" w:hAnsi="IRNazanin" w:eastAsia="IRNazanin"/>
          <w:color w:val="111111"/>
          <w:sz w:val="28"/>
          <w:sz w:val="28"/>
          <w:szCs w:val="28"/>
          <w:rtl w:val="true"/>
          <w:lang w:bidi="fa-IR"/>
        </w:rPr>
        <w:t xml:space="preserve">است و به‌همين جهت در فهم عبارات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آنها به‌فارسى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دچار خطا و اشتباه گرديده است </w:t>
      </w:r>
      <w:r>
        <w:rPr>
          <w:rStyle w:val="FootnoteAnchor"/>
          <w:rtl w:val="true"/>
        </w:rPr>
        <w:footnoteReference w:id="713"/>
      </w:r>
      <w:r>
        <w:rPr>
          <w:rFonts w:ascii="IRNazanin" w:hAnsi="IRNazanin" w:eastAsia="IRNazanin"/>
          <w:color w:val="111111"/>
          <w:sz w:val="28"/>
          <w:sz w:val="28"/>
          <w:szCs w:val="28"/>
          <w:rtl w:val="true"/>
          <w:lang w:bidi="fa-IR"/>
        </w:rPr>
        <w:t xml:space="preserve">، و شايد علت اينكه نَه تنها آراى او مورد نقد علما قرار گرفت بلكه كتاب‌هايى بر ردّ افكار وى به‌رشته تحرير درآمد </w:t>
      </w:r>
      <w:r>
        <w:rPr>
          <w:rStyle w:val="FootnoteAnchor"/>
          <w:rtl w:val="true"/>
        </w:rPr>
        <w:footnoteReference w:id="714"/>
      </w:r>
      <w:r>
        <w:rPr>
          <w:rFonts w:ascii="Amiri" w:hAnsi="Amiri" w:eastAsia="Amiri" w:cs="Amiri"/>
          <w:color w:val="111111"/>
          <w:sz w:val="28"/>
          <w:sz w:val="28"/>
          <w:szCs w:val="28"/>
          <w:rtl w:val="true"/>
          <w:lang w:bidi="ar-SA"/>
        </w:rPr>
        <w:t>، همين نكته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الصّافي في شرح اصول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به‌دستور شاه‌عبّاس دوم صفوى، صورت گرفت بى‌نهايت از شاه، تمجيد و دوحديث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اين سلسله مى‌آورد </w:t>
      </w:r>
      <w:r>
        <w:rPr>
          <w:rStyle w:val="FootnoteAnchor"/>
          <w:rtl w:val="true"/>
        </w:rPr>
        <w:footnoteReference w:id="715"/>
      </w:r>
      <w:r>
        <w:rPr>
          <w:rFonts w:ascii="IRNazanin" w:hAnsi="IRNazanin" w:eastAsia="IRNazanin"/>
          <w:color w:val="111111"/>
          <w:sz w:val="28"/>
          <w:sz w:val="28"/>
          <w:szCs w:val="28"/>
          <w:rtl w:val="true"/>
          <w:lang w:bidi="fa-IR"/>
        </w:rPr>
        <w:t xml:space="preserve">، و از شاه عبّاس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أعلى‌حضرت پادشاه زمان، نورحدقۀ شيعيان، نور حديقۀ اهل ايمان، غلام با اخلاص صاحب‌الزّمان، برگزيدۀ خاندان مصطفى، شهسوار اولاد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وثواب كتابش را به‌روزگار فرخنده اعلى‌حضرت پادشاه دين پناه، هديه مى‌نمايد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به‌اين نكات، مى‌توان اين نتيجه را گرفت كه هرچند نسبت ياد شده به‌او درست باشد، ولى افكار و آراى وى داراى پايه‌هاى استوارى نبوده است</w:t>
      </w:r>
      <w:r>
        <w:rPr>
          <w:rFonts w:eastAsia="IRNazanin" w:cs="IRNazanin"/>
          <w:color w:val="111111"/>
          <w:sz w:val="28"/>
          <w:szCs w:val="28"/>
          <w:rtl w:val="true"/>
          <w:lang w:bidi="fa-IR"/>
        </w:rPr>
        <w:t>.</w:t>
      </w:r>
    </w:p>
    <w:p>
      <w:pPr>
        <w:pStyle w:val="Heading6"/>
        <w:numPr>
          <w:ilvl w:val="5"/>
          <w:numId w:val="1"/>
        </w:numPr>
        <w:rPr/>
      </w:pPr>
      <w:bookmarkStart w:id="292" w:name="__RefHeading___Toc3767053_3650668749"/>
      <w:bookmarkStart w:id="293" w:name="_Toc105"/>
      <w:bookmarkEnd w:id="292"/>
      <w:r>
        <w:rPr>
          <w:rtl w:val="true"/>
        </w:rPr>
        <w:t xml:space="preserve">دو </w:t>
      </w:r>
      <w:r>
        <w:rPr>
          <w:rtl w:val="true"/>
        </w:rPr>
        <w:t xml:space="preserve">- </w:t>
      </w:r>
      <w:r>
        <w:rPr>
          <w:rtl w:val="true"/>
        </w:rPr>
        <w:t>شواهدى بر صحت استناد روضه به كلينى</w:t>
      </w:r>
      <w:bookmarkEnd w:id="293"/>
    </w:p>
    <w:p>
      <w:pPr>
        <w:pStyle w:val="BookText"/>
        <w:rPr/>
      </w:pPr>
      <w:r>
        <w:rPr>
          <w:rFonts w:ascii="IRNazanin" w:hAnsi="IRNazanin" w:eastAsia="IRNazanin"/>
          <w:color w:val="111111"/>
          <w:sz w:val="28"/>
          <w:sz w:val="28"/>
          <w:szCs w:val="28"/>
          <w:rtl w:val="true"/>
          <w:lang w:bidi="fa-IR"/>
        </w:rPr>
        <w:t>با قطع‌نظر از آنچه اشاره شد، شواهد زيادى وجود دارد بر اينكه كتاب روضه از آنِ كلينى و جزء كافى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نجاشى و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وقتى كافى را از </w:t>
      </w:r>
    </w:p>
    <w:p>
      <w:pPr>
        <w:pStyle w:val="BookText"/>
        <w:rPr/>
      </w:pPr>
      <w:r>
        <w:rPr>
          <w:rFonts w:ascii="Amiri" w:hAnsi="Amiri" w:eastAsia="Amiri" w:cs="Amiri"/>
          <w:color w:val="111111"/>
          <w:sz w:val="28"/>
          <w:sz w:val="28"/>
          <w:szCs w:val="28"/>
          <w:rtl w:val="true"/>
          <w:lang w:bidi="ar-SA"/>
        </w:rPr>
        <w:t xml:space="preserve">مشايخ‌شان </w:t>
      </w:r>
      <w:r>
        <w:rPr>
          <w:rStyle w:val="FootnoteAnchor"/>
          <w:rtl w:val="true"/>
        </w:rPr>
        <w:footnoteReference w:id="717"/>
      </w:r>
      <w:r>
        <w:rPr>
          <w:rFonts w:ascii="Amiri" w:hAnsi="Amiri" w:eastAsia="Amiri" w:cs="Amiri"/>
          <w:color w:val="111111"/>
          <w:sz w:val="28"/>
          <w:sz w:val="28"/>
          <w:szCs w:val="28"/>
          <w:rtl w:val="true"/>
          <w:lang w:bidi="ar-SA"/>
        </w:rPr>
        <w:t xml:space="preserve">، روايت مى‌كنند كتاب روضه را جزء كافى مى‌شمارند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السيدالبروجردى ترديد در مورد روضۀ كافى را خطا دانسته و روايت نجاشى و شيخ طوسى از مشايخش </w:t>
      </w:r>
      <w:r>
        <w:rPr>
          <w:rStyle w:val="FootnoteAnchor"/>
          <w:rtl w:val="true"/>
        </w:rPr>
        <w:footnoteReference w:id="719"/>
      </w:r>
      <w:r>
        <w:rPr>
          <w:rFonts w:ascii="Amiri" w:hAnsi="Amiri" w:eastAsia="Amiri" w:cs="Amiri"/>
          <w:color w:val="111111"/>
          <w:sz w:val="28"/>
          <w:sz w:val="28"/>
          <w:szCs w:val="28"/>
          <w:rtl w:val="true"/>
          <w:lang w:bidi="ar-SA"/>
        </w:rPr>
        <w:t xml:space="preserve">، و آنها از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اساتيدشان كه برخى حتّى آن را از خود كلينى شنيده </w:t>
      </w:r>
      <w:r>
        <w:rPr>
          <w:rStyle w:val="FootnoteAnchor"/>
          <w:rtl w:val="true"/>
        </w:rPr>
        <w:footnoteReference w:id="720"/>
      </w:r>
      <w:r>
        <w:rPr>
          <w:rFonts w:ascii="Amiri" w:hAnsi="Amiri" w:eastAsia="Amiri" w:cs="Amiri"/>
          <w:color w:val="111111"/>
          <w:sz w:val="28"/>
          <w:sz w:val="28"/>
          <w:szCs w:val="28"/>
          <w:rtl w:val="true"/>
          <w:lang w:bidi="ar-SA"/>
        </w:rPr>
        <w:t>، يكى از شواهد مى‌داند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روضه، به‌ابن‌ادريس‌حلّى، سازگار با طبقه ابن‌ادريس نيست؛ زيرا راويانى كه كافى و روضه را نقل كرده‌اند </w:t>
      </w:r>
      <w:r>
        <w:rPr>
          <w:rStyle w:val="FootnoteAnchor"/>
          <w:rtl w:val="true"/>
        </w:rPr>
        <w:footnoteReference w:id="721"/>
      </w:r>
      <w:r>
        <w:rPr>
          <w:rFonts w:ascii="IRNazanin" w:hAnsi="IRNazanin" w:eastAsia="IRNazanin"/>
          <w:color w:val="111111"/>
          <w:sz w:val="28"/>
          <w:sz w:val="28"/>
          <w:szCs w:val="28"/>
          <w:rtl w:val="true"/>
          <w:lang w:bidi="fa-IR"/>
        </w:rPr>
        <w:t xml:space="preserve">، همه از طبقه هشتم و نهم روات‌اند، و ابن‌ادريس از طبقه پانزدهم است </w:t>
      </w:r>
      <w:r>
        <w:rPr>
          <w:rStyle w:val="FootnoteAnchor"/>
          <w:rtl w:val="true"/>
        </w:rPr>
        <w:footnoteReference w:id="722"/>
      </w:r>
      <w:r>
        <w:rPr>
          <w:rFonts w:ascii="IRNazanin" w:hAnsi="IRNazanin" w:eastAsia="IRNazanin"/>
          <w:color w:val="111111"/>
          <w:sz w:val="28"/>
          <w:sz w:val="28"/>
          <w:szCs w:val="28"/>
          <w:rtl w:val="true"/>
          <w:lang w:bidi="fa-IR"/>
        </w:rPr>
        <w:t xml:space="preserve">، كتابى كه شاگردان كلينى و طبقه هشتم و نهم آن را نقل كرده باشند چگونه مى‌شود آن را از آنِ عالم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بدون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به‌اينكه در ميان فقها متواتر است كه كتاب روضه از آنِ كلينى و جزء كافى است، ادعاى انتساب آن، به‌ابن‌ادريس گذشته از اينكه غير قابل قبول است، كوچك‌ترين دليلى برآن وجود ندارد </w:t>
      </w:r>
      <w:r>
        <w:rPr>
          <w:rStyle w:val="FootnoteAnchor"/>
          <w:rtl w:val="true"/>
        </w:rPr>
        <w:footnoteReference w:id="723"/>
      </w:r>
      <w:r>
        <w:rPr>
          <w:rFonts w:ascii="IRNazanin" w:hAnsi="IRNazanin" w:eastAsia="IRNazanin"/>
          <w:color w:val="111111"/>
          <w:sz w:val="28"/>
          <w:sz w:val="28"/>
          <w:szCs w:val="28"/>
          <w:rtl w:val="true"/>
          <w:lang w:bidi="fa-IR"/>
        </w:rPr>
        <w:t>، و بى‌ترديد مدعاى بدون دليل را كسى نمى‌پذيرد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نحوه تنظيم و محتواى روايات كتاب روضه، با ديگر كتاب‌هاى كافى متفاوت است و شايد به‌همين جهت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 ولى با يك‌نگاه اجمالى به‌سبك و چينش روات و هنرهاى به‌كارگيرى اصطلاحات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تفاوتى اساسى ميان روضه و ساير كتاب‌هاى كافى ديده نمى‌شود؛ ذكر كامل اسناد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موارد نادر</w:t>
      </w:r>
      <w:r>
        <w:rPr>
          <w:rFonts w:eastAsia="IRNazanin" w:cs="IRNazanin"/>
          <w:color w:val="111111"/>
          <w:sz w:val="28"/>
          <w:szCs w:val="28"/>
          <w:rtl w:val="true"/>
          <w:lang w:bidi="fa-IR"/>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و آوردن حديث بعدى با تكيه به‌سند قبلى وآوردن اشاره </w:t>
      </w:r>
      <w:r>
        <w:rPr>
          <w:rStyle w:val="FootnoteAnchor"/>
          <w:rtl w:val="true"/>
        </w:rPr>
        <w:footnoteReference w:id="725"/>
      </w:r>
      <w:r>
        <w:rPr>
          <w:rFonts w:ascii="Amiri" w:hAnsi="Amiri" w:eastAsia="Amiri" w:cs="Amiri"/>
          <w:color w:val="111111"/>
          <w:sz w:val="28"/>
          <w:sz w:val="28"/>
          <w:szCs w:val="28"/>
          <w:rtl w:val="true"/>
          <w:lang w:bidi="ar-SA"/>
        </w:rPr>
        <w:t xml:space="preserve">، و يا آوردن ضمير در حديث بعدى </w:t>
      </w:r>
      <w:r>
        <w:rPr>
          <w:rStyle w:val="FootnoteAnchor"/>
          <w:rtl w:val="true"/>
        </w:rPr>
        <w:footnoteReference w:id="726"/>
      </w:r>
      <w:r>
        <w:rPr>
          <w:rFonts w:ascii="Amiri" w:hAnsi="Amiri" w:eastAsia="Amiri" w:cs="Amiri"/>
          <w:color w:val="111111"/>
          <w:sz w:val="28"/>
          <w:sz w:val="28"/>
          <w:szCs w:val="28"/>
          <w:rtl w:val="true"/>
          <w:lang w:bidi="ar-SA"/>
        </w:rPr>
        <w:t xml:space="preserve">، و اصطلاح منحصر به‌فرد 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من‌اصحابنا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و حذف راويان مشترك در حديث دوم </w:t>
      </w:r>
      <w:r>
        <w:rPr>
          <w:rStyle w:val="FootnoteAnchor"/>
          <w:rtl w:val="true"/>
        </w:rPr>
        <w:footnoteReference w:id="728"/>
      </w:r>
      <w:r>
        <w:rPr>
          <w:rFonts w:ascii="IRNazanin" w:hAnsi="IRNazanin" w:eastAsia="IRNazanin"/>
          <w:color w:val="111111"/>
          <w:sz w:val="28"/>
          <w:sz w:val="28"/>
          <w:szCs w:val="28"/>
          <w:rtl w:val="true"/>
          <w:lang w:bidi="fa-IR"/>
        </w:rPr>
        <w:t xml:space="preserve">، همه در روضه و ساير كتاب‌ها هماهنگ </w:t>
      </w:r>
      <w:r>
        <w:rPr>
          <w:rStyle w:val="FootnoteAnchor"/>
          <w:rtl w:val="true"/>
        </w:rPr>
        <w:footnoteReference w:id="729"/>
      </w:r>
      <w:r>
        <w:rPr>
          <w:rFonts w:ascii="IRNazanin" w:hAnsi="IRNazanin" w:eastAsia="IRNazanin"/>
          <w:color w:val="111111"/>
          <w:sz w:val="28"/>
          <w:sz w:val="28"/>
          <w:szCs w:val="28"/>
          <w:rtl w:val="true"/>
          <w:lang w:bidi="fa-IR"/>
        </w:rPr>
        <w:t>است كه خود شاهد گويا بر نادرستى ادعاى ابوزهره و دكتر القفارى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bookmarkStart w:id="294" w:name="pg1976_27881"/>
    </w:p>
    <w:p>
      <w:pPr>
        <w:pStyle w:val="Heading6"/>
        <w:numPr>
          <w:ilvl w:val="5"/>
          <w:numId w:val="1"/>
        </w:numPr>
        <w:rPr/>
      </w:pPr>
      <w:bookmarkStart w:id="295" w:name="__RefHeading___Toc3767055_3650668749"/>
      <w:bookmarkStart w:id="296" w:name="_Toc106"/>
      <w:bookmarkEnd w:id="294"/>
      <w:bookmarkEnd w:id="295"/>
      <w:r>
        <w:rPr>
          <w:rtl w:val="true"/>
        </w:rPr>
        <w:t>نتيجه‌گيرى</w:t>
      </w:r>
      <w:bookmarkEnd w:id="29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ابن‌تيميه و پيروان او منابع حديثى پيروان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كافى را از جهت مستند نبودن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فقدان منابع رجالى براى تشخيص احاديث صحيح از ناصحيح در شيعه و زياد شدن كتاب‌هاى كافى و مشكوك بودن نسبت روضه به‌كلينى، مورد نقدقراردادند؛ ولى با توجّه به‌پژوهشى كه انجام گرفت، اين نتيجه به‌دست مى‌آيد كه در مرحله اوّل، اشكال، مستقيماً منابع خود آنان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همان‌گونه كه در تدوين و نقل احاديث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پيشقدم بوده، در تأسيس علوم حديث و رجال‌شناسى، نخستين كتاب‌هارا در كارنامه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احاديث كافى مستند به‌امامان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درحقيقت متّصل به‌رسول‌خدا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نَه‌تنها هيچ كتابى كه حتى يك‌حديث بر مجموعه كافى افزوده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تغيير و تحوّلى در انضمام عناوين كتاب‌ها وجدا انگاشتن آنها طبق سلائق مختلف در نسخه‌هاى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كتاب كافى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از تأليفات كلينى و جزوِ مجموعه كافى‌است و گفتة ملاخليل قزوينى درباره به‌روضة كافى، نادرست و مورد پذيرش ديگر فقهاى شيعه نيست</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976_27885"/>
      <w:bookmarkStart w:id="298" w:name="pg1976_27885"/>
      <w:bookmarkEnd w:id="298"/>
    </w:p>
    <w:p>
      <w:pPr>
        <w:pStyle w:val="Heading2"/>
        <w:numPr>
          <w:ilvl w:val="1"/>
          <w:numId w:val="1"/>
        </w:numPr>
        <w:rPr/>
      </w:pPr>
      <w:bookmarkStart w:id="299" w:name="pg1976_27885"/>
      <w:bookmarkStart w:id="300" w:name="__RefHeading___Toc3767057_3650668749"/>
      <w:bookmarkStart w:id="301" w:name="_Toc107"/>
      <w:bookmarkEnd w:id="299"/>
      <w:bookmarkEnd w:id="300"/>
      <w:r>
        <w:rPr>
          <w:rtl w:val="true"/>
        </w:rPr>
        <w:t>بخش سوم</w:t>
      </w:r>
      <w:r>
        <w:rPr>
          <w:rtl w:val="true"/>
        </w:rPr>
        <w:t xml:space="preserve">: </w:t>
      </w:r>
      <w:r>
        <w:rPr>
          <w:rtl w:val="true"/>
        </w:rPr>
        <w:t>بررسى و نقد ادعاى تحريف قرآن كريم به روايت كلينى</w:t>
      </w:r>
      <w:bookmarkEnd w:id="30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3767059_3650668749"/>
      <w:bookmarkStart w:id="303" w:name="_Toc108"/>
      <w:bookmarkEnd w:id="302"/>
      <w:r>
        <w:rPr>
          <w:rtl w:val="true"/>
        </w:rPr>
        <w:t>اشاره</w:t>
      </w:r>
      <w:bookmarkEnd w:id="30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976_27891"/>
      <w:bookmarkStart w:id="305" w:name="pg1976_27891"/>
      <w:bookmarkEnd w:id="305"/>
    </w:p>
    <w:p>
      <w:pPr>
        <w:pStyle w:val="Heading3"/>
        <w:numPr>
          <w:ilvl w:val="2"/>
          <w:numId w:val="1"/>
        </w:numPr>
        <w:rPr/>
      </w:pPr>
      <w:bookmarkStart w:id="306" w:name="pg1976_27891"/>
      <w:bookmarkStart w:id="307" w:name="__RefHeading___Toc3767061_3650668749"/>
      <w:bookmarkStart w:id="308" w:name="_Toc109"/>
      <w:bookmarkEnd w:id="306"/>
      <w:bookmarkEnd w:id="307"/>
      <w:r>
        <w:rPr>
          <w:rtl w:val="true"/>
        </w:rPr>
        <w:t>مقدمه</w:t>
      </w:r>
      <w:bookmarkEnd w:id="308"/>
    </w:p>
    <w:p>
      <w:pPr>
        <w:pStyle w:val="BookText"/>
        <w:rPr/>
      </w:pPr>
      <w:r>
        <w:rPr>
          <w:rFonts w:ascii="IRNazanin" w:hAnsi="IRNazanin" w:eastAsia="IRNazanin"/>
          <w:color w:val="111111"/>
          <w:sz w:val="28"/>
          <w:sz w:val="28"/>
          <w:szCs w:val="28"/>
          <w:rtl w:val="true"/>
          <w:lang w:bidi="fa-IR"/>
        </w:rPr>
        <w:t xml:space="preserve">كتاب آسمانى آخرين فرستاده خدا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عموم مسلمانان از جايگاهِ بس عظيم و قداست ويژه‌اى برخوردار است و به‌هيچ قيمتى نَه به‌خود و نَه به‌نامحرمان و بيگانگان هرگز اجازه توهين و بى‌احترامى نسبت به‌كتابش را نمى‌دهد؛ زيرا هر مسلمان آن را سخن خدايش مى‌خواند كه توسط جبرئيل امين بر پيام‌آور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شد تا در سايه پيام‌هاى سازنده و هدايتگرِآن، بشر رهنمون گردد و راه و رسم بندگى و زندگى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از ابتدا تا انتهايش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بيش از </w:t>
      </w:r>
      <w:r>
        <w:rPr>
          <w:rFonts w:eastAsia="IRNazanin" w:cs="IRNazanin"/>
          <w:color w:val="111111"/>
          <w:sz w:val="28"/>
          <w:szCs w:val="28"/>
          <w:lang w:bidi="fa-IR"/>
        </w:rPr>
        <w:t>14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سال، بردل و جان و روان مسلمانان حكومت مى‌كند و همچنان تا دنيا باقى است عليرغم توطئه‌ها، در قلب آنان‌جاى خواهد داشت، و هرگز با نقدها از سوى كسى و گروهى، از عظمت و معنويت آن كاسته نخواهد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بى‌انصافى‌هايى كه در مورد اين كتاب الهى روا داشته مى‌شود، شبهه تحريف و دگرگونى آن است و مرتب اعتقاد به‌تحريف آن را به‌پيروان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 و آنان به‌خاطر اين باور نداشته، مورد توهين و مذمّت، قرار مى‌گيرند؛ از اين رو، هرچند كه اين بحث دامنه وسيعى از جنبه‌هاى تاريخى، حديثى، تفسيرى و ديدگاه‌ها دارد، ولى با توجه به‌ظرفيت موضوع، در اين بخش شبهه تحريف قرآن، در ارتباط با كتاب كافى مورد بررسى و نقد قرار مى‌گيرد</w:t>
      </w:r>
      <w:r>
        <w:rPr>
          <w:rFonts w:eastAsia="IRNazanin" w:cs="IRNazanin"/>
          <w:color w:val="111111"/>
          <w:sz w:val="28"/>
          <w:szCs w:val="28"/>
          <w:rtl w:val="true"/>
          <w:lang w:bidi="fa-IR"/>
        </w:rPr>
        <w:t xml:space="preserve">. </w:t>
      </w:r>
      <w:bookmarkStart w:id="309" w:name="pg1976_27893"/>
    </w:p>
    <w:p>
      <w:pPr>
        <w:pStyle w:val="Heading3"/>
        <w:numPr>
          <w:ilvl w:val="2"/>
          <w:numId w:val="1"/>
        </w:numPr>
        <w:rPr/>
      </w:pPr>
      <w:bookmarkStart w:id="310" w:name="__RefHeading___Toc3767063_3650668749"/>
      <w:bookmarkStart w:id="311" w:name="_Toc110"/>
      <w:bookmarkEnd w:id="309"/>
      <w:bookmarkEnd w:id="310"/>
      <w:r>
        <w:rPr>
          <w:rtl w:val="true"/>
        </w:rPr>
        <w:t>فصل اول</w:t>
      </w:r>
      <w:r>
        <w:rPr>
          <w:rtl w:val="true"/>
        </w:rPr>
        <w:t xml:space="preserve">: </w:t>
      </w:r>
      <w:r>
        <w:rPr>
          <w:rtl w:val="true"/>
        </w:rPr>
        <w:t>اعتقاد شيعه به‌تحريف قرآن كريم</w:t>
      </w:r>
      <w:bookmarkEnd w:id="311"/>
    </w:p>
    <w:p>
      <w:pPr>
        <w:pStyle w:val="Heading4"/>
        <w:numPr>
          <w:ilvl w:val="3"/>
          <w:numId w:val="1"/>
        </w:numPr>
        <w:rPr/>
      </w:pPr>
      <w:bookmarkStart w:id="312" w:name="__RefHeading___Toc3767065_3650668749"/>
      <w:bookmarkStart w:id="313" w:name="_Toc111"/>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هرچند كه موضوع تحقيق مربوط به‌نقدهايى است كه بركتاب كافى گرفته شده است و يكى از نقدها براين كتاب، رواياتى است كه بوى تحريف و نقص از آنها به‌مشام مى‌رسد، ولى از آن‌جا كه برخى از نويسندگان وهابى پا را فراتر گذاشته و يكى از معتقدات شيعه اماميه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مى‌شمارند، لازم است ابتدا، اين محور، مورد بررسى قرار گيرد</w:t>
      </w:r>
      <w:r>
        <w:rPr>
          <w:rFonts w:eastAsia="IRNazanin" w:cs="IRNazanin"/>
          <w:color w:val="111111"/>
          <w:sz w:val="28"/>
          <w:szCs w:val="28"/>
          <w:rtl w:val="true"/>
          <w:lang w:bidi="fa-IR"/>
        </w:rPr>
        <w:t>.</w:t>
      </w:r>
    </w:p>
    <w:p>
      <w:pPr>
        <w:pStyle w:val="Heading4"/>
        <w:numPr>
          <w:ilvl w:val="3"/>
          <w:numId w:val="1"/>
        </w:numPr>
        <w:rPr/>
      </w:pPr>
      <w:bookmarkStart w:id="314" w:name="__RefHeading___Toc3767067_3650668749"/>
      <w:bookmarkStart w:id="315" w:name="_Toc112"/>
      <w:bookmarkEnd w:id="314"/>
      <w:r>
        <w:rPr/>
        <w:t>١</w:t>
      </w:r>
      <w:r>
        <w:rPr>
          <w:rtl w:val="true"/>
        </w:rPr>
        <w:t xml:space="preserve">. </w:t>
      </w:r>
      <w:r>
        <w:rPr>
          <w:rtl w:val="true"/>
        </w:rPr>
        <w:t>طرح اتهام شيعه به تحريف قرآن</w:t>
      </w:r>
      <w:bookmarkEnd w:id="31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و تغيير در قرآن‌كريم را از اعتقادات شيعه شمرده،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شيعه به‌اين قرآنى كه دردست مردم است و از سوى خداوند حفظ مى‌شود، اعتقاد ندارند، و با اعتقاد خود مخالف اهل‌سنّت‌اند و همه روايات صحيحى كه در خصوص قرآن و سنّت وارد شده را، منكرند</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و دركتاب ديگرش حتّى امامان شيعه را متهم مى‌كند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وأنَّ‌الشّيعةَ كانُوا يَعتَقِدون التَّحريف في القرآن في الدَّور الأوّل بما فيهم أئمة مذهبهم، و واضَعُوا شرعتهم حسب مَرويّاتهم ولم يَثبُت عن واحدٍ منهم أنّه كانَ يَعتقد خلاف ذلك </w:t>
      </w:r>
      <w:r>
        <w:rPr>
          <w:rFonts w:eastAsia="IRNazanin" w:cs="IRNazanin"/>
          <w:color w:val="111111"/>
          <w:sz w:val="28"/>
          <w:szCs w:val="28"/>
          <w:rtl w:val="true"/>
          <w:lang w:bidi="fa-IR"/>
        </w:rPr>
        <w:t xml:space="preserve">. . .»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316" w:name="pg1976_27895"/>
    </w:p>
    <w:p>
      <w:pPr>
        <w:pStyle w:val="BookText"/>
        <w:rPr/>
      </w:pPr>
      <w:bookmarkEnd w:id="316"/>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به‌اعتقاد ناصرالقفارى نخستين كسى است كه اعتقاد شيعه به تحريف را به‌زبان عربى در كتابش گنجاند و شواهدى ارائه كرد </w:t>
      </w:r>
      <w:r>
        <w:rPr>
          <w:rStyle w:val="FootnoteAnchor"/>
          <w:rtl w:val="true"/>
        </w:rPr>
        <w:footnoteReference w:id="732"/>
      </w:r>
      <w:r>
        <w:rPr>
          <w:rFonts w:ascii="Amiri" w:hAnsi="Amiri" w:eastAsia="Amiri" w:cs="Amiri"/>
          <w:color w:val="111111"/>
          <w:sz w:val="28"/>
          <w:sz w:val="28"/>
          <w:szCs w:val="28"/>
          <w:rtl w:val="true"/>
          <w:lang w:bidi="ar-SA"/>
        </w:rPr>
        <w:t>، مى‌نويسد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زَعَمَت الشِّيعةُ أنّ عُثمانَ بَل أبابكرَ و عُمَرَ أيضاً حَرَّفُوه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وأسقَطُوا كثيراً مِن آياتِهِ و سُوَره ِ</w:t>
      </w:r>
      <w:r>
        <w:rPr>
          <w:rFonts w:eastAsia="Amiri" w:cs="Amiri" w:ascii="Amiri" w:hAnsi="Amiri"/>
          <w:color w:val="111111"/>
          <w:sz w:val="28"/>
          <w:szCs w:val="28"/>
          <w:rtl w:val="true"/>
          <w:lang w:bidi="ar-SA"/>
        </w:rPr>
        <w:t xml:space="preserve">. . .»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بيومى نويسنده ديگر پس از بيان اينكه از مهم‌ترين اختلافات ميان شيعه و سنى اختلاف تحريف قرآن است،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الشّيعةُ فَيَعتقدون أنّ القرآنَ الكريم مُحرَّفٌ و مُبدَّل و أنّهُ زِيدَ و نَقَصَ منه آياتٌ كثيرةٌ، وأنّ النَّاقصَ منه يُعادل ضِعفَي القرآن الموجود الآن</w:t>
      </w:r>
      <w:r>
        <w:rPr>
          <w:rFonts w:eastAsia="IRNazanin" w:cs="IRNazanin"/>
          <w:color w:val="111111"/>
          <w:sz w:val="28"/>
          <w:szCs w:val="28"/>
          <w:rtl w:val="true"/>
          <w:lang w:bidi="fa-IR"/>
        </w:rPr>
        <w:t xml:space="preserve">. . . » </w:t>
      </w:r>
      <w:r>
        <w:rPr>
          <w:rStyle w:val="FootnoteAnchor"/>
          <w:rtl w:val="true"/>
        </w:rPr>
        <w:footnoteReference w:id="734"/>
      </w:r>
    </w:p>
    <w:p>
      <w:pPr>
        <w:pStyle w:val="Heading4"/>
        <w:numPr>
          <w:ilvl w:val="3"/>
          <w:numId w:val="1"/>
        </w:numPr>
        <w:rPr/>
      </w:pPr>
      <w:bookmarkStart w:id="317" w:name="__RefHeading___Toc3767069_3650668749"/>
      <w:bookmarkStart w:id="318" w:name="_Toc113"/>
      <w:bookmarkEnd w:id="317"/>
      <w:r>
        <w:rPr/>
        <w:t>٢</w:t>
      </w:r>
      <w:r>
        <w:rPr>
          <w:rtl w:val="true"/>
        </w:rPr>
        <w:t xml:space="preserve">. </w:t>
      </w:r>
      <w:r>
        <w:rPr>
          <w:rtl w:val="true"/>
        </w:rPr>
        <w:t>بررسى و نقد اتهام تحريف</w:t>
      </w:r>
      <w:bookmarkEnd w:id="318"/>
    </w:p>
    <w:p>
      <w:pPr>
        <w:pStyle w:val="Heading5"/>
        <w:numPr>
          <w:ilvl w:val="4"/>
          <w:numId w:val="1"/>
        </w:numPr>
        <w:rPr/>
      </w:pPr>
      <w:bookmarkStart w:id="319" w:name="__RefHeading___Toc3767071_3650668749"/>
      <w:bookmarkStart w:id="320" w:name="_Toc114"/>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با توجّه به‌متن گفته‌هاى اين عده، نتيجه اين‌خواهد شد كه نه تنها كلينى، بلكه باور و اعتقادات شيعه بر تحريف قرآن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بررسى اين تهمت بزرگ به‌مباحث زير اشاره مى‌شود</w:t>
      </w:r>
      <w:r>
        <w:rPr>
          <w:rFonts w:eastAsia="IRNazanin" w:cs="IRNazanin"/>
          <w:color w:val="111111"/>
          <w:sz w:val="28"/>
          <w:szCs w:val="28"/>
          <w:rtl w:val="true"/>
          <w:lang w:bidi="fa-IR"/>
        </w:rPr>
        <w:t>:</w:t>
      </w:r>
    </w:p>
    <w:p>
      <w:pPr>
        <w:pStyle w:val="Heading5"/>
        <w:numPr>
          <w:ilvl w:val="4"/>
          <w:numId w:val="1"/>
        </w:numPr>
        <w:rPr/>
      </w:pPr>
      <w:bookmarkStart w:id="321" w:name="__RefHeading___Toc3767073_3650668749"/>
      <w:bookmarkStart w:id="322" w:name="_Toc115"/>
      <w:bookmarkEnd w:id="321"/>
      <w:r>
        <w:rPr>
          <w:rtl w:val="true"/>
        </w:rPr>
        <w:t>الف</w:t>
      </w:r>
      <w:r>
        <w:rPr>
          <w:rtl w:val="true"/>
        </w:rPr>
        <w:t xml:space="preserve">) </w:t>
      </w:r>
      <w:r>
        <w:rPr>
          <w:rtl w:val="true"/>
        </w:rPr>
        <w:t>مفهوم تحريف</w:t>
      </w:r>
      <w:bookmarkEnd w:id="322"/>
    </w:p>
    <w:p>
      <w:pPr>
        <w:pStyle w:val="Heading6"/>
        <w:numPr>
          <w:ilvl w:val="5"/>
          <w:numId w:val="1"/>
        </w:numPr>
        <w:rPr/>
      </w:pPr>
      <w:bookmarkStart w:id="323" w:name="__RefHeading___Toc3767075_3650668749"/>
      <w:bookmarkStart w:id="324" w:name="_Toc116"/>
      <w:bookmarkEnd w:id="323"/>
      <w:r>
        <w:rPr>
          <w:rtl w:val="true"/>
        </w:rPr>
        <w:t xml:space="preserve">يك </w:t>
      </w:r>
      <w:r>
        <w:rPr>
          <w:rtl w:val="true"/>
        </w:rPr>
        <w:t xml:space="preserve">- </w:t>
      </w:r>
      <w:r>
        <w:rPr>
          <w:rtl w:val="true"/>
        </w:rPr>
        <w:t>تحريف در لغت</w:t>
      </w:r>
      <w:bookmarkEnd w:id="32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تحريف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به‌معناى طَرَف و كنار چيز است </w:t>
      </w:r>
      <w:r>
        <w:rPr>
          <w:rStyle w:val="FootnoteAnchor"/>
          <w:rtl w:val="true"/>
        </w:rPr>
        <w:footnoteReference w:id="735"/>
      </w:r>
      <w:r>
        <w:rPr>
          <w:rFonts w:ascii="IRNazanin" w:hAnsi="IRNazanin" w:eastAsia="IRNazanin"/>
          <w:color w:val="111111"/>
          <w:sz w:val="28"/>
          <w:sz w:val="28"/>
          <w:szCs w:val="28"/>
          <w:rtl w:val="true"/>
          <w:lang w:bidi="fa-IR"/>
        </w:rPr>
        <w:t xml:space="preserve">،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راء،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برخى لغت‌شناسان، داراى سه‌ريشه است و يكى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و عدول از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مى‌دهد، وقتى‌گفته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إنحَرَفَ عنه، ينحَرِف، إنحرافاً، يعنى عَدَل به‌عَنه؛ تحريف‌الكلام، يعنى‌عدول كردن از جهت كلام، چنان‌كه خداوند </w:t>
      </w:r>
      <w:bookmarkStart w:id="325" w:name="pg1976_27897"/>
    </w:p>
    <w:p>
      <w:pPr>
        <w:pStyle w:val="BookText"/>
        <w:rPr/>
      </w:pPr>
      <w:bookmarkEnd w:id="325"/>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يُحَرِّفُونَ‌الْكَلِمَ عَنْ مَوَاضِعِه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تحريف به‌تبديل و تغيير و ميل به‌جانبى </w:t>
      </w:r>
      <w:r>
        <w:rPr>
          <w:rStyle w:val="FootnoteAnchor"/>
          <w:rtl w:val="true"/>
        </w:rPr>
        <w:footnoteReference w:id="737"/>
      </w:r>
      <w:r>
        <w:rPr>
          <w:rFonts w:ascii="IRNazanin" w:hAnsi="IRNazanin" w:eastAsia="IRNazanin"/>
          <w:color w:val="111111"/>
          <w:sz w:val="28"/>
          <w:sz w:val="28"/>
          <w:szCs w:val="28"/>
          <w:rtl w:val="true"/>
          <w:lang w:bidi="fa-IR"/>
        </w:rPr>
        <w:t xml:space="preserve">هم معنا شده است، وقتى اين واژه در مورد قرآن و كلمه به‌كار مى‌رود، به‌معناى تغيير دادن حرف و كلمه از معناى اصلى آن است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با عنايت به‌دو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واژه اخذ شده، </w:t>
      </w:r>
      <w:r>
        <w:rPr>
          <w:rStyle w:val="FootnoteAnchor"/>
          <w:rtl w:val="true"/>
        </w:rPr>
        <w:footnoteReference w:id="739"/>
      </w:r>
      <w:r>
        <w:rPr>
          <w:rFonts w:ascii="IRNazanin" w:hAnsi="IRNazanin" w:eastAsia="IRNazanin"/>
          <w:color w:val="111111"/>
          <w:sz w:val="28"/>
          <w:sz w:val="28"/>
          <w:szCs w:val="28"/>
          <w:rtl w:val="true"/>
          <w:lang w:bidi="fa-IR"/>
        </w:rPr>
        <w:t>تحريف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و انحراف شىء از جايگاه اصلى خود و استقرار آن در غير موضعش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تحريف كلام، يعنى تغيير دادن و خارج كردن و به‌انحراف كشاندن كلام به‌گوشه‌اى از احتمالات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6" w:name="__RefHeading___Toc3767077_3650668749"/>
      <w:bookmarkStart w:id="327" w:name="_Toc117"/>
      <w:bookmarkEnd w:id="326"/>
      <w:r>
        <w:rPr>
          <w:rtl w:val="true"/>
        </w:rPr>
        <w:t xml:space="preserve">دو </w:t>
      </w:r>
      <w:r>
        <w:rPr>
          <w:rtl w:val="true"/>
        </w:rPr>
        <w:t xml:space="preserve">- </w:t>
      </w:r>
      <w:r>
        <w:rPr>
          <w:rtl w:val="true"/>
        </w:rPr>
        <w:t>تحريف در اصطلاح</w:t>
      </w:r>
      <w:bookmarkEnd w:id="32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واژه هنگامى كه درباره قرآن به كار مى‌رود، معانى متعددى دارد كه برخى از كاربردها هم مجاز است وهم واقع شده و بعضى ديگر نه‌تنها جايز نيست كه به‌اجماع مسلمانان غير معقول و باطل است </w:t>
      </w:r>
      <w:r>
        <w:rPr>
          <w:rStyle w:val="FootnoteAnchor"/>
          <w:rtl w:val="true"/>
        </w:rPr>
        <w:footnoteReference w:id="742"/>
      </w:r>
      <w:r>
        <w:rPr>
          <w:rFonts w:ascii="IRNazanin" w:hAnsi="IRNazanin" w:eastAsia="IRNazanin"/>
          <w:color w:val="111111"/>
          <w:sz w:val="28"/>
          <w:sz w:val="28"/>
          <w:szCs w:val="28"/>
          <w:rtl w:val="true"/>
          <w:lang w:bidi="fa-IR"/>
        </w:rPr>
        <w:t xml:space="preserve">ولى آنچه مورد بحث و نزاع است، تحريف </w:t>
      </w:r>
      <w:bookmarkStart w:id="328" w:name="pg1976_27899"/>
    </w:p>
    <w:p>
      <w:pPr>
        <w:pStyle w:val="BookText"/>
        <w:rPr/>
      </w:pPr>
      <w:bookmarkEnd w:id="328"/>
      <w:r>
        <w:rPr>
          <w:rFonts w:ascii="Amiri" w:hAnsi="Amiri" w:eastAsia="Amiri" w:cs="Amiri"/>
          <w:color w:val="111111"/>
          <w:sz w:val="28"/>
          <w:sz w:val="28"/>
          <w:szCs w:val="28"/>
          <w:rtl w:val="true"/>
          <w:lang w:bidi="ar-SA"/>
        </w:rPr>
        <w:t xml:space="preserve">به‌نقيصه و زياده است؛ يعنى باورداشتن به اينكه آيه و يا سوره‌اى بعد از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قرآن به‌عمد و يا اشتباه، حذف يا به آن اضافه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فرض به‌اجماع مسلمانان باطل </w:t>
      </w:r>
      <w:r>
        <w:rPr>
          <w:rStyle w:val="FootnoteAnchor"/>
          <w:rtl w:val="true"/>
        </w:rPr>
        <w:footnoteReference w:id="743"/>
      </w:r>
      <w:r>
        <w:rPr>
          <w:rFonts w:ascii="IRNazanin" w:hAnsi="IRNazanin" w:eastAsia="IRNazanin"/>
          <w:color w:val="111111"/>
          <w:sz w:val="28"/>
          <w:sz w:val="28"/>
          <w:szCs w:val="28"/>
          <w:rtl w:val="true"/>
          <w:lang w:bidi="fa-IR"/>
        </w:rPr>
        <w:t xml:space="preserve">است و همين صورت را گروهى از نويسندگان وهّابيت به‌شيعه نسبت مى‌دهند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تحريفى كه در اين بخش مورد بحث است تحريف به‌حذف و يا اضافه شدن آيه ويا سوره‌اى است كه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قرآن صورت گرفته باشد</w:t>
      </w:r>
      <w:r>
        <w:rPr>
          <w:rFonts w:eastAsia="IRNazanin" w:cs="IRNazanin"/>
          <w:color w:val="111111"/>
          <w:sz w:val="28"/>
          <w:szCs w:val="28"/>
          <w:rtl w:val="true"/>
          <w:lang w:bidi="fa-IR"/>
        </w:rPr>
        <w:t>.</w:t>
      </w:r>
    </w:p>
    <w:p>
      <w:pPr>
        <w:pStyle w:val="Heading5"/>
        <w:numPr>
          <w:ilvl w:val="4"/>
          <w:numId w:val="1"/>
        </w:numPr>
        <w:rPr/>
      </w:pPr>
      <w:bookmarkStart w:id="329" w:name="__RefHeading___Toc3767079_3650668749"/>
      <w:bookmarkStart w:id="330" w:name="_Toc118"/>
      <w:bookmarkEnd w:id="329"/>
      <w:r>
        <w:rPr>
          <w:rtl w:val="true"/>
        </w:rPr>
        <w:t>ب</w:t>
      </w:r>
      <w:r>
        <w:rPr>
          <w:rtl w:val="true"/>
        </w:rPr>
        <w:t xml:space="preserve">) </w:t>
      </w:r>
      <w:r>
        <w:rPr>
          <w:rtl w:val="true"/>
        </w:rPr>
        <w:t>شيعه و اعتقاد به‌تحريف</w:t>
      </w:r>
      <w:bookmarkEnd w:id="330"/>
    </w:p>
    <w:p>
      <w:pPr>
        <w:pStyle w:val="Heading6"/>
        <w:numPr>
          <w:ilvl w:val="5"/>
          <w:numId w:val="1"/>
        </w:numPr>
        <w:rPr/>
      </w:pPr>
      <w:bookmarkStart w:id="331" w:name="__RefHeading___Toc3767081_3650668749"/>
      <w:bookmarkStart w:id="332" w:name="_Toc119"/>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و اعتقاد به‌تحريف </w:t>
      </w:r>
      <w:r>
        <w:rPr>
          <w:rStyle w:val="FootnoteAnchor"/>
          <w:rtl w:val="true"/>
        </w:rPr>
        <w:footnoteReference w:id="74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تعيين محور بحث، اين سؤال مطرح مى‌شود كه آيا به‌راستى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از سوى عده‌اى از نويسندگان وهابى مطرح مى‌شود، اعتقاد به‌تحريف دارند و اين باور جزء اعتقادات آنها محسوب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به‌چند جهت منفى و چنين قضيه‌اى كه يكى از اعتقادات شيعه تحريف قرآن باشد، كذب و افترايى بيش نيست</w:t>
      </w:r>
      <w:r>
        <w:rPr>
          <w:rFonts w:eastAsia="IRNazanin" w:cs="IRNazanin"/>
          <w:color w:val="111111"/>
          <w:sz w:val="28"/>
          <w:szCs w:val="28"/>
          <w:rtl w:val="true"/>
          <w:lang w:bidi="fa-IR"/>
        </w:rPr>
        <w:t xml:space="preserve">: </w:t>
      </w:r>
      <w:bookmarkStart w:id="333" w:name="pg1976_27901"/>
    </w:p>
    <w:p>
      <w:pPr>
        <w:pStyle w:val="Heading6"/>
        <w:numPr>
          <w:ilvl w:val="5"/>
          <w:numId w:val="1"/>
        </w:numPr>
        <w:rPr/>
      </w:pPr>
      <w:bookmarkStart w:id="334" w:name="__RefHeading___Toc3767083_3650668749"/>
      <w:bookmarkStart w:id="335" w:name="_Toc120"/>
      <w:bookmarkEnd w:id="333"/>
      <w:bookmarkEnd w:id="334"/>
      <w:r>
        <w:rPr>
          <w:rtl w:val="true"/>
        </w:rPr>
        <w:t xml:space="preserve">يك </w:t>
      </w:r>
      <w:r>
        <w:rPr>
          <w:rtl w:val="true"/>
        </w:rPr>
        <w:t xml:space="preserve">- </w:t>
      </w:r>
      <w:r>
        <w:rPr>
          <w:rtl w:val="true"/>
        </w:rPr>
        <w:t>ضرورت مذهب شيعه بر عدم تحريف</w:t>
      </w:r>
      <w:bookmarkEnd w:id="335"/>
    </w:p>
    <w:p>
      <w:pPr>
        <w:pStyle w:val="BookText"/>
        <w:rPr/>
      </w:pPr>
      <w:r>
        <w:rPr>
          <w:rFonts w:ascii="IRNazanin" w:hAnsi="IRNazanin" w:eastAsia="IRNazanin"/>
          <w:color w:val="111111"/>
          <w:sz w:val="28"/>
          <w:sz w:val="28"/>
          <w:szCs w:val="28"/>
          <w:rtl w:val="true"/>
          <w:lang w:bidi="fa-IR"/>
        </w:rPr>
        <w:t xml:space="preserve">بى‌ترديد وقتى مفهوم اسلام و ايمان، در مورد كسى صادق و مصداق عينى پيدا مى‌كند كه نسبت به‌اصول اعتقادى اسلام از جمله رسالت پيامبرخدا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آسمانى او يعنى قرآن و آنچه او به‌عنوان دين آورده، باورِ پايدار و استوارى داشته باشد، و طبعاً اين اعتقاد به‌صورت اجمالى ويا به‌طور تفصيلى و شفاف نسبت به‌جزء جزء معتقدات، تحقق يابد؛ زيرا كسى كه باور دارد براينكه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است ضرورت عقلى او حاكم است كه كتاب او به‌همان ويژگى‌هايى كه برشخص حضرت فرو فرستاده شد، باقى است و براى او معجزه و دست‌آويزِ محكم پيامبرى است </w:t>
      </w:r>
      <w:r>
        <w:rPr>
          <w:rStyle w:val="FootnoteAnchor"/>
          <w:rtl w:val="true"/>
        </w:rPr>
        <w:footnoteReference w:id="746"/>
      </w:r>
      <w:r>
        <w:rPr>
          <w:rFonts w:ascii="IRNazanin" w:hAnsi="IRNazanin" w:eastAsia="IRNazanin"/>
          <w:color w:val="111111"/>
          <w:sz w:val="28"/>
          <w:sz w:val="28"/>
          <w:szCs w:val="28"/>
          <w:rtl w:val="true"/>
          <w:lang w:bidi="fa-IR"/>
        </w:rPr>
        <w:t>و براى پيروانش كتاب هدايت و منشور جاودانه دين اسلام است، و همچنان با همان اعجاز و ويژگى و سُوَر و آياتش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كُنتُمْ فِى رَيْبٍ مِّمَّا نَزَّلْنَا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عَبْدِنَا فَاْتُواْ بِسُورَةٍ مِّن مِّثْلِهِ وَادْعُواْ شُهَدَاءكُم مِّن دُونِ اللهِ إِنْ كُنْتُمْ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كتابى كه همواره خداوند وعده قطعى به‌مصونيتش از دستبردها و نقص‌ها داده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كسى و چه قدرتى مى‌تواند او را دگرگون سازد؟ وآيا نسبت دادن تبديل و انحراف به‌كتابى‌كه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لَكِتَابٌ عَزِيزٌلاَ يَاْتِيهِ الْبَاطِلُ مِن بَيْنِ يَدَيْهِ وَلاَ مِنْ خَلْفِهِ تَنزِيلٌ مِنْ حَكِيمٍ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دَه‌ها آيه ديگر، با ايمان به‌قدرت لايزال الهى سازگار است؟ و همين دو آيه در مصونيت از تحريف قرآن به‌هر نحوى كه منافى با عظمت و قداست قرآن باشد، كافى نيست؟ </w:t>
      </w:r>
      <w:r>
        <w:rPr>
          <w:rStyle w:val="FootnoteAnchor"/>
          <w:rtl w:val="true"/>
        </w:rPr>
        <w:footnoteReference w:id="74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برخى از نويسندگان وهابى مسلك، نسبت تحريف را به‌شيعه داده‌اند، اگر </w:t>
      </w:r>
      <w:bookmarkStart w:id="336" w:name="pg1976_27903"/>
    </w:p>
    <w:p>
      <w:pPr>
        <w:pStyle w:val="BookText"/>
        <w:rPr/>
      </w:pPr>
      <w:bookmarkEnd w:id="336"/>
      <w:r>
        <w:rPr>
          <w:rFonts w:ascii="Amiri" w:hAnsi="Amiri" w:eastAsia="Amiri" w:cs="Amiri"/>
          <w:color w:val="111111"/>
          <w:sz w:val="28"/>
          <w:sz w:val="28"/>
          <w:szCs w:val="28"/>
          <w:rtl w:val="true"/>
          <w:lang w:bidi="ar-SA"/>
        </w:rPr>
        <w:t xml:space="preserve">مراد آنان مذهب اماميه باشد </w:t>
      </w:r>
      <w:r>
        <w:rPr>
          <w:rStyle w:val="FootnoteAnchor"/>
          <w:rtl w:val="true"/>
        </w:rPr>
        <w:footnoteReference w:id="749"/>
      </w:r>
      <w:r>
        <w:rPr>
          <w:rFonts w:ascii="IRNazanin" w:hAnsi="IRNazanin" w:eastAsia="IRNazanin"/>
          <w:color w:val="111111"/>
          <w:sz w:val="28"/>
          <w:sz w:val="28"/>
          <w:szCs w:val="28"/>
          <w:rtl w:val="true"/>
          <w:lang w:bidi="fa-IR"/>
        </w:rPr>
        <w:t xml:space="preserve">، بى‌ترديد بايد در باورهاى خويش نسبت به‌خدا و پيامبر و قرآن، دچار ترديد شده باشند، و اگر مقصود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منتسب به اين مذهبند، و آنان معتقد به‌تحريف قرآن‌اند، اين بحث ديگرى است كه به‌زودى مورد بررسى قرار مى‌گيرد</w:t>
      </w:r>
      <w:r>
        <w:rPr>
          <w:rFonts w:eastAsia="IRNazanin" w:cs="IRNazanin"/>
          <w:color w:val="111111"/>
          <w:sz w:val="28"/>
          <w:szCs w:val="28"/>
          <w:rtl w:val="true"/>
          <w:lang w:bidi="fa-IR"/>
        </w:rPr>
        <w:t>.</w:t>
      </w:r>
    </w:p>
    <w:p>
      <w:pPr>
        <w:pStyle w:val="Heading6"/>
        <w:numPr>
          <w:ilvl w:val="5"/>
          <w:numId w:val="1"/>
        </w:numPr>
        <w:rPr/>
      </w:pPr>
      <w:bookmarkStart w:id="337" w:name="__RefHeading___Toc3767085_3650668749"/>
      <w:bookmarkStart w:id="338" w:name="_Toc121"/>
      <w:bookmarkEnd w:id="337"/>
      <w:r>
        <w:rPr>
          <w:rtl w:val="true"/>
        </w:rPr>
        <w:t xml:space="preserve">دو </w:t>
      </w:r>
      <w:r>
        <w:rPr>
          <w:rtl w:val="true"/>
        </w:rPr>
        <w:t xml:space="preserve">- </w:t>
      </w:r>
      <w:r>
        <w:rPr>
          <w:rtl w:val="true"/>
        </w:rPr>
        <w:t xml:space="preserve">قرآن و امامان معصوم شيعه </w:t>
      </w:r>
      <w:r>
        <w:rPr>
          <w:rtl w:val="true"/>
        </w:rPr>
        <w:t>(</w:t>
      </w:r>
      <w:r>
        <w:rPr>
          <w:rtl w:val="true"/>
        </w:rPr>
        <w:t>عليهم السلام</w:t>
      </w:r>
      <w:r>
        <w:rPr>
          <w:rtl w:val="true"/>
        </w:rPr>
        <w:t>)</w:t>
      </w:r>
      <w:bookmarkEnd w:id="338"/>
    </w:p>
    <w:p>
      <w:pPr>
        <w:pStyle w:val="BookText"/>
        <w:rPr/>
      </w:pPr>
      <w:r>
        <w:rPr>
          <w:rFonts w:ascii="IRNazanin" w:hAnsi="IRNazanin" w:eastAsia="IRNazanin"/>
          <w:color w:val="111111"/>
          <w:sz w:val="28"/>
          <w:sz w:val="28"/>
          <w:szCs w:val="28"/>
          <w:rtl w:val="true"/>
          <w:lang w:bidi="fa-IR"/>
        </w:rPr>
        <w:t xml:space="preserve">گذشته از اينكه ادعاى تحريف قرآن، با متن آيات و اصول اعتقادات مسلمانان، سازگار نيست، پيروان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همۀ اصول و فروع دين اسلام را از امامان‌معصوم خويش و آنها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مى‌گيرند </w:t>
      </w:r>
      <w:r>
        <w:rPr>
          <w:rStyle w:val="FootnoteAnchor"/>
          <w:rtl w:val="true"/>
        </w:rPr>
        <w:footnoteReference w:id="750"/>
      </w:r>
      <w:r>
        <w:rPr>
          <w:rFonts w:ascii="IRNazanin" w:hAnsi="IRNazanin" w:eastAsia="IRNazanin"/>
          <w:color w:val="111111"/>
          <w:sz w:val="28"/>
          <w:sz w:val="28"/>
          <w:szCs w:val="28"/>
          <w:rtl w:val="true"/>
          <w:lang w:bidi="fa-IR"/>
        </w:rPr>
        <w:t>و ائمه شيعه، به‌همين قرآن موجود در دستِ مسلمانان توجّه داشته‌اند و مسلمانان و پيروان خود را به‌همين قرآن، رهنمون شده‌اند و همين قرآن را مايه نجات آنان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نزديك‌ترين فرد به‌پيامبر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همين قرآن موجود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بيان ارتباط شگفت‌آور خود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 درباره قرآن سخنى مى‌گويد كه كه به‌گفتۀ ابن‌ابى‌الحديد زيباترين تعظيم و تجليل قرآن‌كريم است </w:t>
      </w:r>
      <w:r>
        <w:rPr>
          <w:rStyle w:val="FootnoteAnchor"/>
          <w:rtl w:val="true"/>
        </w:rPr>
        <w:footnoteReference w:id="752"/>
      </w:r>
      <w:r>
        <w:rPr>
          <w:rFonts w:ascii="Amiri" w:hAnsi="Amiri" w:eastAsia="Amiri" w:cs="Amiri"/>
          <w:color w:val="111111"/>
          <w:sz w:val="28"/>
          <w:sz w:val="28"/>
          <w:szCs w:val="28"/>
          <w:rtl w:val="true"/>
          <w:lang w:bidi="ar-SA"/>
        </w:rPr>
        <w:t>، حضرت مى‌فرمايد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هذا القُرآنَ هُوَ النَّاصح ُالَّذِي لايَغُشُّ، وَ الهَادِي الَّذي </w:t>
      </w:r>
    </w:p>
    <w:p>
      <w:pPr>
        <w:pStyle w:val="BookText"/>
        <w:rPr/>
      </w:pPr>
      <w:r>
        <w:rPr>
          <w:rFonts w:ascii="IRNazanin" w:hAnsi="IRNazanin" w:eastAsia="IRNazanin"/>
          <w:color w:val="111111"/>
          <w:sz w:val="28"/>
          <w:sz w:val="28"/>
          <w:szCs w:val="28"/>
          <w:rtl w:val="true"/>
          <w:lang w:bidi="fa-IR"/>
        </w:rPr>
        <w:t>لايُضِلُّ، وَالمُحَدِّثُ الَّذِي لايَكذِبُ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همانا اين قرآن پنددهنده‌اى است كه نمى‌فريبد، و هدايت‌كننده‌اى است كه گمراه نمى‌سازد، و سخنگويى است كه هرگز دروغ نمى‌گويد</w:t>
      </w:r>
      <w:r>
        <w:rPr>
          <w:rFonts w:eastAsia="IRNazanin" w:cs="IRNazanin"/>
          <w:color w:val="111111"/>
          <w:sz w:val="28"/>
          <w:szCs w:val="28"/>
          <w:rtl w:val="true"/>
          <w:lang w:bidi="fa-IR"/>
        </w:rPr>
        <w:t xml:space="preserve">»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ابن‌ابى‌الحديد، نقش‌على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به‌قرآن را چنين تصوير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إتَّفقَ الكُلّ عَلَى أنّه كانَ يَحفَظُ القرآنَ عَلَى عَهد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لم يَكن غيره يَحفظه، ثُمَّ هُوَ أوّل مَن جَمَعَهُ</w:t>
      </w:r>
      <w:r>
        <w:rPr>
          <w:rFonts w:eastAsia="IRNazanin" w:cs="IRNazanin"/>
          <w:color w:val="111111"/>
          <w:sz w:val="28"/>
          <w:szCs w:val="28"/>
          <w:rtl w:val="true"/>
          <w:lang w:bidi="fa-IR"/>
        </w:rPr>
        <w:t xml:space="preserve">»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وقتى ديد قرآن دست‌آويز حيله‌گران واقع شده وروى نيزه‌ها رفته،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إنّمَا قاتَلتُهُم ليَدِينُوا بحكم هذا الكتاب، فإنّهم عَصَوُا اللهَ عزّوجَلَّ فيمَا اَمَرَهم و نسُوا عَهدَه، و نَبَذُوا كتابه</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امام‌حسن‌بن‌على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همين قرآن موجود را اين‌گونه بيان 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القرآنَ فيه مَصابيحُ النُّورِ، و شِفاءُ الصُّدورِ، فليُجلِ جالٍ بضَوئِهِ وليُجلم الصّفة قَلبَه ؛ </w:t>
      </w:r>
      <w:r>
        <w:rPr>
          <w:rFonts w:eastAsia="IRNazanin" w:cs="IRNazanin"/>
          <w:color w:val="111111"/>
          <w:sz w:val="28"/>
          <w:szCs w:val="28"/>
          <w:rtl w:val="true"/>
          <w:lang w:bidi="fa-IR"/>
        </w:rPr>
        <w:t xml:space="preserve">. . .» </w:t>
      </w:r>
      <w:r>
        <w:rPr>
          <w:rStyle w:val="FootnoteAnchor"/>
          <w:rtl w:val="true"/>
        </w:rPr>
        <w:footnoteReference w:id="756"/>
      </w:r>
      <w:r>
        <w:rPr>
          <w:rFonts w:ascii="IRNazanin" w:hAnsi="IRNazanin" w:eastAsia="IRNazanin"/>
          <w:color w:val="111111"/>
          <w:sz w:val="28"/>
          <w:sz w:val="28"/>
          <w:szCs w:val="28"/>
          <w:rtl w:val="true"/>
          <w:lang w:bidi="fa-IR"/>
        </w:rPr>
        <w:t>در فراز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بَقِيَ من هذه الدُّنيا بقية غيرهذا القرآن فاتَّخذُوهُ إماماً، وإنَّ أحَق الناسِ بالقُرآنِ مَن عَملَ به‌و إن لم يحفظه</w:t>
      </w:r>
      <w:r>
        <w:rPr>
          <w:rFonts w:eastAsia="IRNazanin" w:cs="IRNazanin"/>
          <w:color w:val="111111"/>
          <w:sz w:val="28"/>
          <w:szCs w:val="28"/>
          <w:rtl w:val="true"/>
          <w:lang w:bidi="fa-IR"/>
        </w:rPr>
        <w:t xml:space="preserve">. . . » </w:t>
      </w:r>
      <w:r>
        <w:rPr>
          <w:rStyle w:val="FootnoteAnchor"/>
          <w:rtl w:val="true"/>
        </w:rPr>
        <w:footnoteReference w:id="757"/>
      </w:r>
      <w:r>
        <w:rPr>
          <w:rFonts w:ascii="IRNazanin" w:hAnsi="IRNazanin" w:eastAsia="IRNazanin"/>
          <w:color w:val="111111"/>
          <w:sz w:val="28"/>
          <w:sz w:val="28"/>
          <w:szCs w:val="28"/>
          <w:rtl w:val="true"/>
          <w:lang w:bidi="fa-IR"/>
        </w:rPr>
        <w:t xml:space="preserve">در صلحى كه با معاويه به‌اجرا مى‌گذارد، در نخستين بند آن مى‌آورد كه حكومت به‌معاويه واگذار مى‌گردد، مشروط به‌اينكه وى به‌كتاب‌خدا و سنّت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عمل كند</w:t>
      </w:r>
      <w:r>
        <w:rPr>
          <w:rFonts w:eastAsia="IRNazanin" w:cs="IRNazanin"/>
          <w:color w:val="111111"/>
          <w:sz w:val="28"/>
          <w:szCs w:val="28"/>
          <w:rtl w:val="true"/>
          <w:lang w:bidi="fa-IR"/>
        </w:rPr>
        <w:t xml:space="preserve">. </w:t>
      </w:r>
      <w:r>
        <w:rPr>
          <w:rStyle w:val="FootnoteAnchor"/>
          <w:rtl w:val="true"/>
        </w:rPr>
        <w:footnoteReference w:id="75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حسين‌بن‌على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واقع براى نجات مهجوريت قرآن، همۀ هستى خويش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 فدا كرد، از مكه تا كربلا </w:t>
      </w:r>
      <w:r>
        <w:rPr>
          <w:rStyle w:val="FootnoteAnchor"/>
          <w:rtl w:val="true"/>
        </w:rPr>
        <w:footnoteReference w:id="759"/>
      </w:r>
      <w:r>
        <w:rPr>
          <w:rFonts w:ascii="Amiri" w:hAnsi="Amiri" w:eastAsia="Amiri" w:cs="Amiri"/>
          <w:color w:val="111111"/>
          <w:sz w:val="28"/>
          <w:sz w:val="28"/>
          <w:szCs w:val="28"/>
          <w:rtl w:val="true"/>
          <w:lang w:bidi="ar-SA"/>
        </w:rPr>
        <w:t xml:space="preserve">از كربلا تا شهادت و حتّى بعد از شهادت </w:t>
      </w:r>
      <w:r>
        <w:rPr>
          <w:rStyle w:val="FootnoteAnchor"/>
          <w:rtl w:val="true"/>
        </w:rPr>
        <w:footnoteReference w:id="760"/>
      </w:r>
      <w:r>
        <w:rPr>
          <w:rFonts w:ascii="Amiri" w:hAnsi="Amiri" w:eastAsia="Amiri" w:cs="Amiri"/>
          <w:color w:val="111111"/>
          <w:sz w:val="28"/>
          <w:sz w:val="28"/>
          <w:szCs w:val="28"/>
          <w:rtl w:val="true"/>
          <w:lang w:bidi="ar-SA"/>
        </w:rPr>
        <w:t xml:space="preserve">در خطابه‌ها و موعظه‌هايش بخش‌هاى مهمّ از همين قرآن موجود را، تلاوت كرد </w:t>
      </w:r>
      <w:r>
        <w:rPr>
          <w:rStyle w:val="FootnoteAnchor"/>
          <w:rtl w:val="true"/>
        </w:rPr>
        <w:footnoteReference w:id="761"/>
      </w:r>
      <w:r>
        <w:rPr>
          <w:rFonts w:ascii="IRNazanin" w:hAnsi="IRNazanin" w:eastAsia="IRNazanin"/>
          <w:color w:val="111111"/>
          <w:sz w:val="28"/>
          <w:sz w:val="28"/>
          <w:szCs w:val="28"/>
          <w:rtl w:val="true"/>
          <w:lang w:bidi="fa-IR"/>
        </w:rPr>
        <w:t>، قرآن و آيات آن‌را به‌چهار دسته تقسيم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كتاب‌اللهِ عَزَّ وجلَّ على أربعةِ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عَلَى‌العِبارةِ، والاِشارة، واللّطائف و الحقائق؛ فالعبارةُ للعوام، والاِشارة للخواص، واللطائف للاولياء و الحقائق للانبياء </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امامان ديگر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سيدالسّاجدين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 امام‌باقرمحمدبن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 </w:t>
      </w:r>
      <w:bookmarkStart w:id="339" w:name="pg1976_27910"/>
    </w:p>
    <w:p>
      <w:pPr>
        <w:pStyle w:val="BookText"/>
        <w:rPr/>
      </w:pPr>
      <w:bookmarkEnd w:id="339"/>
      <w:r>
        <w:rPr>
          <w:rFonts w:ascii="IRNazanin" w:hAnsi="IRNazanin" w:eastAsia="IRNazanin"/>
          <w:color w:val="111111"/>
          <w:sz w:val="28"/>
          <w:sz w:val="28"/>
          <w:szCs w:val="28"/>
          <w:rtl w:val="true"/>
          <w:lang w:bidi="fa-IR"/>
        </w:rPr>
        <w:t xml:space="preserve">امام جعفربن محمدبن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765"/>
      </w:r>
      <w:r>
        <w:rPr>
          <w:rFonts w:ascii="Amiri" w:hAnsi="Amiri" w:eastAsia="Amiri" w:cs="Amiri"/>
          <w:color w:val="111111"/>
          <w:sz w:val="28"/>
          <w:sz w:val="28"/>
          <w:szCs w:val="28"/>
          <w:rtl w:val="true"/>
          <w:lang w:bidi="ar-SA"/>
        </w:rPr>
        <w:t>، هركدام همين قرآنى را كه دردسترس مردم است، كتاب الهى و هدايت 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با عنايت به رواياتى كه ذكر شد؛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شيعه همين قرآن موجود را كتاب‌خدا و با همان ويژگى‌هايى كه در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معرفى نموده‌اند و به‌آن عمل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عين آيات قرآن موجود و استشهاد به‌آنها و دفاع از آن، شاهد زنده‌اى است براينكه قرآن موجود، همان قرآن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هرگز دچار تحريف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اميرالمؤمنين هنگامى كه قرآن‌ها توسط معاويه روى نيزه‌ها رفت،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قرآن‌ها تحريف شده است؟ ومورد قبول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برابر همه باطل قيام كرد چرا از تحريف و دگرگونى قرآن، سخن به‌ميان نياورد؟ درحالى‌كه از مهجوريت قرآن و عمل نكردن به‌آن، سخن گفت وفرياد زد </w:t>
      </w:r>
      <w:r>
        <w:rPr>
          <w:rStyle w:val="FootnoteAnchor"/>
          <w:rtl w:val="true"/>
        </w:rPr>
        <w:footnoteReference w:id="766"/>
      </w:r>
      <w:r>
        <w:rPr>
          <w:rFonts w:ascii="IRNazanin" w:hAnsi="IRNazanin" w:eastAsia="IRNazanin"/>
          <w:color w:val="111111"/>
          <w:sz w:val="28"/>
          <w:sz w:val="28"/>
          <w:szCs w:val="28"/>
          <w:rtl w:val="true"/>
          <w:lang w:bidi="fa-IR"/>
        </w:rPr>
        <w:t>وخون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به‌فرض، گروهى و قدرتى قصد داشتند به‌قرآن دست ببرند، بى‌ترديد قيام‌هايى همانند قيام كربلا از سوى امامان‌معصوم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به‌وقوع مى‌پيوست</w:t>
      </w:r>
      <w:r>
        <w:rPr>
          <w:rFonts w:eastAsia="IRNazanin" w:cs="IRNazanin"/>
          <w:color w:val="111111"/>
          <w:sz w:val="28"/>
          <w:szCs w:val="28"/>
          <w:rtl w:val="true"/>
          <w:lang w:bidi="fa-IR"/>
        </w:rPr>
        <w:t>.</w:t>
      </w:r>
    </w:p>
    <w:p>
      <w:pPr>
        <w:pStyle w:val="Heading6"/>
        <w:numPr>
          <w:ilvl w:val="5"/>
          <w:numId w:val="1"/>
        </w:numPr>
        <w:rPr/>
      </w:pPr>
      <w:bookmarkStart w:id="340" w:name="__RefHeading___Toc3767087_3650668749"/>
      <w:bookmarkStart w:id="341" w:name="_Toc122"/>
      <w:bookmarkEnd w:id="340"/>
      <w:r>
        <w:rPr>
          <w:rtl w:val="true"/>
        </w:rPr>
        <w:t xml:space="preserve">سه </w:t>
      </w:r>
      <w:r>
        <w:rPr>
          <w:rtl w:val="true"/>
        </w:rPr>
        <w:t xml:space="preserve">- </w:t>
      </w:r>
      <w:r>
        <w:rPr>
          <w:rtl w:val="true"/>
        </w:rPr>
        <w:t>تحريف‌ناپذيرى قرآن از نگاهِ عالمانِ مؤثّر شيعه</w:t>
      </w:r>
      <w:bookmarkEnd w:id="341"/>
    </w:p>
    <w:p>
      <w:pPr>
        <w:pStyle w:val="BookText"/>
        <w:rPr/>
      </w:pPr>
      <w:r>
        <w:rPr>
          <w:rFonts w:ascii="IRNazanin" w:hAnsi="IRNazanin" w:eastAsia="IRNazanin"/>
          <w:color w:val="111111"/>
          <w:sz w:val="28"/>
          <w:sz w:val="28"/>
          <w:szCs w:val="28"/>
          <w:rtl w:val="true"/>
          <w:lang w:bidi="fa-IR"/>
        </w:rPr>
        <w:t xml:space="preserve">جمهور علما و رهبران تأثيرگذار در باورها و انديشه‌هاى مذهبى پيروان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نيز با وقوع تحريف اين‌كتاب آسمانى به‌شدت مخالف‌اند و برخى از رواياتى كه دلالت بر شبهه تحريف دارد، مخالف باورهاى مذهب اماميه مى‌شمارند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ابوجعفر محمدبن علي‌بن الحسين‌بن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دركتابى كه </w:t>
      </w:r>
    </w:p>
    <w:p>
      <w:pPr>
        <w:pStyle w:val="BookText"/>
        <w:rPr/>
      </w:pPr>
      <w:r>
        <w:rPr>
          <w:rFonts w:ascii="Amiri" w:hAnsi="Amiri" w:eastAsia="Amiri" w:cs="Amiri"/>
          <w:color w:val="111111"/>
          <w:sz w:val="28"/>
          <w:sz w:val="28"/>
          <w:szCs w:val="28"/>
          <w:rtl w:val="true"/>
          <w:lang w:bidi="ar-SA"/>
        </w:rPr>
        <w:t>باورهاى شيعه را تبيين مى‌كند، مى‌آورد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إعتقادنا أنَّ القرآنَ الذي أنزَلَهُ‌الله تَعَالى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هوما بين الدَّفّتَينِ، وهُو ما في أيدِي النّاس، لَيسَ بأكثَر مِن ذلك، ومبلغُ سُوَرِهِ عندالنّاس مأة أربع عشرة سورة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محمدبن النعمان ابن‌المعلّم البغدادي المشهوربالشيخ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چندجا از آثارش </w:t>
      </w:r>
      <w:r>
        <w:rPr>
          <w:rStyle w:val="FootnoteAnchor"/>
          <w:rtl w:val="true"/>
        </w:rPr>
        <w:footnoteReference w:id="768"/>
      </w:r>
      <w:r>
        <w:rPr>
          <w:rFonts w:ascii="IRNazanin" w:hAnsi="IRNazanin" w:eastAsia="IRNazanin"/>
          <w:color w:val="111111"/>
          <w:sz w:val="28"/>
          <w:sz w:val="28"/>
          <w:szCs w:val="28"/>
          <w:rtl w:val="true"/>
          <w:lang w:bidi="fa-IR"/>
        </w:rPr>
        <w:t>به اين مسأله پرداخته است؛ در يك‌جا در پاسخ اين سؤال كه آيا قرآن واقعى همان است كه ميان دو جلد و در دست مسلمانان است؟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لاشَكَّ أنّ الَّذِي بَينَ الدَّفّتَينِ مِن القرآن جميعه كلام‌الله تعالى و تنزيله، و لَيسَ شيء مِن كلام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 هوجُمهُور المُنزَل </w:t>
      </w:r>
      <w:r>
        <w:rPr>
          <w:rFonts w:eastAsia="IRNazanin" w:cs="IRNazanin"/>
          <w:color w:val="111111"/>
          <w:sz w:val="28"/>
          <w:szCs w:val="28"/>
          <w:rtl w:val="true"/>
          <w:lang w:bidi="fa-IR"/>
        </w:rPr>
        <w:t xml:space="preserve">. . .» </w:t>
      </w:r>
      <w:r>
        <w:rPr>
          <w:rStyle w:val="FootnoteAnchor"/>
          <w:rtl w:val="true"/>
        </w:rPr>
        <w:footnoteReference w:id="769"/>
      </w:r>
      <w:r>
        <w:rPr>
          <w:rFonts w:ascii="Amiri" w:hAnsi="Amiri" w:eastAsia="Amiri" w:cs="Amiri"/>
          <w:color w:val="111111"/>
          <w:sz w:val="28"/>
          <w:sz w:val="28"/>
          <w:szCs w:val="28"/>
          <w:rtl w:val="true"/>
          <w:lang w:bidi="ar-SA"/>
        </w:rPr>
        <w:t>و تأكيد مى‌كند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مقيد بودن به‌قرآنى‌كه ميان دوجلد است، ضرورى و لازم است جز اينكه ما طبق روايات صحيح از امامان‌معصوم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شده‌ايم به‌قرائت آنچه ميان دو جلد است نَه از آن كاسته و نَه برآن افزوده شود؛ تا اينكه حضرت قائم قيام نمايد و قرآن را به‌همان صورتى‌كه خداوند فروفرستاده و اميرالمؤمنين گِرد آورده، براى مردم قرائت كند</w:t>
      </w:r>
      <w:r>
        <w:rPr>
          <w:rFonts w:eastAsia="IRNazanin" w:cs="IRNazanin"/>
          <w:color w:val="111111"/>
          <w:sz w:val="28"/>
          <w:szCs w:val="28"/>
          <w:rtl w:val="true"/>
          <w:lang w:bidi="fa-IR"/>
        </w:rPr>
        <w:t xml:space="preserve">»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گوشزد مى‌كند كه اگر مراد از زياد شدن، زياد كردن به‌مقدار يك‌سوره باشد به‌گونه‌اى كه نزد يكى از فصحاء با قرآن اشتباه شود، قطعاً باطل است اما زياد شدن يك كلمه و دو كلمه، يك‌حرف و دو حرف به‌گونه‌اى كه به اعجاز قرآن ضرر وارد نكند، و نزد فصحاء با قرآن اشتباه نشود، تنها براى توضيح باشد، اشكال ندارد، ولى من حتّى به اين مقدار زياد شدن بر قرآن قطع ندارم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أميلُ إلى عَدَمِه و سَلامَةُ القرآن عنه </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ممكن است برخى ديدگاه شيخ مفيد را در اين‌خصوص صريح نشمارند، ولى مارتين مكدرموت كه ديدگاه كلامى شيخ مفيد را مورد بررسى قرار مى‌دهد،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كاوِش و مقايسه مفصّل ميان آثار شيخ مفيد، چنين نتيجه مى‌گيرد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خلاصه مى‌توان گفت كه دربارۀ تماميت و درستى متن قرآن رسمى دو اعتقاد در ميان اماميه رايج بوده است؛ بعضى حتى پيش از مفيد، برآن بودند كه متن عثمان تمام و درست است، گروهى ديگر همچون نوبختيان عليرغم تمايلى كه به‌اعتزال داشتند چنان معتقد بودند كه در متن قرآن اضافه و نقصان صورت گرفته است؛ مفيد از هر دوطرف دفاع كرده ولى عقيدۀ نهايى او محتملاً آن بوده كه متن قرآن به‌همان صورتى كه هست تمام و كامل است</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علي‌بن‌الحسين علم‌الهدي الشريف‌المرتضي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عالم شيعى نسبت به زيادى و نقصان قرآن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به‌صحت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علم به شهرها و حوادث بزرگ و وقايع عظيم و كتاب‌هاى مشهور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و توجّه شديد و انگيزه‌هاى وافر بر نَقل و حراست از قرآن بوده است؛ زيرا قرآن، معجزه نبوت و منبع علوم شرعيه و احكام دينى است، و عالمان مسلمان نهايت سعى خويش را در حفظ و حمايت قرآن به‌كار بسته‌اند، و تا آنجا كه اختلاف آنان در اعراب، قرائت، حروف و آيات آن، مشهور است، با همه عنايت و</w:t>
      </w:r>
    </w:p>
    <w:p>
      <w:pPr>
        <w:pStyle w:val="BookText"/>
        <w:rPr/>
      </w:pPr>
      <w:r>
        <w:rPr>
          <w:rFonts w:ascii="IRNazanin" w:hAnsi="IRNazanin" w:eastAsia="IRNazanin"/>
          <w:color w:val="111111"/>
          <w:sz w:val="28"/>
          <w:sz w:val="28"/>
          <w:szCs w:val="28"/>
          <w:rtl w:val="true"/>
          <w:lang w:bidi="fa-IR"/>
        </w:rPr>
        <w:t>حراست شديد چگونه ممكن است قرآن دگرگون شده و ناقص باشد</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ابي‌جعفر محمدبن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شيخ طوسى كه عميق‌ترين تأثيرات را در فرهنگ شيعه داشته است، تصريح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زيادى و نقصان قرآن از چيزهايى است كه شايسته قرآن نيست؛ لانّ الزِّيادةَ فِيهِ مُجمَعٌ عَلَى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والنُّقصانُ منه، فالظّاهرأيضاً مَذهبُ المسلمين خلافه، و هو أليَق بالصّحيحِ من مذهبنا و هوالَّذي نَصَرهُ المرتضى </w:t>
      </w:r>
      <w:r>
        <w:rPr>
          <w:rFonts w:eastAsia="IRNazanin" w:cs="IRNazanin"/>
          <w:color w:val="111111"/>
          <w:sz w:val="28"/>
          <w:szCs w:val="28"/>
          <w:rtl w:val="true"/>
          <w:lang w:bidi="fa-IR"/>
        </w:rPr>
        <w:t xml:space="preserve">. . .»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الحسن‌بن يوسف‌بن المطهر معروف به‌علامه‌حلّى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علامه‌حلّى در پاسخ اين سؤال كه آيا در قرآن نقص و زيادى رخ نموده و ترتيب آن به هم ريخته است، تصريح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ألحقُّ أنَّه لا تَبديلَ و لا تأخيرَ و لا تَقديمَ فيه و أنَّه لم يَزِد ولايَنقُص، و نَعوذُ بالله تعالى مِن أن يَعتَقدَ مِثل ذلك و أمثال ذلك، فإنَّه يُوجِبُ التّطرّق الى معجزة الرَّسُول عليه‌السّلام المنقولة بالتّواتر </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ابوعلى الفضل‌بن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مقدمه تفسير خود به‌صراحت اعلام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از زيادى و نقص در قرآن، شايسته تفسير نيست، و باطل بودن ادّعاى زياد شدن در قرآن اجماعى است؛ اما ادّعاى نقصان نسبت به‌قرآن، هرچند گروهى از اصحاب‌ما و جمعى از حشويه در اهل‌سنت، مدّعى دگرگونى و نقص در قرآن شده‌اند، ولى ديدگاه صحيح مذهب در ميان اصحاب اماميه، خلاف آن است </w:t>
      </w:r>
      <w:r>
        <w:rPr>
          <w:rFonts w:eastAsia="IRNazanin" w:cs="IRNazanin"/>
          <w:color w:val="111111"/>
          <w:sz w:val="28"/>
          <w:szCs w:val="28"/>
          <w:rtl w:val="true"/>
          <w:lang w:bidi="fa-IR"/>
        </w:rPr>
        <w:t xml:space="preserve">. . .»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و فقهاى ديگر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زين‌الدين‌ابى محمد على‌بن يونس العاملى البياضى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المولى احمد المحقق الاردبيلى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محمدبن الحسين الحارثى شيخ بهايى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المولى محسن ملقّب به فيض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محمدبن‌الحسن الحّرالعاملى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السيد محسن الحسينى الاعرجى‌المحقق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الشيخ جعفر كاشف‌الغطاء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ميرزا موسى التبريزى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العلاّمه البلاغى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السيدعبدالحسين شرف‌الدين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السيدعلى‌العلاّمة الفانى الإصفهانى </w:t>
      </w:r>
      <w:r>
        <w:rPr>
          <w:rStyle w:val="FootnoteAnchor"/>
          <w:rtl w:val="true"/>
        </w:rPr>
        <w:footnoteReference w:id="788"/>
      </w:r>
      <w:r>
        <w:rPr>
          <w:rFonts w:ascii="Amiri" w:hAnsi="Amiri" w:eastAsia="Amiri" w:cs="Amiri"/>
          <w:color w:val="111111"/>
          <w:sz w:val="28"/>
          <w:sz w:val="28"/>
          <w:szCs w:val="28"/>
          <w:rtl w:val="true"/>
          <w:lang w:bidi="ar-SA"/>
        </w:rPr>
        <w:t xml:space="preserve">عبدالحسين‌احمد الامينى‌النجفى </w:t>
      </w:r>
      <w:r>
        <w:rPr>
          <w:rStyle w:val="FootnoteAnchor"/>
          <w:rtl w:val="true"/>
        </w:rPr>
        <w:footnoteReference w:id="789"/>
      </w:r>
      <w:r>
        <w:rPr>
          <w:rFonts w:ascii="Amiri" w:hAnsi="Amiri" w:eastAsia="Amiri" w:cs="Amiri"/>
          <w:color w:val="111111"/>
          <w:sz w:val="28"/>
          <w:sz w:val="28"/>
          <w:szCs w:val="28"/>
          <w:rtl w:val="true"/>
          <w:lang w:bidi="ar-SA"/>
        </w:rPr>
        <w:t xml:space="preserve">السيدمحسن امين‌العاملى </w:t>
      </w:r>
      <w:r>
        <w:rPr>
          <w:rStyle w:val="FootnoteAnchor"/>
          <w:rtl w:val="true"/>
        </w:rPr>
        <w:footnoteReference w:id="790"/>
      </w:r>
      <w:r>
        <w:rPr>
          <w:rFonts w:ascii="Amiri" w:hAnsi="Amiri" w:eastAsia="Amiri" w:cs="Amiri"/>
          <w:color w:val="111111"/>
          <w:sz w:val="28"/>
          <w:sz w:val="28"/>
          <w:szCs w:val="28"/>
          <w:rtl w:val="true"/>
          <w:lang w:bidi="ar-SA"/>
        </w:rPr>
        <w:t xml:space="preserve">محمدحسين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 السيدروح الله‌الإمام الخمينى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 همه بر تحريف‌ناپذيرى قرآن، تأكيد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اشاره شد ديدگاه‌هاى جمعى از نخبگان تأثيرگذار شيعه بود </w:t>
      </w:r>
      <w:r>
        <w:rPr>
          <w:rStyle w:val="FootnoteAnchor"/>
          <w:rtl w:val="true"/>
        </w:rPr>
        <w:footnoteReference w:id="793"/>
      </w:r>
      <w:r>
        <w:rPr>
          <w:rFonts w:ascii="Amiri" w:hAnsi="Amiri" w:eastAsia="Amiri" w:cs="Amiri"/>
          <w:color w:val="111111"/>
          <w:sz w:val="28"/>
          <w:sz w:val="28"/>
          <w:szCs w:val="28"/>
          <w:rtl w:val="true"/>
          <w:lang w:bidi="ar-SA"/>
        </w:rPr>
        <w:t>، كه به‌منظور نكات زير، عرضه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قايل به عدم تحريف جز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گروهى از نويسندگان وهابى، تنها به‌اتّهام نمودن شيعه به‌تحريف اكتفا نكرده‌اند، بلكه افتراى ديگرى را نيز به‌شيعه نسبت داده‌اند؛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نام بردن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شخصيت‌هاى شيعه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كه يكى از آنها را سيدمرتضى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نهج‌البلاغه نام 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تتبّعى كه در كتاب‌هاى حديثى، تفسيرى و اعتقادى اماميه انجام دادم، از نيمه قرن چهارم تا قرن ششم جز اين چهار نفر، كه پنجمى هم ندارد، كسى قايل به‌عدم تحريف قرآن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نويسنده‌اى ديگر ضمن تكرارخطاهاى وى درمورد شريف‌المرتضى، با تقليد از او و بدون كاوِش نسبت به‌ديدگاهِ شيعه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عَرَفنا أنَّه لا يُوجَد مِن علماء الشّيعة القدامي عَلَى كَثرَتهم مَن لم يقُل بالتّحريف غيرهؤلاء الاربعة </w:t>
      </w:r>
      <w:r>
        <w:rPr>
          <w:rFonts w:eastAsia="IRNazanin" w:cs="IRNazanin"/>
          <w:color w:val="111111"/>
          <w:sz w:val="28"/>
          <w:szCs w:val="28"/>
          <w:rtl w:val="true"/>
          <w:lang w:bidi="fa-IR"/>
        </w:rPr>
        <w:t xml:space="preserve">. . .»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قفارى، همان سخن را تكرار مى‌كند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نويسنده از ميان فقها و علماى متأخر و معاصر مكتب اهل بيت، تنها به‌محمد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كتاب </w:t>
      </w:r>
    </w:p>
    <w:p>
      <w:pPr>
        <w:pStyle w:val="BookText"/>
        <w:rPr/>
      </w:pPr>
      <w:r>
        <w:rPr>
          <w:rFonts w:ascii="Amiri" w:hAnsi="Amiri" w:eastAsia="Amiri" w:cs="Amiri"/>
          <w:color w:val="111111"/>
          <w:sz w:val="28"/>
          <w:sz w:val="28"/>
          <w:szCs w:val="28"/>
          <w:rtl w:val="true"/>
          <w:lang w:bidi="ar-SA"/>
        </w:rPr>
        <w:t xml:space="preserve">اصل‌الشيعة و اصولها و السيدمحسن امين در نقض الوشيعه، و دائرة المعارف الاسلامية الشّيعية و السّيدالخويى در البيان، اشاره مى‌كند كه قايل به‌عدم تحريف‌اند </w:t>
      </w:r>
      <w:r>
        <w:rPr>
          <w:rStyle w:val="FootnoteAnchor"/>
          <w:rtl w:val="true"/>
        </w:rPr>
        <w:footnoteReference w:id="796"/>
      </w:r>
      <w:r>
        <w:rPr>
          <w:rFonts w:ascii="IRNazanin" w:hAnsi="IRNazanin" w:eastAsia="IRNazanin"/>
          <w:color w:val="111111"/>
          <w:sz w:val="28"/>
          <w:sz w:val="28"/>
          <w:szCs w:val="28"/>
          <w:rtl w:val="true"/>
          <w:lang w:bidi="fa-IR"/>
        </w:rPr>
        <w:t xml:space="preserve">درحالى‌كه پس از شيخ صدوق هر عالمِ صاحب قلم و داراى انديشه‌اى كه نسبت به‌قرآن اظهارنظر داشته، به‌تحريف‌ناپذيرى قرآن تصريح نموده است و حتّى سخن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اعتقاد تحريف را به‌همه شيعيان تعميم مى‌دهد، مورد اعتراض قفارى واقع شده است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ارائه دليل بر عدم‌تحريف؛ برخى نويسندگان با اصرار بر اينكه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به‌تحريف دارند، دليل مدعاى خويش را عدم ارائه دليل از سوى چهار شخصيت شيعه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مستند نكردن انكار تحريف را به‌قدماء و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دانسته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اين‌گونه اظهارنظر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فرد بصير و خردمندى مى‌داند كه از اصول اعتقادى شيعه تحريف است، و انكار برخى، از باب تقيه و نفاق و دروغ است كه جز به‌خاطر سدِّ باب طعن و ترس از تكفير از سوى فرقه ناجيه اهل‌سنت نيست و شيعه با اين اعتقادات خود، دينى غير از دين اسلام دارد</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اين اِتّهام بايدگفت؛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عدم تحريف دليل نمى‌خواهد، دليل آن، خود قرآن است؛ چه دليلى محكم‌تر و گوياتر از خود قرآن كه با صراحت تمام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لَكِتَاب عَزِيزٌلاَ يَاْتِيهِ الْبَاطِلُ مِن بَيْنِ يَدَيْهِ وَلاَ مِنْ خَلْفِهِ تَنزِيلٌ مِنْ حَكِيمٍ حَمِيد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إِنَّا نَحْنُ نَزَّلْنَا الذِّكْرَ وَإِنَّا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تحدّى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قطع نظر از اينكه همه عالمانى كه در اين خصوص اظهارنظر نموده‌اند، آيات حفظ قرآن را دليل محكم دانسته‌اند؛ شيخ صدوق با تكيه به‌آيات صريح درحفظ و حراست خداوند از قرآن كريم، وتكذيب روايات دال برتحريف، قرآن را مصون از تحريف مى‌داند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ضمن اينكه آنچه ميان دو جلد است را، قرآن واقعى دانسته و مضمون روايات دال بر تحريف را مردود مى‌داند، قرائت سورۀ كامل از همين قرآن را در فقه شيعه، دليل بر عدم تحريف مى‌شمارد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طوسى‌با ردّ اخبار نقصان اجماع شيعه را </w:t>
      </w:r>
      <w:r>
        <w:rPr>
          <w:rStyle w:val="FootnoteAnchor"/>
          <w:rtl w:val="true"/>
        </w:rPr>
        <w:footnoteReference w:id="802"/>
      </w:r>
      <w:r>
        <w:rPr>
          <w:rFonts w:ascii="Amiri" w:hAnsi="Amiri" w:eastAsia="Amiri" w:cs="Amiri"/>
          <w:color w:val="111111"/>
          <w:sz w:val="28"/>
          <w:sz w:val="28"/>
          <w:szCs w:val="28"/>
          <w:rtl w:val="true"/>
          <w:lang w:bidi="ar-SA"/>
        </w:rPr>
        <w:t xml:space="preserve">، شريف المرتضى معجزه بودن و حراست عالمان از قرآن درطول تاريخ را </w:t>
      </w:r>
      <w:r>
        <w:rPr>
          <w:rStyle w:val="FootnoteAnchor"/>
          <w:rtl w:val="true"/>
        </w:rPr>
        <w:footnoteReference w:id="803"/>
      </w:r>
      <w:r>
        <w:rPr>
          <w:rFonts w:ascii="IRNazanin" w:hAnsi="IRNazanin" w:eastAsia="IRNazanin"/>
          <w:color w:val="111111"/>
          <w:sz w:val="28"/>
          <w:sz w:val="28"/>
          <w:szCs w:val="28"/>
          <w:rtl w:val="true"/>
          <w:lang w:bidi="fa-IR"/>
        </w:rPr>
        <w:t xml:space="preserve">، علامه‌حلّى اعجاز بودن و متواتر بودن قرآن را </w:t>
      </w:r>
      <w:r>
        <w:rPr>
          <w:rStyle w:val="FootnoteAnchor"/>
          <w:rtl w:val="true"/>
        </w:rPr>
        <w:footnoteReference w:id="804"/>
      </w:r>
      <w:r>
        <w:rPr>
          <w:rFonts w:ascii="Amiri" w:hAnsi="Amiri" w:eastAsia="Amiri" w:cs="Amiri"/>
          <w:color w:val="111111"/>
          <w:sz w:val="28"/>
          <w:sz w:val="28"/>
          <w:szCs w:val="28"/>
          <w:rtl w:val="true"/>
          <w:lang w:bidi="ar-SA"/>
        </w:rPr>
        <w:t xml:space="preserve">، عاملى‌البياضى و محقِّق اردبيلى ضرورت و اهتمام وسعى اصحاب در حراست از آن را </w:t>
      </w:r>
      <w:r>
        <w:rPr>
          <w:rStyle w:val="FootnoteAnchor"/>
          <w:rtl w:val="true"/>
        </w:rPr>
        <w:footnoteReference w:id="805"/>
      </w:r>
      <w:r>
        <w:rPr>
          <w:rFonts w:ascii="Amiri" w:hAnsi="Amiri" w:eastAsia="Amiri" w:cs="Amiri"/>
          <w:color w:val="111111"/>
          <w:sz w:val="28"/>
          <w:sz w:val="28"/>
          <w:szCs w:val="28"/>
          <w:rtl w:val="true"/>
          <w:lang w:bidi="ar-SA"/>
        </w:rPr>
        <w:t xml:space="preserve">، فيض‌كاشانى علاوه بر آيات حفظ، قاعده عَرضه روايات بر قرآن را </w:t>
      </w:r>
      <w:r>
        <w:rPr>
          <w:rStyle w:val="FootnoteAnchor"/>
          <w:rtl w:val="true"/>
        </w:rPr>
        <w:footnoteReference w:id="806"/>
      </w:r>
      <w:r>
        <w:rPr>
          <w:rFonts w:ascii="Amiri" w:hAnsi="Amiri" w:eastAsia="Amiri" w:cs="Amiri"/>
          <w:color w:val="111111"/>
          <w:sz w:val="28"/>
          <w:sz w:val="28"/>
          <w:szCs w:val="28"/>
          <w:rtl w:val="true"/>
          <w:lang w:bidi="ar-SA"/>
        </w:rPr>
        <w:t xml:space="preserve">، حُرّ عاملى عالى‌ترين تواتر و نقل اصحاب و مجموع بودن اين كتاب الهى در زمان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Style w:val="FootnoteAnchor"/>
          <w:rtl w:val="true"/>
        </w:rPr>
        <w:footnoteReference w:id="807"/>
      </w:r>
      <w:r>
        <w:rPr>
          <w:rFonts w:ascii="IRNazanin" w:hAnsi="IRNazanin" w:eastAsia="IRNazanin"/>
          <w:color w:val="111111"/>
          <w:sz w:val="28"/>
          <w:sz w:val="28"/>
          <w:szCs w:val="28"/>
          <w:rtl w:val="true"/>
          <w:lang w:bidi="fa-IR"/>
        </w:rPr>
        <w:t xml:space="preserve">، كاشف الغطاء گذشته از آيات، ضرورت دين و اجماع علما در همۀ اعصار را </w:t>
      </w:r>
      <w:r>
        <w:rPr>
          <w:rStyle w:val="FootnoteAnchor"/>
          <w:rtl w:val="true"/>
        </w:rPr>
        <w:footnoteReference w:id="808"/>
      </w:r>
      <w:r>
        <w:rPr>
          <w:rFonts w:ascii="Amiri" w:hAnsi="Amiri" w:eastAsia="Amiri" w:cs="Amiri"/>
          <w:color w:val="111111"/>
          <w:sz w:val="28"/>
          <w:sz w:val="28"/>
          <w:szCs w:val="28"/>
          <w:rtl w:val="true"/>
          <w:lang w:bidi="ar-SA"/>
        </w:rPr>
        <w:t xml:space="preserve">، السيدمحسن‌امين، اجماع را </w:t>
      </w:r>
      <w:r>
        <w:rPr>
          <w:rStyle w:val="FootnoteAnchor"/>
          <w:rtl w:val="true"/>
        </w:rPr>
        <w:footnoteReference w:id="809"/>
      </w:r>
      <w:r>
        <w:rPr>
          <w:rFonts w:ascii="Amiri" w:hAnsi="Amiri" w:eastAsia="Amiri" w:cs="Amiri"/>
          <w:color w:val="111111"/>
          <w:sz w:val="28"/>
          <w:sz w:val="28"/>
          <w:szCs w:val="28"/>
          <w:rtl w:val="true"/>
          <w:lang w:bidi="ar-SA"/>
        </w:rPr>
        <w:t xml:space="preserve">، سيدشرف‌الدين متواتر بودنِ حتى حروف و حرك </w:t>
      </w:r>
    </w:p>
    <w:p>
      <w:pPr>
        <w:pStyle w:val="BookText"/>
        <w:rPr/>
      </w:pPr>
      <w:r>
        <w:rPr>
          <w:rFonts w:ascii="IRNazanin" w:hAnsi="IRNazanin" w:eastAsia="IRNazanin"/>
          <w:color w:val="111111"/>
          <w:sz w:val="28"/>
          <w:sz w:val="28"/>
          <w:szCs w:val="28"/>
          <w:rtl w:val="true"/>
          <w:lang w:bidi="fa-IR"/>
        </w:rPr>
        <w:t xml:space="preserve">ات قرآن </w:t>
      </w:r>
      <w:r>
        <w:rPr>
          <w:rStyle w:val="FootnoteAnchor"/>
          <w:rtl w:val="true"/>
        </w:rPr>
        <w:footnoteReference w:id="810"/>
      </w:r>
      <w:r>
        <w:rPr>
          <w:rFonts w:ascii="Amiri" w:hAnsi="Amiri" w:eastAsia="Amiri" w:cs="Amiri"/>
          <w:color w:val="111111"/>
          <w:sz w:val="28"/>
          <w:sz w:val="28"/>
          <w:szCs w:val="28"/>
          <w:rtl w:val="true"/>
          <w:lang w:bidi="ar-SA"/>
        </w:rPr>
        <w:t xml:space="preserve">، حجيت ظواهر قرآن، ضرورت مذهب، قاعده عرضه روايات بركتاب و قرائت سورۀ كامل از قرآن فعلى در نمازها را </w:t>
      </w:r>
      <w:r>
        <w:rPr>
          <w:rStyle w:val="FootnoteAnchor"/>
          <w:rtl w:val="true"/>
        </w:rPr>
        <w:footnoteReference w:id="811"/>
      </w:r>
      <w:r>
        <w:rPr>
          <w:rFonts w:ascii="Amiri" w:hAnsi="Amiri" w:eastAsia="Amiri" w:cs="Amiri"/>
          <w:color w:val="111111"/>
          <w:sz w:val="28"/>
          <w:sz w:val="28"/>
          <w:szCs w:val="28"/>
          <w:rtl w:val="true"/>
          <w:lang w:bidi="ar-SA"/>
        </w:rPr>
        <w:t>، دلايل عدم تحريف 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وجود، چگونه نويسندگان الشيعةوالقرآن، انتصارالحق و حقيقةالشّيعه چنين ادعاى بى‌پايه‌اى مى‌كنند؟ و اينكه اظهار نظر و انكار تحريف از سوى فقهاى شيعه را خدعه و كذب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مى‌شمارند؛ گويا از يك‌سو، خود را عالمانِ به‌غيب و مطلع از نيت‌هاى آنان قلمداد مى‌كنند كه بطلانش روشن است؛ از ديگرسو، برخلاف همۀ صاحبان خرد كه طبق ظواهر قضاوت مى‌كنند و ظواهر كلمات و جملات اهل دانش را حجت مى‌شمارند، گام برداشته و حجيت ظواهر را تخطئه مى‌كنند كه بى‌ترديد با اين روش گفتار خودشان را نيز مشمول عدم‌حجيت ظواهر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ياد شده مدعى‌اند عالمان شيعه و منكران تحريف قرآن، براى اثبات عدم تحريف از امامان خود نه‌تنها پشتوانه روايى ارائه نداده‌اند، كه دَه‌ها روايت مبنى بر تحريف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نقل نموده‌اند </w:t>
      </w:r>
      <w:r>
        <w:rPr>
          <w:rStyle w:val="FootnoteAnchor"/>
          <w:rtl w:val="true"/>
        </w:rPr>
        <w:footnoteReference w:id="812"/>
      </w:r>
      <w:r>
        <w:rPr>
          <w:rFonts w:ascii="IRNazanin" w:hAnsi="IRNazanin" w:eastAsia="IRNazanin"/>
          <w:color w:val="111111"/>
          <w:sz w:val="28"/>
          <w:sz w:val="28"/>
          <w:szCs w:val="28"/>
          <w:rtl w:val="true"/>
          <w:lang w:bidi="fa-IR"/>
        </w:rPr>
        <w:t xml:space="preserve">اين‌ادعا نيز به‌دور از روح تحقيق و پژوهش است؛ زيرا آنان ميان دومبحث اعتقادى و مباحث روايى خلط كرده‌اند؛ بحث از رواياتى كه شائبه و بوى تحريف را مى‌دهد ربطى به‌باورها ندارد؛ زيرا همان‌طورى كه اين‌گونه روايات در منابع شيعه به‌چشم مى‌خورد در منابع آنان نيز فراوان وجود دارد </w:t>
      </w:r>
      <w:r>
        <w:rPr>
          <w:rStyle w:val="FootnoteAnchor"/>
          <w:rtl w:val="true"/>
        </w:rPr>
        <w:footnoteReference w:id="813"/>
      </w:r>
      <w:r>
        <w:rPr>
          <w:rFonts w:ascii="IRNazanin" w:hAnsi="IRNazanin" w:eastAsia="IRNazanin"/>
          <w:color w:val="111111"/>
          <w:sz w:val="28"/>
          <w:sz w:val="28"/>
          <w:szCs w:val="28"/>
          <w:rtl w:val="true"/>
          <w:lang w:bidi="fa-IR"/>
        </w:rPr>
        <w:t>، و هر روايتى در منابع حديثى وتفسيرى نمى‌تواند نشانگر ايمان به‌آن‌ها هم باشد؛ و همان‌گونه كه در نصّ كلمات عالمان ذى نفوذ اماميه خاطر نشان شد، اعتقاد به‌تحريف مردود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اينكه عالمان شيعه پشتوانه روايى از امامان خود مبنى برعدم تحريف، ارائه </w:t>
      </w:r>
    </w:p>
    <w:p>
      <w:pPr>
        <w:pStyle w:val="BookText"/>
        <w:rPr/>
      </w:pPr>
      <w:r>
        <w:rPr>
          <w:rFonts w:ascii="IRNazanin" w:hAnsi="IRNazanin" w:eastAsia="IRNazanin"/>
          <w:color w:val="111111"/>
          <w:sz w:val="28"/>
          <w:sz w:val="28"/>
          <w:szCs w:val="28"/>
          <w:rtl w:val="true"/>
          <w:lang w:bidi="fa-IR"/>
        </w:rPr>
        <w:t xml:space="preserve">نكرده‌اند، در نتيجه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معتقد به‌تحريف بوده‌اند؛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روايات دال بر تحريف كه بحثش خواهد آمد،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امامان معصوم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ديدگاه‌هاى جمعى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به‌قرآن موجود، اشاره شد و به‌اثبات رسيد كه آنان همين قرآن را قبول داشتند و براساس همين قرآن حكم مى‌كردند و همين قرآن را كتاب هدايت دانسته و قرائت مى‌كردند؛ با اين وجود، آيا امامان شيعه اعتقاد به‌تحريف قرآن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همين امامان، قاعده عرضه داشتن رواياتشان را به‌كتاب خدا، راهِ برون رفت از تعارض روايات مى‌دانند، اگر آنان قرآن را مُحَّرف مى‌دانستند، اين قاعده لغو نخواهد بود؟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قاضى‌عبدالجبّار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ردّ شبهه تحريف،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وقوع تحريف ممكن است در حالى‌كه اگر تحريف واقع شده بود چرا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انكار نكرد، و اگر در ابتدا توان مقابله با آن را نداشت، در زمان خلافتش به‌اين امر اقدام نكرد؟ و همه مى‌دانيم كه اهتمام به‌قرآن بدون شك از بزرگ‌ترين اموردينى است و بر حضرت واجب بود كه به‌اين مسأله مى‌پرداخت؛ زيرا فسادى كه از ناحيه تغيير و تحريف قرآن ايجاد مى‌شود عظيم‌تر از فسادى بود كه از طرف معاويه وارد مى‌گشت، واصلاح و بازگرداندن قرآن به‌مسير اصليش بزرگ‌تر از اصلاح معاويه بود</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به‌رواياتى كه از آنها نسبت به‌قرآن گزارش شده، بحث جدى روزگار آنها در مرحلۀ نخست، بحث تأويل </w:t>
      </w:r>
      <w:r>
        <w:rPr>
          <w:rStyle w:val="FootnoteAnchor"/>
          <w:rtl w:val="true"/>
        </w:rPr>
        <w:footnoteReference w:id="816"/>
      </w:r>
      <w:r>
        <w:rPr>
          <w:rFonts w:ascii="Amiri" w:hAnsi="Amiri" w:eastAsia="Amiri" w:cs="Amiri"/>
          <w:color w:val="111111"/>
          <w:sz w:val="28"/>
          <w:sz w:val="28"/>
          <w:szCs w:val="28"/>
          <w:rtl w:val="true"/>
          <w:lang w:bidi="ar-SA"/>
        </w:rPr>
        <w:t xml:space="preserve">و تفسير قرآن بود، و </w:t>
      </w:r>
    </w:p>
    <w:p>
      <w:pPr>
        <w:pStyle w:val="BookText"/>
        <w:rPr/>
      </w:pPr>
      <w:r>
        <w:rPr>
          <w:rFonts w:ascii="IRNazanin" w:hAnsi="IRNazanin" w:eastAsia="IRNazanin"/>
          <w:color w:val="111111"/>
          <w:sz w:val="28"/>
          <w:sz w:val="28"/>
          <w:szCs w:val="28"/>
          <w:rtl w:val="true"/>
          <w:lang w:bidi="fa-IR"/>
        </w:rPr>
        <w:t xml:space="preserve">روايات تفسيرى و تأويلى در منابع هردو مكتب فراوان يافت مى‌شود؛ يك نگاهِ اجمالى به‌بخش تفسيرى دو صحيح بخارى </w:t>
      </w:r>
      <w:r>
        <w:rPr>
          <w:rStyle w:val="FootnoteAnchor"/>
          <w:rtl w:val="true"/>
        </w:rPr>
        <w:footnoteReference w:id="817"/>
      </w:r>
      <w:r>
        <w:rPr>
          <w:rFonts w:ascii="IRNazanin" w:hAnsi="IRNazanin" w:eastAsia="IRNazanin"/>
          <w:color w:val="111111"/>
          <w:sz w:val="28"/>
          <w:sz w:val="28"/>
          <w:szCs w:val="28"/>
          <w:rtl w:val="true"/>
          <w:lang w:bidi="fa-IR"/>
        </w:rPr>
        <w:t xml:space="preserve">و مسلم </w:t>
      </w:r>
      <w:r>
        <w:rPr>
          <w:rStyle w:val="FootnoteAnchor"/>
          <w:rtl w:val="true"/>
        </w:rPr>
        <w:footnoteReference w:id="818"/>
      </w:r>
      <w:r>
        <w:rPr>
          <w:rFonts w:ascii="Amiri" w:hAnsi="Amiri" w:eastAsia="Amiri" w:cs="Amiri"/>
          <w:color w:val="111111"/>
          <w:sz w:val="28"/>
          <w:sz w:val="28"/>
          <w:szCs w:val="28"/>
          <w:rtl w:val="true"/>
          <w:lang w:bidi="ar-SA"/>
        </w:rPr>
        <w:t xml:space="preserve">تفاسير طبرى </w:t>
      </w:r>
      <w:r>
        <w:rPr>
          <w:rStyle w:val="FootnoteAnchor"/>
          <w:rtl w:val="true"/>
        </w:rPr>
        <w:footnoteReference w:id="819"/>
      </w:r>
      <w:r>
        <w:rPr>
          <w:rFonts w:ascii="IRNazanin" w:hAnsi="IRNazanin" w:eastAsia="IRNazanin"/>
          <w:color w:val="111111"/>
          <w:sz w:val="28"/>
          <w:sz w:val="28"/>
          <w:szCs w:val="28"/>
          <w:rtl w:val="true"/>
          <w:lang w:bidi="fa-IR"/>
        </w:rPr>
        <w:t xml:space="preserve">و درّالمنثور </w:t>
      </w:r>
      <w:r>
        <w:rPr>
          <w:rStyle w:val="FootnoteAnchor"/>
          <w:rtl w:val="true"/>
        </w:rPr>
        <w:footnoteReference w:id="820"/>
      </w:r>
      <w:r>
        <w:rPr>
          <w:rFonts w:ascii="Amiri" w:hAnsi="Amiri" w:eastAsia="Amiri" w:cs="Amiri"/>
          <w:color w:val="111111"/>
          <w:sz w:val="28"/>
          <w:sz w:val="28"/>
          <w:szCs w:val="28"/>
          <w:rtl w:val="true"/>
          <w:lang w:bidi="ar-SA"/>
        </w:rPr>
        <w:t xml:space="preserve">از منابع اهل سنت و اصول‌كافى </w:t>
      </w:r>
      <w:r>
        <w:rPr>
          <w:rStyle w:val="FootnoteAnchor"/>
          <w:rtl w:val="true"/>
        </w:rPr>
        <w:footnoteReference w:id="821"/>
      </w:r>
      <w:r>
        <w:rPr>
          <w:rFonts w:ascii="Amiri" w:hAnsi="Amiri" w:eastAsia="Amiri" w:cs="Amiri"/>
          <w:color w:val="111111"/>
          <w:sz w:val="28"/>
          <w:sz w:val="28"/>
          <w:szCs w:val="28"/>
          <w:rtl w:val="true"/>
          <w:lang w:bidi="ar-SA"/>
        </w:rPr>
        <w:t xml:space="preserve">تفسير فرات‌كوفى </w:t>
      </w:r>
      <w:r>
        <w:rPr>
          <w:rStyle w:val="FootnoteAnchor"/>
          <w:rtl w:val="true"/>
        </w:rPr>
        <w:footnoteReference w:id="822"/>
      </w:r>
      <w:r>
        <w:rPr>
          <w:rFonts w:ascii="Amiri" w:hAnsi="Amiri" w:eastAsia="Amiri" w:cs="Amiri"/>
          <w:color w:val="111111"/>
          <w:sz w:val="28"/>
          <w:sz w:val="28"/>
          <w:szCs w:val="28"/>
          <w:rtl w:val="true"/>
          <w:lang w:bidi="ar-SA"/>
        </w:rPr>
        <w:t xml:space="preserve">، التّبيان فى تفسير القرآن </w:t>
      </w:r>
      <w:r>
        <w:rPr>
          <w:rStyle w:val="FootnoteAnchor"/>
          <w:rtl w:val="true"/>
        </w:rPr>
        <w:footnoteReference w:id="823"/>
      </w:r>
      <w:r>
        <w:rPr>
          <w:rFonts w:ascii="Amiri" w:hAnsi="Amiri" w:eastAsia="Amiri" w:cs="Amiri"/>
          <w:color w:val="111111"/>
          <w:sz w:val="28"/>
          <w:sz w:val="28"/>
          <w:szCs w:val="28"/>
          <w:rtl w:val="true"/>
          <w:lang w:bidi="ar-SA"/>
        </w:rPr>
        <w:t xml:space="preserve">تفسير ابوالفتوح الرّازى </w:t>
      </w:r>
      <w:r>
        <w:rPr>
          <w:rStyle w:val="FootnoteAnchor"/>
          <w:rtl w:val="true"/>
        </w:rPr>
        <w:footnoteReference w:id="824"/>
      </w:r>
      <w:r>
        <w:rPr>
          <w:rFonts w:ascii="IRNazanin" w:hAnsi="IRNazanin" w:eastAsia="IRNazanin"/>
          <w:color w:val="111111"/>
          <w:sz w:val="28"/>
          <w:sz w:val="28"/>
          <w:szCs w:val="28"/>
          <w:rtl w:val="true"/>
          <w:lang w:bidi="fa-IR"/>
        </w:rPr>
        <w:t>از منابع شيعى؛ نشان مى‌دهد كه در عصر تابعين چه بحث‌هايى در جريان بوده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بحث جدّى آن روزگار، بحث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 و نبودن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ميان مذاهب و نحله‌ها به‌ويژه ميان حنابله و معتزله </w:t>
      </w:r>
      <w:r>
        <w:rPr>
          <w:rStyle w:val="FootnoteAnchor"/>
          <w:rtl w:val="true"/>
        </w:rPr>
        <w:footnoteReference w:id="825"/>
      </w:r>
      <w:r>
        <w:rPr>
          <w:rFonts w:ascii="IRNazanin" w:hAnsi="IRNazanin" w:eastAsia="IRNazanin"/>
          <w:color w:val="111111"/>
          <w:sz w:val="28"/>
          <w:sz w:val="28"/>
          <w:szCs w:val="28"/>
          <w:rtl w:val="true"/>
          <w:lang w:bidi="fa-IR"/>
        </w:rPr>
        <w:t xml:space="preserve">در عهد مأمون عبّاسى، رخ داد و با تسلط افكار معتزله و حمايت مأمون، فتنه بزرگى رخ داد و نوعى تفتيش عقايد صورت </w:t>
      </w:r>
    </w:p>
    <w:p>
      <w:pPr>
        <w:pStyle w:val="BookText"/>
        <w:rPr/>
      </w:pPr>
      <w:r>
        <w:rPr>
          <w:rFonts w:ascii="IRNazanin" w:hAnsi="IRNazanin" w:eastAsia="IRNazanin"/>
          <w:color w:val="111111"/>
          <w:sz w:val="28"/>
          <w:sz w:val="28"/>
          <w:szCs w:val="28"/>
          <w:rtl w:val="true"/>
          <w:lang w:bidi="fa-IR"/>
        </w:rPr>
        <w:t xml:space="preserve">گرفت وحتّى با طرد شدن ابن‌حنبل، انديشه مخلوق بودن قرآن بر انديشه او مبنى بر قديم بودن آن، چيره گشت </w:t>
      </w:r>
      <w:r>
        <w:rPr>
          <w:rStyle w:val="FootnoteAnchor"/>
          <w:rtl w:val="true"/>
        </w:rPr>
        <w:footnoteReference w:id="826"/>
      </w:r>
      <w:r>
        <w:rPr>
          <w:rFonts w:ascii="IRNazanin" w:hAnsi="IRNazanin" w:eastAsia="IRNazanin"/>
          <w:color w:val="111111"/>
          <w:sz w:val="28"/>
          <w:sz w:val="28"/>
          <w:szCs w:val="28"/>
          <w:rtl w:val="true"/>
          <w:lang w:bidi="fa-IR"/>
        </w:rPr>
        <w:t>و كار به‌جايى رسيد كه ابن‌ابى‌دؤاد قاضى‌القضاة دربار عبّاسى از سوى ابن‌حنبل تكفير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ابن‌حنبل سؤال شد كسى‌كه قائل به‌مخلوق بودن قرآن است، حكمش چيست؟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ابن ابي‌دؤاد؟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 بالله العظيم </w:t>
      </w:r>
      <w:r>
        <w:rPr>
          <w:rFonts w:eastAsia="IRNazanin" w:cs="IRNazanin"/>
          <w:color w:val="111111"/>
          <w:sz w:val="28"/>
          <w:szCs w:val="28"/>
          <w:rtl w:val="true"/>
          <w:lang w:bidi="fa-IR"/>
        </w:rPr>
        <w:t xml:space="preserve">»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به‌همين جهت عبدالجبّار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مستقلى با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خلق‌القرآن </w:t>
      </w:r>
      <w:r>
        <w:rPr>
          <w:rFonts w:eastAsia="Amiri" w:cs="Amiri" w:ascii="Amiri" w:hAnsi="Amiri"/>
          <w:color w:val="111111"/>
          <w:sz w:val="28"/>
          <w:szCs w:val="28"/>
          <w:rtl w:val="true"/>
          <w:lang w:bidi="ar-SA"/>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مى‌نويسد و آراء صاحب‌نظران در اين حوزه را مورد بررسى قرار مى‌دهد هرچند كه خود وى معتقد به‌مخلوق بودن قرآن بوده است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تا پيش از غيبت كبرى، بحث از تحريف و تغيير قرآن مطرح نبود، تا امامان معصوم نسبت به‌تحريف‌ناپذيرى آن اظهارنظر نمايند؛ براساس آنچه پژوهش نشان مى‌دهد نخستين افرادى كه سخن از نقص قرآن در آثارشان ديده مى‌شود و آن را به‌شيعه نسبت مى‌دهند، ابوالحسن‌اشعرى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پس از او، در كلام عبدالقاهر بن طاهر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و ابن‌حزم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32"/>
      </w:r>
      <w:r>
        <w:rPr>
          <w:rFonts w:ascii="Amiri" w:hAnsi="Amiri" w:eastAsia="Amiri" w:cs="Amiri"/>
          <w:color w:val="111111"/>
          <w:sz w:val="28"/>
          <w:sz w:val="28"/>
          <w:szCs w:val="28"/>
          <w:rtl w:val="true"/>
          <w:lang w:bidi="ar-SA"/>
        </w:rPr>
        <w:t>اين اتّهام به‌شيعه، شديدتر شده است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بحث تحريف و نقص قرآن‌كريم از قرن چهارم به‌بعد يعنى بعد از غيبت كبرى </w:t>
      </w:r>
      <w:r>
        <w:rPr>
          <w:rStyle w:val="FootnoteAnchor"/>
          <w:rtl w:val="true"/>
        </w:rPr>
        <w:footnoteReference w:id="833"/>
      </w:r>
      <w:r>
        <w:rPr>
          <w:rFonts w:ascii="IRNazanin" w:hAnsi="IRNazanin" w:eastAsia="IRNazanin"/>
          <w:color w:val="111111"/>
          <w:sz w:val="28"/>
          <w:sz w:val="28"/>
          <w:szCs w:val="28"/>
          <w:rtl w:val="true"/>
          <w:lang w:bidi="fa-IR"/>
        </w:rPr>
        <w:t xml:space="preserve">بر سر زبان‌ها افتاد و اينكه ادعا مى‌شود چون امامان شيعه منكر تحريف نشده‌اند، پس خود آنان معتقد به‌تحريف بوده‌اند </w:t>
      </w:r>
      <w:r>
        <w:rPr>
          <w:rStyle w:val="FootnoteAnchor"/>
          <w:rtl w:val="true"/>
        </w:rPr>
        <w:footnoteReference w:id="834"/>
      </w:r>
      <w:r>
        <w:rPr>
          <w:rFonts w:ascii="IRNazanin" w:hAnsi="IRNazanin" w:eastAsia="IRNazanin"/>
          <w:color w:val="111111"/>
          <w:sz w:val="28"/>
          <w:sz w:val="28"/>
          <w:szCs w:val="28"/>
          <w:rtl w:val="true"/>
          <w:lang w:bidi="fa-IR"/>
        </w:rPr>
        <w:t>، ادعاى بى‌اساس و مردود است</w:t>
      </w:r>
      <w:r>
        <w:rPr>
          <w:rFonts w:eastAsia="IRNazanin" w:cs="IRNazanin"/>
          <w:color w:val="111111"/>
          <w:sz w:val="28"/>
          <w:szCs w:val="28"/>
          <w:rtl w:val="true"/>
          <w:lang w:bidi="fa-IR"/>
        </w:rPr>
        <w:t xml:space="preserve">. </w:t>
      </w:r>
      <w:bookmarkStart w:id="342" w:name="pg1976_27939"/>
    </w:p>
    <w:p>
      <w:pPr>
        <w:pStyle w:val="Heading3"/>
        <w:numPr>
          <w:ilvl w:val="2"/>
          <w:numId w:val="1"/>
        </w:numPr>
        <w:rPr/>
      </w:pPr>
      <w:bookmarkStart w:id="343" w:name="__RefHeading___Toc3767089_3650668749"/>
      <w:bookmarkStart w:id="344" w:name="_Toc123"/>
      <w:bookmarkEnd w:id="342"/>
      <w:bookmarkEnd w:id="343"/>
      <w:r>
        <w:rPr>
          <w:rtl w:val="true"/>
        </w:rPr>
        <w:t>فصل دوم</w:t>
      </w:r>
      <w:r>
        <w:rPr>
          <w:rtl w:val="true"/>
        </w:rPr>
        <w:t xml:space="preserve">: </w:t>
      </w:r>
      <w:r>
        <w:rPr>
          <w:rtl w:val="true"/>
        </w:rPr>
        <w:t>كلينى و اعتقاد به‌تحريف قرآن</w:t>
      </w:r>
      <w:bookmarkEnd w:id="344"/>
    </w:p>
    <w:p>
      <w:pPr>
        <w:pStyle w:val="Heading4"/>
        <w:numPr>
          <w:ilvl w:val="3"/>
          <w:numId w:val="1"/>
        </w:numPr>
        <w:rPr/>
      </w:pPr>
      <w:bookmarkStart w:id="345" w:name="__RefHeading___Toc3767091_3650668749"/>
      <w:bookmarkStart w:id="346" w:name="_Toc124"/>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 xml:space="preserve">از مباحث گذشته اين نتيجه به‌دست آمد كه متهم نمودن شيعه به‌اينكه اعتقاد به‌تحريف قرآن دارند، مردود وافترايى بيش نيست امّا اينكه محمدبن‌يعقوب الكلينى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 كافى، به‌تحريف كلام‌الله مجيد باور داشته يا نه؟ در اين قسمت به‌يارى خداوند بررسى مى‌شود</w:t>
      </w:r>
      <w:r>
        <w:rPr>
          <w:rFonts w:eastAsia="IRNazanin" w:cs="IRNazanin"/>
          <w:color w:val="111111"/>
          <w:sz w:val="28"/>
          <w:szCs w:val="28"/>
          <w:rtl w:val="true"/>
          <w:lang w:bidi="fa-IR"/>
        </w:rPr>
        <w:t>.</w:t>
      </w:r>
    </w:p>
    <w:p>
      <w:pPr>
        <w:pStyle w:val="Heading4"/>
        <w:numPr>
          <w:ilvl w:val="3"/>
          <w:numId w:val="1"/>
        </w:numPr>
        <w:rPr/>
      </w:pPr>
      <w:bookmarkStart w:id="347" w:name="__RefHeading___Toc3767093_3650668749"/>
      <w:bookmarkStart w:id="348" w:name="_Toc125"/>
      <w:bookmarkEnd w:id="347"/>
      <w:r>
        <w:rPr/>
        <w:t>١</w:t>
      </w:r>
      <w:r>
        <w:rPr>
          <w:rtl w:val="true"/>
        </w:rPr>
        <w:t xml:space="preserve">. </w:t>
      </w:r>
      <w:r>
        <w:rPr>
          <w:rtl w:val="true"/>
        </w:rPr>
        <w:t>طرح اتّهام تحريف</w:t>
      </w:r>
      <w:bookmarkEnd w:id="34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نويسندگان وهابيت، كلينى را بِدان جهت كه رواياتى‌كه به‌گمان آنها تحريف قرآن را مى‌رساند، در اين كتاب نقل نموده، نه‌تنها معتقد به‌تحريف مى‌دانند كه مؤسِّس و مروِّج اعتقاد به‌تحريف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ناصرالقفارى و غير او، ضمن بررسى روايات تحريف در منابع شيعه، نخستين كتابى را كه در آن شبهه تحريف مطرح شده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سُلَيم‌بن‌قيس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نقل دو روايت در خصوص امامت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نام مى‌برد؛ سپس على‌بن‌ابراهيم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القمى </w:t>
      </w:r>
      <w:r>
        <w:rPr>
          <w:rStyle w:val="FootnoteAnchor"/>
          <w:rtl w:val="true"/>
        </w:rPr>
        <w:footnoteReference w:id="836"/>
      </w:r>
      <w:r>
        <w:rPr>
          <w:rFonts w:ascii="Amiri" w:hAnsi="Amiri" w:eastAsia="Amiri" w:cs="Amiri"/>
          <w:color w:val="111111"/>
          <w:sz w:val="28"/>
          <w:sz w:val="28"/>
          <w:szCs w:val="28"/>
          <w:rtl w:val="true"/>
          <w:lang w:bidi="ar-SA"/>
        </w:rPr>
        <w:t xml:space="preserve">و كلينى در </w:t>
      </w:r>
    </w:p>
    <w:p>
      <w:pPr>
        <w:pStyle w:val="BookText"/>
        <w:rPr/>
      </w:pPr>
      <w:r>
        <w:rPr>
          <w:rFonts w:ascii="IRNazanin" w:hAnsi="IRNazanin" w:eastAsia="IRNazanin"/>
          <w:color w:val="111111"/>
          <w:sz w:val="28"/>
          <w:sz w:val="28"/>
          <w:szCs w:val="28"/>
          <w:rtl w:val="true"/>
          <w:lang w:bidi="fa-IR"/>
        </w:rPr>
        <w:t>كافى را، از مروِّجان اين اعتقاد برشمرده،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وهَذَانِ الرّجُلانِ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قمى‌و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مِمّن أرسى دعائم هذه العقيدة الباطلة و عَمَلا على ترويجها 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والأكثار من الحديث عنها، وقد اكتمَلَت صورة هذه الأسطورة على أيديهما فبدأت الرّوايات عند القمي والكليني</w:t>
      </w:r>
      <w:r>
        <w:rPr>
          <w:rFonts w:eastAsia="IRNazanin" w:cs="IRNazanin"/>
          <w:color w:val="111111"/>
          <w:sz w:val="28"/>
          <w:szCs w:val="28"/>
          <w:rtl w:val="true"/>
          <w:lang w:bidi="fa-IR"/>
        </w:rPr>
        <w:t xml:space="preserve">. . . » .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وى يكى از نمونه‌هايى كه براى تحريف قرآن در كافى، معرفى مى‌كند،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آيه‌اى 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أنزل‌الله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أنزلنا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تفسير قمى نيز مواردى را ذكر مى‌كند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صلاح عبدالفتاح الخالدى نيز اضافه نمودن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درآيه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Style w:val="FootnoteAnchor"/>
          <w:rtl w:val="true"/>
        </w:rPr>
        <w:footnoteReference w:id="8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Style w:val="FootnoteAnchor"/>
          <w:rtl w:val="true"/>
        </w:rPr>
        <w:footnoteReference w:id="841"/>
      </w:r>
      <w:r>
        <w:rPr>
          <w:rFonts w:ascii="Amiri" w:hAnsi="Amiri" w:eastAsia="Amiri" w:cs="Amiri"/>
          <w:color w:val="111111"/>
          <w:sz w:val="28"/>
          <w:sz w:val="28"/>
          <w:szCs w:val="28"/>
          <w:rtl w:val="true"/>
          <w:lang w:bidi="ar-SA"/>
        </w:rPr>
        <w:t>را نمونه‌هايى از تحريف در كافى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قفارى وخالدى، ابوزهره بعد از بحث مفصّل، كلينى را مروّج انديشه نقص قرآن مى‌داند و مى‌نويسد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 مى‌كنم كه بيشترين مروج رواياتى كه در قرآن شك و ترديد ايجاد مى‌كند، كلينى صاحب كافى است؛ زيرا كافى از قديم‌ترين كتاب از كتاب‌هاى چهارگانه است و صاحب اين كتاب انديشه نقص در قرآن را تأسيس كرد، و اصرار بر آن 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ديگر از كتابش با استناد به‌قسمتى از سخن فيض كاشانى 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إعتقادُ مشايخنا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ذلك فالظّاهر مِن ثِقَةِ الاسلام محمّدبنُ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يَعتَقِدُ التَّحريفَ والنُّقصانَ في القُرآن، لِاَنَّه كَانَ رَوَى روايات في هَذا المعنى في كِتابهِ الكافي وَلَم يَتَعرّض لِقَدحٍ فيها مع أنَّه ذكر في أوّل الكتاب أنَّه كان يَثِقُ ممّا رواهُ فيه </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 مدّعى و معتقدِ به‌تحريف را كافر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هرچند اختلاف ما با اين عالم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تطبيق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كافربودن مدّعى‌تحريف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كلينى است؛ زيرا او اثبات مى‌كند كه كلينى معتقد به‌تحريف نبود </w:t>
      </w:r>
      <w:r>
        <w:rPr>
          <w:rStyle w:val="FootnoteAnchor"/>
          <w:rtl w:val="true"/>
        </w:rPr>
        <w:footnoteReference w:id="844"/>
      </w:r>
      <w:r>
        <w:rPr>
          <w:rFonts w:ascii="Amiri" w:hAnsi="Amiri" w:eastAsia="Amiri" w:cs="Amiri"/>
          <w:color w:val="111111"/>
          <w:sz w:val="28"/>
          <w:sz w:val="28"/>
          <w:szCs w:val="28"/>
          <w:rtl w:val="true"/>
          <w:lang w:bidi="ar-SA"/>
        </w:rPr>
        <w:t>، ولى ما به‌دلايلى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روايات تحريف بدون قدح و تكذيب، و ناكافى بودن دليل فيض‌كاشانى برعدم اعتقاد به‌تحريف، باور داريم كه وى معتقد به‌تحريف بوده است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نويسندۀ ديگر كلينى را به‌خاطر اين‌گونه روايات، اهل قبله نمى‌داند</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ديگرى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هذالكليني مَلَاٌ كتابه الكافي بالرّوايات الّتي تَنَصَّ على أنَّ القرآنَ قد حَدَثَ فيه تَبديلٌ وتحريفٌ و حذفٌ و إضافةٌ، ويَمتَلئ بالرّوايات الّتي تنَصَّ على أنَّ الصَّحابَةَ حَذَفُوا ثُلُثَي القُرآن والّتي نَزَلت في حقّ آل‌البيت وأعدائهم، وأنَّ الثُّلث الباقي حَرَّفُوه وبَدَّلوه</w:t>
      </w:r>
      <w:r>
        <w:rPr>
          <w:rFonts w:eastAsia="IRNazanin" w:cs="IRNazanin"/>
          <w:color w:val="111111"/>
          <w:sz w:val="28"/>
          <w:szCs w:val="28"/>
          <w:rtl w:val="true"/>
          <w:lang w:bidi="fa-IR"/>
        </w:rPr>
        <w:t xml:space="preserve">. . . »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استناد به‌روايتى از كافى </w:t>
      </w:r>
      <w:r>
        <w:rPr>
          <w:rStyle w:val="FootnoteAnchor"/>
          <w:rtl w:val="true"/>
        </w:rPr>
        <w:footnoteReference w:id="848"/>
      </w:r>
      <w:r>
        <w:rPr>
          <w:rFonts w:ascii="IRNazanin" w:hAnsi="IRNazanin" w:eastAsia="IRNazanin"/>
          <w:color w:val="111111"/>
          <w:sz w:val="28"/>
          <w:sz w:val="28"/>
          <w:szCs w:val="28"/>
          <w:rtl w:val="true"/>
          <w:lang w:bidi="fa-IR"/>
        </w:rPr>
        <w:t xml:space="preserve">، اين نتيجه را مى‌گيرد كه </w:t>
      </w:r>
      <w:bookmarkStart w:id="349" w:name="pg1976_27945"/>
    </w:p>
    <w:p>
      <w:pPr>
        <w:pStyle w:val="BookText"/>
        <w:rPr/>
      </w:pPr>
      <w:bookmarkEnd w:id="349"/>
      <w:r>
        <w:rPr>
          <w:rFonts w:ascii="IRNazanin" w:hAnsi="IRNazanin" w:eastAsia="IRNazanin"/>
          <w:color w:val="111111"/>
          <w:sz w:val="28"/>
          <w:sz w:val="28"/>
          <w:szCs w:val="28"/>
          <w:rtl w:val="true"/>
          <w:lang w:bidi="fa-IR"/>
        </w:rPr>
        <w:t xml:space="preserve">شيعه برخلاف اهل‌سنّت به‌قرآن موجود، اعتقاد ندارند، و آنچه بر اين اعتقاد شيعه تصريح مى‌كند، رواياتى است كه محدّث بزرگ شيعى يعنى كلينى در كافى كه نزد آنان به‌منزله صحيح بخارى نزد اهل‌سنت است، آورده است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نقل روايتى از امام‌رضا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اصول‌كافى </w:t>
      </w:r>
      <w:r>
        <w:rPr>
          <w:rStyle w:val="FootnoteAnchor"/>
          <w:rtl w:val="true"/>
        </w:rPr>
        <w:footnoteReference w:id="850"/>
      </w:r>
      <w:r>
        <w:rPr>
          <w:rFonts w:ascii="Amiri" w:hAnsi="Amiri" w:eastAsia="Amiri" w:cs="Amiri"/>
          <w:color w:val="111111"/>
          <w:sz w:val="28"/>
          <w:sz w:val="28"/>
          <w:szCs w:val="28"/>
          <w:rtl w:val="true"/>
          <w:lang w:bidi="ar-SA"/>
        </w:rPr>
        <w:t xml:space="preserve">كلينى را معتقد به‌تحريف قرآن معرفى مى‌كند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البندارى ميان تشيع اصيل و تشيع فارسى، فرق گذاشته و تشيع فارسى را كه كلينى از اين دسته است، معتقد به‌تحريف دانسته و مدعى مى‌شود كه اجماع اهل نقل و تفسير برآن، استوار است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3767095_3650668749"/>
      <w:bookmarkStart w:id="351" w:name="_Toc126"/>
      <w:bookmarkEnd w:id="350"/>
      <w:r>
        <w:rPr/>
        <w:t>٢</w:t>
      </w:r>
      <w:r>
        <w:rPr>
          <w:rtl w:val="true"/>
        </w:rPr>
        <w:t xml:space="preserve">. </w:t>
      </w:r>
      <w:r>
        <w:rPr>
          <w:rtl w:val="true"/>
        </w:rPr>
        <w:t>بررسى و نقد اتهام تحريف قرآن نسبت به‌كافى</w:t>
      </w:r>
      <w:bookmarkEnd w:id="351"/>
    </w:p>
    <w:p>
      <w:pPr>
        <w:pStyle w:val="Heading5"/>
        <w:numPr>
          <w:ilvl w:val="4"/>
          <w:numId w:val="1"/>
        </w:numPr>
        <w:rPr/>
      </w:pPr>
      <w:bookmarkStart w:id="352" w:name="__RefHeading___Toc3767097_3650668749"/>
      <w:bookmarkStart w:id="353" w:name="_Toc127"/>
      <w:bookmarkEnd w:id="352"/>
      <w:r>
        <w:rPr>
          <w:rtl w:val="true"/>
        </w:rPr>
        <w:t>اشاره</w:t>
      </w:r>
      <w:bookmarkEnd w:id="35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يادآورى و نقل شد، فشرده‌اى از اتهام‌هايى بود كه بر كافى وارد شده است؛ همان‌گونه كه ملاحظه نموديد، در اين تهمت‌ها؛ 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مدعى نشده كه كلينى به‌صراحت گفته باشد كه قرآن دچار تحريف‌گرديده است و در هيچ‌جاى كافى چنين </w:t>
      </w:r>
    </w:p>
    <w:p>
      <w:pPr>
        <w:pStyle w:val="BookText"/>
        <w:rPr/>
      </w:pPr>
      <w:r>
        <w:rPr>
          <w:rFonts w:ascii="IRNazanin" w:hAnsi="IRNazanin" w:eastAsia="IRNazanin"/>
          <w:color w:val="111111"/>
          <w:sz w:val="28"/>
          <w:sz w:val="28"/>
          <w:szCs w:val="28"/>
          <w:rtl w:val="true"/>
          <w:lang w:bidi="fa-IR"/>
        </w:rPr>
        <w:t>مطلبى هرچند به‌صورت اجمال و اشاره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كلينى را در مظانّ اتهام قرار داده، دو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 رواياتى‌كه بوى تحريف و نقص از آنها به‌مشام مى‌رسد، دركافى نقل شده است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 برخى عناوين باب‌هاى اين‌كتاب، كه به‌مذاق اين نويسندگان سازگارى ندارد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براى ملموس كردن مطلب به‌نمونه‌هايى كه ادعا شده تحريف صورت گرفته،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عناوين باب‌ها عبارتنداز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Style w:val="FootnoteAnchor"/>
          <w:rtl w:val="true"/>
        </w:rPr>
        <w:footnoteReference w:id="855"/>
      </w:r>
      <w:r>
        <w:rPr>
          <w:rFonts w:ascii="Amiri" w:hAnsi="Amiri" w:eastAsia="Amiri" w:cs="Amiri"/>
          <w:color w:val="111111"/>
          <w:sz w:val="28"/>
          <w:sz w:val="28"/>
          <w:szCs w:val="28"/>
          <w:rtl w:val="true"/>
          <w:lang w:bidi="ar-SA"/>
        </w:rPr>
        <w:t xml:space="preserve">أنّه لم يَجمَع القرآن‌كلّه الاّ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يَعلمون عِلمه كُلّه</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Style w:val="FootnoteAnchor"/>
          <w:rtl w:val="true"/>
        </w:rPr>
        <w:footnoteReference w:id="857"/>
      </w:r>
      <w:r>
        <w:rPr>
          <w:rFonts w:ascii="Amiri" w:hAnsi="Amiri" w:eastAsia="Amiri" w:cs="Amiri"/>
          <w:color w:val="111111"/>
          <w:sz w:val="28"/>
          <w:sz w:val="28"/>
          <w:szCs w:val="28"/>
          <w:rtl w:val="true"/>
          <w:lang w:bidi="ar-SA"/>
        </w:rPr>
        <w:t>الاضطرار إلى الحجة</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Style w:val="FootnoteAnchor"/>
          <w:rtl w:val="true"/>
        </w:rPr>
        <w:footnoteReference w:id="859"/>
      </w:r>
      <w:r>
        <w:rPr>
          <w:rFonts w:ascii="Amiri" w:hAnsi="Amiri" w:eastAsia="Amiri" w:cs="Amiri"/>
          <w:color w:val="111111"/>
          <w:sz w:val="28"/>
          <w:sz w:val="28"/>
          <w:szCs w:val="28"/>
          <w:rtl w:val="true"/>
          <w:lang w:bidi="ar-SA"/>
        </w:rPr>
        <w:t xml:space="preserve">أنّ أهل‌الذّكر الَّذين أمرالله الخلق بسئوالهم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هُم أهل الذّكر المسئوولون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و باب‌هاى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ولاة أمرالله و خَزَنَة علمه </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الرّاسخين في العلم هُمُ الأئمة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قد أوتُوا العلم </w:t>
      </w:r>
      <w:r>
        <w:rPr>
          <w:rFonts w:eastAsia="Amiri" w:cs="Amiri" w:ascii="Amiri" w:hAnsi="Amiri"/>
          <w:color w:val="111111"/>
          <w:sz w:val="28"/>
          <w:szCs w:val="28"/>
          <w:rtl w:val="true"/>
          <w:lang w:bidi="ar-SA"/>
        </w:rPr>
        <w:t xml:space="preserve">. . .» </w:t>
      </w:r>
      <w:r>
        <w:rPr>
          <w:rStyle w:val="FootnoteAnchor"/>
          <w:rtl w:val="true"/>
        </w:rPr>
        <w:footnoteReference w:id="86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بيانگر تحريف است،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هشام‌بن‌سالم مبنى بر اينكه تعداد آيات قرآن هفده‌هزار آيه است</w:t>
      </w:r>
      <w:r>
        <w:rPr>
          <w:rFonts w:eastAsia="IRNazanin" w:cs="IRNazanin"/>
          <w:color w:val="111111"/>
          <w:sz w:val="28"/>
          <w:szCs w:val="28"/>
          <w:rtl w:val="true"/>
          <w:lang w:bidi="fa-IR"/>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 درحالى‌كه قرآن بيش از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 آيه </w:t>
      </w:r>
      <w:bookmarkStart w:id="354" w:name="pg1976_27949"/>
    </w:p>
    <w:p>
      <w:pPr>
        <w:pStyle w:val="BookText"/>
        <w:rPr/>
      </w:pPr>
      <w:bookmarkEnd w:id="354"/>
      <w:r>
        <w:rPr>
          <w:rFonts w:ascii="Amiri" w:hAnsi="Amiri" w:eastAsia="Amiri" w:cs="Amiri"/>
          <w:color w:val="111111"/>
          <w:sz w:val="28"/>
          <w:sz w:val="28"/>
          <w:szCs w:val="28"/>
          <w:rtl w:val="true"/>
          <w:lang w:bidi="ar-SA"/>
        </w:rPr>
        <w:t xml:space="preserve">نيست </w:t>
      </w:r>
      <w:r>
        <w:rPr>
          <w:rStyle w:val="FootnoteAnchor"/>
          <w:rtl w:val="true"/>
        </w:rPr>
        <w:footnoteReference w:id="865"/>
      </w:r>
      <w:r>
        <w:rPr>
          <w:rFonts w:ascii="Amiri" w:hAnsi="Amiri" w:eastAsia="Amiri" w:cs="Amiri"/>
          <w:color w:val="111111"/>
          <w:sz w:val="28"/>
          <w:sz w:val="28"/>
          <w:szCs w:val="28"/>
          <w:rtl w:val="true"/>
          <w:lang w:bidi="ar-SA"/>
        </w:rPr>
        <w:t xml:space="preserve">، روايات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باب‌النوادر </w:t>
      </w:r>
      <w:r>
        <w:rPr>
          <w:rStyle w:val="FootnoteAnchor"/>
          <w:rtl w:val="true"/>
        </w:rPr>
        <w:footnoteReference w:id="866"/>
      </w:r>
      <w:r>
        <w:rPr>
          <w:rFonts w:ascii="Amiri" w:hAnsi="Amiri" w:eastAsia="Amiri" w:cs="Amiri"/>
          <w:color w:val="111111"/>
          <w:sz w:val="28"/>
          <w:sz w:val="28"/>
          <w:szCs w:val="28"/>
          <w:rtl w:val="true"/>
          <w:lang w:bidi="ar-SA"/>
        </w:rPr>
        <w:t xml:space="preserve">حديث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بر قرائت فعلى قرآن تا</w:t>
      </w:r>
      <w:r>
        <w:rPr>
          <w:rFonts w:eastAsia="Amiri" w:cs="Amiri" w:ascii="Amiri" w:hAnsi="Amiri"/>
          <w:color w:val="111111"/>
          <w:sz w:val="28"/>
          <w:szCs w:val="28"/>
          <w:rtl w:val="true"/>
          <w:lang w:bidi="ar-SA"/>
        </w:rPr>
        <w:t xml:space="preserve">. . . </w:t>
      </w:r>
      <w:r>
        <w:rPr>
          <w:rStyle w:val="FootnoteAnchor"/>
          <w:rtl w:val="true"/>
        </w:rPr>
        <w:footnoteReference w:id="867"/>
      </w:r>
      <w:r>
        <w:rPr>
          <w:rFonts w:ascii="Amiri" w:hAnsi="Amiri" w:eastAsia="Amiri" w:cs="Amiri"/>
          <w:color w:val="111111"/>
          <w:sz w:val="28"/>
          <w:sz w:val="28"/>
          <w:szCs w:val="28"/>
          <w:rtl w:val="true"/>
          <w:lang w:bidi="ar-SA"/>
        </w:rPr>
        <w:t>، روايات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Style w:val="FootnoteAnchor"/>
          <w:rtl w:val="true"/>
        </w:rPr>
        <w:footnoteReference w:id="868"/>
      </w:r>
      <w:r>
        <w:rPr>
          <w:rFonts w:ascii="Amiri" w:hAnsi="Amiri" w:eastAsia="Amiri" w:cs="Amiri"/>
          <w:color w:val="111111"/>
          <w:sz w:val="28"/>
          <w:sz w:val="28"/>
          <w:szCs w:val="28"/>
          <w:rtl w:val="true"/>
          <w:lang w:bidi="ar-SA"/>
        </w:rPr>
        <w:t>فيه ذكر الصّحيفة والجفر والجامعة ومصحف فاطمة</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اينكه بتوان به اين اتهام‌ها، پاسخ اساسى و درخورِ شأن ارائه شود، لازم است افتراى تحريف در دو مرحله مورد بررسى قرارگيرد</w:t>
      </w:r>
      <w:r>
        <w:rPr>
          <w:rFonts w:eastAsia="IRNazanin" w:cs="IRNazanin"/>
          <w:color w:val="111111"/>
          <w:sz w:val="28"/>
          <w:szCs w:val="28"/>
          <w:rtl w:val="true"/>
          <w:lang w:bidi="fa-IR"/>
        </w:rPr>
        <w:t>:</w:t>
      </w:r>
    </w:p>
    <w:p>
      <w:pPr>
        <w:pStyle w:val="Heading5"/>
        <w:numPr>
          <w:ilvl w:val="4"/>
          <w:numId w:val="1"/>
        </w:numPr>
        <w:rPr/>
      </w:pPr>
      <w:bookmarkStart w:id="355" w:name="__RefHeading___Toc3767099_3650668749"/>
      <w:bookmarkStart w:id="356" w:name="_Toc128"/>
      <w:bookmarkEnd w:id="355"/>
      <w:r>
        <w:rPr>
          <w:rtl w:val="true"/>
        </w:rPr>
        <w:t>مرحله اول</w:t>
      </w:r>
      <w:r>
        <w:rPr>
          <w:rtl w:val="true"/>
        </w:rPr>
        <w:t xml:space="preserve">: </w:t>
      </w:r>
      <w:r>
        <w:rPr>
          <w:rtl w:val="true"/>
        </w:rPr>
        <w:t>پاسخ نقضى</w:t>
      </w:r>
      <w:bookmarkEnd w:id="356"/>
    </w:p>
    <w:p>
      <w:pPr>
        <w:pStyle w:val="Heading6"/>
        <w:numPr>
          <w:ilvl w:val="5"/>
          <w:numId w:val="1"/>
        </w:numPr>
        <w:rPr/>
      </w:pPr>
      <w:bookmarkStart w:id="357" w:name="__RefHeading___Toc3767101_3650668749"/>
      <w:bookmarkStart w:id="358" w:name="_Toc129"/>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 xml:space="preserve">همان‌گونه كه اشاره شد، آنچه كلينى را مورد اتهام به‌تحريف قرآن قرار مى‌دهد و از دين خارج مى‌سازد </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برخى روايات و يا بخشى از عناوين باب‌هايى است كه در كتاب خود به‌آنها پرداخته است؛ ولى ترديدى نيست كه نه‌تنها رواياتى از اين دست در منابع مورد قبول وهابيان وجود دارد، كه صريح در تحريف قرآن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تفاوت دراين است كه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به‌لحاظ اعتقاد استوارى كه نسبت به وعده‌هاى خداوند بر محافظت اين كتاب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دارند، براى كسى توان دستبرد به‌قرآن را نمى‌بينند</w:t>
      </w:r>
      <w:r>
        <w:rPr>
          <w:rFonts w:eastAsia="IRNazanin" w:cs="IRNazanin"/>
          <w:color w:val="111111"/>
          <w:sz w:val="28"/>
          <w:szCs w:val="28"/>
          <w:rtl w:val="true"/>
          <w:lang w:bidi="fa-IR"/>
        </w:rPr>
        <w:t xml:space="preserve">. </w:t>
      </w:r>
      <w:bookmarkStart w:id="359" w:name="pg1976_27951"/>
    </w:p>
    <w:p>
      <w:pPr>
        <w:pStyle w:val="BookText"/>
        <w:rPr/>
      </w:pPr>
      <w:bookmarkEnd w:id="359"/>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حديث ثقلين </w:t>
      </w:r>
      <w:r>
        <w:rPr>
          <w:rStyle w:val="FootnoteAnchor"/>
          <w:rtl w:val="true"/>
        </w:rPr>
        <w:footnoteReference w:id="871"/>
      </w:r>
      <w:r>
        <w:rPr>
          <w:rFonts w:ascii="IRNazanin" w:hAnsi="IRNazanin" w:eastAsia="IRNazanin"/>
          <w:color w:val="111111"/>
          <w:sz w:val="28"/>
          <w:sz w:val="28"/>
          <w:szCs w:val="28"/>
          <w:rtl w:val="true"/>
          <w:lang w:bidi="fa-IR"/>
        </w:rPr>
        <w:t xml:space="preserve">، معتقدند همواره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دركنار قرآن و پاسدار آن بوده‌اند، هيچ‌گاه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برعكس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روايات را به‌رخِ مخالفان خويش نكشيده‌اند؛ از اين رو، دَه‌ها نمونه دالّ بر تحريف در مجامع روايى، تفسيرى آنان موجود است كه به‌گروه‌هاى زير تقسيم مى‌شود</w:t>
      </w:r>
      <w:r>
        <w:rPr>
          <w:rFonts w:eastAsia="IRNazanin" w:cs="IRNazanin"/>
          <w:color w:val="111111"/>
          <w:sz w:val="28"/>
          <w:szCs w:val="28"/>
          <w:rtl w:val="true"/>
          <w:lang w:bidi="fa-IR"/>
        </w:rPr>
        <w:t>:</w:t>
      </w:r>
    </w:p>
    <w:p>
      <w:pPr>
        <w:pStyle w:val="Heading6"/>
        <w:numPr>
          <w:ilvl w:val="5"/>
          <w:numId w:val="1"/>
        </w:numPr>
        <w:rPr/>
      </w:pPr>
      <w:bookmarkStart w:id="360" w:name="__RefHeading___Toc3767103_3650668749"/>
      <w:bookmarkStart w:id="361" w:name="_Toc130"/>
      <w:bookmarkEnd w:id="360"/>
      <w:r>
        <w:rPr>
          <w:rtl w:val="true"/>
        </w:rPr>
        <w:t>الف</w:t>
      </w:r>
      <w:r>
        <w:rPr>
          <w:rtl w:val="true"/>
        </w:rPr>
        <w:t xml:space="preserve">) </w:t>
      </w:r>
      <w:r>
        <w:rPr>
          <w:rtl w:val="true"/>
        </w:rPr>
        <w:t>نقص و دگرگونى در الفاظ و حروف قرآن</w:t>
      </w:r>
      <w:bookmarkEnd w:id="36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به‌مفهوم عام آن يعنى هر دگرگونى، مورد نظر باشد، درتعداد حروف و كلمات قرآن، در منابع اهل‌سنت ديدگاه واحدى وجود ندارد؛ ابن 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اجماع مى‌كند كه حروف قرآن</w:t>
      </w:r>
      <w:r>
        <w:rPr>
          <w:rFonts w:eastAsia="IRNazanin" w:cs="IRNazanin"/>
          <w:color w:val="111111"/>
          <w:sz w:val="28"/>
          <w:szCs w:val="28"/>
          <w:lang w:bidi="fa-IR"/>
        </w:rPr>
        <w:t>3</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هزار حرف است </w:t>
      </w:r>
      <w:r>
        <w:rPr>
          <w:rStyle w:val="FootnoteAnchor"/>
          <w:rtl w:val="true"/>
        </w:rPr>
        <w:footnoteReference w:id="872"/>
      </w:r>
      <w:r>
        <w:rPr>
          <w:rFonts w:ascii="Amiri" w:hAnsi="Amiri" w:eastAsia="Amiri" w:cs="Amiri"/>
          <w:color w:val="111111"/>
          <w:sz w:val="28"/>
          <w:sz w:val="28"/>
          <w:szCs w:val="28"/>
          <w:rtl w:val="true"/>
          <w:lang w:bidi="ar-SA"/>
        </w:rPr>
        <w:t xml:space="preserve">، ولى در مقدار بيشتر از آن اختلافى است؛ ابن‌مسعود مقدار اضافه را </w:t>
      </w: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كه در مجموع مى‌شود </w:t>
      </w:r>
      <w:r>
        <w:rPr>
          <w:rFonts w:eastAsia="Amiri" w:cs="Amiri" w:ascii="Amiri" w:hAnsi="Amiri"/>
          <w:color w:val="111111"/>
          <w:sz w:val="28"/>
          <w:szCs w:val="28"/>
          <w:lang w:bidi="ar-SA"/>
        </w:rPr>
        <w:t>34740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وحمزة بن حبيب، حروف قرآن را</w:t>
      </w:r>
      <w:r>
        <w:rPr>
          <w:rFonts w:eastAsia="Amiri" w:cs="Amiri" w:ascii="Amiri" w:hAnsi="Amiri"/>
          <w:color w:val="111111"/>
          <w:sz w:val="28"/>
          <w:szCs w:val="28"/>
          <w:lang w:bidi="ar-SA"/>
        </w:rPr>
        <w:t>73250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نقل مى‌كند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تعداد حروف قرآن را </w:t>
      </w:r>
      <w:r>
        <w:rPr>
          <w:rFonts w:eastAsia="Amiri" w:cs="Amiri" w:ascii="Amiri" w:hAnsi="Amiri"/>
          <w:color w:val="111111"/>
          <w:sz w:val="28"/>
          <w:szCs w:val="28"/>
          <w:lang w:bidi="ar-SA"/>
        </w:rPr>
        <w:t>323671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مى‌شمارد </w:t>
      </w:r>
      <w:r>
        <w:rPr>
          <w:rStyle w:val="FootnoteAnchor"/>
          <w:rtl w:val="true"/>
        </w:rPr>
        <w:footnoteReference w:id="874"/>
      </w:r>
      <w:r>
        <w:rPr>
          <w:rFonts w:ascii="Amiri" w:hAnsi="Amiri" w:eastAsia="Amiri" w:cs="Amiri"/>
          <w:color w:val="111111"/>
          <w:sz w:val="28"/>
          <w:sz w:val="28"/>
          <w:szCs w:val="28"/>
          <w:rtl w:val="true"/>
          <w:lang w:bidi="ar-SA"/>
        </w:rPr>
        <w:t xml:space="preserve">كه با اين حساب </w:t>
      </w:r>
      <w:bookmarkStart w:id="362" w:name="pg1976_27953"/>
    </w:p>
    <w:p>
      <w:pPr>
        <w:pStyle w:val="BookText"/>
        <w:rPr/>
      </w:pPr>
      <w:bookmarkEnd w:id="362"/>
      <w:r>
        <w:rPr>
          <w:rFonts w:ascii="IRNazanin" w:hAnsi="IRNazanin" w:eastAsia="IRNazanin"/>
          <w:color w:val="111111"/>
          <w:sz w:val="28"/>
          <w:sz w:val="28"/>
          <w:szCs w:val="28"/>
          <w:rtl w:val="true"/>
          <w:lang w:bidi="fa-IR"/>
        </w:rPr>
        <w:t xml:space="preserve">رقم بزرگى به‌عنوان تفاوت با رقم اجماعى پيدا خواهد شد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جالب اينكه 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عمربن‌الخطاب و او از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حَرف و سَبعة وعِشرون ألف حَرف، فَمَن قَرَأهُ صابراً مُحتَسِباً كان لَهُ بِكُلِّ حَرفٍ زَوجةٌ مِن الحُورالعِين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عبارت حروف قرآن را به‌بيش از يك‌ميليون حرف مى‌رساند </w:t>
      </w:r>
      <w:r>
        <w:rPr>
          <w:rStyle w:val="FootnoteAnchor"/>
          <w:rtl w:val="true"/>
        </w:rPr>
        <w:footnoteReference w:id="877"/>
      </w:r>
      <w:r>
        <w:rPr>
          <w:rFonts w:ascii="IRNazanin" w:hAnsi="IRNazanin" w:eastAsia="IRNazanin"/>
          <w:color w:val="111111"/>
          <w:sz w:val="28"/>
          <w:sz w:val="28"/>
          <w:szCs w:val="28"/>
          <w:rtl w:val="true"/>
          <w:lang w:bidi="fa-IR"/>
        </w:rPr>
        <w:t>سيوطى به‌جاى اينكه به‌نَقل اين عدد عجيب ترديد نمايد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حُمِلَ ذلكَ عَلَى مَا نسخ رسمه من القرآن أيضاً؛ اذ الموجود الآن لايَبلغ هذا العدد </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تعداد كلمات قرآن نيز نقل‌ها متفاوت است؛ منهال‌بن‌عمرو از ابن‌مسعود</w:t>
      </w:r>
      <w:r>
        <w:rPr>
          <w:rFonts w:eastAsia="IRNazanin" w:cs="IRNazanin"/>
          <w:color w:val="111111"/>
          <w:sz w:val="28"/>
          <w:szCs w:val="28"/>
          <w:lang w:bidi="fa-IR"/>
        </w:rPr>
        <w:t>77934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از مجاهد</w:t>
      </w:r>
      <w:r>
        <w:rPr>
          <w:rFonts w:eastAsia="IRNazanin" w:cs="IRNazanin"/>
          <w:color w:val="111111"/>
          <w:sz w:val="28"/>
          <w:szCs w:val="28"/>
          <w:lang w:bidi="fa-IR"/>
        </w:rPr>
        <w:t>7927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كلمه، از بُريد</w:t>
      </w:r>
      <w:r>
        <w:rPr>
          <w:rFonts w:eastAsia="IRNazanin" w:cs="IRNazanin"/>
          <w:color w:val="111111"/>
          <w:sz w:val="28"/>
          <w:szCs w:val="28"/>
          <w:lang w:bidi="fa-IR"/>
        </w:rPr>
        <w:t>76</w:t>
      </w:r>
      <w:r>
        <w:rPr>
          <w:rFonts w:ascii="IRNazanin" w:hAnsi="IRNazanin" w:eastAsia="IRNazanin"/>
          <w:color w:val="111111"/>
          <w:sz w:val="28"/>
          <w:sz w:val="28"/>
          <w:szCs w:val="28"/>
          <w:lang w:bidi="fa-IR"/>
        </w:rPr>
        <w:t>٠٠٠</w:t>
      </w:r>
      <w:r>
        <w:rPr>
          <w:rFonts w:ascii="IRNazanin" w:hAnsi="IRNazanin" w:eastAsia="IRNazanin"/>
          <w:color w:val="111111"/>
          <w:sz w:val="28"/>
          <w:sz w:val="28"/>
          <w:szCs w:val="28"/>
          <w:rtl w:val="true"/>
          <w:lang w:bidi="fa-IR"/>
        </w:rPr>
        <w:t>، از ديگرى</w:t>
      </w:r>
      <w:r>
        <w:rPr>
          <w:rFonts w:eastAsia="IRNazanin" w:cs="IRNazanin"/>
          <w:color w:val="111111"/>
          <w:sz w:val="28"/>
          <w:szCs w:val="28"/>
          <w:lang w:bidi="fa-IR"/>
        </w:rPr>
        <w:t>7746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كلمه و به‌نَقل ديگر </w:t>
      </w:r>
      <w:r>
        <w:rPr>
          <w:rFonts w:eastAsia="IRNazanin" w:cs="IRNazanin"/>
          <w:color w:val="111111"/>
          <w:sz w:val="28"/>
          <w:szCs w:val="28"/>
          <w:lang w:bidi="fa-IR"/>
        </w:rPr>
        <w:t>777</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نقل شده </w:t>
      </w:r>
      <w:r>
        <w:rPr>
          <w:rStyle w:val="FootnoteAnchor"/>
          <w:rtl w:val="true"/>
        </w:rPr>
        <w:footnoteReference w:id="879"/>
      </w:r>
      <w:r>
        <w:rPr>
          <w:rFonts w:ascii="IRNazanin" w:hAnsi="IRNazanin" w:eastAsia="IRNazanin"/>
          <w:color w:val="111111"/>
          <w:sz w:val="28"/>
          <w:sz w:val="28"/>
          <w:szCs w:val="28"/>
          <w:rtl w:val="true"/>
          <w:lang w:bidi="fa-IR"/>
        </w:rPr>
        <w:t xml:space="preserve">، كه حدود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اختلاف پيدا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رقم از قرآن حذف و يا به آن افزوده شده است؟</w:t>
      </w:r>
    </w:p>
    <w:p>
      <w:pPr>
        <w:pStyle w:val="Heading6"/>
        <w:numPr>
          <w:ilvl w:val="5"/>
          <w:numId w:val="1"/>
        </w:numPr>
        <w:rPr/>
      </w:pPr>
      <w:bookmarkStart w:id="363" w:name="__RefHeading___Toc3767105_3650668749"/>
      <w:bookmarkStart w:id="364" w:name="_Toc131"/>
      <w:bookmarkEnd w:id="363"/>
      <w:r>
        <w:rPr>
          <w:rtl w:val="true"/>
        </w:rPr>
        <w:t>ب</w:t>
      </w:r>
      <w:r>
        <w:rPr>
          <w:rtl w:val="true"/>
        </w:rPr>
        <w:t xml:space="preserve">) </w:t>
      </w:r>
      <w:r>
        <w:rPr>
          <w:rtl w:val="true"/>
        </w:rPr>
        <w:t>نقص و تغيير در تعداد آيات قرآن</w:t>
      </w:r>
      <w:bookmarkEnd w:id="364"/>
    </w:p>
    <w:p>
      <w:pPr>
        <w:pStyle w:val="BookText"/>
        <w:rPr/>
      </w:pPr>
      <w:r>
        <w:rPr>
          <w:rFonts w:ascii="Amiri" w:hAnsi="Amiri" w:eastAsia="Amiri" w:cs="Amiri"/>
          <w:color w:val="111111"/>
          <w:sz w:val="28"/>
          <w:sz w:val="28"/>
          <w:szCs w:val="28"/>
          <w:rtl w:val="true"/>
          <w:lang w:bidi="ar-SA"/>
        </w:rPr>
        <w:t>در منابع اهل‌سنت در تعداد آيات قرآن روايات متفاوتى به‌ثبت رسيده است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متفاوت در تعداد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عدد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آيه را، عدد اجماعى مى‌داند </w:t>
      </w:r>
      <w:r>
        <w:rPr>
          <w:rStyle w:val="FootnoteAnchor"/>
          <w:rtl w:val="true"/>
        </w:rPr>
        <w:footnoteReference w:id="880"/>
      </w:r>
      <w:r>
        <w:rPr>
          <w:rFonts w:ascii="Amiri" w:hAnsi="Amiri" w:eastAsia="Amiri" w:cs="Amiri"/>
          <w:color w:val="111111"/>
          <w:sz w:val="28"/>
          <w:sz w:val="28"/>
          <w:szCs w:val="28"/>
          <w:rtl w:val="true"/>
          <w:lang w:bidi="ar-SA"/>
        </w:rPr>
        <w:t xml:space="preserve">درحالى‌كه سيوطى عدد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 را اجماعى مى‌شمارد </w:t>
      </w:r>
      <w:r>
        <w:rPr>
          <w:rStyle w:val="FootnoteAnchor"/>
          <w:rtl w:val="true"/>
        </w:rPr>
        <w:footnoteReference w:id="881"/>
      </w:r>
      <w:r>
        <w:rPr>
          <w:rFonts w:ascii="IRNazanin" w:hAnsi="IRNazanin" w:eastAsia="IRNazanin"/>
          <w:color w:val="111111"/>
          <w:sz w:val="28"/>
          <w:sz w:val="28"/>
          <w:szCs w:val="28"/>
          <w:rtl w:val="true"/>
          <w:lang w:bidi="fa-IR"/>
        </w:rPr>
        <w:t xml:space="preserve">، و مقدار زائد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برآن را به‌پنج منطقه جغرافيايى و افراد شاخص هر منطقه كه عبارت باشند از مكه منسوب به‌مجاهد، مدينه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كوفيان به‌طور مرسل از آنها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آخر، منسوب به ابى‌جعفر يزيد بن القعقاع، كوفه منسوب به ابى‌عبدالرحمان السّلمى، بصره منسوب به‌عاصم‌بن ميمون الجعدرى، شام منسوب به‌عبدالله بن عاصم اليحصبى؛ تقسيم كرده است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 ابن‌مسعود، آيات قرآن در مدنى اوّل </w:t>
      </w:r>
      <w:r>
        <w:rPr>
          <w:rFonts w:eastAsia="IRNazanin" w:cs="IRNazanin"/>
          <w:color w:val="111111"/>
          <w:sz w:val="28"/>
          <w:szCs w:val="28"/>
          <w:lang w:bidi="fa-IR"/>
        </w:rPr>
        <w:t>6217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مدنى آخر</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كوفه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بصره </w:t>
      </w:r>
      <w:r>
        <w:rPr>
          <w:rFonts w:eastAsia="IRNazanin" w:cs="IRNazanin"/>
          <w:color w:val="111111"/>
          <w:sz w:val="28"/>
          <w:szCs w:val="28"/>
          <w:lang w:bidi="fa-IR"/>
        </w:rPr>
        <w:t>62</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نقلى</w:t>
      </w:r>
      <w:r>
        <w:rPr>
          <w:rFonts w:eastAsia="IRNazanin" w:cs="IRNazanin"/>
          <w:color w:val="111111"/>
          <w:sz w:val="28"/>
          <w:szCs w:val="28"/>
          <w:lang w:bidi="fa-IR"/>
        </w:rPr>
        <w:t>62</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به‌روايت‌هاى ديگر بصرى‌ها </w:t>
      </w:r>
      <w:r>
        <w:rPr>
          <w:rFonts w:eastAsia="IRNazanin" w:cs="IRNazanin"/>
          <w:color w:val="111111"/>
          <w:sz w:val="28"/>
          <w:szCs w:val="28"/>
          <w:lang w:bidi="fa-IR"/>
        </w:rPr>
        <w:t>6219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به‌نقلى</w:t>
      </w:r>
      <w:r>
        <w:rPr>
          <w:rFonts w:eastAsia="IRNazanin" w:cs="IRNazanin"/>
          <w:color w:val="111111"/>
          <w:sz w:val="28"/>
          <w:szCs w:val="28"/>
          <w:lang w:bidi="fa-IR"/>
        </w:rPr>
        <w:t>6232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نقل شده است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lang w:bidi="ar-SA"/>
        </w:rPr>
        <w:t>6200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هردو رقم اجماعى است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ادعاى اجماع اوّل، در مقدار زيادى اختلاف است؛ در نقل مدنى اوّل</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آيه، در نقل مدنى آخر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در روايت مكه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آيه، به‌روايت كوفى</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و در نقل بصرى‌ها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آيه، به‌روايت شام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آيه است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 ادعاى اجماع دوم عددهاى اختلافى،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خواهد بود </w:t>
      </w:r>
      <w:r>
        <w:rPr>
          <w:rStyle w:val="FootnoteAnchor"/>
          <w:rtl w:val="true"/>
        </w:rPr>
        <w:footnoteReference w:id="886"/>
      </w:r>
      <w:r>
        <w:rPr>
          <w:rFonts w:ascii="IRNazanin" w:hAnsi="IRNazanin" w:eastAsia="IRNazanin"/>
          <w:color w:val="111111"/>
          <w:sz w:val="28"/>
          <w:sz w:val="28"/>
          <w:szCs w:val="28"/>
          <w:rtl w:val="true"/>
          <w:lang w:bidi="fa-IR"/>
        </w:rPr>
        <w:t>در نتيجه، از يك‌سو، ميان دو ادعاى اجماع دست كم</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آيه اختلافى است و از ديگرسو، هركدام از دو اجماع را كه بپذيريم بى‌ترديد آياتى در قرآن اضافه يا حذف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طرف‌سوم اين اختلاف، اصل زيادى وكاستى در قرآن را ثابت مى‌كند فرق نمى‌كند آن زياده و نقص مقدارى باشد كه در منابع وهابيان ذكر شده، زيرا طبق حديث عُمَر حروف قرآن </w:t>
      </w:r>
      <w:r>
        <w:rPr>
          <w:rFonts w:eastAsia="IRNazanin" w:cs="IRNazanin"/>
          <w:color w:val="111111"/>
          <w:sz w:val="28"/>
          <w:szCs w:val="28"/>
          <w:lang w:bidi="fa-IR"/>
        </w:rPr>
        <w:t>1027</w:t>
      </w:r>
      <w:r>
        <w:rPr>
          <w:rFonts w:ascii="IRNazanin" w:hAnsi="IRNazanin" w:eastAsia="IRNazanin"/>
          <w:color w:val="111111"/>
          <w:sz w:val="28"/>
          <w:sz w:val="28"/>
          <w:szCs w:val="28"/>
          <w:lang w:bidi="fa-IR"/>
        </w:rPr>
        <w:t>٠٠٠</w:t>
      </w:r>
      <w:r>
        <w:rPr>
          <w:rFonts w:ascii="IRNazanin" w:hAnsi="IRNazanin" w:eastAsia="IRNazanin"/>
          <w:color w:val="111111"/>
          <w:sz w:val="28"/>
          <w:sz w:val="28"/>
          <w:szCs w:val="28"/>
          <w:rtl w:val="true"/>
          <w:lang w:bidi="fa-IR"/>
        </w:rPr>
        <w:t xml:space="preserve"> حرف است و اگر از آن عدد مورد رضايت سيوطى كسر شود </w:t>
      </w:r>
      <w:r>
        <w:rPr>
          <w:rFonts w:eastAsia="IRNazanin" w:cs="IRNazanin"/>
          <w:color w:val="111111"/>
          <w:sz w:val="28"/>
          <w:szCs w:val="28"/>
          <w:rtl w:val="true"/>
          <w:lang w:bidi="fa-IR"/>
        </w:rPr>
        <w:t>(</w:t>
      </w:r>
      <w:r>
        <w:rPr>
          <w:rFonts w:eastAsia="IRNazanin" w:cs="IRNazanin"/>
          <w:color w:val="111111"/>
          <w:sz w:val="28"/>
          <w:szCs w:val="28"/>
          <w:lang w:bidi="fa-IR"/>
        </w:rPr>
        <w:t>323671</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باقى خواهد ماند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اين جمع‌بندى</w:t>
      </w:r>
      <w:r>
        <w:rPr>
          <w:rFonts w:eastAsia="IRNazanin" w:cs="IRNazanin"/>
          <w:color w:val="111111"/>
          <w:sz w:val="28"/>
          <w:szCs w:val="28"/>
          <w:rtl w:val="true"/>
          <w:lang w:bidi="fa-IR"/>
        </w:rPr>
        <w:t xml:space="preserve">: </w:t>
      </w:r>
      <w:r>
        <w:rPr>
          <w:rFonts w:eastAsia="IRNazanin" w:cs="IRNazanin"/>
          <w:color w:val="111111"/>
          <w:sz w:val="28"/>
          <w:szCs w:val="28"/>
          <w:lang w:bidi="fa-IR"/>
        </w:rPr>
        <w:t>323671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ascii="IRNazanin" w:hAnsi="IRNazanin" w:eastAsia="IRNazanin"/>
          <w:color w:val="111111"/>
          <w:sz w:val="28"/>
          <w:sz w:val="28"/>
          <w:szCs w:val="28"/>
          <w:lang w:bidi="fa-IR"/>
        </w:rPr>
        <w:t>٠٠٠</w:t>
      </w:r>
      <w:r>
        <w:rPr>
          <w:rFonts w:ascii="IRNazanin" w:hAnsi="IRNazanin" w:eastAsia="IRNazanin"/>
          <w:color w:val="111111"/>
          <w:sz w:val="28"/>
          <w:sz w:val="28"/>
          <w:szCs w:val="28"/>
          <w:rtl w:val="true"/>
          <w:lang w:bidi="fa-IR"/>
        </w:rPr>
        <w:t xml:space="preserve">، بى‌ترديد اين تعداد حروف، دَه‌ها سوره و صدها آيه را پوشش خواهد داد؛ و يا آن مقدارى باشد كه كلينى در كافى نقل كرده است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تأسّف‌بارتر اينكه از ابن‌عبّاس در منابع متعدد نقل شده كه عمربن‌الخطاب درحالى‌كه روى منبر بود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مبعوث كرد و قرآن را بر وى فروفرستاد؛ و از چيزهايى كه بر حضرتش نازل شد،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 آيه رجم را قرائت مى‌كرديم و به‌ياد داريم و 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رجم مى‌كرد و ما هم پس از او رجم انجام مى‌داديم، مى‌ترسم كه بر اثر طولانى‌شدن زمان، گوينده‌اى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ما آيه رجم را در قرآن نيافتيم و مردم به‌خاطر ترك اين فريضه الهى گمراه شوند و حال آنكه رجم، در كتاب‌خدا، حق است بر هر مَرد و زنى كه مرتكب زناى مُحصنه گردد در صورت اقامه بينه يا باردار شدن و يا اعتراف</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درگزارشى كه از نحوه جمع‌آورى قرآن توسط ابابكر مى‌دهد،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به‌زيدبن ثابت دستور داده شد كه هركسى آيه‌اى، سوره‌اى آوَرد با دوشاهد قبول و آن را بنويسد، عمر، آيه رجم را آورد، چون وى تنها بود از او پذيرفته نشد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متن آيه رجم را بدين صورت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وَالشَّيخةُ إذا زَنِيا فَارجُمُوها ألبتة نَكالاً مِنَ الله، وَاللهُ عَزِيزٌ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وتصريح مى‌كند كه عُمر مردم را براى نماز جامعه فرا خواند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النّاسُ لاتجزِعُنَّ مِن آيةِ الرَّجم فإنّها نَزَلَت في كِتابِ‌الله، وقَرأنَاها ولكنَّها ذَهَبَت في قُرآن كثيرٌ ذَهَبَ مع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آيه فراش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عمربن‌الخطاب نَه‌تنها خود اعتقاد به‌تحريف داشت كه از ديگران از جمله ازأُبى‌بن‌كعب اقرار به‌نقص قرآن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عُمَربن‌الخطاب قال لاُبّى بن كعب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أولَيسَ كُنّا نَقرأُ مِن كتاب‌الله أن انتفاءكم من آبائكم كُفرٌبِكم؟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أوليس‌كُنّا نَقرأُ ألوَلَدَ للفراش وللعاهر الحَجَرُفُقِدَ فيما فُقِدنا مِن كتاب‌الله؟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آيه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معتقد بوده است كه آيه رغبت از قرآن افتاده است؛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نَقرأ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لاتَرغَبُواعَن آبائِكم فَإنّه كُفرٌبِكم أن تَرغَبُوا عن‌آبائكم، أو إنَّ كُفراً بكم أن ترغَبُوا عن آبائكم </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آيه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مشهور و مورد قبول اهل‌سنت بر پايه چند حديث، مى‌گويد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وَالْمُحْصَنَاتُ مِنَ النِّسَاء إِلَّا مَا مَلَكَتْ اَيْمَانُكُمْ كِتَابَ اللهِ عَلَيْكُمْ وَاُحِلَّ لَكُم مَّا وَرَاء ذلِكُمْ اَن تَبْتَغُواْ بِاَمْوَالِكُم مُحْصِنِينَ غَيْرَ مُسَافِحِينَ فَمَا اسْتَمْتَعْتُم به‌مِنْهُنَّ فَآتُوهُنَّ اُجُورَهُنَّ فَرِيضَةً</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نازل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فَمَا اسْتَمْتَعْتُم به‌مِنْهُنَّ إلى أجَلٍ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وحتى ابن‌عبّاس سه‌بار سوگند ياد كرده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لأنزَلَ اللهُ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نيز همين مطلب را از ابن‌عبّاس واُبى‌بن‌كعب وابن‌جُبَير، نقل مى‌كند ولى او روى نَسخ شدن حكم آن، پاى مى‌فشارد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جمله كليدى و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جواز نكاح متعه را بر اساس باور شيعه، اثبات و قطعى مى‌سازد، از آيه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همان دو مفسّر، اين روايت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أنَّ عُمَرَ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عَنِ‌المتعةِ ما زَنى إلّا شَقِيٌّ </w:t>
      </w:r>
      <w:r>
        <w:rPr>
          <w:rFonts w:eastAsia="IRNazanin" w:cs="IRNazanin"/>
          <w:color w:val="111111"/>
          <w:sz w:val="28"/>
          <w:szCs w:val="28"/>
          <w:rtl w:val="true"/>
          <w:lang w:bidi="fa-IR"/>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شدن آيه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به‌عبدالرحمان بن‌عوف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أن‌جاهدوُا كَمَا جاهَدتم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ما نازل شد در قرآن نيافتى؟ ما كه آن را نيافتيم، اودر جواب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اُسقِطَت فيما اُسقِط مِن‌القرآن </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آياتى از 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چند روايت از اُبى‌بن‌كعب، بخشى از سوره احزاب كه در تعداد آيات به‌اندازه سوره بقره وحتّى بيشتر بوده است، حذف شده است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عن زربن‌حُبَيش عن اُبّي‌بن‌كعب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تَقرءون سورة الاحزاب؟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بضعاً و سبعين 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قرأتُها مع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البقرة أو أكثرمنها، وإنّ فيها آية الرّجم </w:t>
      </w:r>
      <w:r>
        <w:rPr>
          <w:rFonts w:eastAsia="IRNazanin" w:cs="IRNazanin"/>
          <w:color w:val="111111"/>
          <w:sz w:val="28"/>
          <w:szCs w:val="28"/>
          <w:rtl w:val="true"/>
          <w:lang w:bidi="fa-IR"/>
        </w:rPr>
        <w:t xml:space="preserve">»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درالمستدرك خود بعد از نقل روايت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الحديث صحيحُ الاسناد ولم يخرجاهُ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به‌نَقل از عايشه مى‌آورد كه سوره احزاب در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آيه بود، وقتى عثمان قرآن‌ها را نوشت بر آيات بيشتر از آنچه </w:t>
      </w:r>
    </w:p>
    <w:p>
      <w:pPr>
        <w:pStyle w:val="BookText"/>
        <w:rPr/>
      </w:pPr>
      <w:r>
        <w:rPr>
          <w:rFonts w:ascii="Amiri" w:hAnsi="Amiri" w:eastAsia="Amiri" w:cs="Amiri"/>
          <w:color w:val="111111"/>
          <w:sz w:val="28"/>
          <w:sz w:val="28"/>
          <w:szCs w:val="28"/>
          <w:rtl w:val="true"/>
          <w:lang w:bidi="ar-SA"/>
        </w:rPr>
        <w:t xml:space="preserve">الآن هست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نيافت </w:t>
      </w:r>
      <w:r>
        <w:rPr>
          <w:rStyle w:val="FootnoteAnchor"/>
          <w:rtl w:val="true"/>
        </w:rPr>
        <w:footnoteReference w:id="901"/>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از اين سوره افتاده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نعوذبالله</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به‌همين مضمون از عمر در خصوص آيه رجم نَقل شد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عَمَلى بزرگ‌ترين آيه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بسم الله الرّحمن الرّحيم از عظيم‌ترين آيه‌هاى قرآن است و</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قرآن‌هاى موجود ذكر شده ولى در منابع حديثى و در نتيجه منابع فقهى مورد قبول وهابى‌ها به‌شدت مورد اختلاف است؛ گروهى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آيات قرآن و از جمله سوره فاتحة الكتاب نمى‌شمارد؛ مسلم از انس‌بن‌مالك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وأبي‌بكرَ وعُمَرَ و عُثمانَ، فَلَم أسمَع أحَداً مِنهُم يَقرَأُ بسم الله الرحمن‌الرحيم </w:t>
      </w:r>
      <w:r>
        <w:rPr>
          <w:rFonts w:eastAsia="IRNazanin" w:cs="IRNazanin"/>
          <w:color w:val="111111"/>
          <w:sz w:val="28"/>
          <w:szCs w:val="28"/>
          <w:rtl w:val="true"/>
          <w:lang w:bidi="fa-IR"/>
        </w:rPr>
        <w:t xml:space="preserve">»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اضافه مى‌كند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لايَذكُرُونَ بسم‌اللهِ الرّحمن الرّحيم في أوّلِ قِراءةٍ ولا في آخِرِهَا </w:t>
      </w:r>
      <w:r>
        <w:rPr>
          <w:rFonts w:eastAsia="IRNazanin" w:cs="IRNazanin"/>
          <w:color w:val="111111"/>
          <w:sz w:val="28"/>
          <w:szCs w:val="28"/>
          <w:rtl w:val="true"/>
          <w:lang w:bidi="fa-IR"/>
        </w:rPr>
        <w:t xml:space="preserve">»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 احمدبن‌حنبل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 ابن‌ماجه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08"/>
      </w:r>
      <w:r>
        <w:rPr>
          <w:rFonts w:ascii="Amiri" w:hAnsi="Amiri" w:eastAsia="Amiri" w:cs="Amiri"/>
          <w:color w:val="111111"/>
          <w:sz w:val="28"/>
          <w:sz w:val="28"/>
          <w:szCs w:val="28"/>
          <w:rtl w:val="true"/>
          <w:lang w:bidi="ar-SA"/>
        </w:rPr>
        <w:t>، همين مطلب را آورده‌اند كه اوّلاً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آيات قرآن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جهرآن در نمازهاى يوميه واجب نيست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اينكه نشمردن بسم‌الله الرّحمن‌الرّحيم جزء آيات قرآن و سوره فاتحه، </w:t>
      </w:r>
    </w:p>
    <w:p>
      <w:pPr>
        <w:pStyle w:val="BookText"/>
        <w:rPr/>
      </w:pPr>
      <w:r>
        <w:rPr>
          <w:rFonts w:ascii="IRNazanin" w:hAnsi="IRNazanin" w:eastAsia="IRNazanin"/>
          <w:color w:val="111111"/>
          <w:sz w:val="28"/>
          <w:sz w:val="28"/>
          <w:szCs w:val="28"/>
          <w:rtl w:val="true"/>
          <w:lang w:bidi="fa-IR"/>
        </w:rPr>
        <w:t xml:space="preserve">برخلاف ظاهر قرآن است </w:t>
      </w:r>
      <w:r>
        <w:rPr>
          <w:rStyle w:val="FootnoteAnchor"/>
          <w:rtl w:val="true"/>
        </w:rPr>
        <w:footnoteReference w:id="910"/>
      </w:r>
      <w:r>
        <w:rPr>
          <w:rFonts w:ascii="IRNazanin" w:hAnsi="IRNazanin" w:eastAsia="IRNazanin"/>
          <w:color w:val="111111"/>
          <w:sz w:val="28"/>
          <w:sz w:val="28"/>
          <w:szCs w:val="28"/>
          <w:rtl w:val="true"/>
          <w:lang w:bidi="fa-IR"/>
        </w:rPr>
        <w:t xml:space="preserve">، متناقض با روايات صحيحه و متواتر است؛ بخارى، از قتادة و او از انس‌بن‌مالك چگونگى قرائت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گزارش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يَمُدُّ بِبسم الله و يَمُدُّ بالرّحمن و يَمُدَُّ بالرّحيم </w:t>
      </w:r>
      <w:r>
        <w:rPr>
          <w:rFonts w:eastAsia="IRNazanin" w:cs="IRNazanin"/>
          <w:color w:val="111111"/>
          <w:sz w:val="28"/>
          <w:szCs w:val="28"/>
          <w:rtl w:val="true"/>
          <w:lang w:bidi="fa-IR"/>
        </w:rPr>
        <w:t xml:space="preserve">»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در كتاب خود،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البِسلمة آيةٌ في أوّل كُلِّ سُورَةٍ سَوَى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مالك‌بن‌انس نقل مى‌كند كه وقتى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درحالى‌كه خوشحال بود سوره را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از ابن‌عبّاس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يَفتَتِحُ صَلاتَهُ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مى‌گويد، عده‌اى از اهل علم از اصحاب رسول‌الله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ابن‌عمر، ابن‌عبّاس و ابن‌الزّبير، همين مطلب را گفته‌اند، وحتّى از تابعين جهر به‌بسم‌الله را واجب شمرده‌اند، چه اينكه شافعى، اسماعيل‌بن‌حماد و ابوخالد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جهر را واجب مى‌دانستند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تنها بسم‌الله را جزء فاتحةالكتاب مى‌شمارد كه از انس‌بن‌مالك جهر آن را در كيفيت نماز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فاتحه هفت آيه دارد، بازگو مى‌كند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w:t>
      </w:r>
      <w:r>
        <w:rPr>
          <w:rStyle w:val="FootnoteAnchor"/>
          <w:rtl w:val="true"/>
        </w:rPr>
        <w:footnoteReference w:id="915"/>
      </w:r>
      <w:r>
        <w:rPr>
          <w:rFonts w:ascii="IRNazanin" w:hAnsi="IRNazanin" w:eastAsia="IRNazanin"/>
          <w:color w:val="111111"/>
          <w:sz w:val="28"/>
          <w:sz w:val="28"/>
          <w:szCs w:val="28"/>
          <w:rtl w:val="true"/>
          <w:lang w:bidi="fa-IR"/>
        </w:rPr>
        <w:t xml:space="preserve">، سيوطى در چند نَقل از جمله از أُمّ‌سلمه، بسم‌الله را جزء فاتحةالكتاب و يك آيه مى‌دانند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از طلحةبن‌عُبيدلله آمده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بسم‌الله الرّحمن الرّحيم فقد تَرَك آيةً مِن كتاب‌الله </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از ابن‌عباس در مورد بسم‌الله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w:t>
      </w:r>
    </w:p>
    <w:p>
      <w:pPr>
        <w:pStyle w:val="BookText"/>
        <w:rPr/>
      </w:pPr>
      <w:r>
        <w:rPr>
          <w:rFonts w:ascii="Amiri" w:hAnsi="Amiri" w:eastAsia="Amiri" w:cs="Amiri"/>
          <w:color w:val="111111"/>
          <w:sz w:val="28"/>
          <w:sz w:val="28"/>
          <w:szCs w:val="28"/>
          <w:rtl w:val="true"/>
          <w:lang w:bidi="ar-SA"/>
        </w:rPr>
        <w:t xml:space="preserve">إسترق من أهل القرآن أعظَمَ آية في القرآن بسم الله‌الرّحمن الرّحيم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بعد از طرح ديدگاه‌هاى عالمان اهل‌سنت، نظر خودش را اين‌گونه ابراز 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عِندي أنّ النَّقلَ المتواتر ثابتٌ بأنّ بسم‌الله‌الرّحمن الرّحيم كلام أنزله‌اللهُ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وبأنَّه مُثبت في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بخطِّ القرآن </w:t>
      </w:r>
      <w:r>
        <w:rPr>
          <w:rFonts w:eastAsia="IRNazanin" w:cs="IRNazanin"/>
          <w:color w:val="111111"/>
          <w:sz w:val="28"/>
          <w:szCs w:val="28"/>
          <w:rtl w:val="true"/>
          <w:lang w:bidi="fa-IR"/>
        </w:rPr>
        <w:t xml:space="preserve">. . .»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در جزء بودن بسم‌الله تأكيد نموده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ودليلنا أنّ بسم‌الله مكتوب في أوائل السُّوَر، فَوَجَبَ كونه قرآناً </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وى ادعاى اجماع مى‌كند كه اگر بسم‌الله جزء قرآن نباشد هرگز روا نيست به‌خطّ قرآن نوشته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فلولم تكن التسمية من القرآن لَمَا كتبوها بخطّ القرآن، 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اجمعُوا على كتابتها بخطّ القرآن، علِمنا انها من القرآن </w:t>
      </w:r>
      <w:r>
        <w:rPr>
          <w:rFonts w:eastAsia="IRNazanin" w:cs="IRNazanin"/>
          <w:color w:val="111111"/>
          <w:sz w:val="28"/>
          <w:szCs w:val="28"/>
          <w:rtl w:val="true"/>
          <w:lang w:bidi="fa-IR"/>
        </w:rPr>
        <w:t xml:space="preserve">»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به‌همين‌رو، برخى مبادرت به‌تأليف كتاب مستقل در اين خصوص نموده‌اند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اينكه ابن‌تيميه شيخ و پيشواى وهابى‌ها بسم‌الله را آيه‌اى از قرآن نمى‌داند، و يا در آن ترديد دارد </w:t>
      </w:r>
      <w:r>
        <w:rPr>
          <w:rStyle w:val="FootnoteAnchor"/>
          <w:rtl w:val="true"/>
        </w:rPr>
        <w:footnoteReference w:id="923"/>
      </w:r>
      <w:r>
        <w:rPr>
          <w:rFonts w:ascii="IRNazanin" w:hAnsi="IRNazanin" w:eastAsia="IRNazanin"/>
          <w:color w:val="111111"/>
          <w:sz w:val="28"/>
          <w:sz w:val="28"/>
          <w:szCs w:val="28"/>
          <w:rtl w:val="true"/>
          <w:lang w:bidi="fa-IR"/>
        </w:rPr>
        <w:t>، گذشته از اينكه نوعى اعتقاد آنان را به‌تحريف اين آيه شريفه مى‌رساند، بادَه‌ها روايت متواتر سازگارى ندارد</w:t>
      </w:r>
      <w:r>
        <w:rPr>
          <w:rFonts w:eastAsia="IRNazanin" w:cs="IRNazanin"/>
          <w:color w:val="111111"/>
          <w:sz w:val="28"/>
          <w:szCs w:val="28"/>
          <w:rtl w:val="true"/>
          <w:lang w:bidi="fa-IR"/>
        </w:rPr>
        <w:t xml:space="preserve">. </w:t>
      </w:r>
      <w:bookmarkStart w:id="365" w:name="pg1976_27971"/>
    </w:p>
    <w:p>
      <w:pPr>
        <w:pStyle w:val="Heading6"/>
        <w:numPr>
          <w:ilvl w:val="5"/>
          <w:numId w:val="1"/>
        </w:numPr>
        <w:rPr/>
      </w:pPr>
      <w:bookmarkStart w:id="366" w:name="__RefHeading___Toc3767107_3650668749"/>
      <w:bookmarkStart w:id="367" w:name="_Toc132"/>
      <w:bookmarkEnd w:id="365"/>
      <w:bookmarkEnd w:id="366"/>
      <w:r>
        <w:rPr>
          <w:rtl w:val="true"/>
        </w:rPr>
        <w:t>ج</w:t>
      </w:r>
      <w:r>
        <w:rPr>
          <w:rtl w:val="true"/>
        </w:rPr>
        <w:t xml:space="preserve">) </w:t>
      </w:r>
      <w:r>
        <w:rPr>
          <w:rtl w:val="true"/>
        </w:rPr>
        <w:t>نقص و زيادى در تعداد سوره‌ها</w:t>
      </w:r>
      <w:bookmarkEnd w:id="367"/>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نبودن مُعَوِّذَتين </w:t>
      </w:r>
      <w:r>
        <w:rPr>
          <w:rStyle w:val="FootnoteAnchor"/>
          <w:rtl w:val="true"/>
        </w:rPr>
        <w:footnoteReference w:id="924"/>
      </w:r>
      <w:r>
        <w:rPr>
          <w:rFonts w:ascii="IRNazanin" w:hAnsi="IRNazanin" w:eastAsia="IRNazanin"/>
          <w:color w:val="111111"/>
          <w:sz w:val="28"/>
          <w:sz w:val="28"/>
          <w:szCs w:val="28"/>
          <w:rtl w:val="true"/>
          <w:lang w:bidi="fa-IR"/>
        </w:rPr>
        <w:t>جزء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اجماع مى‌كند كه تعداد سوره‌هاى 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ولى بلافاصله مى‌گويد بنابر قولى كه سوره اَنفال و برائت را يك سوره مى‌داند،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و از سوى ديگر در مصحف ابن‌مسعود تعداد سوره‌ها را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سوره و معوذتين را جزء سوره‌هاى قرآن ندانسته است و ضمن اينكه آن دو را از مصحفش پاك كرده،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لَيسَتا مِن‌كتاب‌اللهِ تعالى وإنّما أمَرَالنَّبيُّ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يَتَعَوّذَ بِهِمَا ولهذا عَوّذبهما الحسن والحسين </w:t>
      </w:r>
      <w:r>
        <w:rPr>
          <w:rFonts w:eastAsia="IRNazanin" w:cs="IRNazanin"/>
          <w:color w:val="111111"/>
          <w:sz w:val="28"/>
          <w:szCs w:val="28"/>
          <w:rtl w:val="true"/>
          <w:lang w:bidi="fa-IR"/>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 و مصحف أبّى‌بن‌كعب به‌نقل آلوسى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بوده كه بعد از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قرار داشته است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به‌نقل سيوطى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بوده است و او چون فيل و قريش را يك‌سوره مى‌دانسته، صواب را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مى‌داند </w:t>
      </w:r>
      <w:r>
        <w:rPr>
          <w:rStyle w:val="FootnoteAnchor"/>
          <w:rtl w:val="true"/>
        </w:rPr>
        <w:footnoteReference w:id="927"/>
      </w:r>
      <w:r>
        <w:rPr>
          <w:rFonts w:ascii="Amiri" w:hAnsi="Amiri" w:eastAsia="Amiri" w:cs="Amiri"/>
          <w:color w:val="111111"/>
          <w:sz w:val="28"/>
          <w:sz w:val="28"/>
          <w:szCs w:val="28"/>
          <w:rtl w:val="true"/>
          <w:lang w:bidi="ar-SA"/>
        </w:rPr>
        <w:t>، و همين مطلب را سيوطى از احمدبن‌حنبل و بزّار و طبرانى و ابن‌مُردَوَيه به‌طريق صحيح نقل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ابن‌عبّاس و ابن‌مسعود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 المَعُوذَتَين مِنَ المُصحَف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لاتخلطوا القرآنَ بمَا ليس منه، وأنّهُما لَيسَتا من كتاب‌الله، وإنّما أمَرَالنَّبي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يتَعَوّذبهمَا وكان إبن‌مسعود لا يقرأهما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سيوطى به‌چند طريق </w:t>
      </w:r>
      <w:r>
        <w:rPr>
          <w:rStyle w:val="FootnoteAnchor"/>
          <w:rtl w:val="true"/>
        </w:rPr>
        <w:footnoteReference w:id="929"/>
      </w:r>
      <w:r>
        <w:rPr>
          <w:rFonts w:ascii="Amiri" w:hAnsi="Amiri" w:eastAsia="Amiri" w:cs="Amiri"/>
          <w:color w:val="111111"/>
          <w:sz w:val="28"/>
          <w:sz w:val="28"/>
          <w:szCs w:val="28"/>
          <w:rtl w:val="true"/>
          <w:lang w:bidi="ar-SA"/>
        </w:rPr>
        <w:t xml:space="preserve">كه بعضى آنها را صحيح مى‌داند </w:t>
      </w:r>
      <w:r>
        <w:rPr>
          <w:rStyle w:val="FootnoteAnchor"/>
          <w:rtl w:val="true"/>
        </w:rPr>
        <w:footnoteReference w:id="930"/>
      </w:r>
      <w:r>
        <w:rPr>
          <w:rFonts w:ascii="Amiri" w:hAnsi="Amiri" w:eastAsia="Amiri" w:cs="Amiri"/>
          <w:color w:val="111111"/>
          <w:sz w:val="28"/>
          <w:sz w:val="28"/>
          <w:szCs w:val="28"/>
          <w:rtl w:val="true"/>
          <w:lang w:bidi="ar-SA"/>
        </w:rPr>
        <w:t xml:space="preserve">، نقل مى‌كند كه دوسوره به‌نام‌هاى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داشته كه عمربن‌الخطاب در قنوت نمازش قرائت مى‌كرد و در مصحف ابن‌عبّاس وابن‌مسعود </w:t>
      </w:r>
    </w:p>
    <w:p>
      <w:pPr>
        <w:pStyle w:val="BookText"/>
        <w:rPr/>
      </w:pPr>
      <w:r>
        <w:rPr>
          <w:rFonts w:ascii="IRNazanin" w:hAnsi="IRNazanin" w:eastAsia="IRNazanin"/>
          <w:color w:val="111111"/>
          <w:sz w:val="28"/>
          <w:sz w:val="28"/>
          <w:szCs w:val="28"/>
          <w:rtl w:val="true"/>
          <w:lang w:bidi="fa-IR"/>
        </w:rPr>
        <w:t>وابى‌بن‌كعب وجود داشته است، ومتن آن دو را اين‌گونه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أللَّهم إنّا نَستَعينك ونَستغفرك، ونُثني عليك ولا نَكفرك ونَخلع ونترك من يفجرك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حفد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ألّلهُمَّ إيّاك نَعبد، ولك نصلّي ونسجد وإليك نسعي ونحفِد نرجو رحمتك، ونخشي نَقِمتك، إنّ عذابك بالكافرين مُلحق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اسناد متعدد، ابوموسى‌اشعرى قاريان بصره را كه حدود </w:t>
      </w:r>
      <w:r>
        <w:rPr>
          <w:rFonts w:eastAsia="IRNazanin" w:cs="IRNazanin"/>
          <w:color w:val="111111"/>
          <w:sz w:val="28"/>
          <w:szCs w:val="28"/>
          <w:lang w:bidi="fa-IR"/>
        </w:rPr>
        <w:t>3</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مَرد بودند، گردهم آورد، و به آنان‌گفت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بَرگزيدگان و قاريان اهل بصره هستيد، درحالى‌كه زمان بر شما طولانى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قلب‌هايتان همانند گذشتگان‌تان سنگين شده، ما همواره سوره‌اى را كه در طولانى بودن و شدّت بودنش به سوره برائت شبيه مى‌دانستيم، قرائت مى‌نموديم، ولى شما آن را به‌فراموشى سپرديد تنها من، قسمتى از آن را حفظ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لَوكان‌لإبن‌آدم واديانِ من مال لَابتغي وادياً ثالثاً ولايَملَأ جوف إبن‌آدم إلّا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به‌تعبير ديگر گفت ما سوره‌اى را قرائت مى‌كرديم كه آن را شبيه يكى از مُسبّحات مى‌دانستيم، و شما آن را فراموش نموده‌ايد جز من كه مقدارى آن را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لِمَ تَقُولُونَ مَا لاَ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فتكتبُ شهادة من أعناقكم فتسألون عنها يوم القيامة </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احمدبن‌حنبل به‌سند خود، از ابن‌عبّاس از ابّى‌بن‌كعب نَقل مى‌كند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اين‌گونه قرائت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وَلَوكانَ لِإبنِ آدَمَ واديانِ مِن ذَهَبٍ، لابتَغَى الثّالثَ، ولايَملاء جَوفَ ابنِ‌آدَمَ إلّا التُّراب، ويَتُوبُ اللهُ عَلَى مَن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وأُبى، در جواب عُمَر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 أقرأنيها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أفأثبتها؟ فأثبَتَها </w:t>
      </w:r>
      <w:r>
        <w:rPr>
          <w:rFonts w:eastAsia="IRNazanin" w:cs="IRNazanin"/>
          <w:color w:val="111111"/>
          <w:sz w:val="28"/>
          <w:szCs w:val="28"/>
          <w:rtl w:val="true"/>
          <w:lang w:bidi="fa-IR"/>
        </w:rPr>
        <w:t xml:space="preserve">» . </w:t>
      </w:r>
      <w:r>
        <w:rPr>
          <w:rStyle w:val="FootnoteAnchor"/>
          <w:rtl w:val="true"/>
        </w:rPr>
        <w:footnoteReference w:id="933"/>
      </w:r>
      <w:r>
        <w:rPr>
          <w:rFonts w:ascii="Amiri" w:hAnsi="Amiri" w:eastAsia="Amiri" w:cs="Amiri"/>
          <w:color w:val="111111"/>
          <w:sz w:val="28"/>
          <w:sz w:val="28"/>
          <w:szCs w:val="28"/>
          <w:rtl w:val="true"/>
          <w:lang w:bidi="ar-SA"/>
        </w:rPr>
        <w:t xml:space="preserve">متّقى‌هندى علاوه بر نَقل ابن‌حنبل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اندك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جملات زيرا هم نَقل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أقرَأَ </w:t>
      </w:r>
      <w:bookmarkStart w:id="368" w:name="pg1976_27975"/>
    </w:p>
    <w:p>
      <w:pPr>
        <w:pStyle w:val="BookText"/>
        <w:rPr/>
      </w:pPr>
      <w:bookmarkEnd w:id="368"/>
      <w:r>
        <w:rPr>
          <w:rFonts w:ascii="Amiri" w:hAnsi="Amiri" w:eastAsia="Amiri" w:cs="Amiri"/>
          <w:color w:val="111111"/>
          <w:sz w:val="28"/>
          <w:sz w:val="28"/>
          <w:szCs w:val="28"/>
          <w:rtl w:val="true"/>
          <w:lang w:bidi="ar-SA"/>
        </w:rPr>
        <w:t>عَلَيكَ القُرآنَ، فَقَرَأَ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عَليه إنَّ ذات الدّين عنداللهِ الحنَفِيّةُ لاال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مُشرِكة ولا اليَهوديّةُ ولا النَصرانيّة ومن‌يَعمَل خيراً فلن يَكُن يكفرَه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از سعيدبن‌جبير نقل مى‌كند كه براى ابن‌عبّاس سوره توبه را يادآورى كردم، اوگفت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الفاضحة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مازالت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ومِنهُم، حتّى‌ظنّوا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لايَبقَى مِنّا أحدٌ إلاّ ذُكِرَ فيها</w:t>
      </w:r>
      <w:r>
        <w:rPr>
          <w:rFonts w:eastAsia="IRNazanin" w:cs="IRNazanin"/>
          <w:color w:val="111111"/>
          <w:sz w:val="28"/>
          <w:szCs w:val="28"/>
          <w:rtl w:val="true"/>
          <w:lang w:bidi="fa-IR"/>
        </w:rPr>
        <w:t xml:space="preserve">» </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عِكرمه، از عمر بازگو مى‌كند كه 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فَرَغَ من تنزيل براءة، حتّى ظَننّا أنَّه لَن يَبقَى مِنّا أحدٌ إلّا سَيَنزل فيه، وكانت تُسَمّى الفاضحة </w:t>
      </w:r>
      <w:r>
        <w:rPr>
          <w:rFonts w:eastAsia="IRNazanin" w:cs="IRNazanin"/>
          <w:color w:val="111111"/>
          <w:sz w:val="28"/>
          <w:szCs w:val="28"/>
          <w:rtl w:val="true"/>
          <w:lang w:bidi="fa-IR"/>
        </w:rPr>
        <w:t xml:space="preserve">» </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تفسير سوره توبه از چند طريق ضمن اينكه سوره توبه را سورةالعذاب مى‌خواند از حذيفه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تركت أحداً إلّا نالت منه، ولا تقرأون منها ممّا كنّا نقرأ إلّا رُبعها </w:t>
      </w:r>
      <w:r>
        <w:rPr>
          <w:rFonts w:eastAsia="IRNazanin" w:cs="IRNazanin"/>
          <w:color w:val="111111"/>
          <w:sz w:val="28"/>
          <w:szCs w:val="28"/>
          <w:rtl w:val="true"/>
          <w:lang w:bidi="fa-IR"/>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 حاكم نيشابورى ضمن نقل روايت، سند آن را صحيح مى‌داند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اسناد، اسامى افرادى كه سوره در مورد آنان نازل گرديده سه چهارم اين سوره‌ها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w:t>
      </w:r>
    </w:p>
    <w:p>
      <w:pPr>
        <w:pStyle w:val="Heading6"/>
        <w:numPr>
          <w:ilvl w:val="5"/>
          <w:numId w:val="1"/>
        </w:numPr>
        <w:rPr/>
      </w:pPr>
      <w:bookmarkStart w:id="369" w:name="__RefHeading___Toc3767109_3650668749"/>
      <w:bookmarkStart w:id="370" w:name="_Toc133"/>
      <w:bookmarkEnd w:id="369"/>
      <w:r>
        <w:rPr>
          <w:rtl w:val="true"/>
        </w:rPr>
        <w:t>د</w:t>
      </w:r>
      <w:r>
        <w:rPr>
          <w:rtl w:val="true"/>
        </w:rPr>
        <w:t xml:space="preserve">) </w:t>
      </w:r>
      <w:r>
        <w:rPr>
          <w:rtl w:val="true"/>
        </w:rPr>
        <w:t>تحريف در متن آيات</w:t>
      </w:r>
      <w:bookmarkEnd w:id="370"/>
    </w:p>
    <w:p>
      <w:pPr>
        <w:pStyle w:val="BookText"/>
        <w:rPr/>
      </w:pPr>
      <w:r>
        <w:rPr>
          <w:rFonts w:ascii="IRNazanin" w:hAnsi="IRNazanin" w:eastAsia="IRNazanin"/>
          <w:color w:val="111111"/>
          <w:sz w:val="28"/>
          <w:sz w:val="28"/>
          <w:szCs w:val="28"/>
          <w:rtl w:val="true"/>
          <w:lang w:bidi="fa-IR"/>
        </w:rPr>
        <w:t>در منابع اهل‌سنت موارد فراوانى به‌چشم مى‌خورد كه در متن آيات تحريف صورت گرفته، كه به‌عنوان نمونه به مواردى اشاره مى‌گردد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سوره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أُبّى‌بن‌كعب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إِذْجَعَلَ الَّذِينَ كَفَرُوا فِى قُلُوبِهِمُ الْحَمِيَّةَ حَمِيَّةَ </w:t>
      </w:r>
    </w:p>
    <w:p>
      <w:pPr>
        <w:pStyle w:val="BookText"/>
        <w:rPr/>
      </w:pPr>
      <w:r>
        <w:rPr>
          <w:rFonts w:ascii="IRNazanin" w:hAnsi="IRNazanin" w:eastAsia="IRNazanin"/>
          <w:color w:val="111111"/>
          <w:sz w:val="28"/>
          <w:sz w:val="28"/>
          <w:szCs w:val="28"/>
          <w:rtl w:val="true"/>
          <w:lang w:bidi="fa-IR"/>
        </w:rPr>
        <w:t>الْجَاهِلِيَّةِ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اين‌گونه قرائت مى‌كرد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حَميّة الجاهليّةِ، ولوحَمَيتُم كماحمُوا لَفَسَد المسجد الحرام فأنزل‌الله سكينته على رسوله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عمر وقتى اين قرائت را شنيد، به شدت ناراحت شد، او را درحضور جمعى كه زيدبن‌ثابت نيز حضور داشت، فراخواند،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سورۀ فتح را قرائت مى‌كند؟ زيدبن‌ثابت آن را به‌همان صورتى كه أُبّى خوانده بود،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ناراحت شد، ولى أُبّى به اوگفت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خوب مى‌دانى كه من همواره بر پيامبر وارد مى‌شدم و قرائت مى‌كردم، تو دمِ دَر بودى، بنابراين اگر دوست‌دارى من براى مردم قرآن بخوانم همانى را قرائت مى‌كنم كه قرائت كردم و در غير اين صورت تا زنده‌ام يك‌حرف قرائت نمى‌كنم؛ عمر تسليم او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قرائت كن</w:t>
      </w:r>
      <w:r>
        <w:rPr>
          <w:rFonts w:eastAsia="IRNazanin" w:cs="IRNazanin"/>
          <w:color w:val="111111"/>
          <w:sz w:val="28"/>
          <w:szCs w:val="28"/>
          <w:rtl w:val="true"/>
          <w:lang w:bidi="fa-IR"/>
        </w:rPr>
        <w:t xml:space="preserve">»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همان مضمون روايت قبلى را تأكيد مى‌كند با اين تفاوت كه زيدبن‌ثابت آيه را به‌صورت عامّه قرائت كرد، و عمر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لاأعرف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عمر را تهديد به‌عدم قرائت قرآن كرد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در آيه نهم سوره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خرشةبن‌حُرّ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عمربن‌الخطاب، وقتى لوحى را در دستم ديد كه در آن نوشته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نُودِى لِلصَّلاَةِ مِن يَوْمِ الْجُمُعَةِ فَاسْعَوْا إِلَى ذِكْرِاللهِ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آن را نوشته؟ گفتم أُبى‌بن‌كعب،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آيات منسوخ را براى ما قرائت نموده، ثُمّ قرأها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فَامضُوا إلى ذكرالله </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در سوره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نقلى،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ابن‌مسعود سوره والعصر را اين‌گونه قرائت نموده‌اند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ونوائبِ الدَّهرِ، إنّ الانسان لفي 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وإنّه لَفِيه إلى آخر الدهر </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سوره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به‌سندهاى مختلف گزارش‌شده كه وقتى اصحاب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أبى‌درداء را درشام ملاقات كردند،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واللّيلِ إذايَغش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را چگونه قرائت مى‌كرد؛ علقمه اين‌گونه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وَاللَّيْلِ‌إِذَا يَغْشَى وَالنَّهَارِإِذَا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وَالذَّكروالاُنثى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وقسم ياد كرد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أقرأنيها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فِيه إلى فِيَّ </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آيه</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Style w:val="FootnoteAnchor"/>
          <w:rtl w:val="true"/>
        </w:rPr>
        <w:footnoteReference w:id="944"/>
      </w:r>
      <w:r>
        <w:rPr>
          <w:rFonts w:ascii="Amiri" w:hAnsi="Amiri" w:eastAsia="Amiri" w:cs="Amiri"/>
          <w:color w:val="111111"/>
          <w:sz w:val="28"/>
          <w:sz w:val="28"/>
          <w:szCs w:val="28"/>
          <w:rtl w:val="true"/>
          <w:lang w:bidi="ar-SA"/>
        </w:rPr>
        <w:t xml:space="preserve">الانصارى، محمدبن احمد القرطبى، الجامع لاحكام القرآن، رياض، دارعالم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4/165</w:t>
      </w:r>
      <w:r>
        <w:rPr>
          <w:rFonts w:ascii="Amiri" w:hAnsi="Amiri" w:eastAsia="Amiri" w:cs="Amiri"/>
          <w:color w:val="111111"/>
          <w:sz w:val="28"/>
          <w:sz w:val="28"/>
          <w:szCs w:val="28"/>
          <w:rtl w:val="true"/>
          <w:lang w:bidi="ar-SA"/>
        </w:rPr>
        <w:t>؛ الدرّ المنثور، ج</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آل عمران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عثمان‌بن‌عفان اين آيه شريفه را بعد ازجمله يَنهَونَ عَنِ‌المُنكر اين‌گونه قرائت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ويستعينون‌الله على ما أصابهم وأولئك هم المفلحون</w:t>
      </w:r>
      <w:r>
        <w:rPr>
          <w:rFonts w:eastAsia="IRNazanin" w:cs="IRNazanin"/>
          <w:color w:val="111111"/>
          <w:sz w:val="28"/>
          <w:szCs w:val="28"/>
          <w:rtl w:val="true"/>
          <w:lang w:bidi="fa-IR"/>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قرائت را هم از عثمان و هم از ابن‌زبير نقل مى‌كنند</w:t>
      </w:r>
      <w:r>
        <w:rPr>
          <w:rFonts w:eastAsia="Amiri" w:cs="Amiri" w:ascii="Amiri" w:hAnsi="Amiri"/>
          <w:color w:val="111111"/>
          <w:sz w:val="28"/>
          <w:szCs w:val="28"/>
          <w:rtl w:val="true"/>
          <w:lang w:bidi="ar-SA"/>
        </w:rPr>
        <w:t xml:space="preserve">» .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آيه أولَوِيت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سعيدبن‌منصور، اسحق‌بن راهويه، ابن‌منذر و بيهقى از بجّاله نقل مى‌كنند كه روزى عمر، بر جوانى عبور كرد كه 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برآيه اضافه مى‌كرد، عمر به اوگفت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غلام حَكِّها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ابّى‌بن‌كعب است، سپس عمرآن را از اُبى پرسيد، وى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به‌قرآن سرگرم و مشغولم وتو را سيلى زدن در بازارها به‌خود مشغول نموده است</w:t>
      </w:r>
      <w:r>
        <w:rPr>
          <w:rFonts w:eastAsia="IRNazanin" w:cs="IRNazanin"/>
          <w:color w:val="111111"/>
          <w:sz w:val="28"/>
          <w:szCs w:val="28"/>
          <w:rtl w:val="true"/>
          <w:lang w:bidi="fa-IR"/>
        </w:rPr>
        <w:t xml:space="preserve">!» </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نمونه ديگر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كه بُز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شرم‌آورى به‌نام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هرچند اختلافى </w:t>
      </w:r>
      <w:bookmarkStart w:id="371" w:name="pg1976_27981"/>
    </w:p>
    <w:p>
      <w:pPr>
        <w:pStyle w:val="BookText"/>
        <w:rPr/>
      </w:pPr>
      <w:bookmarkEnd w:id="371"/>
      <w:r>
        <w:rPr>
          <w:rFonts w:ascii="IRNazanin" w:hAnsi="IRNazanin" w:eastAsia="IRNazanin"/>
          <w:color w:val="111111"/>
          <w:sz w:val="28"/>
          <w:sz w:val="28"/>
          <w:szCs w:val="28"/>
          <w:rtl w:val="true"/>
          <w:lang w:bidi="fa-IR"/>
        </w:rPr>
        <w:t xml:space="preserve">است ولى در منابع اهل سنت وجود دارد و برخى با استناد به‌گفته أمّ المؤمنين عايشه معتقدند كه اگر مرد كامل و بالغ دَه مرتبه از زن نامحرم شير بمكد نسبت به‌آن زن محرم خواهد شد؛ اصل داستان در مورد ابى‌حذيفه است كه از زنى به‌نام سهلة بن سهيل دَه مرتبه شير مكيد و مَحرم شده است </w:t>
      </w:r>
      <w:r>
        <w:rPr>
          <w:rStyle w:val="FootnoteAnchor"/>
          <w:rtl w:val="true"/>
        </w:rPr>
        <w:footnoteReference w:id="949"/>
      </w:r>
      <w:r>
        <w:rPr>
          <w:rFonts w:ascii="IRNazanin" w:hAnsi="IRNazanin" w:eastAsia="IRNazanin"/>
          <w:color w:val="111111"/>
          <w:sz w:val="28"/>
          <w:sz w:val="28"/>
          <w:szCs w:val="28"/>
          <w:rtl w:val="true"/>
          <w:lang w:bidi="fa-IR"/>
        </w:rPr>
        <w:t>ازاين‌رو، در نقلى عايشه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قرآن فرو فرستاده شد و سبب مَحرميت مى‌شد خوردن شير به‌تعداد دَه مرتبه معلوم بود، سپس از آن، پنج مرتبه معلوم نسخ گشت، تا اينكه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گفت، پنج مرتبه آن در قرآن باقى ماند</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 در روايت ديگر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آية الرّجم ورضاعة الكبيرة عَشراً ولقد كان في صحيفة تحت سَرِيرِي، فَلَمّا مات رسول‌الله وتشاغَلنَا بِمَوتِهِ دَخَلَ داجن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فأكَلَتها </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در نتيجه آيه‌اى كه حكم مَحرم شدن مرد كامل با خوردن شير از زن نامحرم را بيان مى‌كرد، خوراك بُز اُمُّ المؤمنين عايشه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برخدا</w:t>
      </w:r>
      <w:r>
        <w:rPr>
          <w:rFonts w:eastAsia="IRNazanin" w:cs="IRNazanin"/>
          <w:color w:val="111111"/>
          <w:sz w:val="28"/>
          <w:szCs w:val="28"/>
          <w:rtl w:val="true"/>
          <w:lang w:bidi="fa-IR"/>
        </w:rPr>
        <w:t>) .</w:t>
      </w:r>
    </w:p>
    <w:p>
      <w:pPr>
        <w:pStyle w:val="Heading6"/>
        <w:numPr>
          <w:ilvl w:val="5"/>
          <w:numId w:val="1"/>
        </w:numPr>
        <w:rPr/>
      </w:pPr>
      <w:bookmarkStart w:id="372" w:name="__RefHeading___Toc3767111_3650668749"/>
      <w:bookmarkStart w:id="373" w:name="_Toc134"/>
      <w:bookmarkEnd w:id="372"/>
      <w:r>
        <w:rPr>
          <w:rtl w:val="true"/>
        </w:rPr>
        <w:t>ه</w:t>
      </w:r>
      <w:r>
        <w:rPr>
          <w:rtl w:val="true"/>
        </w:rPr>
        <w:t xml:space="preserve">) </w:t>
      </w:r>
      <w:r>
        <w:rPr>
          <w:rtl w:val="true"/>
        </w:rPr>
        <w:t>حذف بخشى از آيات قرآن</w:t>
      </w:r>
      <w:bookmarkEnd w:id="373"/>
    </w:p>
    <w:p>
      <w:pPr>
        <w:pStyle w:val="BookText"/>
        <w:rPr/>
      </w:pPr>
      <w:r>
        <w:rPr>
          <w:rFonts w:ascii="IRNazanin" w:hAnsi="IRNazanin" w:eastAsia="IRNazanin"/>
          <w:color w:val="111111"/>
          <w:sz w:val="28"/>
          <w:sz w:val="28"/>
          <w:szCs w:val="28"/>
          <w:rtl w:val="true"/>
          <w:lang w:bidi="fa-IR"/>
        </w:rPr>
        <w:t>دسته ديگر از روايات اهل سنّت تحريف حذف آيات قرآن كريم را مطرح مى‌كند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مقدارى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از پسر عمر نقل مى‌كند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يقولَنّ 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قدأخذتَ القرآن كُّلُّه، وما يدريه ما كلّه، قد ذهَبَ منه قرآن كثير، ولكن 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أخذتُ منه ماظَهَر </w:t>
      </w:r>
      <w:r>
        <w:rPr>
          <w:rFonts w:eastAsia="IRNazanin" w:cs="IRNazanin"/>
          <w:color w:val="111111"/>
          <w:sz w:val="28"/>
          <w:szCs w:val="28"/>
          <w:rtl w:val="true"/>
          <w:lang w:bidi="fa-IR"/>
        </w:rPr>
        <w:t xml:space="preserve">»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وقتى از عبدالرحمان بن عوف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مورد ما نازل شده </w:t>
      </w:r>
    </w:p>
    <w:p>
      <w:pPr>
        <w:pStyle w:val="BookText"/>
        <w:rPr/>
      </w:pPr>
      <w:r>
        <w:rPr>
          <w:rFonts w:ascii="IRNazanin" w:hAnsi="IRNazanin" w:eastAsia="IRNazanin"/>
          <w:color w:val="111111"/>
          <w:sz w:val="28"/>
          <w:sz w:val="28"/>
          <w:szCs w:val="28"/>
          <w:rtl w:val="true"/>
          <w:lang w:bidi="fa-IR"/>
        </w:rPr>
        <w:t>كه جهاد كنيد همان‌گونه كه در ابتدا جهاد مى‌نموديد، نيافتى؟ ، عبدالرحمان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اُسقِط فِيما اُسقط من القرآن</w:t>
      </w:r>
      <w:r>
        <w:rPr>
          <w:rFonts w:eastAsia="IRNazanin" w:cs="IRNazanin"/>
          <w:color w:val="111111"/>
          <w:sz w:val="28"/>
          <w:szCs w:val="28"/>
          <w:rtl w:val="true"/>
          <w:lang w:bidi="fa-IR"/>
        </w:rPr>
        <w:t xml:space="preserve">! »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مسيلمه و ايجاد نقص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از ثورى نقل مى‌كند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بَلَغنا أنّ ناساً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يقرؤُون القرآن، اُصيبُوا يَوم مُسيلمة، فذهَبَت حروف مِنَ القرآن </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همانند قرآن به همراه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ابى‌داود به‌سند خود از عبدالرحمان‌بن ابى‌عوف و او از مقدام بن معدى‌كرب و او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بيدار باشيد كه من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آوردم و با آن كتابى شبيه او؛ بيدار باشيد به‌زودى مرد ثروتمندى كه برتختش قرار مى‌گيرد، قرآن را براى شما خواهد گفت، پس آنچه در او از حلال يافتيد، حلال بشماريد و آنچه از حرام يافتيد حرام بدانيد</w:t>
      </w:r>
      <w:r>
        <w:rPr>
          <w:rFonts w:eastAsia="IRNazanin" w:cs="IRNazanin"/>
          <w:color w:val="111111"/>
          <w:sz w:val="28"/>
          <w:szCs w:val="28"/>
          <w:rtl w:val="true"/>
          <w:lang w:bidi="fa-IR"/>
        </w:rPr>
        <w:t xml:space="preserve">. . .» </w:t>
      </w:r>
      <w:r>
        <w:rPr>
          <w:rStyle w:val="FootnoteAnchor"/>
          <w:rtl w:val="true"/>
        </w:rPr>
        <w:footnoteReference w:id="955"/>
      </w:r>
      <w:r>
        <w:rPr>
          <w:rFonts w:ascii="Amiri" w:hAnsi="Amiri" w:eastAsia="Amiri" w:cs="Amiri"/>
          <w:color w:val="111111"/>
          <w:sz w:val="28"/>
          <w:sz w:val="28"/>
          <w:szCs w:val="28"/>
          <w:rtl w:val="true"/>
          <w:lang w:bidi="ar-SA"/>
        </w:rPr>
        <w:t xml:space="preserve">همين مضمون را طبرانى و دارقطنى مى‌آورند با تفاوت اندك در الفاظ از جمله به‌جاى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ومَايُعَادله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به‌كار مى‌برد </w:t>
      </w:r>
      <w:r>
        <w:rPr>
          <w:rStyle w:val="FootnoteAnchor"/>
          <w:rtl w:val="true"/>
        </w:rPr>
        <w:footnoteReference w:id="956"/>
      </w:r>
      <w:r>
        <w:rPr>
          <w:rFonts w:ascii="Amiri" w:hAnsi="Amiri" w:eastAsia="Amiri" w:cs="Amiri"/>
          <w:color w:val="111111"/>
          <w:sz w:val="28"/>
          <w:sz w:val="28"/>
          <w:szCs w:val="28"/>
          <w:rtl w:val="true"/>
          <w:lang w:bidi="ar-SA"/>
        </w:rPr>
        <w:t xml:space="preserve">براساس اين روايت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همانند قرآن كه حلال و حرام خدا در آن وجود داشته، آورده است درحالى‌كه در دسترس مسلمانان نيست</w:t>
      </w:r>
      <w:r>
        <w:rPr>
          <w:rFonts w:eastAsia="Amiri" w:cs="Amiri" w:ascii="Amiri" w:hAnsi="Amiri"/>
          <w:color w:val="111111"/>
          <w:sz w:val="28"/>
          <w:szCs w:val="28"/>
          <w:rtl w:val="true"/>
          <w:lang w:bidi="ar-SA"/>
        </w:rPr>
        <w:t xml:space="preserve">! </w:t>
      </w:r>
      <w:r>
        <w:rPr>
          <w:rStyle w:val="FootnoteAnchor"/>
          <w:rtl w:val="true"/>
        </w:rPr>
        <w:footnoteReference w:id="957"/>
      </w:r>
      <w:bookmarkStart w:id="374" w:name="pg1976_27985"/>
    </w:p>
    <w:p>
      <w:pPr>
        <w:pStyle w:val="BookText"/>
        <w:rPr/>
      </w:pPr>
      <w:bookmarkEnd w:id="374"/>
      <w:r>
        <w:rPr>
          <w:rFonts w:ascii="IRNazanin" w:hAnsi="IRNazanin" w:eastAsia="IRNazanin"/>
          <w:color w:val="111111"/>
          <w:sz w:val="28"/>
          <w:sz w:val="28"/>
          <w:szCs w:val="28"/>
          <w:rtl w:val="true"/>
          <w:lang w:bidi="fa-IR"/>
        </w:rPr>
        <w:t xml:space="preserve">در نتيجه، اينكه بسيارى از نويسندگان وهابى تصريح مى‌كنند كه اهل‌سنت اعتقاد به‌تحريف قرآن ندارند، و قرآن فعلى همان قرآن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هيچ تغييرى در آن صورت نگرفته است </w:t>
      </w:r>
      <w:r>
        <w:rPr>
          <w:rStyle w:val="FootnoteAnchor"/>
          <w:rtl w:val="true"/>
        </w:rPr>
        <w:footnoteReference w:id="958"/>
      </w:r>
      <w:r>
        <w:rPr>
          <w:rFonts w:ascii="IRNazanin" w:hAnsi="IRNazanin" w:eastAsia="IRNazanin"/>
          <w:color w:val="111111"/>
          <w:sz w:val="28"/>
          <w:sz w:val="28"/>
          <w:szCs w:val="28"/>
          <w:rtl w:val="true"/>
          <w:lang w:bidi="fa-IR"/>
        </w:rPr>
        <w:t>، ادعايى بيش‌نيست و كاش قبل از اتهام به شيعه و كلينى، ابتدا به‌كتاب‌هاى خود از جمله صحيح بخارى نگاه مى‌كردند؛ و اگر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 روايت صحيح كه دال بر تحريف قرآن باشد، در منابع اهل‌سنت يافت نمى‌شود، بلكه بزرگان اسلام تصريح نموده‌اند كه معتقد به‌تحريف از ملّت حنيف، خارج است</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 xml:space="preserve">، مى‌رساند كه نه تنها از منابع اصيل شيعه، اطلاع ندارند كه از منابع خودشان هم بى‌اطلاع‌اند،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 روايت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نقل شد، از منابع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 جهت محمود أبوريه پس از نقل روايات تحريف از منابع اهل‌سنت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يَقف فعل الرّواية عند ذلك، بل تمادت إلى ما هو أخطر من ذلك حتّى زعمت أنّ في القرآن نَقصاً ولَحناً وغير ذلك ممّا أورد في كتب السنّة، ولَو شِئنا أن نَأتي به لطالَ الكلام، ولكنّا نكتفي بمثالَينِ ممّا قالوه في نقصِ القرآن، ولم نأتِ بهما من كُتُبِ السّنّة العامّة، بل ممّا حمله الصحيحان، و رواهُ الشيخان البخاري ومسلم</w:t>
      </w:r>
      <w:r>
        <w:rPr>
          <w:rFonts w:eastAsia="IRNazanin" w:cs="IRNazanin"/>
          <w:color w:val="111111"/>
          <w:sz w:val="28"/>
          <w:szCs w:val="28"/>
          <w:rtl w:val="true"/>
          <w:lang w:bidi="fa-IR"/>
        </w:rPr>
        <w:t xml:space="preserve">. . . »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3767113_3650668749"/>
      <w:bookmarkStart w:id="376" w:name="_Toc135"/>
      <w:bookmarkEnd w:id="375"/>
      <w:r>
        <w:rPr>
          <w:rtl w:val="true"/>
        </w:rPr>
        <w:t>مرحله دوم</w:t>
      </w:r>
      <w:r>
        <w:rPr>
          <w:rtl w:val="true"/>
        </w:rPr>
        <w:t xml:space="preserve">: </w:t>
      </w:r>
      <w:r>
        <w:rPr>
          <w:rtl w:val="true"/>
        </w:rPr>
        <w:t>پاسخ حلّى به تحريف قرآن</w:t>
      </w:r>
      <w:bookmarkEnd w:id="376"/>
    </w:p>
    <w:p>
      <w:pPr>
        <w:pStyle w:val="Heading6"/>
        <w:numPr>
          <w:ilvl w:val="5"/>
          <w:numId w:val="1"/>
        </w:numPr>
        <w:rPr/>
      </w:pPr>
      <w:bookmarkStart w:id="377" w:name="__RefHeading___Toc3767115_3650668749"/>
      <w:bookmarkStart w:id="378" w:name="_Toc136"/>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با توجّه به‌آنچه گذشت، اين نتيجه به‌دست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اعتقاد به‌تحريف قرآن ندارند و متهم كردن شيعه به‌اينكه به‌قرآن موجود باور ندارند و آن را محّرف مى‌پندارند، دروغى بيش نيست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درهيچ جايى از كتابش تصريح به‌تحريف قرآن نداشت جز اينكه عناوين و رواياتى كه گمان مى‌رود، تحريف را برساند، در اين كتاب نقل نموده است</w:t>
      </w:r>
      <w:r>
        <w:rPr>
          <w:rFonts w:eastAsia="IRNazanin" w:cs="IRNazanin"/>
          <w:color w:val="111111"/>
          <w:sz w:val="28"/>
          <w:szCs w:val="28"/>
          <w:rtl w:val="true"/>
          <w:lang w:bidi="fa-IR"/>
        </w:rPr>
        <w:t xml:space="preserve">. </w:t>
      </w:r>
      <w:bookmarkStart w:id="379" w:name="pg1976_27987"/>
    </w:p>
    <w:p>
      <w:pPr>
        <w:pStyle w:val="BookText"/>
        <w:rPr/>
      </w:pPr>
      <w:bookmarkEnd w:id="379"/>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ملاحظه شد در منابع مورد قبول وهابى‌ها موارد فراوانى دال بر تحريف قرآن، اعمّ از زياد كردن و كاستن و دگرگونى اين كتاب آسمانى موجود است كه به‌نمونه‌هاى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قسمت به‌يارى خداوند به‌پاسخ حلّى و بررسى اتهامات وارد شده به‌كلينى و كتاب او هرچند فشرده پرداخته خواهد شد </w:t>
      </w:r>
      <w:r>
        <w:rPr>
          <w:rStyle w:val="FootnoteAnchor"/>
          <w:rtl w:val="true"/>
        </w:rPr>
        <w:footnoteReference w:id="961"/>
      </w:r>
      <w:r>
        <w:rPr>
          <w:rFonts w:ascii="IRNazanin" w:hAnsi="IRNazanin" w:eastAsia="IRNazanin"/>
          <w:color w:val="111111"/>
          <w:sz w:val="28"/>
          <w:sz w:val="28"/>
          <w:szCs w:val="28"/>
          <w:rtl w:val="true"/>
          <w:lang w:bidi="fa-IR"/>
        </w:rPr>
        <w:t>، اما پيش از آن لازم است به‌دو نكته كليدى اشاره شود</w:t>
      </w:r>
      <w:r>
        <w:rPr>
          <w:rFonts w:eastAsia="IRNazanin" w:cs="IRNazanin"/>
          <w:color w:val="111111"/>
          <w:sz w:val="28"/>
          <w:szCs w:val="28"/>
          <w:rtl w:val="true"/>
          <w:lang w:bidi="fa-IR"/>
        </w:rPr>
        <w:t>:</w:t>
      </w:r>
    </w:p>
    <w:p>
      <w:pPr>
        <w:pStyle w:val="Heading6"/>
        <w:numPr>
          <w:ilvl w:val="5"/>
          <w:numId w:val="1"/>
        </w:numPr>
        <w:rPr/>
      </w:pPr>
      <w:bookmarkStart w:id="380" w:name="__RefHeading___Toc3767117_3650668749"/>
      <w:bookmarkStart w:id="381" w:name="_Toc137"/>
      <w:bookmarkEnd w:id="380"/>
      <w:r>
        <w:rPr>
          <w:rtl w:val="true"/>
        </w:rPr>
        <w:t>نكته اول</w:t>
      </w:r>
      <w:r>
        <w:rPr>
          <w:rtl w:val="true"/>
        </w:rPr>
        <w:t xml:space="preserve">: </w:t>
      </w:r>
      <w:r>
        <w:rPr>
          <w:rtl w:val="true"/>
        </w:rPr>
        <w:t>آغاز و زمينه تهمت تحريف، به‌كلينى</w:t>
      </w:r>
      <w:bookmarkEnd w:id="381"/>
    </w:p>
    <w:p>
      <w:pPr>
        <w:pStyle w:val="BookText"/>
        <w:rPr/>
      </w:pPr>
      <w:r>
        <w:rPr>
          <w:rFonts w:ascii="IRNazanin" w:hAnsi="IRNazanin" w:eastAsia="IRNazanin"/>
          <w:color w:val="111111"/>
          <w:sz w:val="28"/>
          <w:sz w:val="28"/>
          <w:szCs w:val="28"/>
          <w:rtl w:val="true"/>
          <w:lang w:bidi="fa-IR"/>
        </w:rPr>
        <w:t xml:space="preserve">از آن‌جا كه تفسيرى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به‌على‌بن‌ابراهيم القمى، از علماى قرن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كتاب‌هايى است كه از يك‌سو، مؤلف آن استادِ كلينى است و از ديگرسو، كلينى فراوان از او روايت نقل مى‌كند، اين‌كتاب مورد توجّه وهابى‌ها قرار گرفته است و آن را از زير ساخت‌هاى كافى دانسته و قمى و كلينى را از معروف‌ترين اسطوانه‌هاى اين عقيدۀ باطل و مروِّج اين اسطوره مى‌شمارند </w:t>
      </w:r>
      <w:r>
        <w:rPr>
          <w:rStyle w:val="FootnoteAnchor"/>
          <w:rtl w:val="true"/>
        </w:rPr>
        <w:footnoteReference w:id="962"/>
      </w:r>
      <w:r>
        <w:rPr>
          <w:rFonts w:ascii="Amiri" w:hAnsi="Amiri" w:eastAsia="Amiri" w:cs="Amiri"/>
          <w:color w:val="111111"/>
          <w:sz w:val="28"/>
          <w:sz w:val="28"/>
          <w:szCs w:val="28"/>
          <w:rtl w:val="true"/>
          <w:lang w:bidi="ar-SA"/>
        </w:rPr>
        <w:t>، ازاين‌رو، در كتاب‌هايى كه تحريف را به‌كلينى نسبت مى‌دهند، كلينى و استاد او قمى را كنار هم مى‌آورند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 اسطوره تحريف در تفسير قمى، استاد كلينى فراوان آمده است</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اصول مذهب‌الشيعه بدان جهت كه در مقدمه اين تفسير مواردى دال بر تحريف ديده مى‌شود، قمى را متهم مى‌كند كه اعتقاد به‌تحريف داشته است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درحالى‌كه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به‌على‌بن ابراهيم قمى است نَه تأليف او، بلكه اين كتاب تلفيقى از املاى قمى به‌شاگردش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العبّاس بن محمد العلوى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فاتحه تا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بخش عظيمى از روايات ابى‌الجارود است، كه توسط اين شخص از اساتيد ديگرش جمع و تكميل گرديده است </w:t>
      </w:r>
      <w:r>
        <w:rPr>
          <w:rStyle w:val="FootnoteAnchor"/>
          <w:rtl w:val="true"/>
        </w:rPr>
        <w:footnoteReference w:id="965"/>
      </w:r>
      <w:r>
        <w:rPr>
          <w:rFonts w:ascii="IRNazanin" w:hAnsi="IRNazanin" w:eastAsia="IRNazanin"/>
          <w:color w:val="111111"/>
          <w:sz w:val="28"/>
          <w:sz w:val="28"/>
          <w:szCs w:val="28"/>
          <w:rtl w:val="true"/>
          <w:lang w:bidi="fa-IR"/>
        </w:rPr>
        <w:t>شاهد بر اينكه اين تفسير تأليف قمى نيست، تصريح خود ابوالفضل است كه در تفسير سوره حشر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زيادةُ أحرُفٍ لم تَكُن في رواية علي‌بن إبراهيم </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در منابع رجالى ترجمه ابوالفضل العباس‌بن محمد العلوى، به‌طور مستقل ذكر نشده و مجهول است </w:t>
      </w:r>
      <w:r>
        <w:rPr>
          <w:rStyle w:val="FootnoteAnchor"/>
          <w:rtl w:val="true"/>
        </w:rPr>
        <w:footnoteReference w:id="967"/>
      </w:r>
      <w:r>
        <w:rPr>
          <w:rFonts w:ascii="IRNazanin" w:hAnsi="IRNazanin" w:eastAsia="IRNazanin"/>
          <w:color w:val="111111"/>
          <w:sz w:val="28"/>
          <w:sz w:val="28"/>
          <w:szCs w:val="28"/>
          <w:rtl w:val="true"/>
          <w:lang w:bidi="fa-IR"/>
        </w:rPr>
        <w:t xml:space="preserve">، و ابى‌الجارود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زيادبن‌منذر باشد، هرچند كه به‌عنوان اصحاب امامان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ذكرشده ولى بعد از خروج زيدبن عَلِى، به‌زيديه پيوست وفرقه جاروديه به‌او منسوب است </w:t>
      </w:r>
      <w:r>
        <w:rPr>
          <w:rStyle w:val="FootnoteAnchor"/>
          <w:rtl w:val="true"/>
        </w:rPr>
        <w:footnoteReference w:id="968"/>
      </w:r>
      <w:r>
        <w:rPr>
          <w:rFonts w:ascii="IRNazanin" w:hAnsi="IRNazanin" w:eastAsia="IRNazanin"/>
          <w:color w:val="111111"/>
          <w:sz w:val="28"/>
          <w:sz w:val="28"/>
          <w:szCs w:val="28"/>
          <w:rtl w:val="true"/>
          <w:lang w:bidi="fa-IR"/>
        </w:rPr>
        <w:t xml:space="preserve">، و در رجال كشّى رواياتى در مذمت او گزارش شده است </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خويى روايات كشّى را ضعيف دانسته و او را به‌خاطر اينكه در اسناد كامل الزيارات قرار دارد و جعفربن محمدبن قولويه به وثاقت همه روات كامل الزّيارات، شهادت داده، مورد اعتماد مى‌داند و برگشت وى را از زيديه </w:t>
      </w:r>
    </w:p>
    <w:p>
      <w:pPr>
        <w:pStyle w:val="BookText"/>
        <w:rPr/>
      </w:pPr>
      <w:r>
        <w:rPr>
          <w:rFonts w:ascii="IRNazanin" w:hAnsi="IRNazanin" w:eastAsia="IRNazanin"/>
          <w:color w:val="111111"/>
          <w:sz w:val="28"/>
          <w:sz w:val="28"/>
          <w:szCs w:val="28"/>
          <w:rtl w:val="true"/>
          <w:lang w:bidi="fa-IR"/>
        </w:rPr>
        <w:t xml:space="preserve">محتمل مى‌شمارد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مقدمه، تفسير قمى از آن قمى نيست بلكه از شخصى است كه نزد علماى شيعه هويت معلومى ندارد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قفارى با استناد به‌كلام مرحوم خويى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كثرت اين روايات موجب يقين به‌صدور برخى از آنها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يا حداقل به‌صدور برخى از آنها اطمينان پيدا مى‌كنيم به‌ويژه كه سند بعضى از آنها معتبر است</w:t>
      </w:r>
      <w:r>
        <w:rPr>
          <w:rFonts w:eastAsia="IRNazanin" w:cs="IRNazanin"/>
          <w:color w:val="111111"/>
          <w:sz w:val="28"/>
          <w:szCs w:val="28"/>
          <w:rtl w:val="true"/>
          <w:lang w:bidi="fa-IR"/>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 آن را اعتراف علماى شيعه به‌تحريف مى‌شمارد </w:t>
      </w:r>
      <w:r>
        <w:rPr>
          <w:rStyle w:val="FootnoteAnchor"/>
          <w:rtl w:val="true"/>
        </w:rPr>
        <w:footnoteReference w:id="973"/>
      </w:r>
      <w:r>
        <w:rPr>
          <w:rFonts w:ascii="IRNazanin" w:hAnsi="IRNazanin" w:eastAsia="IRNazanin"/>
          <w:color w:val="111111"/>
          <w:sz w:val="28"/>
          <w:sz w:val="28"/>
          <w:szCs w:val="28"/>
          <w:rtl w:val="true"/>
          <w:lang w:bidi="fa-IR"/>
        </w:rPr>
        <w:t xml:space="preserve">درحالى‌كه لازمه كلام خويى تأييد روايات تفسير قمى كه توسط ابوالفضل‌العبّاس نَقل شده، نيست؛ چه اينكه تأييد آنها به‌معنى تأييد متن و دلالت روايات نيست </w:t>
      </w:r>
      <w:r>
        <w:rPr>
          <w:rStyle w:val="FootnoteAnchor"/>
          <w:rtl w:val="true"/>
        </w:rPr>
        <w:footnoteReference w:id="974"/>
      </w:r>
      <w:r>
        <w:rPr>
          <w:rFonts w:ascii="Amiri" w:hAnsi="Amiri" w:eastAsia="Amiri" w:cs="Amiri"/>
          <w:color w:val="111111"/>
          <w:sz w:val="28"/>
          <w:sz w:val="28"/>
          <w:szCs w:val="28"/>
          <w:rtl w:val="true"/>
          <w:lang w:bidi="ar-SA"/>
        </w:rPr>
        <w:t xml:space="preserve">، بلكه قفارى نوعى خيانت در امانت را مرتكب شده است؛ زيرا مقصود خويى اين است كه اين روايات از نظر كثرت اعتماد آور است ولى از نظر دلالت و محتوا قابل بحث است و از اين جهت همه روايات را مردود مى‌شمارد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رواياتى‌كه در اين تفسيرآمده و قفارى آنها را تحريف مى‌شمارد، از چهاردسته خارج نيست؛ دسته‌اى بدون سند و از ابوالفضل‌العبّاس است كه فاقد ارزش علمى است، پاره‌اى از آنها ضمن اينكه منقطع است در مورد تفسير قرآن است نه تحريف؛ گروهى از روايات ربطى به‌تحريف ندارد و دسته چهارم هرچند در ظاهر مستند است ولى در واقع گذشته از اينكه منقطع و راوى آنها از على‌بن‌ابراهيم مجهول است، از جهت متن، مضمون آنها در منابع اهل‌سنت ديده مى‌شود </w:t>
      </w:r>
      <w:r>
        <w:rPr>
          <w:rStyle w:val="FootnoteAnchor"/>
          <w:rtl w:val="true"/>
        </w:rPr>
        <w:footnoteReference w:id="976"/>
      </w:r>
      <w:r>
        <w:rPr>
          <w:rFonts w:ascii="IRNazanin" w:hAnsi="IRNazanin" w:eastAsia="IRNazanin"/>
          <w:color w:val="111111"/>
          <w:sz w:val="28"/>
          <w:sz w:val="28"/>
          <w:szCs w:val="28"/>
          <w:rtl w:val="true"/>
          <w:lang w:bidi="fa-IR"/>
        </w:rPr>
        <w:t xml:space="preserve">يكى از رواياتى كه در تفسير منسوب به‌قمى آمده، اين گزارش است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الآية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قَالَ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لآل‌محمدحَقَّهُم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تَتَّبِعُونَ إِلَّا رَجُلاً مَسْحُوراً </w:t>
      </w:r>
      <w:bookmarkStart w:id="382" w:name="pg1976_27994"/>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از مباحثى كه دربارۀ اين آيه مطرح مى‌شود،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چه كسانى‌اند؟ برخى مفسّران آنها را نام برده‌اند</w:t>
      </w:r>
      <w:r>
        <w:rPr>
          <w:rFonts w:eastAsia="IRNazanin" w:cs="IRNazanin"/>
          <w:color w:val="111111"/>
          <w:sz w:val="28"/>
          <w:szCs w:val="28"/>
          <w:rtl w:val="true"/>
          <w:lang w:bidi="fa-IR"/>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البته ترديدى نيست كه مقصود از ستمديده و مظلوم در آيه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وقتى همين آيه در كنار آيه</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 إِنَّ اللهَ اصْطَفَى آدَمَ وَنُوحاً وَآلَ إِبْرَاهِيمَ وَآلَ عِمْرَانَ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الْعَالَمِينَ </w:t>
      </w:r>
      <w:r>
        <w:rPr>
          <w:rStyle w:val="FootnoteAnchor"/>
          <w:rtl w:val="true"/>
        </w:rPr>
        <w:footnoteReference w:id="979"/>
      </w:r>
      <w:r>
        <w:rPr>
          <w:rFonts w:ascii="IRNazanin" w:hAnsi="IRNazanin" w:eastAsia="IRNazanin"/>
          <w:color w:val="111111"/>
          <w:sz w:val="28"/>
          <w:sz w:val="28"/>
          <w:szCs w:val="28"/>
          <w:rtl w:val="true"/>
          <w:lang w:bidi="fa-IR"/>
        </w:rPr>
        <w:t xml:space="preserve">قرار بگيرد، مسأله روشن مى‌گردد؛ زيرا حسكانى از ابن‌عباس وعبدالله‌بن‌مسعود، آيه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اصطَفَى‌آدَمَ ونوحاً وآلَ ابراهيم وآلَ عمران وآل‌محمّد عَلَى العَلمين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كرده و خود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تَثبت هذه القرائة فلاشَكّ في دخولهم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لِأنّهُم آل إبراهيم </w:t>
      </w:r>
      <w:r>
        <w:rPr>
          <w:rFonts w:eastAsia="IRNazanin" w:cs="IRNazanin"/>
          <w:color w:val="111111"/>
          <w:sz w:val="28"/>
          <w:szCs w:val="28"/>
          <w:rtl w:val="true"/>
          <w:lang w:bidi="fa-IR"/>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اين‌گونه روايات بر معناى تفسيرى يا تأويلى و يا بيان شأن نزول، يا مصداق أتَمّ حمل مى‌شود، و اگر هيچ‌كدام ممكن نبود به‌خاطر تعارض اين روايات با كتاب‌خدا و مصونيت آن از تحريف، اخبار مورد نظر، از اعتبار ساقط است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3" w:name="__RefHeading___Toc3767119_3650668749"/>
      <w:bookmarkStart w:id="384" w:name="_Toc138"/>
      <w:bookmarkEnd w:id="383"/>
      <w:r>
        <w:rPr>
          <w:rtl w:val="true"/>
        </w:rPr>
        <w:t>نكته دوم</w:t>
      </w:r>
      <w:r>
        <w:rPr>
          <w:rtl w:val="true"/>
        </w:rPr>
        <w:t xml:space="preserve">: </w:t>
      </w:r>
      <w:r>
        <w:rPr>
          <w:rtl w:val="true"/>
        </w:rPr>
        <w:t>ادعاى كافى صحيح‌ترين كتاب</w:t>
      </w:r>
      <w:r>
        <w:rPr>
          <w:rtl w:val="true"/>
        </w:rPr>
        <w:t>!</w:t>
      </w:r>
      <w:bookmarkEnd w:id="38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منتقدان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بزرگنمايى اين اشكال و نقد، مدّعى‌اند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صحيح‌ترين كتاب نزد شيعه </w:t>
      </w:r>
      <w:r>
        <w:rPr>
          <w:rStyle w:val="FootnoteAnchor"/>
          <w:rtl w:val="true"/>
        </w:rPr>
        <w:footnoteReference w:id="982"/>
      </w:r>
      <w:r>
        <w:rPr>
          <w:rFonts w:ascii="Amiri" w:hAnsi="Amiri" w:eastAsia="Amiri" w:cs="Amiri"/>
          <w:color w:val="111111"/>
          <w:sz w:val="28"/>
          <w:sz w:val="28"/>
          <w:szCs w:val="28"/>
          <w:rtl w:val="true"/>
          <w:lang w:bidi="ar-SA"/>
        </w:rPr>
        <w:t xml:space="preserve">، بلكه از عالى‌ترين درجه صحّت </w:t>
      </w:r>
      <w:r>
        <w:rPr>
          <w:rStyle w:val="FootnoteAnchor"/>
          <w:rtl w:val="true"/>
        </w:rPr>
        <w:footnoteReference w:id="983"/>
      </w:r>
      <w:r>
        <w:rPr>
          <w:rFonts w:ascii="Amiri" w:hAnsi="Amiri" w:eastAsia="Amiri" w:cs="Amiri"/>
          <w:color w:val="111111"/>
          <w:sz w:val="28"/>
          <w:sz w:val="28"/>
          <w:szCs w:val="28"/>
          <w:rtl w:val="true"/>
          <w:lang w:bidi="ar-SA"/>
        </w:rPr>
        <w:t xml:space="preserve">برخوردار، و يا به‌منزله </w:t>
      </w:r>
    </w:p>
    <w:p>
      <w:pPr>
        <w:pStyle w:val="BookText"/>
        <w:rPr/>
      </w:pPr>
      <w:r>
        <w:rPr>
          <w:rFonts w:ascii="Amiri" w:hAnsi="Amiri" w:eastAsia="Amiri" w:cs="Amiri"/>
          <w:color w:val="111111"/>
          <w:sz w:val="28"/>
          <w:sz w:val="28"/>
          <w:szCs w:val="28"/>
          <w:rtl w:val="true"/>
          <w:lang w:bidi="ar-SA"/>
        </w:rPr>
        <w:t>بخارى نزد مسلمين، است</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چنين ادعايى هرچند در مورد كافى كه از نظر تاريخى مهم‌ترين كتاب و از نگاه علمى ارزشمندترين مجموعه حديثى محسوب مى‌شود، درست است ولى از نگاهِ صحّت روايات آن، برخلاف باور اهل‌سنت نسبت به‌صحيح بخارى و مسلم </w:t>
      </w:r>
      <w:r>
        <w:rPr>
          <w:rStyle w:val="FootnoteAnchor"/>
          <w:rtl w:val="true"/>
        </w:rPr>
        <w:footnoteReference w:id="985"/>
      </w:r>
      <w:r>
        <w:rPr>
          <w:rFonts w:ascii="IRNazanin" w:hAnsi="IRNazanin" w:eastAsia="IRNazanin"/>
          <w:color w:val="111111"/>
          <w:sz w:val="28"/>
          <w:sz w:val="28"/>
          <w:szCs w:val="28"/>
          <w:rtl w:val="true"/>
          <w:lang w:bidi="fa-IR"/>
        </w:rPr>
        <w:t xml:space="preserve">، كسى از عالمان شيعه مدعى صحّت همه روايات آن نيست، بلكه گذشته از اينكه اصطلاح صحيح، نزد قدما و متأخران شيعه، متفاوت است، اين كتاب را مشتمل بر روايات صحيح، موثّق، حَسن و ضعيف مى‌دانند </w:t>
      </w:r>
      <w:r>
        <w:rPr>
          <w:rStyle w:val="FootnoteAnchor"/>
          <w:rtl w:val="true"/>
        </w:rPr>
        <w:footnoteReference w:id="986"/>
      </w:r>
      <w:r>
        <w:rPr>
          <w:rFonts w:ascii="IRNazanin" w:hAnsi="IRNazanin" w:eastAsia="IRNazanin"/>
          <w:color w:val="111111"/>
          <w:sz w:val="28"/>
          <w:sz w:val="28"/>
          <w:szCs w:val="28"/>
          <w:rtl w:val="true"/>
          <w:lang w:bidi="fa-IR"/>
        </w:rPr>
        <w:t>چه اينكه خود كلينى در مقدمه اين كتاب، معيار تشخيص صحيح از ناصحيح را هماهنگ بودن ونبودن رواياتش با كتاب‌خدا شمرده،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فاعلَم 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ارشدك‌الله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لايَسع احداً تمييز شيء ممّا اختلف الرّواية فيه من‌العلماء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إلّاعلى ما أطلقه‌العالم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إعرَضُوا على‌كتاب‌الله فَمَا وافقَ الكتاب الله عزّوجل فخُذُوهُ ومَا خَالفَ كتاب‌الله فَرُدّوهُ</w:t>
      </w:r>
      <w:r>
        <w:rPr>
          <w:rFonts w:eastAsia="IRNazanin" w:cs="IRNazanin"/>
          <w:color w:val="111111"/>
          <w:sz w:val="28"/>
          <w:szCs w:val="28"/>
          <w:rtl w:val="true"/>
          <w:lang w:bidi="fa-IR"/>
        </w:rPr>
        <w:t xml:space="preserve">. . .»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نتيجه اين سخن علّامه مجلسى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رواياتِ الكُتُبِ الاَربعةِ لَيسَت كُلّها </w:t>
      </w:r>
    </w:p>
    <w:p>
      <w:pPr>
        <w:pStyle w:val="BookText"/>
        <w:rPr/>
      </w:pPr>
      <w:r>
        <w:rPr>
          <w:rFonts w:ascii="Amiri" w:hAnsi="Amiri" w:eastAsia="Amiri" w:cs="Amiri"/>
          <w:color w:val="111111"/>
          <w:sz w:val="28"/>
          <w:sz w:val="28"/>
          <w:szCs w:val="28"/>
          <w:rtl w:val="true"/>
          <w:lang w:bidi="ar-SA"/>
        </w:rPr>
        <w:t xml:space="preserve">بصحيحةٍ فضلاً عن كونها قطعيّة الصّدور </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مبناى اساسى شيعه را نسبت به‌همه مجامع حديثى شيعه، معين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دانشمندان شيعه اثناعشرى عليرغم اينكه كتاب كافى را متقن‌ترين و ارزشمندترين مجموعه روايى مى‌شمارند، همه روايات آن را صحيح به‌اصطلاح متأخران نمى‌دانند، و ادعاى قفارى و احسان الهى‌ظهير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 مردود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همين رابطه يكى از مغالطه‌هاى قفارى كه از اين طريق خواسته خوانندگان كتابش را گمراه نمايد،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الكافى</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نام مى‌برد و مى‌گويد در اين كتاب روايات تحريف، ديده نمى‌شود، اينكه حذف اين‌گونه روايات بلكه كل باب، از روى تقيه است يا حقيقت دارد، معلوم نيست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اين نويسنده حتى به‌عنوان كتاب هم توجّه نكرده كه مؤلِّف آن، احاديثى را كه به‌نظرش صحيح مى‌رسيده، از مجموعه كافى استخراج نموده است، هر چند كه عملكرد مؤلف اين‌كتاب مورد اعتراض برخى از عالمان شيعه قرارگرفته است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هر روايتى كه در اين كتاب باشد به‌مفهوم اين نيست كه شيعه اعتقاد به‌آن داشته باشد برخلاف اهل‌سنت نسبت به‌صحيح بخارى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موضع كلينى نسبت به‌عناوين و رواياتى كه بوى تحريف از آنها به‌مشام مى‌رسد، چيست؟ و اگر وى به‌تحريف قرآن باور ندارد، چرا به‌نقل چُنين رواياتى </w:t>
      </w:r>
      <w:bookmarkStart w:id="385" w:name="pg1976_28001"/>
    </w:p>
    <w:p>
      <w:pPr>
        <w:pStyle w:val="BookText"/>
        <w:rPr/>
      </w:pPr>
      <w:bookmarkEnd w:id="385"/>
      <w:r>
        <w:rPr>
          <w:rFonts w:ascii="IRNazanin" w:hAnsi="IRNazanin" w:eastAsia="IRNazanin"/>
          <w:color w:val="111111"/>
          <w:sz w:val="28"/>
          <w:sz w:val="28"/>
          <w:szCs w:val="28"/>
          <w:rtl w:val="true"/>
          <w:lang w:bidi="fa-IR"/>
        </w:rPr>
        <w:t>مبادرت نموده است، و در نهايت راهكار حل رواياتى كه ظاهرش حاكى از تحريف است، چه خواهد بود؟</w:t>
      </w:r>
    </w:p>
    <w:p>
      <w:pPr>
        <w:pStyle w:val="Heading6"/>
        <w:numPr>
          <w:ilvl w:val="5"/>
          <w:numId w:val="1"/>
        </w:numPr>
        <w:rPr/>
      </w:pPr>
      <w:bookmarkStart w:id="386" w:name="__RefHeading___Toc3767121_3650668749"/>
      <w:bookmarkStart w:id="387" w:name="_Toc139"/>
      <w:bookmarkEnd w:id="386"/>
      <w:r>
        <w:rPr>
          <w:rtl w:val="true"/>
        </w:rPr>
        <w:t>موضع كلينى نسبت به‌احاديث نشان‌دهنده تحريف</w:t>
      </w:r>
      <w:bookmarkEnd w:id="387"/>
    </w:p>
    <w:p>
      <w:pPr>
        <w:pStyle w:val="BookText"/>
        <w:rPr/>
      </w:pPr>
      <w:r>
        <w:rPr>
          <w:rFonts w:ascii="IRNazanin" w:hAnsi="IRNazanin" w:eastAsia="IRNazanin"/>
          <w:color w:val="111111"/>
          <w:sz w:val="28"/>
          <w:sz w:val="28"/>
          <w:szCs w:val="28"/>
          <w:rtl w:val="true"/>
          <w:lang w:bidi="fa-IR"/>
        </w:rPr>
        <w:t xml:space="preserve">همان‌گونه كه اشاره شد، از ابتدا تا انتهاى كافى نمى‌توان جمله‌اى را يافت كه مؤلّف كافى، تصريح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كرده باشد، آن كه به‌صراحت از تحريف در كافى نام برده، حاجى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دليل او بر اين ادعا دو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عناوينى، مانند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يَجمَع القرآن كلّه الّا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منقول دركافى بدون اينكه كلينى آن‌ها را قدح نموده باشد </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ابوزهره با اصرار بر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كافى قديمى‌ترين كتاب از كتاب‌هاى چهارگانه شيعه است، مروّج انديشه نقص قرآن است</w:t>
      </w:r>
      <w:r>
        <w:rPr>
          <w:rFonts w:eastAsia="IRNazanin" w:cs="IRNazanin"/>
          <w:color w:val="111111"/>
          <w:sz w:val="28"/>
          <w:szCs w:val="28"/>
          <w:rtl w:val="true"/>
          <w:lang w:bidi="fa-IR"/>
        </w:rPr>
        <w:t xml:space="preserve">» </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نيز برداشت خويش از عناوين و روايات منقول در كافى را، اين‌گونه بيان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إعتقاد مشايخنا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فالظّاهرمِن ثقة الاسلام محمّدبن‌يعقوب الكليني إنّه كانَ يَعتَقدُ التحريفَ والنقصانَ في القرآن، لأنَّه روى روايات في هذا المعنى في كتابه الكافي ولم يتعرض لقدح فيها مع أنّه كان يثق بمارواه فيه</w:t>
      </w:r>
      <w:r>
        <w:rPr>
          <w:rFonts w:eastAsia="IRNazanin" w:cs="IRNazanin"/>
          <w:color w:val="111111"/>
          <w:sz w:val="28"/>
          <w:szCs w:val="28"/>
          <w:rtl w:val="true"/>
          <w:lang w:bidi="fa-IR"/>
        </w:rPr>
        <w:t xml:space="preserve">. . .»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اين دو عالم شيعى، به‌ويژه محدث نورى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مورد بهره‌بردارى وهابى‌ها از جمله القفارى قرار گرفته و از آن پلى عليه باورها و اعتقادات شيعه ساخته‌اند </w:t>
      </w:r>
      <w:r>
        <w:rPr>
          <w:rStyle w:val="FootnoteAnchor"/>
          <w:rtl w:val="true"/>
        </w:rPr>
        <w:footnoteReference w:id="996"/>
      </w:r>
      <w:r>
        <w:rPr>
          <w:rFonts w:ascii="Amiri" w:hAnsi="Amiri" w:eastAsia="Amiri" w:cs="Amiri"/>
          <w:color w:val="111111"/>
          <w:sz w:val="28"/>
          <w:sz w:val="28"/>
          <w:szCs w:val="28"/>
          <w:rtl w:val="true"/>
          <w:lang w:bidi="ar-SA"/>
        </w:rPr>
        <w:t>درحالى‌كه اين كتاب؛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درصد رواياتش از منابع اهل‌سنت </w:t>
      </w:r>
    </w:p>
    <w:p>
      <w:pPr>
        <w:pStyle w:val="BookText"/>
        <w:rPr/>
      </w:pPr>
      <w:r>
        <w:rPr>
          <w:rFonts w:ascii="Amiri" w:hAnsi="Amiri" w:eastAsia="Amiri" w:cs="Amiri"/>
          <w:color w:val="111111"/>
          <w:sz w:val="28"/>
          <w:sz w:val="28"/>
          <w:szCs w:val="28"/>
          <w:rtl w:val="true"/>
          <w:lang w:bidi="ar-SA"/>
        </w:rPr>
        <w:t xml:space="preserve">است و بخشى از آن حمل مى‌شود بر اختلاف قراءات و حديث قدسى و دعاء، مقدار اندكى روايات آن از كافى نقل شده </w:t>
      </w:r>
      <w:r>
        <w:rPr>
          <w:rStyle w:val="FootnoteAnchor"/>
          <w:rtl w:val="true"/>
        </w:rPr>
        <w:footnoteReference w:id="997"/>
      </w:r>
      <w:r>
        <w:rPr>
          <w:rFonts w:ascii="IRNazanin" w:hAnsi="IRNazanin" w:eastAsia="IRNazanin"/>
          <w:color w:val="111111"/>
          <w:sz w:val="28"/>
          <w:sz w:val="28"/>
          <w:szCs w:val="28"/>
          <w:rtl w:val="true"/>
          <w:lang w:bidi="fa-IR"/>
        </w:rPr>
        <w:t xml:space="preserve">كه يا ضعف سند دارد و يا از لحاظ متن با روايات ديگر متعارض است و بى‌اعتبار </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احترام به‌مقام و جايگاه مُحدِّث نورى هيچ كس از علماى پژوهشگر شيعه نه تنها اخبار كتاب او را مورد تأييد قرار نداده‌اند كه از جهاتى مردود شمرده‌اند </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عده‌اى از بزرگان شيعه را برانگيخت و بلافاصله كتاب‌هايى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الإرتياب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آن، تدوين و ارائه شد</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پس از انتشار كشف‌الارتياب محدّث نورى وقتى آن را مى‌بيند، جوابيه‌اى به‌فارسى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ألرَّدّ على كشف الارتياب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Style w:val="FootnoteAnchor"/>
          <w:rtl w:val="true"/>
        </w:rPr>
        <w:footnoteReference w:id="1001"/>
      </w:r>
      <w:r>
        <w:rPr>
          <w:rFonts w:ascii="IRNazanin" w:hAnsi="IRNazanin" w:eastAsia="IRNazanin"/>
          <w:color w:val="111111"/>
          <w:sz w:val="28"/>
          <w:sz w:val="28"/>
          <w:szCs w:val="28"/>
          <w:rtl w:val="true"/>
          <w:lang w:bidi="fa-IR"/>
        </w:rPr>
        <w:t>، و در اين جوابيه دو چيز را ثابت مى‌كند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مغالطه صورت گرفته است؛ زيرا مقصود وى از تحريف تغيير و تبديل نَصّ قرآن نبوده است بلكه مقصود او از يك‌طرف ساقط شدن بعضى از امور وحيانى ومُنزَلى‌است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اهل آن محفوظ بوده است، و از ديگرسو،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مرادي من‌الكتاب القرآن الموجود بين </w:t>
      </w:r>
    </w:p>
    <w:p>
      <w:pPr>
        <w:pStyle w:val="BookText"/>
        <w:rPr/>
      </w:pPr>
      <w:r>
        <w:rPr>
          <w:rFonts w:ascii="Amiri" w:hAnsi="Amiri" w:eastAsia="Amiri" w:cs="Amiri"/>
          <w:color w:val="111111"/>
          <w:sz w:val="28"/>
          <w:sz w:val="28"/>
          <w:szCs w:val="28"/>
          <w:rtl w:val="true"/>
          <w:lang w:bidi="ar-SA"/>
        </w:rPr>
        <w:t>الدفّتين، فإنَّه باقٍ على الحالة الّتي وضع بين الدفّتين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عثمان، لم يلحقه زيادة ولا نقصان، بل المراد الكتاب الالهي المُنزَل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اينكه علّامه تهرانى مى‌گويد من از محدّث نورى شفاهاً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فعلى هرگز دچار تغيير و دگرگونى نشده است، وكتاب فصل‌الخطاب برخلاف ميل من به‌اين اسم انتشار يافت و هدف من اين بود كه كتاب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فصل‌الخطاب في‌عدم تحريف‌الكتاب </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نامگذارى شود و درآن مى‌خواستم بگويم كه بعضى از وحى مُنزَل، ساقط شده </w:t>
      </w:r>
      <w:r>
        <w:rPr>
          <w:rStyle w:val="FootnoteAnchor"/>
          <w:rtl w:val="true"/>
        </w:rPr>
        <w:footnoteReference w:id="1004"/>
      </w:r>
      <w:r>
        <w:rPr>
          <w:rFonts w:ascii="IRNazanin" w:hAnsi="IRNazanin" w:eastAsia="IRNazanin"/>
          <w:color w:val="111111"/>
          <w:sz w:val="28"/>
          <w:sz w:val="28"/>
          <w:szCs w:val="28"/>
          <w:rtl w:val="true"/>
          <w:lang w:bidi="fa-IR"/>
        </w:rPr>
        <w:t xml:space="preserve">، نَه اينكه قرآن فعلى دچار دگرگونى گرديده است؛ از اين رو، مى‌توان اسم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الفاصل في إسقاط بعض‌الوحي النّازل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انتشار فصل‌الخطاب به‌اين عنوان و با اين محتوا، مورد رضايت خود محدّث نورى هم نبوده است و شايد نورى مى‌خواسته آنچه را تبيين كند كه ابن‌قتيبه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رجم و رضاع كه عمربن‌الخطاب وعايشه معتقد به آنها بودند،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يجوزُأن يكون أنزله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رجم و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 إليه كما تَنَزّل عليه أشياء من أمورالدِّين ولايكون ذلك قرآناً، كتحريم نكاح العمّة على بنت أخيها، والخالة على بنت أختها</w:t>
      </w:r>
      <w:r>
        <w:rPr>
          <w:rFonts w:eastAsia="IRNazanin" w:cs="IRNazanin"/>
          <w:color w:val="111111"/>
          <w:sz w:val="28"/>
          <w:szCs w:val="28"/>
          <w:rtl w:val="true"/>
          <w:lang w:bidi="fa-IR"/>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388" w:name="pg1976_28007"/>
    </w:p>
    <w:p>
      <w:pPr>
        <w:pStyle w:val="Heading6"/>
        <w:numPr>
          <w:ilvl w:val="5"/>
          <w:numId w:val="1"/>
        </w:numPr>
        <w:rPr/>
      </w:pPr>
      <w:bookmarkStart w:id="389" w:name="__RefHeading___Toc3767123_3650668749"/>
      <w:bookmarkStart w:id="390" w:name="_Toc140"/>
      <w:bookmarkEnd w:id="388"/>
      <w:bookmarkEnd w:id="389"/>
      <w:r>
        <w:rPr>
          <w:rtl w:val="true"/>
        </w:rPr>
        <w:t>عناوين و روايات موهم تحريف</w:t>
      </w:r>
      <w:bookmarkEnd w:id="390"/>
    </w:p>
    <w:p>
      <w:pPr>
        <w:pStyle w:val="Heading6"/>
        <w:numPr>
          <w:ilvl w:val="5"/>
          <w:numId w:val="1"/>
        </w:numPr>
        <w:rPr/>
      </w:pPr>
      <w:bookmarkStart w:id="391" w:name="__RefHeading___Toc3767125_3650668749"/>
      <w:bookmarkStart w:id="392" w:name="_Toc141"/>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پيش از پاسخ به‌اين اتهام، بارزترين مواردى كه ادعا شده دال بر تحريف است عبارتند از</w:t>
      </w:r>
      <w:r>
        <w:rPr>
          <w:rFonts w:eastAsia="IRNazanin" w:cs="IRNazanin"/>
          <w:color w:val="111111"/>
          <w:sz w:val="28"/>
          <w:szCs w:val="28"/>
          <w:rtl w:val="true"/>
          <w:lang w:bidi="fa-IR"/>
        </w:rPr>
        <w:t>:</w:t>
      </w:r>
    </w:p>
    <w:p>
      <w:pPr>
        <w:pStyle w:val="Heading6"/>
        <w:numPr>
          <w:ilvl w:val="5"/>
          <w:numId w:val="1"/>
        </w:numPr>
        <w:rPr/>
      </w:pPr>
      <w:bookmarkStart w:id="393" w:name="__RefHeading___Toc3767127_3650668749"/>
      <w:bookmarkStart w:id="394" w:name="_Toc142"/>
      <w:bookmarkEnd w:id="393"/>
      <w:r>
        <w:rPr>
          <w:rtl w:val="true"/>
        </w:rPr>
        <w:t xml:space="preserve">يك </w:t>
      </w:r>
      <w:r>
        <w:rPr>
          <w:rtl w:val="true"/>
        </w:rPr>
        <w:t xml:space="preserve">- </w:t>
      </w:r>
      <w:r>
        <w:rPr>
          <w:rtl w:val="true"/>
        </w:rPr>
        <w:t>عناوين، پيام‌آور تحريف</w:t>
      </w:r>
      <w:bookmarkEnd w:id="394"/>
    </w:p>
    <w:p>
      <w:pPr>
        <w:pStyle w:val="BookText"/>
        <w:rPr/>
      </w:pPr>
      <w:r>
        <w:rPr>
          <w:rFonts w:ascii="IRNazanin" w:hAnsi="IRNazanin" w:eastAsia="IRNazanin"/>
          <w:color w:val="111111"/>
          <w:sz w:val="28"/>
          <w:sz w:val="28"/>
          <w:szCs w:val="28"/>
          <w:rtl w:val="true"/>
          <w:lang w:bidi="fa-IR"/>
        </w:rPr>
        <w:t xml:space="preserve">ابوابى كه در خصوص نَقص قرآن، به بزرگ‌نمايى آنها پرداخته شده عبارت است از </w:t>
      </w:r>
      <w:r>
        <w:rPr>
          <w:rStyle w:val="FootnoteAnchor"/>
          <w:rtl w:val="true"/>
        </w:rPr>
        <w:footnoteReference w:id="10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أنّه لم يَجمع القرآن كُلُّه إلّا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يعلمون علمه كله </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ولاة امر الله وخزنة علمه </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أهل الذّكر الذين أمَرَالله الخلق بسئوالهم هم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 من وصفه الله تعالى من كتابه بالعلم هم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 الراسخين في العلم هم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5" w:name="__RefHeading___Toc3767129_3650668749"/>
      <w:bookmarkStart w:id="396" w:name="_Toc143"/>
      <w:bookmarkEnd w:id="395"/>
      <w:r>
        <w:rPr>
          <w:rtl w:val="true"/>
        </w:rPr>
        <w:t xml:space="preserve">دو </w:t>
      </w:r>
      <w:r>
        <w:rPr>
          <w:rtl w:val="true"/>
        </w:rPr>
        <w:t xml:space="preserve">- </w:t>
      </w:r>
      <w:r>
        <w:rPr>
          <w:rtl w:val="true"/>
        </w:rPr>
        <w:t>روايات نشان‌دهنده تحريف</w:t>
      </w:r>
      <w:bookmarkEnd w:id="396"/>
    </w:p>
    <w:p>
      <w:pPr>
        <w:pStyle w:val="Heading6"/>
        <w:numPr>
          <w:ilvl w:val="5"/>
          <w:numId w:val="1"/>
        </w:numPr>
        <w:rPr/>
      </w:pPr>
      <w:bookmarkStart w:id="397" w:name="__RefHeading___Toc3767131_3650668749"/>
      <w:bookmarkStart w:id="398" w:name="_Toc144"/>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رواياتى را كه ادعا شده دالّ برتحريف است، مى‌توان به‌دو دسته كلى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بيشتر در تفسير و تأويل آيات نقل شده و گروهى بر نَقص قرآن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به‌دو موضوع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Heading6"/>
        <w:numPr>
          <w:ilvl w:val="5"/>
          <w:numId w:val="1"/>
        </w:numPr>
        <w:rPr/>
      </w:pPr>
      <w:bookmarkStart w:id="399" w:name="__RefHeading___Toc3767133_3650668749"/>
      <w:bookmarkStart w:id="400" w:name="_Toc145"/>
      <w:bookmarkEnd w:id="399"/>
      <w:r>
        <w:rPr>
          <w:rtl w:val="true"/>
        </w:rPr>
        <w:t xml:space="preserve">اول </w:t>
      </w:r>
      <w:r>
        <w:rPr>
          <w:rtl w:val="true"/>
        </w:rPr>
        <w:t xml:space="preserve">- </w:t>
      </w:r>
      <w:r>
        <w:rPr>
          <w:rtl w:val="true"/>
        </w:rPr>
        <w:t xml:space="preserve">على </w:t>
      </w:r>
      <w:r>
        <w:rPr>
          <w:rtl w:val="true"/>
        </w:rPr>
        <w:t>(</w:t>
      </w:r>
      <w:r>
        <w:rPr>
          <w:rtl w:val="true"/>
        </w:rPr>
        <w:t>ع</w:t>
      </w:r>
      <w:r>
        <w:rPr>
          <w:rtl w:val="true"/>
        </w:rPr>
        <w:t xml:space="preserve">) </w:t>
      </w:r>
      <w:r>
        <w:rPr>
          <w:rtl w:val="true"/>
        </w:rPr>
        <w:t>و ولايت</w:t>
      </w:r>
      <w:bookmarkEnd w:id="40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غالب بلكه اكثر رواياتى كه ادعا شده دالّ بر تحريف است، در اين مورد نقل شده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عن‌ابى‌عبدالله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فى‌قوله تعالى </w:t>
      </w:r>
      <w:r>
        <w:rPr>
          <w:rStyle w:val="FootnoteAnchor"/>
          <w:rtl w:val="true"/>
        </w:rPr>
        <w:footnoteReference w:id="101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وَبَشِّرِ الَّذِينَ آمَنُواْ اَنَّ لَهُمْ قَدَمَ صِدْقٍ عِندَ رَبِّهِمْ قَالَ الْكَافِرُونَ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لَسَاحِرٌ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عن‌عبدالله بن سنان، عن‌ابى‌عبدالله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فى‌قوله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عَهِدْنَا إِلَى آدَمَ مِن قَبْلُ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في محمّد وعَلِيٍّ و فاطمة والحسن والحسين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نَزَلَت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ابى‌حمزة، عن ابى‌جعفر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فِى رَبِّهِمْ فَالَّذِينَ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جابر، عن ابى‌جعفر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 نزل جبرئيل بهذه الآية على‌محمّد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اَنفُسَهُمْ اَن يَكْفُرُواْ بِمَا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عمّاربن‌مروان، عن منخّل، عن ابى‌عبدالله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0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جبرئيل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اُوتُواْ الْكِتَابَ آمِنُواْ بِمَا 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مبينا </w:t>
      </w:r>
      <w:r>
        <w:rPr>
          <w:rStyle w:val="FootnoteAnchor"/>
          <w:rtl w:val="true"/>
        </w:rPr>
        <w:footnoteReference w:id="1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401" w:name="pg1976_28011"/>
    </w:p>
    <w:p>
      <w:pPr>
        <w:pStyle w:val="BookText"/>
        <w:rPr/>
      </w:pPr>
      <w:bookmarkEnd w:id="4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عن‌جابر، عن‌ابى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02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فَلَنُذِيقَنَّ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بتركهم ولاية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وَلَنَجْزِيَنَّهُمْ اَسْوَاَ الَّذِى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عن‌الوليدبن صبيح، عن‌ابى‌عبدالله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لِكُم بِاَنَّهُ إِذَادُعِيَ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عن‌محمّدبن سنان، عن‌الرضا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027"/>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كَبُرَ عَلى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ماتَدْعُوهُمْ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 كه بيشترين آنها در كتاب الحجّه، باب فيه نكت ونتف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402" w:name="__RefHeading___Toc3767135_3650668749"/>
      <w:bookmarkStart w:id="403" w:name="_Toc146"/>
      <w:bookmarkEnd w:id="402"/>
      <w:r>
        <w:rPr>
          <w:rtl w:val="true"/>
        </w:rPr>
        <w:t xml:space="preserve">دوم </w:t>
      </w:r>
      <w:r>
        <w:rPr>
          <w:rtl w:val="true"/>
        </w:rPr>
        <w:t xml:space="preserve">- </w:t>
      </w:r>
      <w:r>
        <w:rPr>
          <w:rtl w:val="true"/>
        </w:rPr>
        <w:t xml:space="preserve">اهل بيت </w:t>
      </w:r>
      <w:r>
        <w:rPr>
          <w:rtl w:val="true"/>
        </w:rPr>
        <w:t>(</w:t>
      </w:r>
      <w:r>
        <w:rPr>
          <w:rtl w:val="true"/>
        </w:rPr>
        <w:t>عليهم السلام</w:t>
      </w:r>
      <w:r>
        <w:rPr>
          <w:rtl w:val="true"/>
        </w:rPr>
        <w:t>)</w:t>
      </w:r>
      <w:bookmarkEnd w:id="403"/>
    </w:p>
    <w:p>
      <w:pPr>
        <w:pStyle w:val="BookText"/>
        <w:rPr/>
      </w:pPr>
      <w:r>
        <w:rPr>
          <w:rFonts w:ascii="IRNazanin" w:hAnsi="IRNazanin" w:eastAsia="IRNazanin"/>
          <w:color w:val="111111"/>
          <w:sz w:val="28"/>
          <w:sz w:val="28"/>
          <w:szCs w:val="28"/>
          <w:rtl w:val="true"/>
          <w:lang w:bidi="fa-IR"/>
        </w:rPr>
        <w:t xml:space="preserve">اين گروه از احاديث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آنان، نقل و تفسير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عن‌ابى‌حمزة، عن‌ابى‌جعفر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بهذه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آل‌محمّدحقهم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اللهُ لِيَغْفِرَ لَهُمْ وَلاَ لِيَهْدِيَهُمْ طَرِيقاً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عن‌ابى‌حمزة، عن‌ابى‌جعفر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بهذه‌الآية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غَيْرَ الَّذِى قِيلَ لَهُمْ فَاَنزَلْنَا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رِجْزاً مِّنَ السَّمَاء بِمَا كَانُواْ يَفْسُقُونَ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404" w:name="pg1976_28014"/>
    </w:p>
    <w:p>
      <w:pPr>
        <w:pStyle w:val="BookText"/>
        <w:rPr/>
      </w:pPr>
      <w:bookmarkEnd w:id="4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جابر، عن‌ابى‌جعفر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اَفَكُلَّمَا جَاءكُمْ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بِمَالاَتَهْوَى اَنفُسُكُمُ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بموالاةعَلِيّ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اسْتَكْبَرْتُمْ فَفَرِيقاً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مِن‌آل‌محمّد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وَفَرِيقاً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5" w:name="__RefHeading___Toc3767137_3650668749"/>
      <w:bookmarkStart w:id="406" w:name="_Toc147"/>
      <w:bookmarkEnd w:id="405"/>
      <w:r>
        <w:rPr>
          <w:rtl w:val="true"/>
        </w:rPr>
        <w:t>مهم‌ترين روايات دالّ بر تحريف و نقصان قرآن</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هفده هزار آيه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هشام‌بن‌سالم، عن‌ابى‌عبدالله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الَّذي جاءَ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عَشرألف‌آية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IRNazanin" w:hAnsi="IRNazanin" w:eastAsia="IRNazanin"/>
          <w:color w:val="111111"/>
          <w:sz w:val="28"/>
          <w:sz w:val="28"/>
          <w:szCs w:val="28"/>
          <w:rtl w:val="true"/>
          <w:lang w:bidi="fa-IR"/>
        </w:rPr>
        <w:t xml:space="preserve">درحالى‌كه قرآن ششهزاروچند صد آيه، بيشتر نيست و بر اساس اين حديث قريب به‌دو سوم قرآن از بين رفته است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آياتي‌كه تاكنون شنيده نشده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سهل‌بن زياد، عن محمّدبن‌سليمان، عن بعض اصحابه، عن ابي‌الحسن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إنّا نَسمَعُ الاَيَات في‌القرآن لَيسَ هي عندنا كَمَا نَسمَعها ولا نَحسنُ أن نقرأها كَمَا بَلَغنا عنكم، فهل نأثم؟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إقرؤُوا كَمَا تَعَلّمتمُ فَسَيجِيئكم مَن يُعَلّمُكم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اين روايت را صريح مى‌دانند در اينكه شيعه قرآنى غير از قرآنِ موجود دارند و قرائت آنچه را شنيده ناپسند مى‌خوانند </w:t>
      </w:r>
      <w:r>
        <w:rPr>
          <w:rStyle w:val="FootnoteAnchor"/>
          <w:rtl w:val="true"/>
        </w:rPr>
        <w:footnoteReference w:id="1039"/>
      </w:r>
      <w:r>
        <w:rPr>
          <w:rFonts w:ascii="Amiri" w:hAnsi="Amiri" w:eastAsia="Amiri" w:cs="Amiri"/>
          <w:color w:val="111111"/>
          <w:sz w:val="28"/>
          <w:sz w:val="28"/>
          <w:szCs w:val="28"/>
          <w:rtl w:val="true"/>
          <w:lang w:bidi="ar-SA"/>
        </w:rPr>
        <w:t xml:space="preserve">و قرآن موجود به‌عقيده آنان تحريف شده است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پرهيز از قرائت غير رايج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سالم‌بن‌سلمه </w:t>
      </w:r>
      <w:r>
        <w:rPr>
          <w:rStyle w:val="FootnoteAnchor"/>
          <w:rtl w:val="true"/>
        </w:rPr>
        <w:footnoteReference w:id="10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رجُلٌ عَلَى‌أبي‌عبدالله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p>
    <w:p>
      <w:pPr>
        <w:pStyle w:val="BookText"/>
        <w:rPr/>
      </w:pPr>
      <w:r>
        <w:rPr>
          <w:rFonts w:ascii="Amiri" w:hAnsi="Amiri" w:eastAsia="Amiri" w:cs="Amiri"/>
          <w:color w:val="111111"/>
          <w:sz w:val="28"/>
          <w:sz w:val="28"/>
          <w:szCs w:val="28"/>
          <w:rtl w:val="true"/>
          <w:lang w:bidi="ar-SA"/>
        </w:rPr>
        <w:t xml:space="preserve">أستمعُ حروفاً من‌القرآن ليس عَلَى مَا يقرؤها النّاس، فقال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عن هذه القرائة، إقرأ كَمَا يَقرأ النّاسُ حتّى يَقُومَ القائم، فإذا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كتاب‌الله عزّوجل عَلَى‌حَدِّهِ، وأخرَجَ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الَّذي كَتَبَهُ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إلى‌النّاس حين فَرَغ مِنه وكتبه،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كتابُ‌الله عزّوجل كَمَا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جمعتُه من‌اللَّوحين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 </w:t>
      </w:r>
      <w:r>
        <w:rPr>
          <w:rStyle w:val="FootnoteAnchor"/>
          <w:rtl w:val="true"/>
        </w:rPr>
        <w:footnoteReference w:id="1042"/>
      </w:r>
      <w:r>
        <w:rPr>
          <w:rFonts w:ascii="Amiri" w:hAnsi="Amiri" w:eastAsia="Amiri" w:cs="Amiri"/>
          <w:color w:val="111111"/>
          <w:sz w:val="28"/>
          <w:sz w:val="28"/>
          <w:szCs w:val="28"/>
          <w:rtl w:val="true"/>
          <w:lang w:bidi="ar-SA"/>
        </w:rPr>
        <w:t>عندنَا مُصحف جامع فيه‌القرآن، لاحَاجَةَ لَنا فيه</w:t>
      </w:r>
      <w:r>
        <w:rPr>
          <w:rFonts w:eastAsia="Amiri" w:cs="Amiri" w:ascii="Amiri" w:hAnsi="Amiri"/>
          <w:color w:val="111111"/>
          <w:sz w:val="28"/>
          <w:szCs w:val="28"/>
          <w:rtl w:val="true"/>
          <w:lang w:bidi="ar-SA"/>
        </w:rPr>
        <w:t xml:space="preserve">. . .» </w:t>
      </w:r>
      <w:r>
        <w:rPr>
          <w:rStyle w:val="FootnoteAnchor"/>
          <w:rtl w:val="true"/>
        </w:rPr>
        <w:footnoteReference w:id="1043"/>
      </w:r>
      <w:r>
        <w:rPr>
          <w:rFonts w:ascii="IRNazanin" w:hAnsi="IRNazanin" w:eastAsia="IRNazanin"/>
          <w:color w:val="111111"/>
          <w:sz w:val="28"/>
          <w:sz w:val="28"/>
          <w:szCs w:val="28"/>
          <w:rtl w:val="true"/>
          <w:lang w:bidi="fa-IR"/>
        </w:rPr>
        <w:t xml:space="preserve">معناى روايت را اين مى‌دانند كه صحابه، هنگام جمع‌آورى قرآن، در زمان ابابكر و پس از او در زمان عثمان، آن را تحريف نمودند، و اين، جز كذب و افترا نسبت به‌صحابه نيست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أثلاث بودن قرآن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عن اصبغ بن‌نبانة </w:t>
      </w:r>
      <w:r>
        <w:rPr>
          <w:rStyle w:val="FootnoteAnchor"/>
          <w:rtl w:val="true"/>
        </w:rPr>
        <w:footnoteReference w:id="10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فينَا و في‌عَدُوّنا، وثُلثٌ سُنَنٌ وأمثالٌ، وثُلثٌ فرائض وأحكامٌ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ثُلثى كه درمورد اهل بيت و دشمنان آنها نازل شده، از سوى صحابه و آن‌هايى كه حق خلافت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غصب كرده‌اند </w:t>
      </w:r>
      <w:r>
        <w:rPr>
          <w:rStyle w:val="FootnoteAnchor"/>
          <w:rtl w:val="true"/>
        </w:rPr>
        <w:footnoteReference w:id="1047"/>
      </w:r>
      <w:r>
        <w:rPr>
          <w:rFonts w:ascii="IRNazanin" w:hAnsi="IRNazanin" w:eastAsia="IRNazanin"/>
          <w:color w:val="111111"/>
          <w:sz w:val="28"/>
          <w:sz w:val="28"/>
          <w:szCs w:val="28"/>
          <w:rtl w:val="true"/>
          <w:lang w:bidi="fa-IR"/>
        </w:rPr>
        <w:t xml:space="preserve">، حذف و از قرآن انداخته‌اند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اسامى هفتاد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احمدبن‌محمدبن ابى‌نصر، قال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لاتَنظُر فيه، فَفَتَحتُهُ وقرأتُ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اَهْلِ الْكِتَابِ وَالْمُشْرِكِينَ مُنفَكِّينَ حَتَّى تَاْتِيَهُمُ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فَوَجَدتُ فيها إسمَ سَبعِين رَجُلاً من قريشٍ بأسمائِهم وأسماءِ آبائهم،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 إلَيَّ بالمصحف </w:t>
      </w:r>
      <w:r>
        <w:rPr>
          <w:rFonts w:eastAsia="Amiri" w:cs="Amiri" w:ascii="Amiri" w:hAnsi="Amiri"/>
          <w:color w:val="111111"/>
          <w:sz w:val="28"/>
          <w:szCs w:val="28"/>
          <w:rtl w:val="true"/>
          <w:lang w:bidi="ar-SA"/>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 اين روايت را شاهد مى‌گيرند براينكه مصحفِ امامان </w:t>
      </w:r>
      <w:bookmarkStart w:id="407" w:name="pg1976_28018"/>
    </w:p>
    <w:p>
      <w:pPr>
        <w:pStyle w:val="BookText"/>
        <w:rPr/>
      </w:pPr>
      <w:bookmarkEnd w:id="407"/>
      <w:r>
        <w:rPr>
          <w:rFonts w:ascii="Amiri" w:hAnsi="Amiri" w:eastAsia="Amiri" w:cs="Amiri"/>
          <w:color w:val="111111"/>
          <w:sz w:val="28"/>
          <w:sz w:val="28"/>
          <w:szCs w:val="28"/>
          <w:rtl w:val="true"/>
          <w:lang w:bidi="ar-SA"/>
        </w:rPr>
        <w:t xml:space="preserve">شيعه، با مصحف مسلمانان متفاوت بوده ومصحف مسلمانان تحريف شده است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اخذ دين غير شيعه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عن على‌بن‌سُويد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ألى أبي‌الحسن‌موسى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الحَبسِ‌كتاباً أسأله عن حاله وعن مسائل كثيرة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أجابني بجواب هذه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بسم‌الله الرّحمن الرّحيم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تَلتَمس دِين مَن لَيسَ مِن شيعتكَ، ولا تُحِبَّنَّ دِينَهم، فإنّهم الخائنون‌الَّذين خانُوااللهَ ورسولَهُ، وخانُوا أمَاناتهم، وتَدري مَا خَانُوا أماناتهم، أئتُمنُوا على‌كتاب‌الله فَحَرّفُوهُ و بَدّلُوهُ ودُلُّوا عَلَى وُلاة الاَمر منهُم، فَانصَرَفُوا عنهُم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روايات برجسته‌ترين رواياتى بود كه ادعا شده بر تحريف قرآن دلالت مى‌كند، امّا اينكه اين احاديث بر تحريف قرآن به‌مفهوم مورد نزاع دلالت دارد يا نه، ناگريز بايد مفصّل‌تر مورد بررسى قرار گيرد</w:t>
      </w:r>
      <w:r>
        <w:rPr>
          <w:rFonts w:eastAsia="IRNazanin" w:cs="IRNazanin"/>
          <w:color w:val="111111"/>
          <w:sz w:val="28"/>
          <w:szCs w:val="28"/>
          <w:rtl w:val="true"/>
          <w:lang w:bidi="fa-IR"/>
        </w:rPr>
        <w:t>:</w:t>
      </w:r>
    </w:p>
    <w:p>
      <w:pPr>
        <w:pStyle w:val="Heading6"/>
        <w:numPr>
          <w:ilvl w:val="5"/>
          <w:numId w:val="1"/>
        </w:numPr>
        <w:rPr/>
      </w:pPr>
      <w:bookmarkStart w:id="408" w:name="__RefHeading___Toc3767139_3650668749"/>
      <w:bookmarkStart w:id="409" w:name="_Toc148"/>
      <w:bookmarkEnd w:id="408"/>
      <w:r>
        <w:rPr>
          <w:rtl w:val="true"/>
        </w:rPr>
        <w:t>بررسى و نقد افتراى تحريف قرآن</w:t>
      </w:r>
      <w:bookmarkEnd w:id="409"/>
    </w:p>
    <w:p>
      <w:pPr>
        <w:pStyle w:val="Heading6"/>
        <w:numPr>
          <w:ilvl w:val="5"/>
          <w:numId w:val="1"/>
        </w:numPr>
        <w:rPr/>
      </w:pPr>
      <w:bookmarkStart w:id="410" w:name="__RefHeading___Toc3767141_3650668749"/>
      <w:bookmarkStart w:id="411" w:name="_Toc149"/>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با روشن شدن محور و مصاديق مورد نزاع، در اين قسمت اتهام تحريف قرآن كريم به‌هر دو محور عناوين و روايات، مورد بررسى و نقد قرار مى‌گيرد</w:t>
      </w:r>
      <w:r>
        <w:rPr>
          <w:rFonts w:eastAsia="IRNazanin" w:cs="IRNazanin"/>
          <w:color w:val="111111"/>
          <w:sz w:val="28"/>
          <w:szCs w:val="28"/>
          <w:rtl w:val="true"/>
          <w:lang w:bidi="fa-IR"/>
        </w:rPr>
        <w:t>:</w:t>
      </w:r>
    </w:p>
    <w:p>
      <w:pPr>
        <w:pStyle w:val="Heading6"/>
        <w:numPr>
          <w:ilvl w:val="5"/>
          <w:numId w:val="1"/>
        </w:numPr>
        <w:rPr/>
      </w:pPr>
      <w:bookmarkStart w:id="412" w:name="__RefHeading___Toc3767143_3650668749"/>
      <w:bookmarkStart w:id="413" w:name="_Toc150"/>
      <w:bookmarkEnd w:id="412"/>
      <w:r>
        <w:rPr>
          <w:rtl w:val="true"/>
        </w:rPr>
        <w:t xml:space="preserve">يك </w:t>
      </w:r>
      <w:r>
        <w:rPr>
          <w:rtl w:val="true"/>
        </w:rPr>
        <w:t xml:space="preserve">- </w:t>
      </w:r>
      <w:r>
        <w:rPr>
          <w:rtl w:val="true"/>
        </w:rPr>
        <w:t>بازخوانى عناوين كافى</w:t>
      </w:r>
      <w:bookmarkEnd w:id="413"/>
    </w:p>
    <w:p>
      <w:pPr>
        <w:pStyle w:val="Heading6"/>
        <w:numPr>
          <w:ilvl w:val="5"/>
          <w:numId w:val="1"/>
        </w:numPr>
        <w:rPr/>
      </w:pPr>
      <w:bookmarkStart w:id="414" w:name="__RefHeading___Toc3767145_3650668749"/>
      <w:bookmarkStart w:id="415" w:name="_Toc151"/>
      <w:bookmarkEnd w:id="414"/>
      <w:r>
        <w:rPr>
          <w:rtl w:val="true"/>
        </w:rPr>
        <w:t>اشاره</w:t>
      </w:r>
      <w:bookmarkEnd w:id="41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ميان عناوين باب‌هاى كافى برجسته‌ترين عنوانى كه ادعا شده </w:t>
      </w:r>
      <w:r>
        <w:rPr>
          <w:rStyle w:val="FootnoteAnchor"/>
          <w:rtl w:val="true"/>
        </w:rPr>
        <w:footnoteReference w:id="1052"/>
      </w:r>
      <w:r>
        <w:rPr>
          <w:rFonts w:ascii="Amiri" w:hAnsi="Amiri" w:eastAsia="Amiri" w:cs="Amiri"/>
          <w:color w:val="111111"/>
          <w:sz w:val="28"/>
          <w:sz w:val="28"/>
          <w:szCs w:val="28"/>
          <w:rtl w:val="true"/>
          <w:lang w:bidi="ar-SA"/>
        </w:rPr>
        <w:t xml:space="preserve">، بر تحريف دلالت مى‌كند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لم يَجمع‌القرآنَ كلَّه الّا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يَعلمون عِلمَه كلَّه </w:t>
      </w:r>
      <w:r>
        <w:rPr>
          <w:rFonts w:eastAsia="Amiri" w:cs="Amiri" w:ascii="Amiri" w:hAnsi="Amiri"/>
          <w:color w:val="111111"/>
          <w:sz w:val="28"/>
          <w:szCs w:val="28"/>
          <w:rtl w:val="true"/>
          <w:lang w:bidi="ar-SA"/>
        </w:rPr>
        <w:t xml:space="preserve">» </w:t>
      </w:r>
      <w:r>
        <w:rPr>
          <w:rStyle w:val="FootnoteAnchor"/>
          <w:rtl w:val="true"/>
        </w:rPr>
        <w:footnoteReference w:id="1053"/>
      </w:r>
      <w:r>
        <w:rPr>
          <w:rFonts w:ascii="IRNazanin" w:hAnsi="IRNazanin" w:eastAsia="IRNazanin"/>
          <w:color w:val="111111"/>
          <w:sz w:val="28"/>
          <w:sz w:val="28"/>
          <w:szCs w:val="28"/>
          <w:rtl w:val="true"/>
          <w:lang w:bidi="fa-IR"/>
        </w:rPr>
        <w:t>است؛ كه از چند جهت دليل بر اعتقاد كلينى بر تحريف قرآن نمى‌شود</w:t>
      </w:r>
      <w:r>
        <w:rPr>
          <w:rFonts w:eastAsia="IRNazanin" w:cs="IRNazanin"/>
          <w:color w:val="111111"/>
          <w:sz w:val="28"/>
          <w:szCs w:val="28"/>
          <w:rtl w:val="true"/>
          <w:lang w:bidi="fa-IR"/>
        </w:rPr>
        <w:t xml:space="preserve">: </w:t>
      </w:r>
      <w:bookmarkStart w:id="416" w:name="pg1976_28020"/>
    </w:p>
    <w:p>
      <w:pPr>
        <w:pStyle w:val="Heading6"/>
        <w:numPr>
          <w:ilvl w:val="5"/>
          <w:numId w:val="1"/>
        </w:numPr>
        <w:rPr/>
      </w:pPr>
      <w:bookmarkStart w:id="417" w:name="__RefHeading___Toc3767147_3650668749"/>
      <w:bookmarkStart w:id="418" w:name="_Toc152"/>
      <w:bookmarkEnd w:id="416"/>
      <w:bookmarkEnd w:id="417"/>
      <w:r>
        <w:rPr>
          <w:rtl w:val="true"/>
        </w:rPr>
        <w:t xml:space="preserve">اول </w:t>
      </w:r>
      <w:r>
        <w:rPr>
          <w:rtl w:val="true"/>
        </w:rPr>
        <w:t xml:space="preserve">- </w:t>
      </w:r>
      <w:r>
        <w:rPr>
          <w:rtl w:val="true"/>
        </w:rPr>
        <w:t>خطبه مؤلِّف و مهم‌ترين نكات</w:t>
      </w:r>
      <w:bookmarkEnd w:id="41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اكثر عناوين ابواب كافى، مى‌تواند نشان‌دهنده ديدگاه‌هاى مؤلف آن باشد، بى‌ترديد مقدمه هر كتاب كه باورهاى پديدآورنده در آن متبلور است، روشن‌تر وگوياتر اعتقادات صاحب آن را بيان مى‌دارد؛ از اين رو مرحوم كلينى، چكيده باورهاى خويش را نسبت به‌قرآن در مقدمۀ كافى، آن هم براى كسانى كه كافى را در دين و دنيايشان به‌كار مى‌گيرند، در قالب جملاتى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أرشدكَ الله أنّهُ لايَسَع أحَداً تمييز شَيئٍ مِمّا إختَلَفَ الرِّواية فيه عَنِ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 إلّا ما أطلَقَهُ العالم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إعرَضُوها على كتابِ‌الله فمَا وافَقَ‌كتاب‌الله عزّ وجلِ فُخُذوه، وما خَالفَ كتاب‌الله فَرُدّوهُ </w:t>
      </w:r>
      <w:r>
        <w:rPr>
          <w:rFonts w:eastAsia="IRNazanin" w:cs="IRNazanin"/>
          <w:color w:val="111111"/>
          <w:sz w:val="28"/>
          <w:szCs w:val="28"/>
          <w:rtl w:val="true"/>
          <w:lang w:bidi="fa-IR"/>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لانعرف من جميع ذلك إلّا أقلّه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و به‌كار بردن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 همه بيانگر اين است كه وى كتاب خدا را مبّرا از هر نقص وتحريف مى‌دانسته است والّا نمى‌گفت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وأنزل اليه الكتاب، فيه البيان والتبيان، قرآناً عربياً غير ذي عوج </w:t>
      </w:r>
      <w:r>
        <w:rPr>
          <w:rFonts w:eastAsia="IRNazanin" w:cs="IRNazanin"/>
          <w:color w:val="111111"/>
          <w:sz w:val="28"/>
          <w:szCs w:val="28"/>
          <w:rtl w:val="true"/>
          <w:lang w:bidi="fa-IR"/>
        </w:rPr>
        <w:t xml:space="preserve">. . .» </w:t>
      </w:r>
      <w:r>
        <w:rPr>
          <w:rStyle w:val="FootnoteAnchor"/>
          <w:rtl w:val="true"/>
        </w:rPr>
        <w:footnoteReference w:id="1057"/>
      </w:r>
      <w:r>
        <w:rPr>
          <w:rFonts w:ascii="IRNazanin" w:hAnsi="IRNazanin" w:eastAsia="IRNazanin"/>
          <w:color w:val="111111"/>
          <w:sz w:val="28"/>
          <w:sz w:val="28"/>
          <w:szCs w:val="28"/>
          <w:rtl w:val="true"/>
          <w:lang w:bidi="fa-IR"/>
        </w:rPr>
        <w:t>، و معيار ارزيابى مجموعۀ نقل‌هايش را قرآن مى‌شمرده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كلينى كجا وآن ادعاهاى بخارى كجا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أحفظُ مأة ألف حديثٍ صحيحٍ ولم أخرج في هذا الكتاب إلّا صَحيحاً وما تركتُ مِن الصّحيح أكثر</w:t>
      </w:r>
      <w:r>
        <w:rPr>
          <w:rFonts w:eastAsia="IRNazanin" w:cs="IRNazanin"/>
          <w:color w:val="111111"/>
          <w:sz w:val="28"/>
          <w:szCs w:val="28"/>
          <w:rtl w:val="true"/>
          <w:lang w:bidi="fa-IR"/>
        </w:rPr>
        <w:t xml:space="preserve">! » </w:t>
      </w:r>
      <w:r>
        <w:rPr>
          <w:rStyle w:val="FootnoteAnchor"/>
          <w:rtl w:val="true"/>
        </w:rPr>
        <w:footnoteReference w:id="1058"/>
      </w:r>
      <w:r>
        <w:rPr>
          <w:rFonts w:ascii="IRNazanin" w:hAnsi="IRNazanin" w:eastAsia="IRNazanin"/>
          <w:color w:val="111111"/>
          <w:sz w:val="28"/>
          <w:sz w:val="28"/>
          <w:szCs w:val="28"/>
          <w:rtl w:val="true"/>
          <w:lang w:bidi="fa-IR"/>
        </w:rPr>
        <w:t xml:space="preserve">با توجّه به‌چنين نكته‌هاى كليدى كه همه ابواب و روايات كافى را شامل مى‌شود، چگونه مى‌شود او را معتقد به‌تحريف دانست؟ ، كسى‌كه اعتقاد به‌تحريف دارد، آيا معقول است به‌قرآن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كند؟ و واژه‌هاى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قرآن‌هاى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19" w:name="pg1976_28023"/>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ببرد؟ كاش نويسندگان منتقد بركافى ابتدا هرچند اندك اين خطبه را مطالعه مى‌كردند سپس عليه او دست به‌قلم مى‌شدند و خارج از دين، مى‌خواندند</w:t>
      </w:r>
      <w:r>
        <w:rPr>
          <w:rFonts w:eastAsia="IRNazanin" w:cs="IRNazanin"/>
          <w:color w:val="111111"/>
          <w:sz w:val="28"/>
          <w:szCs w:val="28"/>
          <w:rtl w:val="true"/>
          <w:lang w:bidi="fa-IR"/>
        </w:rPr>
        <w:t>!</w:t>
      </w:r>
    </w:p>
    <w:p>
      <w:pPr>
        <w:pStyle w:val="Heading6"/>
        <w:numPr>
          <w:ilvl w:val="5"/>
          <w:numId w:val="1"/>
        </w:numPr>
        <w:rPr/>
      </w:pPr>
      <w:bookmarkStart w:id="420" w:name="__RefHeading___Toc3767149_3650668749"/>
      <w:bookmarkStart w:id="421" w:name="_Toc153"/>
      <w:bookmarkEnd w:id="420"/>
      <w:r>
        <w:rPr>
          <w:rtl w:val="true"/>
        </w:rPr>
        <w:t xml:space="preserve">دوم </w:t>
      </w:r>
      <w:r>
        <w:rPr>
          <w:rtl w:val="true"/>
        </w:rPr>
        <w:t xml:space="preserve">- </w:t>
      </w:r>
      <w:r>
        <w:rPr>
          <w:rtl w:val="true"/>
        </w:rPr>
        <w:t>دفع اتّهام براساس عناوين</w:t>
      </w:r>
      <w:bookmarkEnd w:id="421"/>
    </w:p>
    <w:p>
      <w:pPr>
        <w:pStyle w:val="BookText"/>
        <w:rPr/>
      </w:pPr>
      <w:r>
        <w:rPr>
          <w:rFonts w:ascii="IRNazanin" w:hAnsi="IRNazanin" w:eastAsia="IRNazanin"/>
          <w:color w:val="111111"/>
          <w:sz w:val="28"/>
          <w:sz w:val="28"/>
          <w:szCs w:val="28"/>
          <w:rtl w:val="true"/>
          <w:lang w:bidi="fa-IR"/>
        </w:rPr>
        <w:t>اگربنا باشد عناوين محك ارزيابى مؤلِّف قرارگيرد، بسيارى از عناوين كافى، كلينى را مبرّا از تهمت تحريف مى‌سازد،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عنوان‌هاى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باب‌الرَّدّ إلى الكتاب والسّنّة </w:t>
      </w:r>
      <w:r>
        <w:rPr>
          <w:rFonts w:eastAsia="Amiri" w:cs="Amiri" w:ascii="Amiri" w:hAnsi="Amiri"/>
          <w:color w:val="111111"/>
          <w:sz w:val="28"/>
          <w:szCs w:val="28"/>
          <w:rtl w:val="true"/>
          <w:lang w:bidi="ar-SA"/>
        </w:rPr>
        <w:t xml:space="preserve">. . .» </w:t>
      </w:r>
      <w:r>
        <w:rPr>
          <w:rStyle w:val="FootnoteAnchor"/>
          <w:rtl w:val="true"/>
        </w:rPr>
        <w:footnoteReference w:id="1059"/>
      </w:r>
      <w:r>
        <w:rPr>
          <w:rFonts w:ascii="Amiri" w:hAnsi="Amiri" w:eastAsia="Amiri" w:cs="Amiri"/>
          <w:color w:val="111111"/>
          <w:sz w:val="28"/>
          <w:sz w:val="28"/>
          <w:szCs w:val="28"/>
          <w:rtl w:val="true"/>
          <w:lang w:bidi="ar-SA"/>
        </w:rPr>
        <w:t>، كه در ذيل آن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مى‌كند،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الاخذ بالسنّة وشواهد القرآن </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 مشتمل بر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بر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1061"/>
      </w:r>
      <w:r>
        <w:rPr>
          <w:rFonts w:ascii="IRNazanin" w:hAnsi="IRNazanin" w:eastAsia="IRNazanin"/>
          <w:color w:val="111111"/>
          <w:sz w:val="28"/>
          <w:sz w:val="28"/>
          <w:szCs w:val="28"/>
          <w:rtl w:val="true"/>
          <w:lang w:bidi="fa-IR"/>
        </w:rPr>
        <w:t>، شاهد گويايى است كه وى قرآن را پاكيزه از هر دگرگونى مى‌دانسته است؛ چرا كه معقول نيست كتابى‌كه براى مردم عرضه شده باشد، معيار ارزيابى آن را قرآنى قرار دهد كه در اختيار آن مردم نيست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انّه لم يجمع القرآن كله الّا الائمة</w:t>
      </w:r>
      <w:r>
        <w:rPr>
          <w:rFonts w:eastAsia="Amiri" w:cs="Amiri" w:ascii="Amiri" w:hAnsi="Amiri"/>
          <w:color w:val="111111"/>
          <w:sz w:val="28"/>
          <w:szCs w:val="28"/>
          <w:rtl w:val="true"/>
          <w:lang w:bidi="ar-SA"/>
        </w:rPr>
        <w:t xml:space="preserve">: . . . » </w:t>
      </w:r>
      <w:r>
        <w:rPr>
          <w:rStyle w:val="FootnoteAnchor"/>
          <w:rtl w:val="true"/>
        </w:rPr>
        <w:footnoteReference w:id="1062"/>
      </w:r>
      <w:r>
        <w:rPr>
          <w:rFonts w:ascii="IRNazanin" w:hAnsi="IRNazanin" w:eastAsia="IRNazanin"/>
          <w:color w:val="111111"/>
          <w:sz w:val="28"/>
          <w:sz w:val="28"/>
          <w:szCs w:val="28"/>
          <w:rtl w:val="true"/>
          <w:lang w:bidi="fa-IR"/>
        </w:rPr>
        <w:t xml:space="preserve">و همانند آن </w:t>
      </w:r>
      <w:r>
        <w:rPr>
          <w:rStyle w:val="FootnoteAnchor"/>
          <w:rtl w:val="true"/>
        </w:rPr>
        <w:footnoteReference w:id="1063"/>
      </w:r>
      <w:r>
        <w:rPr>
          <w:rFonts w:ascii="IRNazanin" w:hAnsi="IRNazanin" w:eastAsia="IRNazanin"/>
          <w:color w:val="111111"/>
          <w:sz w:val="28"/>
          <w:sz w:val="28"/>
          <w:szCs w:val="28"/>
          <w:rtl w:val="true"/>
          <w:lang w:bidi="fa-IR"/>
        </w:rPr>
        <w:t>كه بيشترين انتقادها را در پَى‌داشته است، هرچند ظاهر است در اينكه قرآن فعلى مسلمانان با قرآنى كه نزد امامان شيعه قرار دارد، متفاوت است؛ ولى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به‌هيچ‌وجه دلالت بر زياده و نقصان آن، ندارد، بلكه تنها اين را مى‌رساند كه در ترتيب وتنظيم، ميان قرآن فعلى وقرآن نزد امامان </w:t>
      </w:r>
      <w:r>
        <w:rPr>
          <w:rStyle w:val="FootnoteAnchor"/>
          <w:rtl w:val="true"/>
        </w:rPr>
        <w:footnoteReference w:id="1064"/>
      </w:r>
      <w:r>
        <w:rPr>
          <w:rFonts w:ascii="IRNazanin" w:hAnsi="IRNazanin" w:eastAsia="IRNazanin"/>
          <w:color w:val="111111"/>
          <w:sz w:val="28"/>
          <w:sz w:val="28"/>
          <w:szCs w:val="28"/>
          <w:rtl w:val="true"/>
          <w:lang w:bidi="fa-IR"/>
        </w:rPr>
        <w:t xml:space="preserve">اختلاف است </w:t>
      </w:r>
      <w:r>
        <w:rPr>
          <w:rStyle w:val="FootnoteAnchor"/>
          <w:rtl w:val="true"/>
        </w:rPr>
        <w:footnoteReference w:id="1065"/>
      </w:r>
      <w:r>
        <w:rPr>
          <w:rFonts w:ascii="Amiri" w:hAnsi="Amiri" w:eastAsia="Amiri" w:cs="Amiri"/>
          <w:color w:val="111111"/>
          <w:sz w:val="28"/>
          <w:sz w:val="28"/>
          <w:szCs w:val="28"/>
          <w:rtl w:val="true"/>
          <w:lang w:bidi="ar-SA"/>
        </w:rPr>
        <w:t xml:space="preserve">و شكى نيست كه قرآن فعلى براساس نزول وحى تنظيم نشده </w:t>
      </w:r>
    </w:p>
    <w:p>
      <w:pPr>
        <w:pStyle w:val="BookText"/>
        <w:rPr/>
      </w:pPr>
      <w:r>
        <w:rPr>
          <w:rFonts w:ascii="Amiri" w:hAnsi="Amiri" w:eastAsia="Amiri" w:cs="Amiri"/>
          <w:color w:val="111111"/>
          <w:sz w:val="28"/>
          <w:sz w:val="28"/>
          <w:szCs w:val="28"/>
          <w:rtl w:val="true"/>
          <w:lang w:bidi="ar-SA"/>
        </w:rPr>
        <w:t>است و شاهد زنده‌اش خود سُوَر قرآن است كه سوره‌هاى مَكّى در آخر و يا درهم آميخته نظم يافته است</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شده كه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پايانى باب، هيچ ربطى به جمع‌آورى قرآن كه تحريف ممكن است در همين مرحله رخ داده باشد، ندارد بلكه مربوط است به‌علم امامان شيعه نسبت به‌قرآن، چنان‌كه در خود عنوان باب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يعلمون علمَه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رفته است، تنها دو حديث مورد نزاع است كه عنوان باب نيز از اين دو روايت،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ديگر، دو روايت نخستِ باب، مجمل است و روايات چهارگانه بعدى شرح وتوضيح دو حديث نخست است </w:t>
      </w:r>
      <w:r>
        <w:rPr>
          <w:rStyle w:val="FootnoteAnchor"/>
          <w:rtl w:val="true"/>
        </w:rPr>
        <w:footnoteReference w:id="1067"/>
      </w:r>
      <w:r>
        <w:rPr>
          <w:rFonts w:ascii="IRNazanin" w:hAnsi="IRNazanin" w:eastAsia="IRNazanin"/>
          <w:color w:val="111111"/>
          <w:sz w:val="28"/>
          <w:sz w:val="28"/>
          <w:szCs w:val="28"/>
          <w:rtl w:val="true"/>
          <w:lang w:bidi="fa-IR"/>
        </w:rPr>
        <w:t xml:space="preserve">كه در نتيجه مجموع روايات شش‌گانه علم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نخست؛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ادَّعى‌أحَدٌ مِنَ‌النّاسِ أنَّه جَمَع القرآن كُلَّهُ كَمَا اُنزِل إلّا كذّاب، ومَا جمعه وحفظه كمانَزّله‌الله تعالى إلّا علي‌بن‌ابي‌طالب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اين نكته برجسته وصريح است كه جمع آورى قرآن براساس ترتيب نزول آن، جز توسط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نگرفته است و دقت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حل مشكل اين روايت خواهد بود؛ از اين رو در حديث دو مسأله اساسى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أصل وجود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چگونگى آن، كه به‌زودى در پايان همين بخش مورد بررسى قرار مى‌گيرد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دومين حديث ؛ عن محمّدبن‌سنان، عن عماربن‌مروان، عن المُنَخّل، عن جابر، عن ابى‌جعفر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يستطيع اَحَدٌ أن يَدَّعي أنّ عندَهُ جَميع القرآن كلِّه، ظاهرِهِ و باطنِهِ </w:t>
      </w:r>
    </w:p>
    <w:p>
      <w:pPr>
        <w:pStyle w:val="BookText"/>
        <w:rPr/>
      </w:pPr>
      <w:r>
        <w:rPr>
          <w:rFonts w:ascii="Amiri" w:hAnsi="Amiri" w:eastAsia="Amiri" w:cs="Amiri"/>
          <w:color w:val="111111"/>
          <w:sz w:val="28"/>
          <w:sz w:val="28"/>
          <w:szCs w:val="28"/>
          <w:rtl w:val="true"/>
          <w:lang w:bidi="ar-SA"/>
        </w:rPr>
        <w:t xml:space="preserve">غيرُالاَوصياء </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گذشته از اينكه ضعف سند دارد </w:t>
      </w:r>
      <w:r>
        <w:rPr>
          <w:rStyle w:val="FootnoteAnchor"/>
          <w:rtl w:val="true"/>
        </w:rPr>
        <w:footnoteReference w:id="1070"/>
      </w:r>
      <w:r>
        <w:rPr>
          <w:rFonts w:ascii="IRNazanin" w:hAnsi="IRNazanin" w:eastAsia="IRNazanin"/>
          <w:color w:val="111111"/>
          <w:sz w:val="28"/>
          <w:sz w:val="28"/>
          <w:szCs w:val="28"/>
          <w:rtl w:val="true"/>
          <w:lang w:bidi="fa-IR"/>
        </w:rPr>
        <w:t xml:space="preserve">همانند حديث قبلى تحريف به‌معناى مورد نزاع را بيان نمى‌كند؛ اما سند روايت به‌خاطر محمّد بن‌سنان و مُنَخَّل بن جميل ضعيف است؛ محمدبن‌سنان ابوجعفر الزاهرى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رجال‌شناسان قابل تأييد نيست،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رجل ضعيف جدّاً لايعول عليه ولايلتفت إلى مَا تَفَرّدَ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قال ابومحمّد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أحلّ لكم أن ترووا أحاديث محمّدبن‌سنان </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كشّى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ايوب‌بن‌نوح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كه احاديث محمّدبن سنان را روايت كنيد</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در رجال و هم در فهرستش او را ضعيف دانسته </w:t>
      </w:r>
      <w:r>
        <w:rPr>
          <w:rStyle w:val="FootnoteAnchor"/>
          <w:rtl w:val="true"/>
        </w:rPr>
        <w:footnoteReference w:id="1073"/>
      </w:r>
      <w:r>
        <w:rPr>
          <w:rFonts w:ascii="IRNazanin" w:hAnsi="IRNazanin" w:eastAsia="IRNazanin"/>
          <w:color w:val="111111"/>
          <w:sz w:val="28"/>
          <w:sz w:val="28"/>
          <w:szCs w:val="28"/>
          <w:rtl w:val="true"/>
          <w:lang w:bidi="fa-IR"/>
        </w:rPr>
        <w:t xml:space="preserve">و مورد طعن قرار داده و متّهم به‌غلو نموده است </w:t>
      </w:r>
      <w:r>
        <w:rPr>
          <w:rStyle w:val="FootnoteAnchor"/>
          <w:rtl w:val="true"/>
        </w:rPr>
        <w:footnoteReference w:id="1074"/>
      </w:r>
      <w:r>
        <w:rPr>
          <w:rFonts w:ascii="Amiri" w:hAnsi="Amiri" w:eastAsia="Amiri" w:cs="Amiri"/>
          <w:color w:val="111111"/>
          <w:sz w:val="28"/>
          <w:sz w:val="28"/>
          <w:szCs w:val="28"/>
          <w:rtl w:val="true"/>
          <w:lang w:bidi="ar-SA"/>
        </w:rPr>
        <w:t>، و در تهذيب‌الاحكام و استبصار نيز تصريح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محمدبن‌سنان مطعون عليه ضعيف جدّاً و مايستند بروايته ولا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ركه غيره ولا يُعمَل عليه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الخويى پس از نقل ديدگاه‌ها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تضعيف هؤلاء الاعلام يَسُدّنا عن‌الاعتماد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برواياته، و لاجل ذلك لا يمكن الاعتماد على توثيق الشّيخ المفيد إيّاه </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هرچند كه خود وى نسبت به‌محمّدبن سنان امّا و اگرى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توجّه به‌اينكه محمّدبن‌سنان از يك‌سو، فراوانى نقل وى مى‌رساند كه با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بوده و از ديگرسو، از سوى علما تضعيف شده، حداقل با </w:t>
      </w:r>
    </w:p>
    <w:p>
      <w:pPr>
        <w:pStyle w:val="BookText"/>
        <w:rPr/>
      </w:pPr>
      <w:r>
        <w:rPr>
          <w:rFonts w:ascii="IRNazanin" w:hAnsi="IRNazanin" w:eastAsia="IRNazanin"/>
          <w:color w:val="111111"/>
          <w:sz w:val="28"/>
          <w:sz w:val="28"/>
          <w:szCs w:val="28"/>
          <w:rtl w:val="true"/>
          <w:lang w:bidi="fa-IR"/>
        </w:rPr>
        <w:t xml:space="preserve">روايات وى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على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گيرد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منَخّل‌بن جميل‌الاسدى، هرچند كه از ابى‌عبدالله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به‌نقل روايت مى‌پردازد و داراى كتاب تفسير است ولى نجاشى او را فاسدالروايه معرفى مى‌كند </w:t>
      </w:r>
      <w:r>
        <w:rPr>
          <w:rStyle w:val="FootnoteAnchor"/>
          <w:rtl w:val="true"/>
        </w:rPr>
        <w:footnoteReference w:id="1078"/>
      </w:r>
      <w:r>
        <w:rPr>
          <w:rFonts w:ascii="Amiri" w:hAnsi="Amiri" w:eastAsia="Amiri" w:cs="Amiri"/>
          <w:color w:val="111111"/>
          <w:sz w:val="28"/>
          <w:sz w:val="28"/>
          <w:szCs w:val="28"/>
          <w:rtl w:val="true"/>
          <w:lang w:bidi="ar-SA"/>
        </w:rPr>
        <w:t xml:space="preserve">كشّى وى را بى‌ارزش و متهم به‌غلو </w:t>
      </w:r>
      <w:r>
        <w:rPr>
          <w:rStyle w:val="FootnoteAnchor"/>
          <w:rtl w:val="true"/>
        </w:rPr>
        <w:footnoteReference w:id="1079"/>
      </w:r>
      <w:r>
        <w:rPr>
          <w:rFonts w:ascii="Amiri" w:hAnsi="Amiri" w:eastAsia="Amiri" w:cs="Amiri"/>
          <w:color w:val="111111"/>
          <w:sz w:val="28"/>
          <w:sz w:val="28"/>
          <w:szCs w:val="28"/>
          <w:rtl w:val="true"/>
          <w:lang w:bidi="ar-SA"/>
        </w:rPr>
        <w:t xml:space="preserve">،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 را كوفى، ضعيف، غالى در مذهب و متّهم، مى‌شناساند </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ابن‌داودالحلى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مُنَخّل،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ضعيفٌ، فاسدُ الرّواية متّهم بالغلو، أضاف اليه الغلاة احاديث كثيرة </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كه بى‌ترديد اين شخص مورد اطمينان نخواهد بود؛ بنابراين سند روايت را به‌ويژه نسبت به‌باورها كه همان اعتقاد به‌تحريف باشد، نمى‌توان پذيرفت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روايت هرچند بخش نخست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مايَستطيع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به‌معناى عام را مى‌رساند ولى با توجّه به ذيل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و باطنه غيرالاوصياء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صدر حديث را كاملاً روشن مى‌سازد كه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علمِ ظاهر و باطن قرآن از آنِ امامان و اوصياى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تعليقه‌اى كه بر اين حديث مى‌زند، قيدهاى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وباطنه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شاهد مى‌گيرد براينكه دانش همه قرآن، اعم از معانى ظاهرى قابل درك و فهم عادى و معانى قابل استنباط براساس فهم‌عادى، از آنِ امامان معصوم و اوصياى الهى است </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ذيل روايت كه در استخراج پايانى عنوان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يَعلمون علمه‌كله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داشته، خود گواهِ ديگر است براينكه مقصود كلينى از اين حديث، علم فراگير و منحصر به‌فرد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به‌قرآن است نه اينكه نزد امامان </w:t>
      </w:r>
      <w:bookmarkStart w:id="422" w:name="pg1976_28031"/>
    </w:p>
    <w:p>
      <w:pPr>
        <w:pStyle w:val="BookText"/>
        <w:rPr/>
      </w:pPr>
      <w:bookmarkEnd w:id="422"/>
      <w:r>
        <w:rPr>
          <w:rFonts w:ascii="Amiri" w:hAnsi="Amiri" w:eastAsia="Amiri" w:cs="Amiri"/>
          <w:color w:val="111111"/>
          <w:sz w:val="28"/>
          <w:sz w:val="28"/>
          <w:szCs w:val="28"/>
          <w:rtl w:val="true"/>
          <w:lang w:bidi="ar-SA"/>
        </w:rPr>
        <w:t>قرآنى باشد كه با قرآن مسلمانان از جهت حقيقت و كمّيت،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آنچه بيان شد، اين دو روايت، خبر واحد است و با خبر واحد نمى‌توان اعتقاد به‌تحريف را به‌شيعه و كلينى نسبت داد چنان‌كه احسان الهى‌ظهير </w:t>
      </w:r>
      <w:r>
        <w:rPr>
          <w:rStyle w:val="FootnoteAnchor"/>
          <w:rtl w:val="true"/>
        </w:rPr>
        <w:footnoteReference w:id="1083"/>
      </w:r>
      <w:r>
        <w:rPr>
          <w:rFonts w:ascii="IRNazanin" w:hAnsi="IRNazanin" w:eastAsia="IRNazanin"/>
          <w:color w:val="111111"/>
          <w:sz w:val="28"/>
          <w:sz w:val="28"/>
          <w:szCs w:val="28"/>
          <w:rtl w:val="true"/>
          <w:lang w:bidi="fa-IR"/>
        </w:rPr>
        <w:t xml:space="preserve">و ابوزهره </w:t>
      </w:r>
      <w:r>
        <w:rPr>
          <w:rStyle w:val="FootnoteAnchor"/>
          <w:rtl w:val="true"/>
        </w:rPr>
        <w:footnoteReference w:id="1084"/>
      </w:r>
      <w:r>
        <w:rPr>
          <w:rFonts w:ascii="Amiri" w:hAnsi="Amiri" w:eastAsia="Amiri" w:cs="Amiri"/>
          <w:color w:val="111111"/>
          <w:sz w:val="28"/>
          <w:sz w:val="28"/>
          <w:szCs w:val="28"/>
          <w:rtl w:val="true"/>
          <w:lang w:bidi="ar-SA"/>
        </w:rPr>
        <w:t xml:space="preserve">اين‌كار را كرده‌اند و صاحب كافى را خارج از دين‌حنيف شمرده‌اند </w:t>
      </w:r>
      <w:r>
        <w:rPr>
          <w:rStyle w:val="FootnoteAnchor"/>
          <w:rtl w:val="true"/>
        </w:rPr>
        <w:footnoteReference w:id="1085"/>
      </w:r>
      <w:r>
        <w:rPr>
          <w:rFonts w:ascii="Amiri" w:hAnsi="Amiri" w:eastAsia="Amiri" w:cs="Amiri"/>
          <w:color w:val="111111"/>
          <w:sz w:val="28"/>
          <w:sz w:val="28"/>
          <w:szCs w:val="28"/>
          <w:rtl w:val="true"/>
          <w:lang w:bidi="ar-SA"/>
        </w:rPr>
        <w:t>و قرآن را به‌اعتقاد همه عالمان شيعه مُبَّدل، ناقص و مورد دست‌برد بشر خواندند</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Heading6"/>
        <w:numPr>
          <w:ilvl w:val="5"/>
          <w:numId w:val="1"/>
        </w:numPr>
        <w:rPr/>
      </w:pPr>
      <w:bookmarkStart w:id="423" w:name="__RefHeading___Toc3767151_3650668749"/>
      <w:bookmarkStart w:id="424" w:name="_Toc154"/>
      <w:bookmarkEnd w:id="423"/>
      <w:r>
        <w:rPr>
          <w:rtl w:val="true"/>
        </w:rPr>
        <w:t xml:space="preserve">دو </w:t>
      </w:r>
      <w:r>
        <w:rPr>
          <w:rtl w:val="true"/>
        </w:rPr>
        <w:t xml:space="preserve">- </w:t>
      </w:r>
      <w:r>
        <w:rPr>
          <w:rtl w:val="true"/>
        </w:rPr>
        <w:t>متن روايات دال بر تحريف</w:t>
      </w:r>
      <w:bookmarkEnd w:id="424"/>
    </w:p>
    <w:p>
      <w:pPr>
        <w:pStyle w:val="Heading6"/>
        <w:numPr>
          <w:ilvl w:val="5"/>
          <w:numId w:val="1"/>
        </w:numPr>
        <w:rPr/>
      </w:pPr>
      <w:bookmarkStart w:id="425" w:name="__RefHeading___Toc3767153_3650668749"/>
      <w:bookmarkStart w:id="426" w:name="_Toc155"/>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متن رواياتى كه ادعا شده گواهِ بر تحريف قرآن است، از نظر گذشت؛ امّا اينكه به‌راستى آن روايات شاهد بر دگرگونى اين كتاب آسمانى است يا نَه؟ هركدام از گروه‌هاى سه‌گانۀ روايات كافى، به‌همان ترتيبى كه ذكر شد هم از نگاهِ سند و هم به‌لحاظ متن و دلالت، مورد بررسى قرار مى‌گيرد</w:t>
      </w:r>
      <w:r>
        <w:rPr>
          <w:rFonts w:eastAsia="IRNazanin" w:cs="IRNazanin"/>
          <w:color w:val="111111"/>
          <w:sz w:val="28"/>
          <w:szCs w:val="28"/>
          <w:rtl w:val="true"/>
          <w:lang w:bidi="fa-IR"/>
        </w:rPr>
        <w:t>:</w:t>
      </w:r>
    </w:p>
    <w:p>
      <w:pPr>
        <w:pStyle w:val="Heading6"/>
        <w:numPr>
          <w:ilvl w:val="5"/>
          <w:numId w:val="1"/>
        </w:numPr>
        <w:rPr/>
      </w:pPr>
      <w:bookmarkStart w:id="427" w:name="__RefHeading___Toc3767155_3650668749"/>
      <w:bookmarkStart w:id="428" w:name="_Toc156"/>
      <w:bookmarkEnd w:id="427"/>
      <w:r>
        <w:rPr>
          <w:rtl w:val="true"/>
        </w:rPr>
        <w:t xml:space="preserve">اول </w:t>
      </w:r>
      <w:r>
        <w:rPr>
          <w:rtl w:val="true"/>
        </w:rPr>
        <w:t xml:space="preserve">- </w:t>
      </w:r>
      <w:r>
        <w:rPr>
          <w:rtl w:val="true"/>
        </w:rPr>
        <w:t xml:space="preserve">احاديث على </w:t>
      </w:r>
      <w:r>
        <w:rPr>
          <w:rtl w:val="true"/>
        </w:rPr>
        <w:t>(</w:t>
      </w:r>
      <w:r>
        <w:rPr>
          <w:rtl w:val="true"/>
        </w:rPr>
        <w:t>ع</w:t>
      </w:r>
      <w:r>
        <w:rPr>
          <w:rtl w:val="true"/>
        </w:rPr>
        <w:t xml:space="preserve">) </w:t>
      </w:r>
      <w:r>
        <w:rPr>
          <w:rtl w:val="true"/>
        </w:rPr>
        <w:t>و ولايت</w:t>
      </w:r>
      <w:bookmarkEnd w:id="42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يونُس ؛ كه از نظر سند متوقف بر روايت قبلى است </w:t>
      </w:r>
      <w:r>
        <w:rPr>
          <w:rStyle w:val="FootnoteAnchor"/>
          <w:rtl w:val="true"/>
        </w:rPr>
        <w:footnoteReference w:id="1087"/>
      </w:r>
      <w:r>
        <w:rPr>
          <w:rFonts w:ascii="IRNazanin" w:hAnsi="IRNazanin" w:eastAsia="IRNazanin"/>
          <w:color w:val="111111"/>
          <w:sz w:val="28"/>
          <w:sz w:val="28"/>
          <w:szCs w:val="28"/>
          <w:rtl w:val="true"/>
          <w:lang w:bidi="fa-IR"/>
        </w:rPr>
        <w:t xml:space="preserve">، خالى از تأمل نيست؛ زيرا، معلّى‌بن محمّدالبصرى ابوالحسن، از نگاهِ نجاشى و شيخ طوسى مضطرب‌الحديث و المذهب است </w:t>
      </w:r>
      <w:r>
        <w:rPr>
          <w:rStyle w:val="FootnoteAnchor"/>
          <w:rtl w:val="true"/>
        </w:rPr>
        <w:footnoteReference w:id="1088"/>
      </w:r>
      <w:r>
        <w:rPr>
          <w:rFonts w:ascii="IRNazanin" w:hAnsi="IRNazanin" w:eastAsia="IRNazanin"/>
          <w:color w:val="111111"/>
          <w:sz w:val="28"/>
          <w:sz w:val="28"/>
          <w:szCs w:val="28"/>
          <w:rtl w:val="true"/>
          <w:lang w:bidi="fa-IR"/>
        </w:rPr>
        <w:t>، اما السّيدالخويى بعد از نقل اقوال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w:t>
      </w:r>
    </w:p>
    <w:p>
      <w:pPr>
        <w:pStyle w:val="BookText"/>
        <w:rPr/>
      </w:pPr>
      <w:r>
        <w:rPr>
          <w:rFonts w:ascii="Amiri" w:hAnsi="Amiri" w:eastAsia="Amiri" w:cs="Amiri"/>
          <w:color w:val="111111"/>
          <w:sz w:val="28"/>
          <w:sz w:val="28"/>
          <w:szCs w:val="28"/>
          <w:rtl w:val="true"/>
          <w:lang w:bidi="ar-SA"/>
        </w:rPr>
        <w:t>اين مَرد ثقه و روايت او قابل اعتماد است، سخن نجاشى و شيخ، مبنى بر اضطراب حديث و مذهب او، مانع از وثاقت وى نمى‌شود، زيرا اضطراب مذهب او ثابت نشده و مضطرب بودن حديث او، به‌اين معنا است كه احاديث غير معمولى را نقل مى‌كرد و اين، مانع از وثاقت وى نمى‌شود</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جمهور ابوعبد الله العمّى؛ از ديگر سلسله روات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 فاسدُ المذهب</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درحديث، غالي در مذهب و فاسد الرّواية ولايُكتب حديثُهُ ولايُعتَمَد عَلَى‌مَايَرويه</w:t>
      </w:r>
      <w:r>
        <w:rPr>
          <w:rFonts w:eastAsia="Amiri" w:cs="Amiri" w:ascii="Amiri" w:hAnsi="Amiri"/>
          <w:color w:val="111111"/>
          <w:sz w:val="28"/>
          <w:szCs w:val="28"/>
          <w:rtl w:val="true"/>
          <w:lang w:bidi="ar-SA"/>
        </w:rPr>
        <w:t xml:space="preserve">» </w:t>
      </w:r>
      <w:r>
        <w:rPr>
          <w:rStyle w:val="FootnoteAnchor"/>
          <w:rtl w:val="true"/>
        </w:rPr>
        <w:footnoteReference w:id="1091"/>
      </w:r>
      <w:r>
        <w:rPr>
          <w:rFonts w:ascii="IRNazanin" w:hAnsi="IRNazanin" w:eastAsia="IRNazanin"/>
          <w:color w:val="111111"/>
          <w:sz w:val="28"/>
          <w:sz w:val="28"/>
          <w:szCs w:val="28"/>
          <w:rtl w:val="true"/>
          <w:lang w:bidi="fa-IR"/>
        </w:rPr>
        <w:t xml:space="preserve">است؛ و به‌ديد مرحوم خويى هرچند وى فاسد المذهب است امّا به‌خاطر شهادت ابن‌قولويه به‌وثاقت او، ثقه محسوب مى‌گردد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اين راوى اگر يونس‌بن يعقوب‌بن قيس، يا يونس‌بن عبدالرحمان باشد كه كلينى در موارد متعدد </w:t>
      </w:r>
      <w:r>
        <w:rPr>
          <w:rStyle w:val="FootnoteAnchor"/>
          <w:rtl w:val="true"/>
        </w:rPr>
        <w:footnoteReference w:id="1093"/>
      </w:r>
      <w:r>
        <w:rPr>
          <w:rFonts w:ascii="Amiri" w:hAnsi="Amiri" w:eastAsia="Amiri" w:cs="Amiri"/>
          <w:color w:val="111111"/>
          <w:sz w:val="28"/>
          <w:sz w:val="28"/>
          <w:szCs w:val="28"/>
          <w:rtl w:val="true"/>
          <w:lang w:bidi="ar-SA"/>
        </w:rPr>
        <w:t xml:space="preserve">از آن دو نقل روايت مى‌كند، هردو ثقه‌اند </w:t>
      </w:r>
      <w:r>
        <w:rPr>
          <w:rStyle w:val="FootnoteAnchor"/>
          <w:rtl w:val="true"/>
        </w:rPr>
        <w:footnoteReference w:id="1094"/>
      </w:r>
      <w:r>
        <w:rPr>
          <w:rFonts w:ascii="IRNazanin" w:hAnsi="IRNazanin" w:eastAsia="IRNazanin"/>
          <w:color w:val="111111"/>
          <w:sz w:val="28"/>
          <w:sz w:val="28"/>
          <w:szCs w:val="28"/>
          <w:rtl w:val="true"/>
          <w:lang w:bidi="fa-IR"/>
        </w:rPr>
        <w:t xml:space="preserve">و چنانچه يونس بن‌الربيع باشد مورد اعتماد است </w:t>
      </w:r>
      <w:r>
        <w:rPr>
          <w:rStyle w:val="FootnoteAnchor"/>
          <w:rtl w:val="true"/>
        </w:rPr>
        <w:footnoteReference w:id="1095"/>
      </w:r>
      <w:r>
        <w:rPr>
          <w:rFonts w:ascii="IRNazanin" w:hAnsi="IRNazanin" w:eastAsia="IRNazanin"/>
          <w:color w:val="111111"/>
          <w:sz w:val="28"/>
          <w:sz w:val="28"/>
          <w:szCs w:val="28"/>
          <w:rtl w:val="true"/>
          <w:lang w:bidi="fa-IR"/>
        </w:rPr>
        <w:t xml:space="preserve">، ولى اگر يونس‌بن ظبيان باشد، به‌گفته نجاشى جداً ضعيف و همه كتاب‌هاى او مخلوط است </w:t>
      </w:r>
      <w:r>
        <w:rPr>
          <w:rStyle w:val="FootnoteAnchor"/>
          <w:rtl w:val="true"/>
        </w:rPr>
        <w:footnoteReference w:id="1096"/>
      </w:r>
      <w:r>
        <w:rPr>
          <w:rFonts w:ascii="Amiri" w:hAnsi="Amiri" w:eastAsia="Amiri" w:cs="Amiri"/>
          <w:color w:val="111111"/>
          <w:sz w:val="28"/>
          <w:sz w:val="28"/>
          <w:szCs w:val="28"/>
          <w:rtl w:val="true"/>
          <w:lang w:bidi="ar-SA"/>
        </w:rPr>
        <w:t xml:space="preserve">وكلينى از اين شخص نيزحديث نموده است </w:t>
      </w:r>
      <w:r>
        <w:rPr>
          <w:rStyle w:val="FootnoteAnchor"/>
          <w:rtl w:val="true"/>
        </w:rPr>
        <w:footnoteReference w:id="1097"/>
      </w:r>
      <w:r>
        <w:rPr>
          <w:rFonts w:ascii="IRNazanin" w:hAnsi="IRNazanin" w:eastAsia="IRNazanin"/>
          <w:color w:val="111111"/>
          <w:sz w:val="28"/>
          <w:sz w:val="28"/>
          <w:szCs w:val="28"/>
          <w:rtl w:val="true"/>
          <w:lang w:bidi="fa-IR"/>
        </w:rPr>
        <w:t>در نتيجه گذشته از اينكه محمدبن‌جمهور ضعيف و يونس مردد ميان ثقه و ضعيف‌اند، اصل سند حديث، با توجّه به‌حديث قبلى، مرفوعه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متن روايت خيلى روشن است كه ارتباط به‌تحريف ندارد بلكه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آيه و يا مصداق اكمل متعلق بشارت را بيان نموده است، زيرا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شّرالذين آمنوا يعنى بشارت دِه مؤمنان را به‌ولايت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در ميدان جهادِ با نفس و دشمن پايدارند</w:t>
      </w:r>
      <w:r>
        <w:rPr>
          <w:rFonts w:eastAsia="IRNazanin" w:cs="IRNazanin"/>
          <w:color w:val="111111"/>
          <w:sz w:val="28"/>
          <w:szCs w:val="28"/>
          <w:rtl w:val="true"/>
          <w:lang w:bidi="fa-IR"/>
        </w:rPr>
        <w:t xml:space="preserve">. . . </w:t>
      </w:r>
      <w:r>
        <w:rPr>
          <w:rStyle w:val="FootnoteAnchor"/>
          <w:rtl w:val="true"/>
        </w:rPr>
        <w:footnoteReference w:id="1098"/>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ذيل روايت آمده نَه متن، هيچ شكى را باقى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ابن‌سنان ؛ </w:t>
      </w:r>
      <w:r>
        <w:rPr>
          <w:rStyle w:val="FootnoteAnchor"/>
          <w:rtl w:val="true"/>
        </w:rPr>
        <w:footnoteReference w:id="1099"/>
      </w:r>
      <w:r>
        <w:rPr>
          <w:rFonts w:ascii="Amiri" w:hAnsi="Amiri" w:eastAsia="Amiri" w:cs="Amiri"/>
          <w:color w:val="111111"/>
          <w:sz w:val="28"/>
          <w:sz w:val="28"/>
          <w:szCs w:val="28"/>
          <w:rtl w:val="true"/>
          <w:lang w:bidi="ar-SA"/>
        </w:rPr>
        <w:t xml:space="preserve">از لحاظ سند، به‌خاطر معلى‌بن‌محمد البصرى، ضعيف است؛ اما دلالت روايت، تفسيرى است </w:t>
      </w:r>
      <w:r>
        <w:rPr>
          <w:rStyle w:val="FootnoteAnchor"/>
          <w:rtl w:val="true"/>
        </w:rPr>
        <w:footnoteReference w:id="1100"/>
      </w:r>
      <w:r>
        <w:rPr>
          <w:rFonts w:ascii="IRNazanin" w:hAnsi="IRNazanin" w:eastAsia="IRNazanin"/>
          <w:color w:val="111111"/>
          <w:sz w:val="28"/>
          <w:sz w:val="28"/>
          <w:szCs w:val="28"/>
          <w:rtl w:val="true"/>
          <w:lang w:bidi="fa-IR"/>
        </w:rPr>
        <w:t xml:space="preserve">، وجملات 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في محمّد وعلي و فاطمة والحسن والحسين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تفسير آيه است نَه اينكه جزء نص كلام‌الله باشد، چنان‌كه نظير همين معنا در منابع اهل‌سنت هم بازگو شده است؛ ابن‌عباس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الكلمات الّتي تلقّاهَا آدم من ربّه فتاب عليه </w:t>
      </w:r>
      <w:r>
        <w:rPr>
          <w:rStyle w:val="FootnoteAnchor"/>
          <w:rtl w:val="true"/>
        </w:rPr>
        <w:footnoteReference w:id="1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سأل بحق محمّد، وعَلِيٍّ، و فاطمة، والحسن، والحسين، إلّا تُبتَ علي فتاب عليه</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ابن‌المغازلى در المناقب خود از ابى‌سعيدالخدرى در مورد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الْبَحْرَيْنِ يَلْتَقِيَانِ بَيْنَهُمَا بَرْزَخٌ لَا يَبْغِيَانِ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الْبَحْرَيْنِ يَلْتَقِيَانِ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فاطمه، بَيْنَهُمَا بَرْزَخٌ لاَّ يَبْغِيَانِ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يَخْرُجُ مِنْهُمَا اللُّؤْلُؤُ وَالْمَرْجَانُ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كلينى به‌سند خود از كثير بن كلثمه از امام باقر 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چگونگى توبه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توضيح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لاإله الاّ أنت سبحانك اللّهم و بحمدك، وعملتُ سوءً و ظلمتُ نفسى، فاغفرلى وأنت خيرالغافرين، لاإله الّا أنت سبحانك اللّهم و بحمدك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وفى رواية أخرى فى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فتلقّى‌آدم من ربه كلمات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وعلى والحسن والحسين وفاطمۀ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 به‌راستى اگر آنچه در حديث ابن‌سنان آمده، از اصل و نص قرآن بود كلينى قطعاً نمى‌گفت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رواية أخرى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بلكه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معارض است با روايتى كه از ابن سنان نقل شد </w:t>
      </w:r>
      <w:r>
        <w:rPr>
          <w:rStyle w:val="FootnoteAnchor"/>
          <w:rtl w:val="true"/>
        </w:rPr>
        <w:footnoteReference w:id="1105"/>
      </w:r>
      <w:r>
        <w:rPr>
          <w:rFonts w:ascii="IRNazanin" w:hAnsi="IRNazanin" w:eastAsia="IRNazanin"/>
          <w:color w:val="111111"/>
          <w:sz w:val="28"/>
          <w:sz w:val="28"/>
          <w:szCs w:val="28"/>
          <w:rtl w:val="true"/>
          <w:lang w:bidi="fa-IR"/>
        </w:rPr>
        <w:t xml:space="preserve">، شاهد ديگر بر اينكه زيادى جملات در حديث، تفسير معنايى است، اين است كه كلينى همين آيه را از ابى‌جعفر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ولى بدون جملات زائد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در ذيل روايت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والله نَزَلت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باشد كه آيه، در لفظ ويا معنا به‌تفسير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به‌دستور خداوند، اين‌گونه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هرصورت بيان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است نه تأويل </w:t>
      </w:r>
      <w:r>
        <w:rPr>
          <w:rStyle w:val="FootnoteAnchor"/>
          <w:rtl w:val="true"/>
        </w:rPr>
        <w:footnoteReference w:id="1107"/>
      </w:r>
      <w:r>
        <w:rPr>
          <w:rFonts w:ascii="IRNazanin" w:hAnsi="IRNazanin" w:eastAsia="IRNazanin"/>
          <w:color w:val="111111"/>
          <w:sz w:val="28"/>
          <w:sz w:val="28"/>
          <w:szCs w:val="28"/>
          <w:rtl w:val="true"/>
          <w:lang w:bidi="fa-IR"/>
        </w:rPr>
        <w:t xml:space="preserve">، و چنين تحليلى در مورد آيه هيچ مانعى ندارد؛ زيرا الزّرقانى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عالمان مهم و صاحب‌نظر در علوم قرآن اهل‌سنت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كاربردهاى اين مادّه را نسبت به‌قرآن از باب مجاز مُرسل، به‌معناى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 و باب مجاز به‌گفته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والمجاز بابه واسع وميدانه فسيح </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بنابر اين وقتى در اين حديث و يا در هرجايى ديگر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p>
    <w:p>
      <w:pPr>
        <w:pStyle w:val="BookText"/>
        <w:rPr/>
      </w:pPr>
      <w:r>
        <w:rPr>
          <w:rFonts w:ascii="IRNazanin" w:hAnsi="IRNazanin" w:eastAsia="IRNazanin"/>
          <w:color w:val="111111"/>
          <w:sz w:val="28"/>
          <w:sz w:val="28"/>
          <w:szCs w:val="28"/>
          <w:rtl w:val="true"/>
          <w:lang w:bidi="fa-IR"/>
        </w:rPr>
        <w:t xml:space="preserve">أنزلت في عَلِيٍّ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يعني أعلَمَ في عَلِيٍّ ؛ 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صحيح و به‌جا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ديگر اهل‌سنت در تحليل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 معتقد به‌آن بود و در قرآن فعلى نيامده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عايشه آن را نقل كرده و خوراك بُز او شده است</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آيه به‌عنوان وحى بر پيامبر نازل شد، چنان‌كه امور ديگرى به‌عنوان امور دين، بر آن‌حضرت نازل گشت اما آنها قرآن نيست بلكه امر دين است</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در نظر گرفتن اين توجيه،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في محمّد وعلي وفاطمة والحسن والحسين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سوى خداوند به‌عنوان امور دين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آمده است اما در عين‌حال قرآن نيست؛ اگر آيات رجم و رضاع، تحريف نيست امور دين است، مواردى از اين دست در كافى نيز امور دين، خواهد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اينكه اين‌گونه روايات حمل بر تحريف و تغيير قرآن گردد، مراد از تغيير، به‌مفهوم عام آن است، يعنى در تفسير و تأويل آن انحراف صورت گرفته است نه در آنچه كه مردم از ظاهر آيات مى‌فهمند و نه در الفاظ آيات؛ تا حق، مخفى‌گردد </w:t>
      </w:r>
      <w:r>
        <w:rPr>
          <w:rStyle w:val="FootnoteAnchor"/>
          <w:rtl w:val="true"/>
        </w:rPr>
        <w:footnoteReference w:id="1111"/>
      </w:r>
      <w:r>
        <w:rPr>
          <w:rFonts w:ascii="Amiri" w:hAnsi="Amiri" w:eastAsia="Amiri" w:cs="Amiri"/>
          <w:color w:val="111111"/>
          <w:sz w:val="28"/>
          <w:sz w:val="28"/>
          <w:szCs w:val="28"/>
          <w:rtl w:val="true"/>
          <w:lang w:bidi="ar-SA"/>
        </w:rPr>
        <w:t xml:space="preserve">شاهدش روايتى است كه كلينى از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به‌روايت سعدالخير نقل مى‌كند</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وكلُّ اُمَّةٍ قَد رَفَعَ اللهُ عَنهم عِلمَ الكتابِ حين نَبَذُوهُ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من نبذهم الكتاب أن أقاموا حُرُوفَه وحَرَّفُوا حُدُودَه، فَهُم يَروَونَه ولايَرعَونَه</w:t>
      </w:r>
      <w:r>
        <w:rPr>
          <w:rFonts w:eastAsia="Amiri" w:cs="Amiri" w:ascii="Amiri" w:hAnsi="Amiri"/>
          <w:color w:val="111111"/>
          <w:sz w:val="28"/>
          <w:szCs w:val="28"/>
          <w:rtl w:val="true"/>
          <w:lang w:bidi="ar-SA"/>
        </w:rPr>
        <w:t xml:space="preserve">. . . » </w:t>
      </w:r>
      <w:r>
        <w:rPr>
          <w:rStyle w:val="FootnoteAnchor"/>
          <w:rtl w:val="true"/>
        </w:rPr>
        <w:footnoteReference w:id="1112"/>
      </w:r>
      <w:r>
        <w:rPr>
          <w:rFonts w:ascii="IRNazanin" w:hAnsi="IRNazanin" w:eastAsia="IRNazanin"/>
          <w:color w:val="111111"/>
          <w:sz w:val="28"/>
          <w:sz w:val="28"/>
          <w:szCs w:val="28"/>
          <w:rtl w:val="true"/>
          <w:lang w:bidi="fa-IR"/>
        </w:rPr>
        <w:t xml:space="preserve">، حديث صريح است در اينكه الفاظ و كلمات قرآن محفوظ است ولى در محتوا و تفسير آن، انحراف ايجاد شده است و اين معنا را آيه وَقَالَ الرَّسُولُ يَا رَبِّ إِنَّ قَوْمِى اتَّخَذُوا هَذَا الْقُرْآنَ مَهْجُوراً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رسا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همه مسلمانان قبول دارند كه نسبت به‌اين‌كتاب الهى‌كوتاهى صورت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أبي‌حمزه؛ در سندش </w:t>
      </w:r>
      <w:r>
        <w:rPr>
          <w:rStyle w:val="FootnoteAnchor"/>
          <w:rtl w:val="true"/>
        </w:rPr>
        <w:footnoteReference w:id="1113"/>
      </w:r>
      <w:r>
        <w:rPr>
          <w:rFonts w:ascii="Amiri" w:hAnsi="Amiri" w:eastAsia="Amiri" w:cs="Amiri"/>
          <w:color w:val="111111"/>
          <w:sz w:val="28"/>
          <w:sz w:val="28"/>
          <w:szCs w:val="28"/>
          <w:rtl w:val="true"/>
          <w:lang w:bidi="ar-SA"/>
        </w:rPr>
        <w:t xml:space="preserve">، محمدبن الفُضَيل بن‌كثير الصيرفى الأزدى ابوجعفر الأزرق راوى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قراردارد، كه نجاشى </w:t>
      </w:r>
      <w:r>
        <w:rPr>
          <w:rStyle w:val="FootnoteAnchor"/>
          <w:rtl w:val="true"/>
        </w:rPr>
        <w:footnoteReference w:id="1114"/>
      </w:r>
      <w:r>
        <w:rPr>
          <w:rFonts w:ascii="Amiri" w:hAnsi="Amiri" w:eastAsia="Amiri" w:cs="Amiri"/>
          <w:color w:val="111111"/>
          <w:sz w:val="28"/>
          <w:sz w:val="28"/>
          <w:szCs w:val="28"/>
          <w:rtl w:val="true"/>
          <w:lang w:bidi="ar-SA"/>
        </w:rPr>
        <w:t xml:space="preserve">و شيخ طوسى در فهرست </w:t>
      </w:r>
      <w:r>
        <w:rPr>
          <w:rStyle w:val="FootnoteAnchor"/>
          <w:rtl w:val="true"/>
        </w:rPr>
        <w:footnoteReference w:id="1115"/>
      </w:r>
      <w:r>
        <w:rPr>
          <w:rFonts w:ascii="Amiri" w:hAnsi="Amiri" w:eastAsia="Amiri" w:cs="Amiri"/>
          <w:color w:val="111111"/>
          <w:sz w:val="28"/>
          <w:sz w:val="28"/>
          <w:szCs w:val="28"/>
          <w:rtl w:val="true"/>
          <w:lang w:bidi="ar-SA"/>
        </w:rPr>
        <w:t xml:space="preserve">بدون توثيق و تضعيف، نام مى‌برند ولى شيخ در رجالش او را تضعيف و غالى مى‌داند </w:t>
      </w:r>
      <w:r>
        <w:rPr>
          <w:rStyle w:val="FootnoteAnchor"/>
          <w:rtl w:val="true"/>
        </w:rPr>
        <w:footnoteReference w:id="1116"/>
      </w:r>
      <w:r>
        <w:rPr>
          <w:rFonts w:ascii="IRNazanin" w:hAnsi="IRNazanin" w:eastAsia="IRNazanin"/>
          <w:color w:val="111111"/>
          <w:sz w:val="28"/>
          <w:sz w:val="28"/>
          <w:szCs w:val="28"/>
          <w:rtl w:val="true"/>
          <w:lang w:bidi="fa-IR"/>
        </w:rPr>
        <w:t>در معجم‌الرّجال پس از نقل ديدگاه‌ها، تصريح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لم تثبت وثاقة الرّجل، فلا يَعتمد على روايته </w:t>
      </w:r>
      <w:r>
        <w:rPr>
          <w:rFonts w:eastAsia="IRNazanin" w:cs="IRNazanin"/>
          <w:color w:val="111111"/>
          <w:sz w:val="28"/>
          <w:szCs w:val="28"/>
          <w:rtl w:val="true"/>
          <w:lang w:bidi="fa-IR"/>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دلالت حديث، بى‌ترديد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محض براى آيه است </w:t>
      </w:r>
      <w:r>
        <w:rPr>
          <w:rStyle w:val="FootnoteAnchor"/>
          <w:rtl w:val="true"/>
        </w:rPr>
        <w:footnoteReference w:id="1118"/>
      </w:r>
      <w:r>
        <w:rPr>
          <w:rFonts w:ascii="IRNazanin" w:hAnsi="IRNazanin" w:eastAsia="IRNazanin"/>
          <w:color w:val="111111"/>
          <w:sz w:val="28"/>
          <w:sz w:val="28"/>
          <w:szCs w:val="28"/>
          <w:rtl w:val="true"/>
          <w:lang w:bidi="fa-IR"/>
        </w:rPr>
        <w:t xml:space="preserve">و هيچ عاقلى آن را جزء متن آيه نمى‌شمارد؛ چه اينكه در حديث ديگر امام ابى‌عبدالله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چنين تبيين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عزّوجل هَذَانِ خَصْمَانِ اخْتَصَمُوا فِى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و بَنِي‌أميّة؛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صَدَق‌الله و رسُولُه، وقال بنوأُمية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كَذَبَ‌الله ورسوله، فالَّذِين كفَرُوا يعني بَني‌اُميّة</w:t>
      </w:r>
      <w:r>
        <w:rPr>
          <w:rFonts w:eastAsia="IRNazanin" w:cs="IRNazanin"/>
          <w:color w:val="111111"/>
          <w:sz w:val="28"/>
          <w:szCs w:val="28"/>
          <w:rtl w:val="true"/>
          <w:lang w:bidi="fa-IR"/>
        </w:rPr>
        <w:t xml:space="preserve">. . .» </w:t>
      </w:r>
      <w:r>
        <w:rPr>
          <w:rStyle w:val="FootnoteAnchor"/>
          <w:rtl w:val="true"/>
        </w:rPr>
        <w:footnoteReference w:id="1119"/>
      </w:r>
      <w:r>
        <w:rPr>
          <w:rFonts w:ascii="IRNazanin" w:hAnsi="IRNazanin" w:eastAsia="IRNazanin"/>
          <w:color w:val="111111"/>
          <w:sz w:val="28"/>
          <w:sz w:val="28"/>
          <w:szCs w:val="28"/>
          <w:rtl w:val="true"/>
          <w:lang w:bidi="fa-IR"/>
        </w:rPr>
        <w:t xml:space="preserve">همچنين وقتى راوى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هُنَالِكَ الْوَلاَيَةُ للهِ الحَقِّ هُوَ خَيْرٌ ثَوَاباً وَخَيْرٌ عُقْباً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ولاية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تفسير معنايى و احياناً مصداقى، اختصاص به‌كافى ندارد، در صحيح‌ترين كتاب اهل‌سنت در مورد همين آيه چنين تحليلى وجود دارد؛ بخارى از قيس بن عباده،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رضي‌الله‌عنه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فينا نَزَلَت هذه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خصمان</w:t>
      </w:r>
      <w:r>
        <w:rPr>
          <w:rFonts w:eastAsia="IRNazanin" w:cs="IRNazanin"/>
          <w:color w:val="111111"/>
          <w:sz w:val="28"/>
          <w:szCs w:val="28"/>
          <w:rtl w:val="true"/>
          <w:lang w:bidi="fa-IR"/>
        </w:rPr>
        <w:t xml:space="preserve">. . . .» </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ديگر </w:t>
      </w:r>
    </w:p>
    <w:p>
      <w:pPr>
        <w:pStyle w:val="BookText"/>
        <w:rPr/>
      </w:pPr>
      <w:r>
        <w:rPr>
          <w:rFonts w:ascii="Amiri" w:hAnsi="Amiri" w:eastAsia="Amiri" w:cs="Amiri"/>
          <w:color w:val="111111"/>
          <w:sz w:val="28"/>
          <w:sz w:val="28"/>
          <w:szCs w:val="28"/>
          <w:rtl w:val="true"/>
          <w:lang w:bidi="ar-SA"/>
        </w:rPr>
        <w:t>اهل‌سنت در ذيل و تفسير آيۀ مورد بحث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مجاهد، فقال سألتُ ابن‌عبّاس،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الثلاث الآيات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حمزة وعبيدة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وعتبة والوليد</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قطع نظر، از بحث‌هاى تفسيرى شكى نيست كه ولايت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به‌منابع خود اهل سنت در قرآن، تصريح به اشاره شده است هرچند كه نام حضرت در قرآن نيامده است، </w:t>
      </w:r>
      <w:r>
        <w:rPr>
          <w:rStyle w:val="FootnoteAnchor"/>
          <w:rtl w:val="true"/>
        </w:rPr>
        <w:footnoteReference w:id="1123"/>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همان مصداق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جابر ؛ </w:t>
      </w:r>
      <w:r>
        <w:rPr>
          <w:rStyle w:val="FootnoteAnchor"/>
          <w:rtl w:val="true"/>
        </w:rPr>
        <w:footnoteReference w:id="1124"/>
      </w:r>
      <w:r>
        <w:rPr>
          <w:rFonts w:ascii="Amiri" w:hAnsi="Amiri" w:eastAsia="Amiri" w:cs="Amiri"/>
          <w:color w:val="111111"/>
          <w:sz w:val="28"/>
          <w:sz w:val="28"/>
          <w:szCs w:val="28"/>
          <w:rtl w:val="true"/>
          <w:lang w:bidi="ar-SA"/>
        </w:rPr>
        <w:t xml:space="preserve">به خاطر محمدبن‌سنان و مُنَخّل‌بن‌جميل ضعيف است </w:t>
      </w:r>
      <w:r>
        <w:rPr>
          <w:rStyle w:val="FootnoteAnchor"/>
          <w:rtl w:val="true"/>
        </w:rPr>
        <w:footnoteReference w:id="1125"/>
      </w:r>
      <w:r>
        <w:rPr>
          <w:rFonts w:ascii="Amiri" w:hAnsi="Amiri" w:eastAsia="Amiri" w:cs="Amiri"/>
          <w:color w:val="111111"/>
          <w:sz w:val="28"/>
          <w:sz w:val="28"/>
          <w:szCs w:val="28"/>
          <w:rtl w:val="true"/>
          <w:lang w:bidi="ar-SA"/>
        </w:rPr>
        <w:t>اما محتواى روايت ؛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معنوى </w:t>
      </w:r>
      <w:r>
        <w:rPr>
          <w:rStyle w:val="FootnoteAnchor"/>
          <w:rtl w:val="true"/>
        </w:rPr>
        <w:footnoteReference w:id="1126"/>
      </w:r>
      <w:r>
        <w:rPr>
          <w:rFonts w:ascii="Amiri" w:hAnsi="Amiri" w:eastAsia="Amiri" w:cs="Amiri"/>
          <w:color w:val="111111"/>
          <w:sz w:val="28"/>
          <w:sz w:val="28"/>
          <w:szCs w:val="28"/>
          <w:rtl w:val="true"/>
          <w:lang w:bidi="ar-SA"/>
        </w:rPr>
        <w:t>يا توسعه آيه است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به‌توضيحى كه در مورد تنزيل و نزول نسبت به‌حديث دوم، داده شد؛ جمله اضافى درآيه تنزيل معنوى است، چنان‌كه ابن‌حزم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ناقدان كافى و ديگران در مورد آيات رجم و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درقرآن فعلى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آيات رجم و رضاع را قرآن نمى‌شمارند، و ما اين سخن را نمى‌پذيريم بلكه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رجم و رضاع بر پيامبر وحى شد به‌همان كيفيتى كه قرآن نازل گشت، منتها بخشى از وحى مكتوب و در نمازها تلاوت مى‌شود و بخش ديگر از وحى، قرائت و حفظ مى‌گردد و مورد عمل قرار مى‌گيرد، همانند ديگر كلام الهى كه فقط وحى است، يعنى در معنى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قرآن نيست و ما متعبِّد به‌تلاوت آنها نيستيم</w:t>
      </w:r>
      <w:r>
        <w:rPr>
          <w:rFonts w:eastAsia="IRNazanin" w:cs="IRNazanin"/>
          <w:color w:val="111111"/>
          <w:sz w:val="28"/>
          <w:szCs w:val="28"/>
          <w:rtl w:val="true"/>
          <w:lang w:bidi="fa-IR"/>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اين </w:t>
      </w:r>
    </w:p>
    <w:p>
      <w:pPr>
        <w:pStyle w:val="BookText"/>
        <w:rPr/>
      </w:pPr>
      <w:r>
        <w:rPr>
          <w:rFonts w:ascii="Amiri" w:hAnsi="Amiri" w:eastAsia="Amiri" w:cs="Amiri"/>
          <w:color w:val="111111"/>
          <w:sz w:val="28"/>
          <w:sz w:val="28"/>
          <w:szCs w:val="28"/>
          <w:rtl w:val="true"/>
          <w:lang w:bidi="ar-SA"/>
        </w:rPr>
        <w:t xml:space="preserve">سخن ابن‌حزم صريح است در اينكه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و وحى است نه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جالب اينكه امام ابى‌الحسن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طولانى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إطفاء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به‌ولايت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نورالله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اتمام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ارسال رسولان به‌هدايت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امر به‌ولايت و جانشينى و</w:t>
      </w:r>
      <w:r>
        <w:rPr>
          <w:rFonts w:eastAsia="Amiri" w:cs="Amiri" w:ascii="Amiri" w:hAnsi="Amiri"/>
          <w:color w:val="111111"/>
          <w:sz w:val="28"/>
          <w:szCs w:val="28"/>
          <w:rtl w:val="true"/>
          <w:lang w:bidi="ar-SA"/>
        </w:rPr>
        <w:t xml:space="preserve">. . . </w:t>
      </w:r>
      <w:r>
        <w:rPr>
          <w:rStyle w:val="FootnoteAnchor"/>
          <w:rtl w:val="true"/>
        </w:rPr>
        <w:footnoteReference w:id="1128"/>
      </w:r>
      <w:r>
        <w:rPr>
          <w:rFonts w:ascii="IRNazanin" w:hAnsi="IRNazanin" w:eastAsia="IRNazanin"/>
          <w:color w:val="111111"/>
          <w:sz w:val="28"/>
          <w:sz w:val="28"/>
          <w:szCs w:val="28"/>
          <w:rtl w:val="true"/>
          <w:lang w:bidi="fa-IR"/>
        </w:rPr>
        <w:t xml:space="preserve">، تفسير مى‌كند، وقتى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تنزيل؟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هذالحرف فَتنزيلٌ و أمّا غيره فتأويلٌ</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به‌اين معنى‌كه توضيحات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معنوى است؛ به‌عبارت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و نازل، از سوى خداوند است ولى قرآن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مُنَخَّل ؛ سندش </w:t>
      </w:r>
      <w:r>
        <w:rPr>
          <w:rStyle w:val="FootnoteAnchor"/>
          <w:rtl w:val="true"/>
        </w:rPr>
        <w:footnoteReference w:id="1130"/>
      </w:r>
      <w:r>
        <w:rPr>
          <w:rFonts w:ascii="IRNazanin" w:hAnsi="IRNazanin" w:eastAsia="IRNazanin"/>
          <w:color w:val="111111"/>
          <w:sz w:val="28"/>
          <w:sz w:val="28"/>
          <w:szCs w:val="28"/>
          <w:rtl w:val="true"/>
          <w:lang w:bidi="fa-IR"/>
        </w:rPr>
        <w:t>، همانند حديث قبلى به‌خاطر محمدبن‌سنان و منخّل‌بن جميل گرفتار ضعف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 و محتواى آن با توجه به‌مطالبى كه پيرامون روايات قبلى‌گفته شد، روشن است كه ارتباطى به‌تحريف ندارد، بلكه تفسير يا تنزيل معنوى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جابر </w:t>
      </w:r>
      <w:r>
        <w:rPr>
          <w:rStyle w:val="FootnoteAnchor"/>
          <w:rtl w:val="true"/>
        </w:rPr>
        <w:footnoteReference w:id="1131"/>
      </w:r>
      <w:r>
        <w:rPr>
          <w:rFonts w:ascii="IRNazanin" w:hAnsi="IRNazanin" w:eastAsia="IRNazanin"/>
          <w:color w:val="111111"/>
          <w:sz w:val="28"/>
          <w:sz w:val="28"/>
          <w:szCs w:val="28"/>
          <w:rtl w:val="true"/>
          <w:lang w:bidi="fa-IR"/>
        </w:rPr>
        <w:t xml:space="preserve">، گذشته از اينكه سندش به‌خاطر حضور ابى‌طالب كه مشترك ميان ضعيف و ثقه است </w:t>
      </w:r>
      <w:r>
        <w:rPr>
          <w:rStyle w:val="FootnoteAnchor"/>
          <w:rtl w:val="true"/>
        </w:rPr>
        <w:footnoteReference w:id="1132"/>
      </w:r>
      <w:r>
        <w:rPr>
          <w:rFonts w:ascii="Amiri" w:hAnsi="Amiri" w:eastAsia="Amiri" w:cs="Amiri"/>
          <w:color w:val="111111"/>
          <w:sz w:val="28"/>
          <w:sz w:val="28"/>
          <w:szCs w:val="28"/>
          <w:rtl w:val="true"/>
          <w:lang w:bidi="ar-SA"/>
        </w:rPr>
        <w:t xml:space="preserve">و يونس‌بن‌بكّار كه در منابع رجالى ذكر نشده </w:t>
      </w:r>
      <w:r>
        <w:rPr>
          <w:rStyle w:val="FootnoteAnchor"/>
          <w:rtl w:val="true"/>
        </w:rPr>
        <w:footnoteReference w:id="1133"/>
      </w:r>
      <w:r>
        <w:rPr>
          <w:rFonts w:ascii="IRNazanin" w:hAnsi="IRNazanin" w:eastAsia="IRNazanin"/>
          <w:color w:val="111111"/>
          <w:sz w:val="28"/>
          <w:sz w:val="28"/>
          <w:szCs w:val="28"/>
          <w:rtl w:val="true"/>
          <w:lang w:bidi="fa-IR"/>
        </w:rPr>
        <w:t xml:space="preserve">، خالى از مشكل نيست، محتواى حديث با نگاه به‌احاديث قبلى، واضح است، يعنى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معنوى و يا تأويل است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أبي‌بصير </w:t>
      </w:r>
      <w:r>
        <w:rPr>
          <w:rStyle w:val="FootnoteAnchor"/>
          <w:rtl w:val="true"/>
        </w:rPr>
        <w:footnoteReference w:id="1135"/>
      </w:r>
      <w:r>
        <w:rPr>
          <w:rFonts w:ascii="IRNazanin" w:hAnsi="IRNazanin" w:eastAsia="IRNazanin"/>
          <w:color w:val="111111"/>
          <w:sz w:val="28"/>
          <w:sz w:val="28"/>
          <w:szCs w:val="28"/>
          <w:rtl w:val="true"/>
          <w:lang w:bidi="fa-IR"/>
        </w:rPr>
        <w:t>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معلى‌بن محمد البصرى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على‌بن‌حمزه بطائنى، يكى از استوانه‌هاى واقفيه است </w:t>
      </w:r>
      <w:r>
        <w:rPr>
          <w:rStyle w:val="FootnoteAnchor"/>
          <w:rtl w:val="true"/>
        </w:rPr>
        <w:footnoteReference w:id="1136"/>
      </w:r>
      <w:r>
        <w:rPr>
          <w:rFonts w:ascii="IRNazanin" w:hAnsi="IRNazanin" w:eastAsia="IRNazanin"/>
          <w:color w:val="111111"/>
          <w:sz w:val="28"/>
          <w:sz w:val="28"/>
          <w:szCs w:val="28"/>
          <w:rtl w:val="true"/>
          <w:lang w:bidi="fa-IR"/>
        </w:rPr>
        <w:t xml:space="preserve">هرچند كه شيخ طوسى او را در يك‌جا بدون تأييد و تضعيف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w:t>
      </w:r>
      <w:r>
        <w:rPr>
          <w:rStyle w:val="FootnoteAnchor"/>
          <w:rtl w:val="true"/>
        </w:rPr>
        <w:footnoteReference w:id="1137"/>
      </w:r>
      <w:r>
        <w:rPr>
          <w:rFonts w:ascii="IRNazanin" w:hAnsi="IRNazanin" w:eastAsia="IRNazanin"/>
          <w:color w:val="111111"/>
          <w:sz w:val="28"/>
          <w:sz w:val="28"/>
          <w:szCs w:val="28"/>
          <w:rtl w:val="true"/>
          <w:lang w:bidi="fa-IR"/>
        </w:rPr>
        <w:t xml:space="preserve">و درجاى ديگر از اصحاب امام كاظم و واقفى مى‌شمارد </w:t>
      </w:r>
      <w:r>
        <w:rPr>
          <w:rStyle w:val="FootnoteAnchor"/>
          <w:rtl w:val="true"/>
        </w:rPr>
        <w:footnoteReference w:id="1138"/>
      </w:r>
      <w:r>
        <w:rPr>
          <w:rFonts w:ascii="IRNazanin" w:hAnsi="IRNazanin" w:eastAsia="IRNazanin"/>
          <w:color w:val="111111"/>
          <w:sz w:val="28"/>
          <w:sz w:val="28"/>
          <w:szCs w:val="28"/>
          <w:rtl w:val="true"/>
          <w:lang w:bidi="fa-IR"/>
        </w:rPr>
        <w:t xml:space="preserve">، السيدالخويى به‌نقل از شيخ طوسى او را اولين كسى مى‌داند كه اعتقاد به‌وقف در مورد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سر زد، و تصريح مى‌كند كه على‌بن‌ابى‌حمزه از معاندان است مگر اينكه احتمال برگشت از اعتقاد باطل او درست باشد </w:t>
      </w:r>
      <w:r>
        <w:rPr>
          <w:rStyle w:val="FootnoteAnchor"/>
          <w:rtl w:val="true"/>
        </w:rPr>
        <w:footnoteReference w:id="1139"/>
      </w:r>
      <w:r>
        <w:rPr>
          <w:rFonts w:ascii="Amiri" w:hAnsi="Amiri" w:eastAsia="Amiri" w:cs="Amiri"/>
          <w:color w:val="111111"/>
          <w:sz w:val="28"/>
          <w:sz w:val="28"/>
          <w:szCs w:val="28"/>
          <w:rtl w:val="true"/>
          <w:lang w:bidi="ar-SA"/>
        </w:rPr>
        <w:t xml:space="preserve">، و از نظر مجلسى روايت، مجهول است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محتواى روايت هرگز تحريف را نمى‌رساند بلكه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تنزيل معنايى است كه قبلاً اشاره شد </w:t>
      </w:r>
      <w:r>
        <w:rPr>
          <w:rStyle w:val="FootnoteAnchor"/>
          <w:rtl w:val="true"/>
        </w:rPr>
        <w:footnoteReference w:id="1141"/>
      </w:r>
      <w:r>
        <w:rPr>
          <w:rFonts w:ascii="Amiri" w:hAnsi="Amiri" w:eastAsia="Amiri" w:cs="Amiri"/>
          <w:color w:val="111111"/>
          <w:sz w:val="28"/>
          <w:sz w:val="28"/>
          <w:szCs w:val="28"/>
          <w:rtl w:val="true"/>
          <w:lang w:bidi="ar-SA"/>
        </w:rPr>
        <w:t xml:space="preserve">، يا تأويل و تفسير معنايى </w:t>
      </w:r>
      <w:r>
        <w:rPr>
          <w:rStyle w:val="FootnoteAnchor"/>
          <w:rtl w:val="true"/>
        </w:rPr>
        <w:footnoteReference w:id="1142"/>
      </w:r>
      <w:r>
        <w:rPr>
          <w:rFonts w:ascii="IRNazanin" w:hAnsi="IRNazanin" w:eastAsia="IRNazanin"/>
          <w:color w:val="111111"/>
          <w:sz w:val="28"/>
          <w:sz w:val="28"/>
          <w:szCs w:val="28"/>
          <w:rtl w:val="true"/>
          <w:lang w:bidi="fa-IR"/>
        </w:rPr>
        <w:t xml:space="preserve">به‌اين معنا كه از نگاه برخى نويسندگان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رجوع و بازگشت به‌اصل را معنا مى‌دهد </w:t>
      </w:r>
      <w:r>
        <w:rPr>
          <w:rStyle w:val="FootnoteAnchor"/>
          <w:rtl w:val="true"/>
        </w:rPr>
        <w:footnoteReference w:id="1143"/>
      </w:r>
      <w:r>
        <w:rPr>
          <w:rFonts w:ascii="Amiri" w:hAnsi="Amiri" w:eastAsia="Amiri" w:cs="Amiri"/>
          <w:color w:val="111111"/>
          <w:sz w:val="28"/>
          <w:sz w:val="28"/>
          <w:szCs w:val="28"/>
          <w:rtl w:val="true"/>
          <w:lang w:bidi="ar-SA"/>
        </w:rPr>
        <w:t xml:space="preserve">و در اصطلاح متأخران، عبارت است از منصرف كردن لفظ، از معناى راجح به‌معناى مرجوحى كه مقرون به‌دليل است </w:t>
      </w:r>
      <w:r>
        <w:rPr>
          <w:rFonts w:eastAsia="Amiri" w:cs="Amiri" w:ascii="Amiri" w:hAnsi="Amiri"/>
          <w:color w:val="111111"/>
          <w:sz w:val="28"/>
          <w:szCs w:val="28"/>
          <w:rtl w:val="true"/>
          <w:lang w:bidi="ar-SA"/>
        </w:rPr>
        <w:t>(</w:t>
      </w:r>
      <w:r>
        <w:rPr>
          <w:rStyle w:val="FootnoteAnchor"/>
        </w:rPr>
        <w:footnoteReference w:id="1144"/>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كه اين نويسنده اين مفهوم را موافق معناى لفظ تأويل </w:t>
      </w:r>
    </w:p>
    <w:p>
      <w:pPr>
        <w:pStyle w:val="BookText"/>
        <w:rPr/>
      </w:pPr>
      <w:r>
        <w:rPr>
          <w:rFonts w:ascii="Amiri" w:hAnsi="Amiri" w:eastAsia="Amiri" w:cs="Amiri"/>
          <w:color w:val="111111"/>
          <w:sz w:val="28"/>
          <w:sz w:val="28"/>
          <w:szCs w:val="28"/>
          <w:rtl w:val="true"/>
          <w:lang w:bidi="ar-SA"/>
        </w:rPr>
        <w:t xml:space="preserve">به‌كار رفته نزد سلف </w:t>
      </w:r>
      <w:r>
        <w:rPr>
          <w:rStyle w:val="FootnoteAnchor"/>
          <w:rtl w:val="true"/>
        </w:rPr>
        <w:footnoteReference w:id="1145"/>
      </w:r>
      <w:r>
        <w:rPr>
          <w:rFonts w:ascii="Amiri" w:hAnsi="Amiri" w:eastAsia="Amiri" w:cs="Amiri"/>
          <w:color w:val="111111"/>
          <w:sz w:val="28"/>
          <w:sz w:val="28"/>
          <w:szCs w:val="28"/>
          <w:rtl w:val="true"/>
          <w:lang w:bidi="ar-SA"/>
        </w:rPr>
        <w:t xml:space="preserve">در خصوص قرآن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نمى‌داند ولى با توجه به‌روايتى كه حسكانى از ابى‌الصّلاح در مورد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عالماً بالتّفسير والتأويل والنّاسخ والمنسوخ و</w:t>
      </w:r>
      <w:r>
        <w:rPr>
          <w:rFonts w:eastAsia="Amiri" w:cs="Amiri" w:ascii="Amiri" w:hAnsi="Amiri"/>
          <w:color w:val="111111"/>
          <w:sz w:val="28"/>
          <w:szCs w:val="28"/>
          <w:rtl w:val="true"/>
          <w:lang w:bidi="ar-SA"/>
        </w:rPr>
        <w:t xml:space="preserve">. . .» </w:t>
      </w:r>
      <w:r>
        <w:rPr>
          <w:rStyle w:val="FootnoteAnchor"/>
          <w:rtl w:val="true"/>
        </w:rPr>
        <w:footnoteReference w:id="1146"/>
      </w:r>
      <w:r>
        <w:rPr>
          <w:rFonts w:ascii="IRNazanin" w:hAnsi="IRNazanin" w:eastAsia="IRNazanin"/>
          <w:color w:val="111111"/>
          <w:sz w:val="28"/>
          <w:sz w:val="28"/>
          <w:szCs w:val="28"/>
          <w:rtl w:val="true"/>
          <w:lang w:bidi="fa-IR"/>
        </w:rPr>
        <w:t>، ميان تفسير و تأويل فرق بوده است؛ چه اينكه برخى ديگر از پژوهشگران اهل‌سنت در تعريف تأويل و تفسير مى‌گويد، اگر تأويل را مترادف تفسير ندانيم، تفسير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به‌اينكه مراد خداوند چنين است، و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ترجيح‌دادن يكى از احتمالات بدون اينكه قطعى در كار باشد،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ماتُريدى همين معنا را گفته است </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ديگر تفسير، عبارت است از بيان معانى‌كه از لفظ استفاده مى‌شود و تأويل عبارت است از بيان معانى‌كه به‌طريق اشاره استفاده مى‌شود </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به‌معناى دقيق‌ترى اشاره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التأويل إشارة قدسية ومعارف سبحانية، تنكشف من سِجف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العبارات للسالكين وتنهل من سحب الغيب على قلوب العارفين، والتفسير غير ذلك </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آنچه در روايت آمده، تأويل معنايى است نه متن قرآن، تا تحريف محسوب گردد، يعنى انصراف معنايى است كه نزد برخى راجح بوده بر معنايى كه نزد آنها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اشاره قدسى و معارف سبحانى است كه از قلب عارف بالله يعنى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 فى العلم</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جوشيده وبر زبانش جارى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 توجه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تحريف، در خصوص روايات ديگر كه از كلينى نقل شده </w:t>
      </w:r>
      <w:r>
        <w:rPr>
          <w:rStyle w:val="FootnoteAnchor"/>
          <w:rtl w:val="true"/>
        </w:rPr>
        <w:footnoteReference w:id="1151"/>
      </w:r>
      <w:r>
        <w:rPr>
          <w:rFonts w:ascii="Amiri" w:hAnsi="Amiri" w:eastAsia="Amiri" w:cs="Amiri"/>
          <w:color w:val="111111"/>
          <w:sz w:val="28"/>
          <w:sz w:val="28"/>
          <w:szCs w:val="28"/>
          <w:rtl w:val="true"/>
          <w:lang w:bidi="ar-SA"/>
        </w:rPr>
        <w:t>نيز وارد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پرسش از آيه إِنَّا نَحْنُ نَزَّلْنَا عَلَيْكَ الْقُرْآنَ تَنزِيلاً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تنزيل است، قلتُ هذا تنزيل؟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ذا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جواب سائلى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تَذْكِرَةٌ فَمَن شَاء اتَّخَذَ إِلَى رَبِّهِ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مَن يَشَاءُ فِى رَحْمَتِهِ وَالظَّالِمِينَ اَعَدَّ لَهُمْ عَذَاباً اَلِيماً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وَظَلَّلْنَا عَلَيْكُمُ الْغَمَامَ وَاَنزَلْنَا عَلَيْكُمُ الْمَنَّ وَالسَّلْوَى كُلُواْ مِن طَيِّبَاتِ مَا رَزَقْنَاكُمْ وَمَا ظَلَمُونَا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كَانُواْ اَنفُسَهُمْ يَظْلِمُونَ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52"/>
      </w:r>
      <w:r>
        <w:rPr>
          <w:rFonts w:ascii="Amiri" w:hAnsi="Amiri" w:eastAsia="Amiri" w:cs="Amiri"/>
          <w:color w:val="111111"/>
          <w:sz w:val="28"/>
          <w:sz w:val="28"/>
          <w:szCs w:val="28"/>
          <w:rtl w:val="true"/>
          <w:lang w:bidi="ar-SA"/>
        </w:rPr>
        <w:t>، همه را تنزيل دانست نه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شيعه ولايت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ضروريات مذهب خويش مى‌داند شواهد فراوانى چون آيات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و ده‌ها آيۀ ديگر و حديث ثقلين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كه اشاره دارد به‌ولايت آن حضرت؛ همه گواه است بر تأويل معنايى كه نويسندگان نامبرده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تحليلى از آيات، نسبت به‌ولايت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به‌شيعه ندارد، برخى عالمان اهل‌سنت نيز به‌آن تصريح نموده‌اند؛ عالم حنفى در تحليل معناى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ملك </w:t>
      </w:r>
      <w:r>
        <w:rPr>
          <w:rStyle w:val="FootnoteAnchor"/>
          <w:rtl w:val="true"/>
        </w:rPr>
        <w:footnoteReference w:id="1153"/>
      </w:r>
      <w:r>
        <w:rPr>
          <w:rFonts w:ascii="Amiri" w:hAnsi="Amiri" w:eastAsia="Amiri" w:cs="Amiri"/>
          <w:color w:val="111111"/>
          <w:sz w:val="28"/>
          <w:sz w:val="28"/>
          <w:szCs w:val="28"/>
          <w:rtl w:val="true"/>
          <w:lang w:bidi="ar-SA"/>
        </w:rPr>
        <w:t>به‌سند خود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مخالفان و محاربان عَلِى ديدند كه او، نزد خدا مقرب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سِيئت وجوهُ الذين كَفَرُوا ، أي كفروا نعمةالله الّتي هي إمامة عَلِيّ</w:t>
      </w:r>
      <w:r>
        <w:rPr>
          <w:rFonts w:eastAsia="Amiri" w:cs="Amiri" w:ascii="Amiri" w:hAnsi="Amiri"/>
          <w:color w:val="111111"/>
          <w:sz w:val="28"/>
          <w:szCs w:val="28"/>
          <w:rtl w:val="true"/>
          <w:lang w:bidi="ar-SA"/>
        </w:rPr>
        <w:t xml:space="preserve">. . .»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رواياتى از اين دست كه در كافى نقل شده همانند احاديث</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اكثر روايات، اين باب </w:t>
      </w:r>
      <w:r>
        <w:rPr>
          <w:rStyle w:val="FootnoteAnchor"/>
          <w:rtl w:val="true"/>
        </w:rPr>
        <w:footnoteReference w:id="1155"/>
      </w:r>
      <w:r>
        <w:rPr>
          <w:rFonts w:ascii="Amiri" w:hAnsi="Amiri" w:eastAsia="Amiri" w:cs="Amiri"/>
          <w:color w:val="111111"/>
          <w:sz w:val="28"/>
          <w:sz w:val="28"/>
          <w:szCs w:val="28"/>
          <w:rtl w:val="true"/>
          <w:lang w:bidi="ar-SA"/>
        </w:rPr>
        <w:t>و كليه رواياتى كه دركتاب الكلينى و تأويلاته الباطنيه، آمده و بسيارى از آنها را حمل بر تحريف قرآن نموده‌اند، همه طبق معيارهاى خود عالمان اهل‌سنت تنزيل يا تأويل معنايى يا توسعۀ آيات است نه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ابن‌سنان </w:t>
      </w:r>
      <w:r>
        <w:rPr>
          <w:rStyle w:val="FootnoteAnchor"/>
          <w:rtl w:val="true"/>
        </w:rPr>
        <w:footnoteReference w:id="1156"/>
      </w:r>
      <w:r>
        <w:rPr>
          <w:rFonts w:ascii="IRNazanin" w:hAnsi="IRNazanin" w:eastAsia="IRNazanin"/>
          <w:color w:val="111111"/>
          <w:sz w:val="28"/>
          <w:sz w:val="28"/>
          <w:szCs w:val="28"/>
          <w:rtl w:val="true"/>
          <w:lang w:bidi="fa-IR"/>
        </w:rPr>
        <w:t xml:space="preserve">به‌خاطر حضور وى و معلى‌بن‌محمد،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عبدالله‌بن‌ادريس هرچند كه در برخى منابع رجالى ذكر شده ولى توثيق صريح ندارد </w:t>
      </w:r>
      <w:r>
        <w:rPr>
          <w:rStyle w:val="FootnoteAnchor"/>
          <w:rtl w:val="true"/>
        </w:rPr>
        <w:footnoteReference w:id="1157"/>
      </w:r>
      <w:r>
        <w:rPr>
          <w:rFonts w:ascii="Amiri" w:hAnsi="Amiri" w:eastAsia="Amiri" w:cs="Amiri"/>
          <w:color w:val="111111"/>
          <w:sz w:val="28"/>
          <w:sz w:val="28"/>
          <w:szCs w:val="28"/>
          <w:rtl w:val="true"/>
          <w:lang w:bidi="ar-SA"/>
        </w:rPr>
        <w:t xml:space="preserve">و مجلسى حديث را ضعيف مشهور مى‌داند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دلالت روايت با توجه به‌بحث مفصّلى كه انجام شد روشن است، يعنى تأويل يا تفسير است نه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في الكتاب 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آيه با 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گردآورده بود يا در لوح محفوظ، مكتوب است نَه قرآن فعلى، چنان‌كه در برخى از نسخه‌ها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مورد نظر حمل بر تأويل مى‌شود به‌اين معنا كه جمله، شرح و تفسير آيه است </w:t>
      </w:r>
      <w:r>
        <w:rPr>
          <w:rStyle w:val="FootnoteAnchor"/>
          <w:rtl w:val="true"/>
        </w:rPr>
        <w:footnoteReference w:id="1160"/>
      </w:r>
      <w:r>
        <w:rPr>
          <w:rFonts w:ascii="IRNazanin" w:hAnsi="IRNazanin" w:eastAsia="IRNazanin"/>
          <w:color w:val="111111"/>
          <w:sz w:val="28"/>
          <w:sz w:val="28"/>
          <w:szCs w:val="28"/>
          <w:rtl w:val="true"/>
          <w:lang w:bidi="fa-IR"/>
        </w:rPr>
        <w:t>و اگر تنزيل هم باشد، تنزيل معنوى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مى‌رساند كه اين‌گونه اضافات، مانند توضيحات در حواشى قرآن به‌منظور توضيح آيه، مكتوب مى‌شده است و اين امر نزد صحابه مشهور بوده است </w:t>
      </w:r>
      <w:r>
        <w:rPr>
          <w:rStyle w:val="FootnoteAnchor"/>
          <w:rtl w:val="true"/>
        </w:rPr>
        <w:footnoteReference w:id="1161"/>
      </w:r>
      <w:r>
        <w:rPr>
          <w:rFonts w:ascii="IRNazanin" w:hAnsi="IRNazanin" w:eastAsia="IRNazanin"/>
          <w:color w:val="111111"/>
          <w:sz w:val="28"/>
          <w:sz w:val="28"/>
          <w:szCs w:val="28"/>
          <w:rtl w:val="true"/>
          <w:lang w:bidi="fa-IR"/>
        </w:rPr>
        <w:t xml:space="preserve">چنان‌كه </w:t>
      </w:r>
      <w:bookmarkStart w:id="429" w:name="pg1976_28056"/>
    </w:p>
    <w:p>
      <w:pPr>
        <w:pStyle w:val="BookText"/>
        <w:rPr/>
      </w:pPr>
      <w:bookmarkEnd w:id="429"/>
      <w:r>
        <w:rPr>
          <w:rFonts w:ascii="IRNazanin" w:hAnsi="IRNazanin" w:eastAsia="IRNazanin"/>
          <w:color w:val="111111"/>
          <w:sz w:val="28"/>
          <w:sz w:val="28"/>
          <w:szCs w:val="28"/>
          <w:rtl w:val="true"/>
          <w:lang w:bidi="fa-IR"/>
        </w:rPr>
        <w:t>نويسنده مصرى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كلمات اضافى كه در برخى از روايات تفسيرى ديده مى‌شود، قرآن نيست بلكه آنها تفسير صحابه است؛ زيرا برخى از اصحاب روى كلمات يا كنار آن، چيزى در مصحفى كه قرائت مى‌كردند، مى‌نوشتند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قرائت‌التّفسيرى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 </w:t>
      </w:r>
      <w:r>
        <w:rPr>
          <w:rStyle w:val="FootnoteAnchor"/>
          <w:rtl w:val="true"/>
        </w:rPr>
        <w:footnoteReference w:id="1162"/>
      </w:r>
      <w:r>
        <w:rPr>
          <w:rFonts w:ascii="IRNazanin" w:hAnsi="IRNazanin" w:eastAsia="IRNazanin"/>
          <w:color w:val="111111"/>
          <w:sz w:val="28"/>
          <w:sz w:val="28"/>
          <w:szCs w:val="28"/>
          <w:rtl w:val="true"/>
          <w:lang w:bidi="fa-IR"/>
        </w:rPr>
        <w:t xml:space="preserve">يا گلدزيهر يكى از ريشه‌هاى قرائت‌هاى مختلف را اضافه‌هاى تفسيرى مى‌داندكه براى برطرف نمودن غموض قرآن و رفع ابهام و اضطراب تأويل در قرآن‌ها، اضافه مى‌شد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ابن‌صبيح </w:t>
      </w:r>
      <w:r>
        <w:rPr>
          <w:rStyle w:val="FootnoteAnchor"/>
          <w:rtl w:val="true"/>
        </w:rPr>
        <w:footnoteReference w:id="1164"/>
      </w:r>
      <w:r>
        <w:rPr>
          <w:rFonts w:ascii="IRNazanin" w:hAnsi="IRNazanin" w:eastAsia="IRNazanin"/>
          <w:color w:val="111111"/>
          <w:sz w:val="28"/>
          <w:sz w:val="28"/>
          <w:szCs w:val="28"/>
          <w:rtl w:val="true"/>
          <w:lang w:bidi="fa-IR"/>
        </w:rPr>
        <w:t xml:space="preserve">با وجود معلى‌بن‌محمّد، سند غير معتبر است و على‌بن‌أسباط هرچند كه فتحى مذهب بوده ولى مورد اطمينان است </w:t>
      </w:r>
      <w:r>
        <w:rPr>
          <w:rStyle w:val="FootnoteAnchor"/>
          <w:rtl w:val="true"/>
        </w:rPr>
        <w:footnoteReference w:id="1165"/>
      </w:r>
      <w:r>
        <w:rPr>
          <w:rFonts w:ascii="Amiri" w:hAnsi="Amiri" w:eastAsia="Amiri" w:cs="Amiri"/>
          <w:color w:val="111111"/>
          <w:sz w:val="28"/>
          <w:sz w:val="28"/>
          <w:szCs w:val="28"/>
          <w:rtl w:val="true"/>
          <w:lang w:bidi="ar-SA"/>
        </w:rPr>
        <w:t xml:space="preserve">محتواى حديث با توجه به‌مباحث قبلى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و يا تأويل معنايى است و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به‌ترك ولايۀ تأويل شده است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 w:name="__RefHeading___Toc3767157_3650668749"/>
      <w:bookmarkStart w:id="431" w:name="_Toc157"/>
      <w:bookmarkEnd w:id="430"/>
      <w:r>
        <w:rPr>
          <w:rtl w:val="true"/>
        </w:rPr>
        <w:t>دوم</w:t>
      </w:r>
      <w:r>
        <w:rPr>
          <w:rtl w:val="true"/>
        </w:rPr>
        <w:t xml:space="preserve">: </w:t>
      </w:r>
      <w:r>
        <w:rPr>
          <w:rtl w:val="true"/>
        </w:rPr>
        <w:t xml:space="preserve">احاديث اهل‌البيت </w:t>
      </w:r>
      <w:r>
        <w:rPr>
          <w:rtl w:val="true"/>
        </w:rPr>
        <w:t>(</w:t>
      </w:r>
      <w:r>
        <w:rPr>
          <w:rtl w:val="true"/>
        </w:rPr>
        <w:t>عليهم السلام</w:t>
      </w:r>
      <w:r>
        <w:rPr>
          <w:rtl w:val="true"/>
        </w:rPr>
        <w:t>)</w:t>
      </w:r>
      <w:bookmarkEnd w:id="431"/>
    </w:p>
    <w:p>
      <w:pPr>
        <w:pStyle w:val="BookText"/>
        <w:rPr/>
      </w:pPr>
      <w:r>
        <w:rPr>
          <w:rFonts w:ascii="IRNazanin" w:hAnsi="IRNazanin" w:eastAsia="IRNazanin"/>
          <w:color w:val="111111"/>
          <w:sz w:val="28"/>
          <w:sz w:val="28"/>
          <w:szCs w:val="28"/>
          <w:rtl w:val="true"/>
          <w:lang w:bidi="fa-IR"/>
        </w:rPr>
        <w:t xml:space="preserve">دومين گروهِ از روايات كه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و يا تأويل آيات مى‌خواند هيچ كدام ربطى به‌تحريف قرآن ندارد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أبى‌حمزه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به‌احتمال قوى يك‌حديث باشد، در سلسله اسنادش </w:t>
      </w:r>
    </w:p>
    <w:p>
      <w:pPr>
        <w:pStyle w:val="BookText"/>
        <w:rPr/>
      </w:pPr>
      <w:r>
        <w:rPr>
          <w:rFonts w:ascii="IRNazanin" w:hAnsi="IRNazanin" w:eastAsia="IRNazanin"/>
          <w:color w:val="111111"/>
          <w:sz w:val="28"/>
          <w:sz w:val="28"/>
          <w:szCs w:val="28"/>
          <w:rtl w:val="true"/>
          <w:lang w:bidi="fa-IR"/>
        </w:rPr>
        <w:t xml:space="preserve">احمدبن مهران قرار دارد؛ او گرچه از مشايخ كلينى است ولى ضعف دارد </w:t>
      </w:r>
      <w:r>
        <w:rPr>
          <w:rStyle w:val="FootnoteAnchor"/>
          <w:rtl w:val="true"/>
        </w:rPr>
        <w:footnoteReference w:id="1168"/>
      </w:r>
      <w:r>
        <w:rPr>
          <w:rFonts w:ascii="IRNazanin" w:hAnsi="IRNazanin" w:eastAsia="IRNazanin"/>
          <w:color w:val="111111"/>
          <w:sz w:val="28"/>
          <w:sz w:val="28"/>
          <w:szCs w:val="28"/>
          <w:rtl w:val="true"/>
          <w:lang w:bidi="fa-IR"/>
        </w:rPr>
        <w:t xml:space="preserve">هرچند كه وحيد بهبهانى در ترجمه كلينى بر اين شخص اعتماد كرده است </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الفضيل همان‌گونه كه اشاره شد مورد اعتماد نيست؛ از اين رو مجلسى سند روايت را ضعيف مى‌شمارد؛ </w:t>
      </w:r>
      <w:r>
        <w:rPr>
          <w:rStyle w:val="FootnoteAnchor"/>
          <w:rtl w:val="true"/>
        </w:rPr>
        <w:footnoteReference w:id="1170"/>
      </w:r>
      <w:r>
        <w:rPr>
          <w:rFonts w:ascii="IRNazanin" w:hAnsi="IRNazanin" w:eastAsia="IRNazanin"/>
          <w:color w:val="111111"/>
          <w:sz w:val="28"/>
          <w:sz w:val="28"/>
          <w:szCs w:val="28"/>
          <w:rtl w:val="true"/>
          <w:lang w:bidi="fa-IR"/>
        </w:rPr>
        <w:t xml:space="preserve">اما دلالت روايت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با نگاهِ به‌مباحث گذشته، تأويل يا تنزيل است </w:t>
      </w:r>
      <w:r>
        <w:rPr>
          <w:rStyle w:val="FootnoteAnchor"/>
          <w:rtl w:val="true"/>
        </w:rPr>
        <w:footnoteReference w:id="1171"/>
      </w:r>
      <w:r>
        <w:rPr>
          <w:rFonts w:ascii="IRNazanin" w:hAnsi="IRNazanin" w:eastAsia="IRNazanin"/>
          <w:color w:val="111111"/>
          <w:sz w:val="28"/>
          <w:sz w:val="28"/>
          <w:szCs w:val="28"/>
          <w:rtl w:val="true"/>
          <w:lang w:bidi="fa-IR"/>
        </w:rPr>
        <w:t xml:space="preserve">گويا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دارد قصص و امثالى كه خداوند براى امت‌هاى گذشته آورده براى اندرز به‌امت اسلامى گوشزد نمايد 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بنى‌اسرائيل تشبيه كرده است، يعنى همان‌گونه كه آنها از دستور خدا سرپيچى كردند و دچار عذاب گشتند، امت اسلامى نيز در مورد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انحراف شدند </w:t>
      </w:r>
      <w:r>
        <w:rPr>
          <w:rStyle w:val="FootnoteAnchor"/>
          <w:rtl w:val="true"/>
        </w:rPr>
        <w:footnoteReference w:id="1172"/>
      </w:r>
      <w:r>
        <w:rPr>
          <w:rFonts w:ascii="Amiri" w:hAnsi="Amiri" w:eastAsia="Amiri" w:cs="Amiri"/>
          <w:color w:val="111111"/>
          <w:sz w:val="28"/>
          <w:sz w:val="28"/>
          <w:szCs w:val="28"/>
          <w:rtl w:val="true"/>
          <w:lang w:bidi="ar-SA"/>
        </w:rPr>
        <w:t xml:space="preserve">و حتى در برخى از روايات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تنهايى به‌باب حطّه بنى‌اسرائيل تشبيه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علي‌بن ابي‌طالب باب حِطّةٍ، من دَخَل منه كان مؤمناً، ومن خَرَج منه كان كافرا </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سوره نساء را تفسير مى‌كند؛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تفسير آيه است متن قرآن نيامده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در تفسير لازم نيست نص كلمات آورده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همه زيادى تفسيرى است </w:t>
      </w:r>
      <w:r>
        <w:rPr>
          <w:rStyle w:val="FootnoteAnchor"/>
          <w:rtl w:val="true"/>
        </w:rPr>
        <w:footnoteReference w:id="1174"/>
      </w:r>
      <w:r>
        <w:rPr>
          <w:rFonts w:ascii="Amiri" w:hAnsi="Amiri" w:eastAsia="Amiri" w:cs="Amiri"/>
          <w:color w:val="111111"/>
          <w:sz w:val="28"/>
          <w:sz w:val="28"/>
          <w:szCs w:val="28"/>
          <w:rtl w:val="true"/>
          <w:lang w:bidi="ar-SA"/>
        </w:rPr>
        <w:t xml:space="preserve">، و يا تأويل و تنزيل معنوى و يا تطبيق كليات بر مصاديق </w:t>
      </w:r>
      <w:r>
        <w:rPr>
          <w:rStyle w:val="FootnoteAnchor"/>
          <w:rtl w:val="true"/>
        </w:rPr>
        <w:footnoteReference w:id="1175"/>
      </w:r>
      <w:r>
        <w:rPr>
          <w:rFonts w:ascii="IRNazanin" w:hAnsi="IRNazanin" w:eastAsia="IRNazanin"/>
          <w:color w:val="111111"/>
          <w:sz w:val="28"/>
          <w:sz w:val="28"/>
          <w:szCs w:val="28"/>
          <w:rtl w:val="true"/>
          <w:lang w:bidi="fa-IR"/>
        </w:rPr>
        <w:t>است كه در تحليل روايات پيشين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روايى اهل‌سنت نمونه‌هاى فراوانى در ارتباط به‌حقوق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متّقى هندى دركنزالعمّال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الخامس في فضل أهل‌البيت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فصل حديث‌هاى زيادى را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گردآورده است </w:t>
      </w:r>
      <w:r>
        <w:rPr>
          <w:rStyle w:val="FootnoteAnchor"/>
          <w:rtl w:val="true"/>
        </w:rPr>
        <w:footnoteReference w:id="1176"/>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مَثَلَ اهلِ بَيتي فيكُم مِثلُ سَفينَةِ نُوحٍ؛ َمن رَكبَهَا نَجَا ومَن تَخَلّف عَنها هَلَكَ</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سلمةبن‌الاَكوع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لاهل السّماء، وأهلُ بَيتي أمانٌ لاُمّتي</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رجالِكم عَلِيٌّ؛ و خَيرُ شَبابِكُم الحسنُ والحسينُ، وخَيرُ نسائكُم فاطمةُ</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زيدبن‌ارقم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هؤلاءِ أحَبَّني، ومَن أبغضَهُم فقد أبغضني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والحسينَ و فاطمةَ وعَلِيّاً</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عن‌عَلِيٍّ عن‌رسول‌الله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اِنّ‌الإسلامَ عُريانٌ، لباسُهُ التَّقوى، و رِياشُه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وزينتُهُ الحياءُ، وعمادُهُ الوَرَعُ، ومِلاكُهُ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وأساسُ الاسلامِ حُبّي وحُبُّ أهلِ بيتي</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ابي سعيدالخدري،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إمامةِ علي‌بن‌ابي‌طالب</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در كتاب الصّواعق‌المحرقه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أنَّهُم </w:t>
      </w:r>
    </w:p>
    <w:p>
      <w:pPr>
        <w:pStyle w:val="BookText"/>
        <w:rPr/>
      </w:pPr>
      <w:r>
        <w:rPr>
          <w:rFonts w:ascii="Amiri" w:hAnsi="Amiri" w:eastAsia="Amiri" w:cs="Amiri"/>
          <w:color w:val="111111"/>
          <w:sz w:val="28"/>
          <w:sz w:val="28"/>
          <w:szCs w:val="28"/>
          <w:rtl w:val="true"/>
          <w:lang w:bidi="ar-SA"/>
        </w:rPr>
        <w:t>مسئولون عن ولايةِ عَلِيٍّ</w:t>
      </w:r>
      <w:r>
        <w:rPr>
          <w:rFonts w:eastAsia="Amiri" w:cs="Amiri" w:ascii="Amiri" w:hAnsi="Amiri"/>
          <w:color w:val="111111"/>
          <w:sz w:val="28"/>
          <w:szCs w:val="28"/>
          <w:rtl w:val="true"/>
          <w:lang w:bidi="ar-SA"/>
        </w:rPr>
        <w:t xml:space="preserve">» </w:t>
      </w:r>
      <w:r>
        <w:rPr>
          <w:rStyle w:val="FootnoteAnchor"/>
          <w:rtl w:val="true"/>
        </w:rPr>
        <w:footnoteReference w:id="118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جابر </w:t>
      </w:r>
      <w:r>
        <w:rPr>
          <w:rStyle w:val="FootnoteAnchor"/>
          <w:rtl w:val="true"/>
        </w:rPr>
        <w:footnoteReference w:id="1184"/>
      </w:r>
      <w:r>
        <w:rPr>
          <w:rFonts w:ascii="Amiri" w:hAnsi="Amiri" w:eastAsia="Amiri" w:cs="Amiri"/>
          <w:color w:val="111111"/>
          <w:sz w:val="28"/>
          <w:sz w:val="28"/>
          <w:szCs w:val="28"/>
          <w:rtl w:val="true"/>
          <w:lang w:bidi="ar-SA"/>
        </w:rPr>
        <w:t xml:space="preserve">، از آن‌جا كه محمّدبن‌حسان از ضعفا نَقل حديث مى‌كند </w:t>
      </w:r>
      <w:r>
        <w:rPr>
          <w:rStyle w:val="FootnoteAnchor"/>
          <w:rtl w:val="true"/>
        </w:rPr>
        <w:footnoteReference w:id="1185"/>
      </w:r>
      <w:r>
        <w:rPr>
          <w:rFonts w:ascii="IRNazanin" w:hAnsi="IRNazanin" w:eastAsia="IRNazanin"/>
          <w:color w:val="111111"/>
          <w:sz w:val="28"/>
          <w:sz w:val="28"/>
          <w:szCs w:val="28"/>
          <w:rtl w:val="true"/>
          <w:lang w:bidi="fa-IR"/>
        </w:rPr>
        <w:t xml:space="preserve">ومنخّل‌بن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موثّق نيستند، سند روايت ضعيف است </w:t>
      </w:r>
      <w:r>
        <w:rPr>
          <w:rStyle w:val="FootnoteAnchor"/>
          <w:rtl w:val="true"/>
        </w:rPr>
        <w:footnoteReference w:id="1186"/>
      </w:r>
      <w:r>
        <w:rPr>
          <w:rFonts w:ascii="Amiri" w:hAnsi="Amiri" w:eastAsia="Amiri" w:cs="Amiri"/>
          <w:color w:val="111111"/>
          <w:sz w:val="28"/>
          <w:sz w:val="28"/>
          <w:szCs w:val="28"/>
          <w:rtl w:val="true"/>
          <w:lang w:bidi="ar-SA"/>
        </w:rPr>
        <w:t xml:space="preserve">اما محتواى حديث به‌خاطر كامل نيامدن آيه </w:t>
      </w:r>
      <w:r>
        <w:rPr>
          <w:rStyle w:val="FootnoteAnchor"/>
          <w:rtl w:val="true"/>
        </w:rPr>
        <w:footnoteReference w:id="1187"/>
      </w:r>
      <w:r>
        <w:rPr>
          <w:rFonts w:ascii="IRNazanin" w:hAnsi="IRNazanin" w:eastAsia="IRNazanin"/>
          <w:color w:val="111111"/>
          <w:sz w:val="28"/>
          <w:sz w:val="28"/>
          <w:szCs w:val="28"/>
          <w:rtl w:val="true"/>
          <w:lang w:bidi="fa-IR"/>
        </w:rPr>
        <w:t>و يا زياد بودن جمله‌هاى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 وبموالاةعَلِي و من‌آل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تحريف به‌مفهوم باطل آن نيست، بلكه چون حديث به‌عنوان تفسيراست، آيه شريفه به‌طور كامل ذكر نشده است </w:t>
      </w:r>
      <w:r>
        <w:rPr>
          <w:rStyle w:val="FootnoteAnchor"/>
          <w:rtl w:val="true"/>
        </w:rPr>
        <w:footnoteReference w:id="1188"/>
      </w:r>
      <w:r>
        <w:rPr>
          <w:rFonts w:ascii="Amiri" w:hAnsi="Amiri" w:eastAsia="Amiri" w:cs="Amiri"/>
          <w:color w:val="111111"/>
          <w:sz w:val="28"/>
          <w:sz w:val="28"/>
          <w:szCs w:val="28"/>
          <w:rtl w:val="true"/>
          <w:lang w:bidi="ar-SA"/>
        </w:rPr>
        <w:t xml:space="preserve">و جمله‌هاى اضافى، آيه را شرح و تبيين مى‌كند؛ زيرا كلينى حديثى را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كه در آن تصريح شده به‌اينكه اسم مبارك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ائمه در قرآن ذكر نشده </w:t>
      </w:r>
      <w:r>
        <w:rPr>
          <w:rStyle w:val="FootnoteAnchor"/>
          <w:rtl w:val="true"/>
        </w:rPr>
        <w:footnoteReference w:id="1189"/>
      </w:r>
      <w:r>
        <w:rPr>
          <w:rFonts w:ascii="IRNazanin" w:hAnsi="IRNazanin" w:eastAsia="IRNazanin"/>
          <w:color w:val="111111"/>
          <w:sz w:val="28"/>
          <w:sz w:val="28"/>
          <w:szCs w:val="28"/>
          <w:rtl w:val="true"/>
          <w:lang w:bidi="fa-IR"/>
        </w:rPr>
        <w:t xml:space="preserve">بنابراين با توجّه به‌اين معنا هرجا اسم مبارك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با نگاه تفسيرى آمده باشد، همه تفسير آيه است </w:t>
      </w:r>
      <w:r>
        <w:rPr>
          <w:rStyle w:val="FootnoteAnchor"/>
          <w:rtl w:val="true"/>
        </w:rPr>
        <w:footnoteReference w:id="1190"/>
      </w:r>
      <w:r>
        <w:rPr>
          <w:rFonts w:ascii="Amiri" w:hAnsi="Amiri" w:eastAsia="Amiri" w:cs="Amiri"/>
          <w:color w:val="111111"/>
          <w:sz w:val="28"/>
          <w:sz w:val="28"/>
          <w:szCs w:val="28"/>
          <w:rtl w:val="true"/>
          <w:lang w:bidi="ar-SA"/>
        </w:rPr>
        <w:t>نه تحريف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مناسبت يكى از نويسندگان، تهمت بزرگى را به‌امام‌خمينى مى‌زند و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گذشته از قدماى شيعه، علماى فعلى آنها و در رأس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نيز قائل به‌تحريف‌اند و او دركشف الاسرارش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 سَهلاً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سه‌گانه و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يَخرجُوا هذه‌الآيات من‌القرآن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هو رأي الخوميني منشوراً واضحاً ظاهراً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هذا الرأي فقط كُفرٌ مباحٌ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نَقضٌ لاَساسِ‌الاسلام كُلُّه</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متأسفانه كاملاً سخن امام خمينى را تحريف نموده و برخلاف آنچه در متن كتاب آمده نتيجه‌گيرى و آن‌چنان ظالمانه به‌داورى نشسته است؛ در حالى‌كه او در بحث امامت و اثبات آن از قرآن، زير عنوان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قرآن، اسم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به‌اين سؤال پاسخ داده است كه چكيده‌اش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به‌حكم قرآن امامت از اصول مسلّم اسلام است و اينكه چرا اسامى امامان در قرآن نيامده تا اختلاف از ريشه حل مى‌شد؟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همين اشكال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وارد است كه اگر امامت دروغ بود، چرا خداوند آن را در قرآن تكذيب نكرد؟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 دعوت به‌ديندارى در برابر بى‌دينى و آراء فاسده است و جزئيات دينى را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است حتى قرآن نسبت به‌اوصاف خودش كه قديم است يا نه؟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به‌جزئيات نپرداخته است تا اختلافات 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قرآن اسم امامان را ذكر مى‌كرد، از كجا اختلافات برداشته مى‌شد، و شيفتگان قدرت با كوتاه نيامدن‌شان اختلافات را شدت مى‌بخشيدند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بود در صورت ذكر شدن نام امامان آن‌هايى كه براى دنيا و رياست با اسلام و قرآن سروكار نداشتند، قرآن را وسيله اجراى نيات فاسده خود كرده بودند، اين آيات را از قرآن بردارند و كتاب آسمانى را تحريف كنند و براى هميشه قرآن را از نظر جهانيان بيندازند و تا روز قيامت اين ننگ براى مسلمان‌ها و قرآن بمانند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bookmarkStart w:id="432" w:name="pg1976_28066"/>
    </w:p>
    <w:p>
      <w:pPr>
        <w:pStyle w:val="BookText"/>
        <w:rPr/>
      </w:pPr>
      <w:bookmarkEnd w:id="432"/>
      <w:r>
        <w:rPr>
          <w:rFonts w:ascii="IRNazanin" w:hAnsi="IRNazanin" w:eastAsia="IRNazanin"/>
          <w:color w:val="111111"/>
          <w:sz w:val="28"/>
          <w:sz w:val="28"/>
          <w:szCs w:val="28"/>
          <w:rtl w:val="true"/>
          <w:lang w:bidi="fa-IR"/>
        </w:rPr>
        <w:t xml:space="preserve">نويسنده كه از بند اخير سخن امام، كه مطلب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ساخته، به‌دور از تعهد امانتدارى و روح تحقيق كاملاً تحريف شده و وارونه استفاده نموده است؛ كجاى كلام اين فقيه دلسوز اسلام و قرآن، تصريح به‌تحريف است كه سبب تكفير و نقض اسلام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سوگمندانه عده زيادى همانند اين نويسنده كه عليه شيعه قلم زده‌اند، عمق معارف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عالمان شيعه را نفهميده‌اند يا استفاده سوء نموده‌اند</w:t>
      </w:r>
      <w:r>
        <w:rPr>
          <w:rFonts w:eastAsia="IRNazanin" w:cs="IRNazanin"/>
          <w:color w:val="111111"/>
          <w:sz w:val="28"/>
          <w:szCs w:val="28"/>
          <w:rtl w:val="true"/>
          <w:lang w:bidi="fa-IR"/>
        </w:rPr>
        <w:t>!</w:t>
      </w:r>
    </w:p>
    <w:p>
      <w:pPr>
        <w:pStyle w:val="Heading6"/>
        <w:numPr>
          <w:ilvl w:val="5"/>
          <w:numId w:val="1"/>
        </w:numPr>
        <w:rPr/>
      </w:pPr>
      <w:bookmarkStart w:id="433" w:name="__RefHeading___Toc3767159_3650668749"/>
      <w:bookmarkStart w:id="434" w:name="_Toc158"/>
      <w:bookmarkEnd w:id="433"/>
      <w:r>
        <w:rPr>
          <w:rtl w:val="true"/>
        </w:rPr>
        <w:t xml:space="preserve">سوم </w:t>
      </w:r>
      <w:r>
        <w:rPr>
          <w:rtl w:val="true"/>
        </w:rPr>
        <w:t xml:space="preserve">- </w:t>
      </w:r>
      <w:r>
        <w:rPr>
          <w:rtl w:val="true"/>
        </w:rPr>
        <w:t>پاسخ روايات تحريف</w:t>
      </w:r>
      <w:bookmarkEnd w:id="434"/>
    </w:p>
    <w:p>
      <w:pPr>
        <w:pStyle w:val="BookText"/>
        <w:rPr/>
      </w:pPr>
      <w:r>
        <w:rPr>
          <w:rFonts w:ascii="IRNazanin" w:hAnsi="IRNazanin" w:eastAsia="IRNazanin"/>
          <w:color w:val="111111"/>
          <w:sz w:val="28"/>
          <w:sz w:val="28"/>
          <w:szCs w:val="28"/>
          <w:rtl w:val="true"/>
          <w:lang w:bidi="fa-IR"/>
        </w:rPr>
        <w:t xml:space="preserve">مجموعه رواياتى كه گروهى از نويسندگان وهابى مدعى شده‌اند </w:t>
      </w:r>
      <w:r>
        <w:rPr>
          <w:rStyle w:val="FootnoteAnchor"/>
          <w:rtl w:val="true"/>
        </w:rPr>
        <w:footnoteReference w:id="1193"/>
      </w:r>
      <w:r>
        <w:rPr>
          <w:rFonts w:ascii="IRNazanin" w:hAnsi="IRNazanin" w:eastAsia="IRNazanin"/>
          <w:color w:val="111111"/>
          <w:sz w:val="28"/>
          <w:sz w:val="28"/>
          <w:szCs w:val="28"/>
          <w:rtl w:val="true"/>
          <w:lang w:bidi="fa-IR"/>
        </w:rPr>
        <w:t>صريح در تحريف قرآن است، در اين قسمت مورد بررسى و نقد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هفده هزار آيه </w:t>
      </w:r>
      <w:r>
        <w:rPr>
          <w:rStyle w:val="FootnoteAnchor"/>
          <w:rtl w:val="true"/>
        </w:rPr>
        <w:footnoteReference w:id="1194"/>
      </w:r>
      <w:r>
        <w:rPr>
          <w:rFonts w:ascii="IRNazanin" w:hAnsi="IRNazanin" w:eastAsia="IRNazanin"/>
          <w:color w:val="111111"/>
          <w:sz w:val="28"/>
          <w:sz w:val="28"/>
          <w:szCs w:val="28"/>
          <w:rtl w:val="true"/>
          <w:lang w:bidi="fa-IR"/>
        </w:rPr>
        <w:t xml:space="preserve">هر چند، كه حديث از نظر سند صحيح يا موثّق </w:t>
      </w:r>
      <w:r>
        <w:rPr>
          <w:rStyle w:val="FootnoteAnchor"/>
          <w:rtl w:val="true"/>
        </w:rPr>
        <w:footnoteReference w:id="1195"/>
      </w:r>
      <w:r>
        <w:rPr>
          <w:rFonts w:ascii="IRNazanin" w:hAnsi="IRNazanin" w:eastAsia="IRNazanin"/>
          <w:color w:val="111111"/>
          <w:sz w:val="28"/>
          <w:sz w:val="28"/>
          <w:szCs w:val="28"/>
          <w:rtl w:val="true"/>
          <w:lang w:bidi="fa-IR"/>
        </w:rPr>
        <w:t>، و از نگاهِ محتوا در ظاهر غير معقول است؛ و اين بهانه را به‌دست نويسندگان نامبرده داده است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حديث صحيح كافى قرآن،</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هزار آيه است و در نتيجه دو سوم آيات قرآن فعلى حذف شده است در حالى‌كه قرآن بيش از شش‌هزار و چندصد آيه نيست </w:t>
      </w:r>
      <w:r>
        <w:rPr>
          <w:rStyle w:val="FootnoteAnchor"/>
          <w:rtl w:val="true"/>
        </w:rPr>
        <w:footnoteReference w:id="1196"/>
      </w:r>
      <w:r>
        <w:rPr>
          <w:rFonts w:ascii="Amiri" w:hAnsi="Amiri" w:eastAsia="Amiri" w:cs="Amiri"/>
          <w:color w:val="111111"/>
          <w:sz w:val="28"/>
          <w:sz w:val="28"/>
          <w:szCs w:val="28"/>
          <w:rtl w:val="true"/>
          <w:lang w:bidi="ar-SA"/>
        </w:rPr>
        <w:t>، ولى همين حديث، نمى‌تواند دليل بر تحريف قرآن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اثبات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نقد در صورتى وارد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ألف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به‌نقل كلينى ثابت باشد در حالى‌كه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سهواً از سوى نسّاخ يا روات اضافه گرديده است و متن حديث بنا برشواهد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اَلف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نسخه‌هاى كافى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الف‌آيه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 xml:space="preserve">چنان‌كه علامه مجلسى </w:t>
      </w:r>
      <w:r>
        <w:rPr>
          <w:rStyle w:val="FootnoteAnchor"/>
          <w:rtl w:val="true"/>
        </w:rPr>
        <w:footnoteReference w:id="1197"/>
      </w:r>
      <w:r>
        <w:rPr>
          <w:rFonts w:ascii="Amiri" w:hAnsi="Amiri" w:eastAsia="Amiri" w:cs="Amiri"/>
          <w:color w:val="111111"/>
          <w:sz w:val="28"/>
          <w:sz w:val="28"/>
          <w:szCs w:val="28"/>
          <w:rtl w:val="true"/>
          <w:lang w:bidi="ar-SA"/>
        </w:rPr>
        <w:t xml:space="preserve">و فيض‌كاشانى </w:t>
      </w:r>
      <w:r>
        <w:rPr>
          <w:rStyle w:val="FootnoteAnchor"/>
          <w:rtl w:val="true"/>
        </w:rPr>
        <w:footnoteReference w:id="1198"/>
      </w:r>
      <w:r>
        <w:rPr>
          <w:rFonts w:ascii="IRNazanin" w:hAnsi="IRNazanin" w:eastAsia="IRNazanin"/>
          <w:color w:val="111111"/>
          <w:sz w:val="28"/>
          <w:sz w:val="28"/>
          <w:szCs w:val="28"/>
          <w:rtl w:val="true"/>
          <w:lang w:bidi="fa-IR"/>
        </w:rPr>
        <w:t xml:space="preserve">، حديث را بدون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وگويا آن دو، نسخه اصلى يا تصحيح شده كافى را در اختيار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چاپ نسخه اين كتاب كه با تحقيق گسترده، چاپ و ارائه شده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سبعةآلاف‌آية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حاشيه توضيح داده كه در برخى از نسخه‌ها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رآلاف </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برخى ديگر، آن را دليل برغلط بودن نسخه مى‌شمارد </w:t>
      </w:r>
      <w:r>
        <w:rPr>
          <w:rStyle w:val="FootnoteAnchor"/>
          <w:rtl w:val="true"/>
        </w:rPr>
        <w:footnoteReference w:id="1200"/>
      </w:r>
      <w:r>
        <w:rPr>
          <w:rFonts w:ascii="Amiri" w:hAnsi="Amiri" w:eastAsia="Amiri" w:cs="Amiri"/>
          <w:color w:val="111111"/>
          <w:sz w:val="28"/>
          <w:sz w:val="28"/>
          <w:szCs w:val="28"/>
          <w:rtl w:val="true"/>
          <w:lang w:bidi="ar-SA"/>
        </w:rPr>
        <w:t xml:space="preserve">، و عدد هفت هزار آيه را، عدد تقريبى مى‌داند نَه اينكه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درصدد شمارش واقعى آيات باشد؛ ازاين‌رو، اين عدد از يك‌سو، نزديك به‌واقع و قريب به‌آمارهايى است كه ابن‌جوزى </w:t>
      </w:r>
      <w:r>
        <w:rPr>
          <w:rStyle w:val="FootnoteAnchor"/>
          <w:rtl w:val="true"/>
        </w:rPr>
        <w:footnoteReference w:id="1201"/>
      </w:r>
      <w:r>
        <w:rPr>
          <w:rFonts w:ascii="Amiri" w:hAnsi="Amiri" w:eastAsia="Amiri" w:cs="Amiri"/>
          <w:color w:val="111111"/>
          <w:sz w:val="28"/>
          <w:sz w:val="28"/>
          <w:szCs w:val="28"/>
          <w:rtl w:val="true"/>
          <w:lang w:bidi="ar-SA"/>
        </w:rPr>
        <w:t xml:space="preserve">و سيوطى </w:t>
      </w:r>
      <w:r>
        <w:rPr>
          <w:rStyle w:val="FootnoteAnchor"/>
          <w:rtl w:val="true"/>
        </w:rPr>
        <w:footnoteReference w:id="1202"/>
      </w:r>
      <w:r>
        <w:rPr>
          <w:rFonts w:ascii="IRNazanin" w:hAnsi="IRNazanin" w:eastAsia="IRNazanin"/>
          <w:color w:val="111111"/>
          <w:sz w:val="28"/>
          <w:sz w:val="28"/>
          <w:szCs w:val="28"/>
          <w:rtl w:val="true"/>
          <w:lang w:bidi="fa-IR"/>
        </w:rPr>
        <w:t xml:space="preserve">و مجلسى </w:t>
      </w:r>
      <w:r>
        <w:rPr>
          <w:rStyle w:val="FootnoteAnchor"/>
          <w:rtl w:val="true"/>
        </w:rPr>
        <w:footnoteReference w:id="1203"/>
      </w:r>
      <w:r>
        <w:rPr>
          <w:rFonts w:ascii="IRNazanin" w:hAnsi="IRNazanin" w:eastAsia="IRNazanin"/>
          <w:color w:val="111111"/>
          <w:sz w:val="28"/>
          <w:sz w:val="28"/>
          <w:szCs w:val="28"/>
          <w:rtl w:val="true"/>
          <w:lang w:bidi="fa-IR"/>
        </w:rPr>
        <w:t xml:space="preserve">مى‌دهند </w:t>
      </w:r>
      <w:r>
        <w:rPr>
          <w:rStyle w:val="FootnoteAnchor"/>
          <w:rtl w:val="true"/>
        </w:rPr>
        <w:footnoteReference w:id="1204"/>
      </w:r>
      <w:r>
        <w:rPr>
          <w:rFonts w:ascii="IRNazanin" w:hAnsi="IRNazanin" w:eastAsia="IRNazanin"/>
          <w:color w:val="111111"/>
          <w:sz w:val="28"/>
          <w:sz w:val="28"/>
          <w:szCs w:val="28"/>
          <w:rtl w:val="true"/>
          <w:lang w:bidi="fa-IR"/>
        </w:rPr>
        <w:t xml:space="preserve">و از ديگرسو، حديث، خبر واحدى است كه با وجود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متنِ آن مخالف روايات ديگر و اقوال علما در اين خصوص است و اصل، در نبود اين كلمه در متن روايت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شعرانى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روايت را قطعاً اضافه شده از سوى نسّاخ، وروات دانسته، و عدد </w:t>
      </w:r>
      <w:r>
        <w:rPr>
          <w:rFonts w:eastAsia="IRNazanin" w:cs="IRNazanin"/>
          <w:color w:val="111111"/>
          <w:sz w:val="28"/>
          <w:szCs w:val="28"/>
          <w:lang w:bidi="fa-IR"/>
        </w:rPr>
        <w:t>7</w:t>
      </w:r>
      <w:r>
        <w:rPr>
          <w:rFonts w:ascii="IRNazanin" w:hAnsi="IRNazanin" w:eastAsia="IRNazanin"/>
          <w:color w:val="111111"/>
          <w:sz w:val="28"/>
          <w:sz w:val="28"/>
          <w:szCs w:val="28"/>
          <w:lang w:bidi="fa-IR"/>
        </w:rPr>
        <w:t>٠٠٠</w:t>
      </w:r>
      <w:r>
        <w:rPr>
          <w:rFonts w:ascii="IRNazanin" w:hAnsi="IRNazanin" w:eastAsia="IRNazanin"/>
          <w:color w:val="111111"/>
          <w:sz w:val="28"/>
          <w:sz w:val="28"/>
          <w:szCs w:val="28"/>
          <w:rtl w:val="true"/>
          <w:lang w:bidi="fa-IR"/>
        </w:rPr>
        <w:t xml:space="preserve"> آيه را، عدد تقريبى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است كه غير از شمارش، غرض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مبالغه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به‌كار مى‌رود، چنان‌كه گفته مى‌شود احاديث كافى</w:t>
      </w:r>
      <w:r>
        <w:rPr>
          <w:rFonts w:eastAsia="IRNazanin" w:cs="IRNazanin"/>
          <w:color w:val="111111"/>
          <w:sz w:val="28"/>
          <w:szCs w:val="28"/>
          <w:lang w:bidi="fa-IR"/>
        </w:rPr>
        <w:t>16</w:t>
      </w:r>
      <w:r>
        <w:rPr>
          <w:rFonts w:ascii="IRNazanin" w:hAnsi="IRNazanin" w:eastAsia="IRNazanin"/>
          <w:color w:val="111111"/>
          <w:sz w:val="28"/>
          <w:sz w:val="28"/>
          <w:szCs w:val="28"/>
          <w:lang w:bidi="fa-IR"/>
        </w:rPr>
        <w:t>٠٠٠</w:t>
      </w:r>
      <w:r>
        <w:rPr>
          <w:rFonts w:ascii="IRNazanin" w:hAnsi="IRNazanin" w:eastAsia="IRNazanin"/>
          <w:color w:val="111111"/>
          <w:sz w:val="28"/>
          <w:sz w:val="28"/>
          <w:szCs w:val="28"/>
          <w:rtl w:val="true"/>
          <w:lang w:bidi="fa-IR"/>
        </w:rPr>
        <w:t xml:space="preserve"> است، مقصود بيان كثرت تقريبى است نه معين كردن اعداد </w:t>
      </w:r>
    </w:p>
    <w:p>
      <w:pPr>
        <w:pStyle w:val="BookText"/>
        <w:rPr/>
      </w:pPr>
      <w:r>
        <w:rPr>
          <w:rFonts w:ascii="Amiri" w:hAnsi="Amiri" w:eastAsia="Amiri" w:cs="Amiri"/>
          <w:color w:val="111111"/>
          <w:sz w:val="28"/>
          <w:sz w:val="28"/>
          <w:szCs w:val="28"/>
          <w:rtl w:val="true"/>
          <w:lang w:bidi="ar-SA"/>
        </w:rPr>
        <w:t>واقعى، و عدد آيات قرآن بين شش‌هزار تا هفت‌هزار آيه است</w:t>
      </w:r>
      <w:r>
        <w:rPr>
          <w:rFonts w:eastAsia="Amiri" w:cs="Amiri" w:ascii="Amiri" w:hAnsi="Amiri"/>
          <w:color w:val="111111"/>
          <w:sz w:val="28"/>
          <w:szCs w:val="28"/>
          <w:rtl w:val="true"/>
          <w:lang w:bidi="ar-SA"/>
        </w:rPr>
        <w:t xml:space="preserve">» </w:t>
      </w:r>
      <w:r>
        <w:rPr>
          <w:rStyle w:val="FootnoteAnchor"/>
          <w:rtl w:val="true"/>
        </w:rPr>
        <w:footnoteReference w:id="1205"/>
      </w:r>
      <w:r>
        <w:rPr>
          <w:rFonts w:ascii="IRNazanin" w:hAnsi="IRNazanin" w:eastAsia="IRNazanin"/>
          <w:color w:val="111111"/>
          <w:sz w:val="28"/>
          <w:sz w:val="28"/>
          <w:szCs w:val="28"/>
          <w:rtl w:val="true"/>
          <w:lang w:bidi="fa-IR"/>
        </w:rPr>
        <w:t>و اين حديث از اين جهت نظير روايتى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زين‌العابدين بعد از شهادت پدرش چهل سال، اشك ريخت، با اينكه زين‌العابدين بعد از پدرش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زنده نماند</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فيض‌كاشانى كه به‌دقيق‌ترين عالم شيعى در ميان هم‌عصرانش معروف است </w:t>
      </w:r>
      <w:r>
        <w:rPr>
          <w:rStyle w:val="FootnoteAnchor"/>
          <w:rtl w:val="true"/>
        </w:rPr>
        <w:footnoteReference w:id="1207"/>
      </w:r>
      <w:r>
        <w:rPr>
          <w:rFonts w:ascii="Amiri" w:hAnsi="Amiri" w:eastAsia="Amiri" w:cs="Amiri"/>
          <w:color w:val="111111"/>
          <w:sz w:val="28"/>
          <w:sz w:val="28"/>
          <w:szCs w:val="28"/>
          <w:rtl w:val="true"/>
          <w:lang w:bidi="ar-SA"/>
        </w:rPr>
        <w:t xml:space="preserve">، در دو اثرش حديث را بدون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مى‌آورد </w:t>
      </w:r>
      <w:r>
        <w:rPr>
          <w:rStyle w:val="FootnoteAnchor"/>
          <w:rtl w:val="true"/>
        </w:rPr>
        <w:footnoteReference w:id="1208"/>
      </w:r>
      <w:r>
        <w:rPr>
          <w:rFonts w:ascii="IRNazanin" w:hAnsi="IRNazanin" w:eastAsia="IRNazanin"/>
          <w:color w:val="111111"/>
          <w:sz w:val="28"/>
          <w:sz w:val="28"/>
          <w:szCs w:val="28"/>
          <w:rtl w:val="true"/>
          <w:lang w:bidi="fa-IR"/>
        </w:rPr>
        <w:t xml:space="preserve">هرچند كه در اثر ديگرش براساس نسخه‌اى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عشرألف </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آورده و توجيه نموده است كه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محدّث نورى، معترف است به‌اختلاف نسخه كافى كه در برخى از نسخه‌ها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هفده هزار، مجموعه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اينكه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هزار، مجموعه‌اى از امور وحيانى اعم از قرآن و غير قرآن، است؛ زيرا براساس آيات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النجم، غير از قرآن كريم، امورى ديگر نيز بر پيامبر وحى شد در حالى‌كه قرآن محسوب نمى‌شد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همانند سخن جبرئيل به‌رسول‌الله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ماشِئتَ، فانّك مَيّت، وأحبِب ما أحبَبتَ فانَّك مفارفه، واعمل ماشئت فانّك مجزي به، ثم قال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قيامُ الّليل وعزّه استغناءهُ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آنچه وحى شده، قرآن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معنا در منابع اهل‌سنت در توجيه آيات رجم كه عمر به‌آن اعتقاد داشت و آيات رضاع كه عايشه آن را نقل كرده، ولى در قرآن نيست، وجود دارد، ابن‌قتيبه آنها را از امور دين مى‌داند نَه قرآن، و مثال‌هايى كه قرآن نيست ولى وحى هست، حرمت نكاح عمّه و خاله و قطع دست دزد به‌خاطرسرقت رُبع دينار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را مى‌آورد </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ديگر اهل‌سنت، آيات رجم و رضاع را، حكم شرعى مى‌داند كه بر پيامبر وحى شد، نه قرآن </w:t>
      </w:r>
      <w:r>
        <w:rPr>
          <w:rStyle w:val="FootnoteAnchor"/>
          <w:rtl w:val="true"/>
        </w:rPr>
        <w:footnoteReference w:id="1212"/>
      </w:r>
      <w:r>
        <w:rPr>
          <w:rFonts w:ascii="Amiri" w:hAnsi="Amiri" w:eastAsia="Amiri" w:cs="Amiri"/>
          <w:color w:val="111111"/>
          <w:sz w:val="28"/>
          <w:sz w:val="28"/>
          <w:szCs w:val="28"/>
          <w:rtl w:val="true"/>
          <w:lang w:bidi="ar-SA"/>
        </w:rPr>
        <w:t xml:space="preserve">، ابن‌حزم هم همين حرف را مى‌زند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كلينى آنچه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وحى نازل شده اعم از قرآن و غير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دينى يا احكام شرعى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به‌هفده‌هزار مورد خواهد رسيد و اين نه‌تنها تحريف نيست كه دانشى است فوق دانش انسان‌هاى عادى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قسم بودن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دانشمندان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به‌سه قسم قابل تقسيم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 وحى با لفظ و معناى آن همراه با اعجاز و تعبد به‌تلاوت آن؛</w:t>
      </w:r>
    </w:p>
    <w:p>
      <w:pPr>
        <w:pStyle w:val="BookText"/>
        <w:rPr/>
      </w:pPr>
      <w:r>
        <w:rPr>
          <w:rFonts w:ascii="Amiri" w:hAnsi="Amiri" w:eastAsia="Amiri" w:cs="Amiri"/>
          <w:color w:val="111111"/>
          <w:sz w:val="28"/>
          <w:sz w:val="28"/>
          <w:szCs w:val="28"/>
          <w:rtl w:val="true"/>
          <w:lang w:bidi="ar-SA"/>
        </w:rPr>
        <w:t>احاديث قدسى ؛ وحى شدن لفظ و معنا و بدون تعبّد به‌تلاوت آن؛</w:t>
      </w:r>
    </w:p>
    <w:p>
      <w:pPr>
        <w:pStyle w:val="BookText"/>
        <w:rPr/>
      </w:pPr>
      <w:r>
        <w:rPr>
          <w:rFonts w:ascii="Amiri" w:hAnsi="Amiri" w:eastAsia="Amiri" w:cs="Amiri"/>
          <w:color w:val="111111"/>
          <w:sz w:val="28"/>
          <w:sz w:val="28"/>
          <w:szCs w:val="28"/>
          <w:rtl w:val="true"/>
          <w:lang w:bidi="ar-SA"/>
        </w:rPr>
        <w:t>احاديث نبوى؛ وحى شدن معنا بدون لفظآن؛ زيرا قرآن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214"/>
      </w:r>
      <w:r>
        <w:rPr>
          <w:rFonts w:ascii="IRNazanin" w:hAnsi="IRNazanin" w:eastAsia="IRNazanin"/>
          <w:color w:val="111111"/>
          <w:sz w:val="28"/>
          <w:sz w:val="28"/>
          <w:szCs w:val="28"/>
          <w:rtl w:val="true"/>
          <w:lang w:bidi="fa-IR"/>
        </w:rPr>
        <w:t xml:space="preserve">براساس اين ديدگاه آنچه برپيامبر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شده به‌بيش از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هزار مورد خواهد رسيد و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از قرآن و احاديث قدسى و روايات صحيحه نبوى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نزول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با تصريح به‌اينكه گروهى از قدما و متأخران، به‌صراحت گفته‌اند كه قرآن مكرّر نازل شده است، و هدف از تكرار نزول را يادآورى، موعظه، تعظيم و حراست از فراموش‌شدن آن، ذكر مى‌كنند، و برخى از سُور را نام</w:t>
      </w:r>
    </w:p>
    <w:p>
      <w:pPr>
        <w:pStyle w:val="BookText"/>
        <w:rPr/>
      </w:pPr>
      <w:r>
        <w:rPr>
          <w:rFonts w:ascii="IRNazanin" w:hAnsi="IRNazanin" w:eastAsia="IRNazanin"/>
          <w:color w:val="111111"/>
          <w:sz w:val="28"/>
          <w:sz w:val="28"/>
          <w:szCs w:val="28"/>
          <w:rtl w:val="true"/>
          <w:lang w:bidi="fa-IR"/>
        </w:rPr>
        <w:t xml:space="preserve">مى‌برد كه همه‌اش و يا پايان آن‌ها، تكرار شده است </w:t>
      </w:r>
      <w:r>
        <w:rPr>
          <w:rStyle w:val="FootnoteAnchor"/>
          <w:rtl w:val="true"/>
        </w:rPr>
        <w:footnoteReference w:id="1215"/>
      </w:r>
      <w:r>
        <w:rPr>
          <w:rFonts w:ascii="IRNazanin" w:hAnsi="IRNazanin" w:eastAsia="IRNazanin"/>
          <w:color w:val="111111"/>
          <w:sz w:val="28"/>
          <w:sz w:val="28"/>
          <w:szCs w:val="28"/>
          <w:rtl w:val="true"/>
          <w:lang w:bidi="fa-IR"/>
        </w:rPr>
        <w:t xml:space="preserve">روى همين حساب، منتقدان كافى، احتمال نمى‌دهند كه اين حديث كافى مجموعه آيات نازله را كه جبرئيل امين بر زبان جارى كرده 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دكتر ناصر قفارى با استناد به همين روايت از يك‌سو، اين نتيجه را مى‌گيرد كه دو ثُلث قرآن حذف شده </w:t>
      </w:r>
      <w:r>
        <w:rPr>
          <w:rStyle w:val="FootnoteAnchor"/>
          <w:rtl w:val="true"/>
        </w:rPr>
        <w:footnoteReference w:id="1216"/>
      </w:r>
      <w:r>
        <w:rPr>
          <w:rFonts w:ascii="IRNazanin" w:hAnsi="IRNazanin" w:eastAsia="IRNazanin"/>
          <w:color w:val="111111"/>
          <w:sz w:val="28"/>
          <w:sz w:val="28"/>
          <w:szCs w:val="28"/>
          <w:rtl w:val="true"/>
          <w:lang w:bidi="fa-IR"/>
        </w:rPr>
        <w:t>و از سوى ديگر، ميان حديث كلينى و سخن ابن‌بابويه در توجيه روايت،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آنچه به‌عنوان وحى نازل شده، قرآن نيست و اگر مجموع آنچه وحى شده اعم از قرآن و غير قرآن را در نظر بگيريم به</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هزار خواهد رسيد</w:t>
      </w:r>
      <w:r>
        <w:rPr>
          <w:rFonts w:eastAsia="IRNazanin" w:cs="IRNazanin"/>
          <w:color w:val="111111"/>
          <w:sz w:val="28"/>
          <w:szCs w:val="28"/>
          <w:rtl w:val="true"/>
          <w:lang w:bidi="fa-IR"/>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 تعارض مى‌بيند </w:t>
      </w:r>
      <w:r>
        <w:rPr>
          <w:rStyle w:val="FootnoteAnchor"/>
          <w:rtl w:val="true"/>
        </w:rPr>
        <w:footnoteReference w:id="1218"/>
      </w:r>
      <w:r>
        <w:rPr>
          <w:rFonts w:ascii="IRNazanin" w:hAnsi="IRNazanin" w:eastAsia="IRNazanin"/>
          <w:color w:val="111111"/>
          <w:sz w:val="28"/>
          <w:sz w:val="28"/>
          <w:szCs w:val="28"/>
          <w:rtl w:val="true"/>
          <w:lang w:bidi="fa-IR"/>
        </w:rPr>
        <w:t>، غير علمى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مقايسه ميان دو منبع نادرست است؛ براى اينكه كافى، كتاب روايى است و اهتمام مؤلفش با حفظ امانت، گردآورى احاديث معتبرالسند است اما كتاب صدوق كتاب اعتقادى و هدفش استخراج مسائل اعتقادى و پالايش و حل تعارض احاديث است و طبعاً ميان اين دو روش تفاوت است؛ جمع احاديث امرى است و استخراج اعتقادات و پالايش آنها امر ديگر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قفارى نقطه تعارض كلينى و صدوق را در اين مى‌داند كه كلينى مدّعى است آنچه نازل شده قرآن است، صدوق گفت تعداد اضافى قرآن نيست </w:t>
      </w:r>
      <w:r>
        <w:rPr>
          <w:rStyle w:val="FootnoteAnchor"/>
          <w:rtl w:val="true"/>
        </w:rPr>
        <w:footnoteReference w:id="1220"/>
      </w:r>
      <w:r>
        <w:rPr>
          <w:rFonts w:ascii="IRNazanin" w:hAnsi="IRNazanin" w:eastAsia="IRNazanin"/>
          <w:color w:val="111111"/>
          <w:sz w:val="28"/>
          <w:sz w:val="28"/>
          <w:szCs w:val="28"/>
          <w:rtl w:val="true"/>
          <w:lang w:bidi="fa-IR"/>
        </w:rPr>
        <w:t xml:space="preserve">، ولى با ارائه راهكار چهارم، بى‌ترديد تعارض مورد نظر ايشان برطرف مى‌شود و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غلبه قرآن، بر موارد ديگر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فراوانى در منابع مورد قبول وهابيان موجود است كه صريح در تحريف </w:t>
      </w:r>
    </w:p>
    <w:p>
      <w:pPr>
        <w:pStyle w:val="BookText"/>
        <w:rPr/>
      </w:pPr>
      <w:r>
        <w:rPr>
          <w:rFonts w:ascii="IRNazanin" w:hAnsi="IRNazanin" w:eastAsia="IRNazanin"/>
          <w:color w:val="111111"/>
          <w:sz w:val="28"/>
          <w:sz w:val="28"/>
          <w:szCs w:val="28"/>
          <w:rtl w:val="true"/>
          <w:lang w:bidi="fa-IR"/>
        </w:rPr>
        <w:t xml:space="preserve">است، از جمله آيات رجم كه عمربن‌الخطاب روى آن پافشارى داشت وآن را قرآن مى‌دانست و بخارى و مسلم آن را گزارش نموده‌اند </w:t>
      </w:r>
      <w:r>
        <w:rPr>
          <w:rStyle w:val="FootnoteAnchor"/>
          <w:rtl w:val="true"/>
        </w:rPr>
        <w:footnoteReference w:id="1221"/>
      </w:r>
      <w:r>
        <w:rPr>
          <w:rFonts w:ascii="IRNazanin" w:hAnsi="IRNazanin" w:eastAsia="IRNazanin"/>
          <w:color w:val="111111"/>
          <w:sz w:val="28"/>
          <w:sz w:val="28"/>
          <w:szCs w:val="28"/>
          <w:rtl w:val="true"/>
          <w:lang w:bidi="fa-IR"/>
        </w:rPr>
        <w:t xml:space="preserve">، و قفارى و ديگران راهِ حلى جز آنچه را كه ابن‌قتيبه </w:t>
      </w:r>
      <w:r>
        <w:rPr>
          <w:rStyle w:val="FootnoteAnchor"/>
          <w:rtl w:val="true"/>
        </w:rPr>
        <w:footnoteReference w:id="1222"/>
      </w:r>
      <w:r>
        <w:rPr>
          <w:rFonts w:ascii="Amiri" w:hAnsi="Amiri" w:eastAsia="Amiri" w:cs="Amiri"/>
          <w:color w:val="111111"/>
          <w:sz w:val="28"/>
          <w:sz w:val="28"/>
          <w:szCs w:val="28"/>
          <w:rtl w:val="true"/>
          <w:lang w:bidi="ar-SA"/>
        </w:rPr>
        <w:t xml:space="preserve">و حسن‌العريض </w:t>
      </w:r>
      <w:r>
        <w:rPr>
          <w:rStyle w:val="FootnoteAnchor"/>
          <w:rtl w:val="true"/>
        </w:rPr>
        <w:footnoteReference w:id="1223"/>
      </w:r>
      <w:r>
        <w:rPr>
          <w:rFonts w:ascii="IRNazanin" w:hAnsi="IRNazanin" w:eastAsia="IRNazanin"/>
          <w:color w:val="111111"/>
          <w:sz w:val="28"/>
          <w:sz w:val="28"/>
          <w:szCs w:val="28"/>
          <w:rtl w:val="true"/>
          <w:lang w:bidi="fa-IR"/>
        </w:rPr>
        <w:t xml:space="preserve">و ابن‌حزم </w:t>
      </w:r>
      <w:r>
        <w:rPr>
          <w:rStyle w:val="FootnoteAnchor"/>
          <w:rtl w:val="true"/>
        </w:rPr>
        <w:footnoteReference w:id="1224"/>
      </w:r>
      <w:r>
        <w:rPr>
          <w:rFonts w:ascii="IRNazanin" w:hAnsi="IRNazanin" w:eastAsia="IRNazanin"/>
          <w:color w:val="111111"/>
          <w:sz w:val="28"/>
          <w:sz w:val="28"/>
          <w:szCs w:val="28"/>
          <w:rtl w:val="true"/>
          <w:lang w:bidi="fa-IR"/>
        </w:rPr>
        <w:t xml:space="preserve">ارائه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آيات رجم قرآن نيست بلكه وحى در امور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پيشنهاد مى‌دهند؟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بيش از يك ميليون حرف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قطع نظر از آنچه گذشت، منتقدان كافى اين روايت عمر بن الخطاب را ديده‌اند يانَه؟ هيتمى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عُمَر و او از رسول‌خدا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ألفَ ألفَ حرف وسبعة وعشرون‌ألف‌حرف، فمَن قَرَأهُ صابراً مُحتسباً كان لكل حرفٍ زوجةٌ من‌الحورالعين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يعنى قرآن </w:t>
      </w:r>
      <w:r>
        <w:rPr>
          <w:rFonts w:eastAsia="Amiri" w:cs="Amiri" w:ascii="Amiri" w:hAnsi="Amiri"/>
          <w:color w:val="111111"/>
          <w:sz w:val="28"/>
          <w:szCs w:val="28"/>
          <w:lang w:bidi="ar-SA"/>
        </w:rPr>
        <w:t>1027000</w:t>
      </w:r>
      <w:r>
        <w:rPr>
          <w:rFonts w:ascii="Amiri" w:hAnsi="Amiri" w:eastAsia="Amiri" w:cs="Amiri"/>
          <w:color w:val="111111"/>
          <w:sz w:val="28"/>
          <w:sz w:val="28"/>
          <w:szCs w:val="28"/>
          <w:rtl w:val="true"/>
          <w:lang w:bidi="ar-SA"/>
        </w:rPr>
        <w:t xml:space="preserve">حرف است، درحالى‌كه حروف قرآن به‌اجماع عالمان اهل‌سنت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حرف بيش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حروف قرآن براساس آنچه سيوطى به‌آن رضايت داده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الهى ظهير، قفارى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 پاسخى براى اين حديث دارند؟ و آيا مؤلف انتصارالحق كه مى‌گويد كلينى تصريح كرده بر اينكه دوسوم قرآن را صحابه حذف كرده‌اند و آنچه باقى مانده مُحَرّف است، اين روايت عمر را نديده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اينكه بر اثر حسن نيت بيش از حد نسبت به‌رواياتشان، مصداق آيه شريفه صُمٌّ بُكْمٌ عُمْيٌ فَهُمْ</w:t>
      </w:r>
    </w:p>
    <w:p>
      <w:pPr>
        <w:pStyle w:val="BookText"/>
        <w:rPr/>
      </w:pPr>
      <w:r>
        <w:rPr>
          <w:rFonts w:ascii="IRNazanin" w:hAnsi="IRNazanin" w:eastAsia="IRNazanin"/>
          <w:color w:val="111111"/>
          <w:sz w:val="28"/>
          <w:sz w:val="28"/>
          <w:szCs w:val="28"/>
          <w:rtl w:val="true"/>
          <w:lang w:bidi="fa-IR"/>
        </w:rPr>
        <w:t xml:space="preserve">لاَ يَرْجِعُونَ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آياتى شنيده نشده </w:t>
      </w:r>
      <w:r>
        <w:rPr>
          <w:rStyle w:val="FootnoteAnchor"/>
          <w:rtl w:val="true"/>
        </w:rPr>
        <w:footnoteReference w:id="1225"/>
      </w:r>
      <w:r>
        <w:rPr>
          <w:rFonts w:ascii="Amiri" w:hAnsi="Amiri" w:eastAsia="Amiri" w:cs="Amiri"/>
          <w:color w:val="111111"/>
          <w:sz w:val="28"/>
          <w:sz w:val="28"/>
          <w:szCs w:val="28"/>
          <w:rtl w:val="true"/>
          <w:lang w:bidi="ar-SA"/>
        </w:rPr>
        <w:t xml:space="preserve">؛ سند حديث، بدان جهت كه سهل‌بن‌زياد ابوسعيد الآدمى‌الرّازى مورد تأييد رجال شناسان نيست، خالى از مشكل نيست؛ نجاشى او را ضعيف و غير معتمد دانسته و بر غلو و كذب وى شهادت احمدبن محمدبن عيسى و بيرون كردن او را از قم، دلايل ضعف سهل، مى‌شمارد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در فهرست و استبصار </w:t>
      </w:r>
      <w:r>
        <w:rPr>
          <w:rStyle w:val="FootnoteAnchor"/>
          <w:rtl w:val="true"/>
        </w:rPr>
        <w:footnoteReference w:id="1227"/>
      </w:r>
      <w:r>
        <w:rPr>
          <w:rFonts w:ascii="Amiri" w:hAnsi="Amiri" w:eastAsia="Amiri" w:cs="Amiri"/>
          <w:color w:val="111111"/>
          <w:sz w:val="28"/>
          <w:sz w:val="28"/>
          <w:szCs w:val="28"/>
          <w:rtl w:val="true"/>
          <w:lang w:bidi="ar-SA"/>
        </w:rPr>
        <w:t xml:space="preserve">سهل را تضعيف مى‌كند ولى در رجالش </w:t>
      </w:r>
      <w:r>
        <w:rPr>
          <w:rStyle w:val="FootnoteAnchor"/>
          <w:rtl w:val="true"/>
        </w:rPr>
        <w:footnoteReference w:id="1228"/>
      </w:r>
      <w:r>
        <w:rPr>
          <w:rFonts w:ascii="IRNazanin" w:hAnsi="IRNazanin" w:eastAsia="IRNazanin"/>
          <w:color w:val="111111"/>
          <w:sz w:val="28"/>
          <w:sz w:val="28"/>
          <w:szCs w:val="28"/>
          <w:rtl w:val="true"/>
          <w:lang w:bidi="fa-IR"/>
        </w:rPr>
        <w:t>او را موثق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خويى پس از نقل اقوال، تصريح مى‌كند كه در ضعيف بودن سهل، جز شهادت شيخ در رجالش بر وثاقت وى، آن هم به‌خاطر حضور وى در اسناد كامل‌الزّيارات، دليلى باقى نمى‌ماند، ولى توثيق شيخ را به‌گمان قوى، سهو در قلم شيخ و يا اضافه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نسّاخ مى‌داند، و آن‌گاه اين‌گونه نتيجه مى‌گيرد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وكيف كان فسهل‌بن‌زياد الآدمي ضعيف جزماً أو أنّه لم يثبت وثاقته </w:t>
      </w:r>
      <w:r>
        <w:rPr>
          <w:rFonts w:eastAsia="IRNazanin" w:cs="IRNazanin"/>
          <w:color w:val="111111"/>
          <w:sz w:val="28"/>
          <w:szCs w:val="28"/>
          <w:rtl w:val="true"/>
          <w:lang w:bidi="fa-IR"/>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 كه درمجموع سند روايت ضعيف خواهد شد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سهل بن زياد مى‌شود اين احتمال را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شيخ طوسى هر چند در مورد او متعارض است ولى رجالش چون بعد از فهرست نوشته شده احتمال دارد نظرش از آنچه در فهرست آمده تغيير كرده باشد </w:t>
      </w:r>
      <w:r>
        <w:rPr>
          <w:rStyle w:val="FootnoteAnchor"/>
          <w:rtl w:val="true"/>
        </w:rPr>
        <w:footnoteReference w:id="1231"/>
      </w:r>
      <w:r>
        <w:rPr>
          <w:rFonts w:ascii="IRNazanin" w:hAnsi="IRNazanin" w:eastAsia="IRNazanin"/>
          <w:color w:val="111111"/>
          <w:sz w:val="28"/>
          <w:sz w:val="28"/>
          <w:szCs w:val="28"/>
          <w:rtl w:val="true"/>
          <w:lang w:bidi="fa-IR"/>
        </w:rPr>
        <w:t>،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رجال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توثيقى ندارد، اشتباه شده باشد؛ و قرائن زير مى‌تواند اين گزينه را </w:t>
      </w:r>
    </w:p>
    <w:p>
      <w:pPr>
        <w:pStyle w:val="BookText"/>
        <w:rPr/>
      </w:pPr>
      <w:r>
        <w:rPr>
          <w:rFonts w:ascii="Amiri" w:hAnsi="Amiri" w:eastAsia="Amiri" w:cs="Amiri"/>
          <w:color w:val="111111"/>
          <w:sz w:val="28"/>
          <w:sz w:val="28"/>
          <w:szCs w:val="28"/>
          <w:rtl w:val="true"/>
          <w:lang w:bidi="ar-SA"/>
        </w:rPr>
        <w:t>تأييد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كنيۀ سهل را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درحالى‌كه ابوسعيد، كنيۀ سهل</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او را غالى خوانده، درحالى‌كه روايات او غلوآميز نيست </w:t>
      </w:r>
      <w:r>
        <w:rPr>
          <w:rStyle w:val="FootnoteAnchor"/>
          <w:rtl w:val="true"/>
        </w:rPr>
        <w:footnoteReference w:id="1232"/>
      </w:r>
      <w:r>
        <w:rPr>
          <w:rFonts w:ascii="IRNazanin" w:hAnsi="IRNazanin" w:eastAsia="IRNazanin"/>
          <w:color w:val="111111"/>
          <w:sz w:val="28"/>
          <w:sz w:val="28"/>
          <w:szCs w:val="28"/>
          <w:rtl w:val="true"/>
          <w:lang w:bidi="fa-IR"/>
        </w:rPr>
        <w:t>پس ضعف سهل بن زياد به‌طور قطعى ثابت نمى‌شود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محتواى حديث، هيچ ارتباطى به‌تحريف قرآن ندارد؛ زيرا، نه تنها تحريف را نمى‌رساند كه شاهد بر عدم تحريف است؛ براى 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به‌سائل دستور مى‌دهد به‌قرائت قرآنى كه در اختيار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القرآن كَمَا تَعَلّمتُم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اكتفا كند و اين، خود دليل برعدم تحريف و نقص قرآن است </w:t>
      </w:r>
      <w:r>
        <w:rPr>
          <w:rStyle w:val="FootnoteAnchor"/>
          <w:rtl w:val="true"/>
        </w:rPr>
        <w:footnoteReference w:id="1233"/>
      </w:r>
      <w:r>
        <w:rPr>
          <w:rFonts w:ascii="IRNazanin" w:hAnsi="IRNazanin" w:eastAsia="IRNazanin"/>
          <w:color w:val="111111"/>
          <w:sz w:val="28"/>
          <w:sz w:val="28"/>
          <w:szCs w:val="28"/>
          <w:rtl w:val="true"/>
          <w:lang w:bidi="fa-IR"/>
        </w:rPr>
        <w:t xml:space="preserve">، 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نسمع في القرآن ليس هي عِند نا كما نسمعها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نخست اينكه در پرسش سائل است نَه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ترديدى نيست كه كلام سائل، براى كسى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آنچه را سائل مطرح كرده، مورد انكار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اينكه ممكن است آنچه را سائل ديده و يا شنيده، از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بى‌شك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قرآنى كه دردست مردم بود، تفاوت داشت </w:t>
      </w:r>
      <w:r>
        <w:rPr>
          <w:rStyle w:val="FootnoteAnchor"/>
          <w:rtl w:val="true"/>
        </w:rPr>
        <w:footnoteReference w:id="1234"/>
      </w:r>
      <w:r>
        <w:rPr>
          <w:rFonts w:ascii="IRNazanin" w:hAnsi="IRNazanin" w:eastAsia="IRNazanin"/>
          <w:color w:val="111111"/>
          <w:sz w:val="28"/>
          <w:sz w:val="28"/>
          <w:szCs w:val="28"/>
          <w:rtl w:val="true"/>
          <w:lang w:bidi="fa-IR"/>
        </w:rPr>
        <w:t xml:space="preserve">، بر اساس اين احتمال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موكول كرده به‌ظهور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اينكه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فسيجيئكم من يعلّمكم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قرائت حقيقى و واقعى قرآن 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هيچ‌گاه اين جمله دلالت بر تحريف نخواهد داشت؛ زيرا يكى از بحث‌هاى مشهور علوم قرآن، بحث قرائت‌هاى مختلف است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على سبعة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و روايات زيادى در اين خصوص نقل شده است </w:t>
      </w:r>
      <w:r>
        <w:rPr>
          <w:rStyle w:val="FootnoteAnchor"/>
          <w:rtl w:val="true"/>
        </w:rPr>
        <w:footnoteReference w:id="1235"/>
      </w:r>
      <w:r>
        <w:rPr>
          <w:rFonts w:ascii="IRNazanin" w:hAnsi="IRNazanin" w:eastAsia="IRNazanin"/>
          <w:color w:val="111111"/>
          <w:sz w:val="28"/>
          <w:sz w:val="28"/>
          <w:szCs w:val="28"/>
          <w:rtl w:val="true"/>
          <w:lang w:bidi="fa-IR"/>
        </w:rPr>
        <w:t xml:space="preserve">و در شرح و تفسير آن، مباحث مفصّلى صورت گرفته است كه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احرف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تصريح به‌اختلاف علما،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Style w:val="FootnoteAnchor"/>
          <w:rtl w:val="true"/>
        </w:rPr>
        <w:footnoteReference w:id="1236"/>
      </w:r>
      <w:r>
        <w:rPr>
          <w:rFonts w:ascii="IRNazanin" w:hAnsi="IRNazanin" w:eastAsia="IRNazanin"/>
          <w:color w:val="111111"/>
          <w:sz w:val="28"/>
          <w:sz w:val="28"/>
          <w:szCs w:val="28"/>
          <w:rtl w:val="true"/>
          <w:lang w:bidi="fa-IR"/>
        </w:rPr>
        <w:t xml:space="preserve">ديدگاه را بازگو مى‌كنند </w:t>
      </w:r>
      <w:r>
        <w:rPr>
          <w:rStyle w:val="FootnoteAnchor"/>
          <w:rtl w:val="true"/>
        </w:rPr>
        <w:footnoteReference w:id="1237"/>
      </w:r>
      <w:r>
        <w:rPr>
          <w:rFonts w:ascii="Amiri" w:hAnsi="Amiri" w:eastAsia="Amiri" w:cs="Amiri"/>
          <w:color w:val="111111"/>
          <w:sz w:val="28"/>
          <w:sz w:val="28"/>
          <w:szCs w:val="28"/>
          <w:rtl w:val="true"/>
          <w:lang w:bidi="ar-SA"/>
        </w:rPr>
        <w:t xml:space="preserve">، با اينكه مدعى‌اند حديث قرائت قرآن بر هفت قرائت متواتر است </w:t>
      </w:r>
      <w:r>
        <w:rPr>
          <w:rStyle w:val="FootnoteAnchor"/>
          <w:rtl w:val="true"/>
        </w:rPr>
        <w:footnoteReference w:id="1238"/>
      </w:r>
      <w:r>
        <w:rPr>
          <w:rFonts w:ascii="IRNazanin" w:hAnsi="IRNazanin" w:eastAsia="IRNazanin"/>
          <w:color w:val="111111"/>
          <w:sz w:val="28"/>
          <w:sz w:val="28"/>
          <w:szCs w:val="28"/>
          <w:rtl w:val="true"/>
          <w:lang w:bidi="fa-IR"/>
        </w:rPr>
        <w:t xml:space="preserve">كه البته از نگاه شيعه، قرائت‌هاى هفتگانه حجيت ندارد </w:t>
      </w:r>
      <w:r>
        <w:rPr>
          <w:rStyle w:val="FootnoteAnchor"/>
          <w:rtl w:val="true"/>
        </w:rPr>
        <w:footnoteReference w:id="1239"/>
      </w:r>
      <w:r>
        <w:rPr>
          <w:rFonts w:ascii="Amiri" w:hAnsi="Amiri" w:eastAsia="Amiri" w:cs="Amiri"/>
          <w:color w:val="111111"/>
          <w:sz w:val="28"/>
          <w:sz w:val="28"/>
          <w:szCs w:val="28"/>
          <w:rtl w:val="true"/>
          <w:lang w:bidi="ar-SA"/>
        </w:rPr>
        <w:t xml:space="preserve">و قرائت قرآن بايد به‌تواتر ثابت باشد و روايات سبعة احرف، اخبار واحد </w:t>
      </w:r>
      <w:r>
        <w:rPr>
          <w:rStyle w:val="FootnoteAnchor"/>
          <w:rtl w:val="true"/>
        </w:rPr>
        <w:footnoteReference w:id="1240"/>
      </w:r>
      <w:r>
        <w:rPr>
          <w:rFonts w:ascii="IRNazanin" w:hAnsi="IRNazanin" w:eastAsia="IRNazanin"/>
          <w:color w:val="111111"/>
          <w:sz w:val="28"/>
          <w:sz w:val="28"/>
          <w:szCs w:val="28"/>
          <w:rtl w:val="true"/>
          <w:lang w:bidi="fa-IR"/>
        </w:rPr>
        <w:t xml:space="preserve">و احاديث اهل‌سنت در اين خصوص كاملاً ناهماهنگ است؛ زيرا قرائت بر حرف واحد، سپس با دخالت ميكائيل و جبرائيل به‌هفت حرف رسيد، و قرائت بر سه حرف، و برچهار حرف هم نقل شده است </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قرائت هفتگانه را اختلاف در قرائت مى‌داند، و اين اختلاف را از اعراب گرفته تا اختلاف در زياده و نقصان قابل توجيه مى‌شمارد </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نَزَل على سبعة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كَذَبوا أعداءالله، ولكنّه نَزَل عَلَى حَرفٍ واحدٍ من عند الواحد </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 xml:space="preserve">، درحديث ديگر، اختلاف را از ناحيه روات مى‌داند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اگر اصرار بورزيم كه اين روايت دلالت برتحريف قرآن دارد، بى‌ترديد وقوع تحريف را نزد غير شيعه، ثابت خواهد كرد نه نزد شيعه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ابن‌سلمۀ </w:t>
      </w:r>
      <w:r>
        <w:rPr>
          <w:rStyle w:val="FootnoteAnchor"/>
          <w:rtl w:val="true"/>
        </w:rPr>
        <w:footnoteReference w:id="1246"/>
      </w:r>
      <w:r>
        <w:rPr>
          <w:rFonts w:ascii="Amiri" w:hAnsi="Amiri" w:eastAsia="Amiri" w:cs="Amiri"/>
          <w:color w:val="111111"/>
          <w:sz w:val="28"/>
          <w:sz w:val="28"/>
          <w:szCs w:val="28"/>
          <w:rtl w:val="true"/>
          <w:lang w:bidi="ar-SA"/>
        </w:rPr>
        <w:t xml:space="preserve">؛ اين حديث از نظر مجلسى ضعيف </w:t>
      </w:r>
      <w:r>
        <w:rPr>
          <w:rStyle w:val="FootnoteAnchor"/>
          <w:rtl w:val="true"/>
        </w:rPr>
        <w:footnoteReference w:id="1247"/>
      </w:r>
      <w:r>
        <w:rPr>
          <w:rFonts w:ascii="Amiri" w:hAnsi="Amiri" w:eastAsia="Amiri" w:cs="Amiri"/>
          <w:color w:val="111111"/>
          <w:sz w:val="28"/>
          <w:sz w:val="28"/>
          <w:szCs w:val="28"/>
          <w:rtl w:val="true"/>
          <w:lang w:bidi="ar-SA"/>
        </w:rPr>
        <w:t xml:space="preserve">و از جهت دلالت ومحتوا با توجه به‌بررسى حديث قبلى، كاملاً روشن است و روايت نَه تنها اشاره به‌تحريف ندارد بلكه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رايج را تأييد و امضاء نموده است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أثلاث بودن قرآن </w:t>
      </w:r>
      <w:r>
        <w:rPr>
          <w:rStyle w:val="FootnoteAnchor"/>
          <w:rtl w:val="true"/>
        </w:rPr>
        <w:footnoteReference w:id="1249"/>
      </w:r>
      <w:r>
        <w:rPr>
          <w:rFonts w:ascii="IRNazanin" w:hAnsi="IRNazanin" w:eastAsia="IRNazanin"/>
          <w:color w:val="111111"/>
          <w:sz w:val="28"/>
          <w:sz w:val="28"/>
          <w:szCs w:val="28"/>
          <w:rtl w:val="true"/>
          <w:lang w:bidi="fa-IR"/>
        </w:rPr>
        <w:t xml:space="preserve">هرچند از نگاه علامه مجلسى مجهول است </w:t>
      </w:r>
      <w:r>
        <w:rPr>
          <w:rStyle w:val="FootnoteAnchor"/>
          <w:rtl w:val="true"/>
        </w:rPr>
        <w:footnoteReference w:id="1250"/>
      </w:r>
      <w:r>
        <w:rPr>
          <w:rFonts w:ascii="IRNazanin" w:hAnsi="IRNazanin" w:eastAsia="IRNazanin"/>
          <w:color w:val="111111"/>
          <w:sz w:val="28"/>
          <w:sz w:val="28"/>
          <w:szCs w:val="28"/>
          <w:rtl w:val="true"/>
          <w:lang w:bidi="fa-IR"/>
        </w:rPr>
        <w:t xml:space="preserve">ولى چون غير از سهل‌بن زياد، سند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على‌بن‌ابرهيم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دارد مشكل سندى ندارد مگر اينكه مقصود مجلسى از 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ميان چند راوى مشترك است</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 xml:space="preserve">اما مضمون حديث و حديث ديگر از ابى‌جعفر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نَزَل القرآن أربعة ارباع</w:t>
      </w:r>
      <w:r>
        <w:rPr>
          <w:rFonts w:eastAsia="IRNazanin" w:cs="IRNazanin"/>
          <w:color w:val="111111"/>
          <w:sz w:val="28"/>
          <w:szCs w:val="28"/>
          <w:rtl w:val="true"/>
          <w:lang w:bidi="fa-IR"/>
        </w:rPr>
        <w:t xml:space="preserve">. . . » </w:t>
      </w:r>
      <w:r>
        <w:rPr>
          <w:rStyle w:val="FootnoteAnchor"/>
          <w:rtl w:val="true"/>
        </w:rPr>
        <w:footnoteReference w:id="1252"/>
      </w:r>
      <w:r>
        <w:rPr>
          <w:rFonts w:ascii="IRNazanin" w:hAnsi="IRNazanin" w:eastAsia="IRNazanin"/>
          <w:color w:val="111111"/>
          <w:sz w:val="28"/>
          <w:sz w:val="28"/>
          <w:szCs w:val="28"/>
          <w:rtl w:val="true"/>
          <w:lang w:bidi="fa-IR"/>
        </w:rPr>
        <w:t>، بى‌پرده واضح است كه ربطى به‌تحريف قرآن ندارد؛ بلكه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واقع، همراه با تحريك به‌اقرار به‌ولايت و بيزارى ازدشمنان آن و اندرز و عمل به‌سنن و فرائض الهى است، و قطعاً منظور از تقسيم، قسمت كردن كل به‌اجزاء است كه گاهى از نظر اعتبار، اجزاء قسمت‌ها متفاوت خواهد شد و لازم نيست اجزاء با هم مساوى باشند و بعضى از قسمت‌ها بر ثُلث افزون و يا داخل در قسمت‌هاى ديگر باشد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آيات قرآن به‌اعتبار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اخلاقى و احكام قسمت مى‌شود، و به‌لحاظ ديگر به‌مكّى و مَدَنى، و به‌حَضَرى وسَفَرى، و نهارى و ليلى، و صيفى و شتايى، و ارضى و سماوى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تقسيم مى‌گردد </w:t>
      </w:r>
      <w:r>
        <w:rPr>
          <w:rStyle w:val="FootnoteAnchor"/>
          <w:rtl w:val="true"/>
        </w:rPr>
        <w:footnoteReference w:id="1254"/>
      </w:r>
      <w:r>
        <w:rPr>
          <w:rFonts w:ascii="IRNazanin" w:hAnsi="IRNazanin" w:eastAsia="IRNazanin"/>
          <w:color w:val="111111"/>
          <w:sz w:val="28"/>
          <w:sz w:val="28"/>
          <w:szCs w:val="28"/>
          <w:rtl w:val="true"/>
          <w:lang w:bidi="fa-IR"/>
        </w:rPr>
        <w:t xml:space="preserve">اين روايات، آيات را به‌اعتبار ديگر به‌اثلاث و ارباع تقسيم نموده است كه ثُلث يا رُبع آيات، در فضيلت اولياء و اوصياء و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آنها فرو فرستاده شده باشد و ثُلث و يا رُبع آيات، در حلال و حرام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چنين تقسيمى نه منافات با تقسيم‌هاى نخست دارد و نَه دالّ بر تحريف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ديگر كه آيات قرآن را به‌چهار رُبع تقسيم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رُبع حَلالٌ، و رُبع حرامٌ و ربع سُننٌ و احكام و ربع خبرماكان قبلكم و نبأ مايكون بعدكم و فصل ما بينكم </w:t>
      </w:r>
      <w:r>
        <w:rPr>
          <w:rFonts w:eastAsia="IRNazanin" w:cs="IRNazanin"/>
          <w:color w:val="111111"/>
          <w:sz w:val="28"/>
          <w:szCs w:val="28"/>
          <w:rtl w:val="true"/>
          <w:lang w:bidi="fa-IR"/>
        </w:rPr>
        <w:t xml:space="preserve">» </w:t>
      </w:r>
      <w:r>
        <w:rPr>
          <w:rStyle w:val="FootnoteAnchor"/>
          <w:rtl w:val="true"/>
        </w:rPr>
        <w:footnoteReference w:id="1256"/>
      </w:r>
      <w:r>
        <w:rPr>
          <w:rFonts w:ascii="Amiri" w:hAnsi="Amiri" w:eastAsia="Amiri" w:cs="Amiri"/>
          <w:color w:val="111111"/>
          <w:sz w:val="28"/>
          <w:sz w:val="28"/>
          <w:szCs w:val="28"/>
          <w:rtl w:val="true"/>
          <w:lang w:bidi="ar-SA"/>
        </w:rPr>
        <w:t>كه بى‌شك اين تقسيمات همانند تقسيم نماز به‌سه ثُلث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الصَّلاه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ثُلثٌ، الرُّكوع ثلثٌ والسُّجود ثلثٌ </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اهل‌سنت نيز چنين تقسيماتى به‌چشم مى‌خورد؛ أياس‌بن‌عامر از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به‌من‌گفت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أخا عَكّ أنَّك إن بقيتَ فسَتَقرأُ القرآنَ ثلاثةُ أصنافٍ؛ صِنفٌ ِللهِ عَزَّوجل، وصنفٌ للدّنيا، و صنفٌ للجدال، فان استطعت أن تكون ممن يقرأهُ لِله عَزَّوجل، فَافعَل </w:t>
      </w:r>
      <w:r>
        <w:rPr>
          <w:rFonts w:eastAsia="IRNazanin" w:cs="IRNazanin"/>
          <w:color w:val="111111"/>
          <w:sz w:val="28"/>
          <w:szCs w:val="28"/>
          <w:rtl w:val="true"/>
          <w:lang w:bidi="fa-IR"/>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اُنزلَ القرآنُ عَلَى سَبعةِ أحرف؛ آمرٌ، زاجرٌ، وترغيبٌ و ترهيبٌ </w:t>
      </w:r>
    </w:p>
    <w:p>
      <w:pPr>
        <w:pStyle w:val="BookText"/>
        <w:rPr/>
      </w:pPr>
      <w:r>
        <w:rPr>
          <w:rFonts w:ascii="Amiri" w:hAnsi="Amiri" w:eastAsia="Amiri" w:cs="Amiri"/>
          <w:color w:val="111111"/>
          <w:sz w:val="28"/>
          <w:sz w:val="28"/>
          <w:szCs w:val="28"/>
          <w:rtl w:val="true"/>
          <w:lang w:bidi="ar-SA"/>
        </w:rPr>
        <w:t xml:space="preserve">وجَدَلٌ وقصصٌ ومَثلٌ </w:t>
      </w:r>
      <w:r>
        <w:rPr>
          <w:rFonts w:eastAsia="Amiri" w:cs="Amiri" w:ascii="Amiri" w:hAnsi="Amiri"/>
          <w:color w:val="111111"/>
          <w:sz w:val="28"/>
          <w:szCs w:val="28"/>
          <w:rtl w:val="true"/>
          <w:lang w:bidi="ar-SA"/>
        </w:rPr>
        <w:t xml:space="preserve">» </w:t>
      </w:r>
      <w:r>
        <w:rPr>
          <w:rStyle w:val="FootnoteAnchor"/>
          <w:rtl w:val="true"/>
        </w:rPr>
        <w:footnoteReference w:id="1259"/>
      </w:r>
      <w:r>
        <w:rPr>
          <w:rFonts w:ascii="IRNazanin" w:hAnsi="IRNazanin" w:eastAsia="IRNazanin"/>
          <w:color w:val="111111"/>
          <w:sz w:val="28"/>
          <w:sz w:val="28"/>
          <w:szCs w:val="28"/>
          <w:rtl w:val="true"/>
          <w:lang w:bidi="fa-IR"/>
        </w:rPr>
        <w:t>بنابراين، اين‌گونه روايات نه تنها تحريف نيست كه تبيين و بسط معارف قرآن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چيزى كه امثال احسان الهى‌ظهير و ناصرالقفارى را به‌خشم آورده تا شيعه و كلينى را متهم نمايند به‌اعتقاد به‌تحريف و خارج از دين بخوانند،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فينا وفي عَدُوِّنا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فينا و رُبع في عَدُوِّنا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روايت </w:t>
      </w:r>
      <w:r>
        <w:rPr>
          <w:rStyle w:val="FootnoteAnchor"/>
          <w:rtl w:val="true"/>
        </w:rPr>
        <w:footnoteReference w:id="1260"/>
      </w:r>
      <w:r>
        <w:rPr>
          <w:rFonts w:ascii="IRNazanin" w:hAnsi="IRNazanin" w:eastAsia="IRNazanin"/>
          <w:color w:val="111111"/>
          <w:sz w:val="28"/>
          <w:sz w:val="28"/>
          <w:szCs w:val="28"/>
          <w:rtl w:val="true"/>
          <w:lang w:bidi="fa-IR"/>
        </w:rPr>
        <w:t xml:space="preserve">است؛ و چون از جايگاه رفيع اهل‌بيت و از وضع برخى سران صحابه نسبت به‌اهل‌بيت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مطلع‌اند، اين‌جمله آتشِ درون آنها را شعله‌ور نموده است و شايد اين نويسندگان، كتاب شواهدالتّنزيل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نديده‌اند كه او از عالِمِ زمانِ خود گِله‌مند است كه چگونه گروهِ زيادى اطراف او را گرفته‌اند و او جمعيت را در مورد اهل‌بيت به‌اغوا مى‌كشاند و به‌پدران آنها نقص وارد مى‌سازد و حتى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احدى از مفسّران نگفته‌اند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غير آن از قرآن، در مورد على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از آن جمعيت جز يك نفر، حرف‌هاى او را انكار نمى‌كند</w:t>
      </w:r>
      <w:r>
        <w:rPr>
          <w:rFonts w:eastAsia="IRNazanin" w:cs="IRNazanin"/>
          <w:color w:val="111111"/>
          <w:sz w:val="28"/>
          <w:szCs w:val="28"/>
          <w:rtl w:val="true"/>
          <w:lang w:bidi="fa-IR"/>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و همين صحنه دردآور، اين عالِم عامل را دردمند مى‌سازد و مصمم مى‌سازد كه كتاب شواهد التنزيل خود را در رفع مظلوميت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بنويسد و در آن ده‌ها آيه قرآن را كه در شأن آنان نازل يا تفسير شده، جمع‌آورى نمايد </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قبل از پرداختن به‌اصل بحث، ابتدا آمارگونه، مناقب منحصر به‌فردى كه در احدى از صحابه و اهل زمانش و امت اسلام وجود ندارد براى فرزند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كانت لعلي‌بن‌ابي‌طالب ثمانية عشر مَنقبة لو لم يكن له الاّ واحدة منهن لنجابها</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 xml:space="preserve">و به‌روايت ديگر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كانت له ثلاثة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p>
    <w:p>
      <w:pPr>
        <w:pStyle w:val="BookText"/>
        <w:rPr/>
      </w:pPr>
      <w:r>
        <w:rPr>
          <w:rFonts w:ascii="Amiri" w:hAnsi="Amiri" w:eastAsia="Amiri" w:cs="Amiri"/>
          <w:color w:val="111111"/>
          <w:sz w:val="28"/>
          <w:sz w:val="28"/>
          <w:szCs w:val="28"/>
          <w:rtl w:val="true"/>
          <w:lang w:bidi="ar-SA"/>
        </w:rPr>
        <w:t>مَنقبة لم تكن لِاَحدٍ من هذه الامة</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قول مجاهد مى‌آورد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لعلي سبعين منقبة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وما من شيء من مناقبهم إلا وقد شركهم فيها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نقلى</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منقبت را از آنِ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مى‌داند كه كسى در آنها با او شريك نيست </w:t>
      </w:r>
      <w:r>
        <w:rPr>
          <w:rStyle w:val="FootnoteAnchor"/>
          <w:rtl w:val="true"/>
        </w:rPr>
        <w:footnoteReference w:id="1266"/>
      </w:r>
      <w:r>
        <w:rPr>
          <w:rFonts w:ascii="IRNazanin" w:hAnsi="IRNazanin" w:eastAsia="IRNazanin"/>
          <w:color w:val="111111"/>
          <w:sz w:val="28"/>
          <w:sz w:val="28"/>
          <w:szCs w:val="28"/>
          <w:rtl w:val="true"/>
          <w:lang w:bidi="fa-IR"/>
        </w:rPr>
        <w:t>، و به‌سند خود از احمدبن‌حنبل امام اهل حديث چنين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لِاَحدٍ مِن أصحاب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الفضائل الصّحاح ما روي لعلي‌بن‌ابي‌طالب </w:t>
      </w:r>
      <w:r>
        <w:rPr>
          <w:rFonts w:eastAsia="IRNazanin" w:cs="IRNazanin"/>
          <w:color w:val="111111"/>
          <w:sz w:val="28"/>
          <w:szCs w:val="28"/>
          <w:rtl w:val="true"/>
          <w:lang w:bidi="fa-IR"/>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حسكانى با ارائه تصوير كلى از تعداد آياتى كه در خصوص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شده و در آن كسى شريك با على نيست، گروهى از روايات را برمى‌شمارد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في عَلِيٍّ سَبعُون آية لم يُشركه فيها احدٌ </w:t>
      </w:r>
      <w:r>
        <w:rPr>
          <w:rFonts w:eastAsia="IRNazanin" w:cs="IRNazanin"/>
          <w:color w:val="111111"/>
          <w:sz w:val="28"/>
          <w:szCs w:val="28"/>
          <w:rtl w:val="true"/>
          <w:lang w:bidi="fa-IR"/>
        </w:rPr>
        <w:t xml:space="preserve">» </w:t>
      </w:r>
      <w:r>
        <w:rPr>
          <w:rStyle w:val="FootnoteAnchor"/>
          <w:rtl w:val="true"/>
        </w:rPr>
        <w:footnoteReference w:id="1268"/>
      </w:r>
      <w:r>
        <w:rPr>
          <w:rFonts w:ascii="Amiri" w:hAnsi="Amiri" w:eastAsia="Amiri" w:cs="Amiri"/>
          <w:color w:val="111111"/>
          <w:sz w:val="28"/>
          <w:sz w:val="28"/>
          <w:szCs w:val="28"/>
          <w:rtl w:val="true"/>
          <w:lang w:bidi="ar-SA"/>
        </w:rPr>
        <w:t>، به‌نقل از عبدالرحمان بن ابى‌ليلى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نَزَلَت في عَلِيٍّ ثمانون آية صَفواً في كتاب‌الله ما يشركه فيها أحدٌ من هذه الامّة </w:t>
      </w:r>
      <w:r>
        <w:rPr>
          <w:rFonts w:eastAsia="Amiri" w:cs="Amiri" w:ascii="Amiri" w:hAnsi="Amiri"/>
          <w:color w:val="111111"/>
          <w:sz w:val="28"/>
          <w:szCs w:val="28"/>
          <w:rtl w:val="true"/>
          <w:lang w:bidi="ar-SA"/>
        </w:rPr>
        <w:t xml:space="preserve">» </w:t>
      </w:r>
      <w:r>
        <w:rPr>
          <w:rStyle w:val="FootnoteAnchor"/>
          <w:rtl w:val="true"/>
        </w:rPr>
        <w:footnoteReference w:id="1269"/>
      </w:r>
      <w:r>
        <w:rPr>
          <w:rFonts w:ascii="IRNazanin" w:hAnsi="IRNazanin" w:eastAsia="IRNazanin"/>
          <w:color w:val="111111"/>
          <w:sz w:val="28"/>
          <w:sz w:val="28"/>
          <w:szCs w:val="28"/>
          <w:rtl w:val="true"/>
          <w:lang w:bidi="fa-IR"/>
        </w:rPr>
        <w:t>بلكه بالاتر مجاهد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أنزل‌الله آيةً في القرآن الّا عَلِيٌّ رأسها </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 ابن‌عباس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أنزل الله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حدود</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بار ذكر شده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 عَلِيٌّ أميرها وشريفها، ولقد عاتب الله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يذكرعَلِيّاً الّا بالخير </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عالم اهل‌سنت،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ذكرما نزل فيهم من القرآن على التفصيل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را مى‌شمارد كه در مدح على و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و يا تفسير يا مظهر مصاديق آيات محسوب شده است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ابن‌المغازلى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كارى شبيه حسكانى انجام داده حدود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مورد از </w:t>
      </w:r>
    </w:p>
    <w:p>
      <w:pPr>
        <w:pStyle w:val="BookText"/>
        <w:rPr/>
      </w:pPr>
      <w:r>
        <w:rPr>
          <w:rFonts w:ascii="IRNazanin" w:hAnsi="IRNazanin" w:eastAsia="IRNazanin"/>
          <w:color w:val="111111"/>
          <w:sz w:val="28"/>
          <w:sz w:val="28"/>
          <w:szCs w:val="28"/>
          <w:rtl w:val="true"/>
          <w:lang w:bidi="fa-IR"/>
        </w:rPr>
        <w:t xml:space="preserve">آيات و رواياتى كه در خصوص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گردآورى مى‌كند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قندوزى حنفى دركتاب ينابيع الموّده همين هدف را در خصوص فضايل و حقوق اهل‌بيت انجام داده است </w:t>
      </w:r>
      <w:r>
        <w:rPr>
          <w:rStyle w:val="FootnoteAnchor"/>
          <w:rtl w:val="true"/>
        </w:rPr>
        <w:footnoteReference w:id="1274"/>
      </w:r>
      <w:r>
        <w:rPr>
          <w:rFonts w:ascii="IRNazanin" w:hAnsi="IRNazanin" w:eastAsia="IRNazanin"/>
          <w:color w:val="111111"/>
          <w:sz w:val="28"/>
          <w:sz w:val="28"/>
          <w:szCs w:val="28"/>
          <w:rtl w:val="true"/>
          <w:lang w:bidi="fa-IR"/>
        </w:rPr>
        <w:t>بنابراين خشم اين نويسندگان بى‌مورد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ابن ابى‌نصرالبزنطى </w:t>
      </w:r>
      <w:r>
        <w:rPr>
          <w:rStyle w:val="FootnoteAnchor"/>
          <w:rtl w:val="true"/>
        </w:rPr>
        <w:footnoteReference w:id="1275"/>
      </w:r>
      <w:r>
        <w:rPr>
          <w:rFonts w:ascii="Amiri" w:hAnsi="Amiri" w:eastAsia="Amiri" w:cs="Amiri"/>
          <w:color w:val="111111"/>
          <w:sz w:val="28"/>
          <w:sz w:val="28"/>
          <w:szCs w:val="28"/>
          <w:rtl w:val="true"/>
          <w:lang w:bidi="ar-SA"/>
        </w:rPr>
        <w:t xml:space="preserve">كه خالدى آن را دال بر تحريف شمرده </w:t>
      </w:r>
      <w:r>
        <w:rPr>
          <w:rStyle w:val="FootnoteAnchor"/>
          <w:rtl w:val="true"/>
        </w:rPr>
        <w:footnoteReference w:id="1276"/>
      </w:r>
      <w:r>
        <w:rPr>
          <w:rFonts w:ascii="IRNazanin" w:hAnsi="IRNazanin" w:eastAsia="IRNazanin"/>
          <w:color w:val="111111"/>
          <w:sz w:val="28"/>
          <w:sz w:val="28"/>
          <w:szCs w:val="28"/>
          <w:rtl w:val="true"/>
          <w:lang w:bidi="fa-IR"/>
        </w:rPr>
        <w:t xml:space="preserve">، از نگاهِ سند مرسل است </w:t>
      </w:r>
      <w:r>
        <w:rPr>
          <w:rStyle w:val="FootnoteAnchor"/>
          <w:rtl w:val="true"/>
        </w:rPr>
        <w:footnoteReference w:id="1277"/>
      </w:r>
      <w:r>
        <w:rPr>
          <w:rFonts w:ascii="IRNazanin" w:hAnsi="IRNazanin" w:eastAsia="IRNazanin"/>
          <w:color w:val="111111"/>
          <w:sz w:val="28"/>
          <w:sz w:val="28"/>
          <w:szCs w:val="28"/>
          <w:rtl w:val="true"/>
          <w:lang w:bidi="fa-IR"/>
        </w:rPr>
        <w:t>، و در محتواى روايت نقاط ابهامى وجود دارد كه با توجه به‌روايتى كه كشّى در شرح حال بزنطى مى‌آورد تا حدودى روشن مى‌شود، بزنطى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خواستم امام ابى‌الحسن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مأمورين هارون الرّشيد دستگير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همان دستگيرى به‌شهادت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مصحفى براى من فرستاد و من آن را باز كردم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طولانى‌تر از قرآن معمولى يافتم، و همزمان توسط مسافرى بسته‌اى به‌من رسيد كه در آن طين و مُهر قرار داشت</w:t>
      </w:r>
      <w:r>
        <w:rPr>
          <w:rFonts w:eastAsia="IRNazanin" w:cs="IRNazanin"/>
          <w:color w:val="111111"/>
          <w:sz w:val="28"/>
          <w:szCs w:val="28"/>
          <w:rtl w:val="true"/>
          <w:lang w:bidi="fa-IR"/>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كنار هم قرار دادن اين دو حديث؛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سبب طولانى شدن سوره بينه بوده، اسامى هفتاد نفر از مردان قريش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داشته به‌دست مأموران هارون بيفتد و فتنه‌اى ايجاد گردد؛ به‌همان جهت بزنطى را از نگاه كردن به آن مصحف، منع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لاتنظر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كه وى از دستور امام سرپيچى نمود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امين ندانست، امانتش را باز پس خواست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مورد نظر بى‌ترديد، اسامى بزرگانى از قريش بوده كه درحال كفر و يا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ظاهر مسلمان و در باطن كافر، مرده‌اند؛ و همين اسامى به‌عنوان شرح و تفسير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حاشيه مصحف مورد نظر، مكتوب بوده است </w:t>
      </w:r>
      <w:r>
        <w:rPr>
          <w:rStyle w:val="FootnoteAnchor"/>
          <w:rtl w:val="true"/>
        </w:rPr>
        <w:footnoteReference w:id="1280"/>
      </w:r>
      <w:r>
        <w:rPr>
          <w:rFonts w:ascii="Amiri" w:hAnsi="Amiri" w:eastAsia="Amiri" w:cs="Amiri"/>
          <w:color w:val="111111"/>
          <w:sz w:val="28"/>
          <w:sz w:val="28"/>
          <w:szCs w:val="28"/>
          <w:rtl w:val="true"/>
          <w:lang w:bidi="ar-SA"/>
        </w:rPr>
        <w:t>، فيض كاشانى اين اسامى را تفسير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دانسته كه از طريق وحى اخذ شده است نَه اينكه از اجزاء قرآن باشد </w:t>
      </w:r>
      <w:r>
        <w:rPr>
          <w:rStyle w:val="FootnoteAnchor"/>
          <w:rtl w:val="true"/>
        </w:rPr>
        <w:footnoteReference w:id="1281"/>
      </w:r>
      <w:r>
        <w:rPr>
          <w:rFonts w:ascii="IRNazanin" w:hAnsi="IRNazanin" w:eastAsia="IRNazanin"/>
          <w:color w:val="111111"/>
          <w:sz w:val="28"/>
          <w:sz w:val="28"/>
          <w:szCs w:val="28"/>
          <w:rtl w:val="true"/>
          <w:lang w:bidi="fa-IR"/>
        </w:rPr>
        <w:t xml:space="preserve">، چنان‌كه در صفحات گذشته اشاره شد كه حاشيه‌نويسى براى توضيح و رفع ابهام و تفسير آيات مشكل، امرى معمول بوده است </w:t>
      </w:r>
      <w:r>
        <w:rPr>
          <w:rStyle w:val="FootnoteAnchor"/>
          <w:rtl w:val="true"/>
        </w:rPr>
        <w:footnoteReference w:id="1282"/>
      </w:r>
      <w:r>
        <w:rPr>
          <w:rFonts w:ascii="IRNazanin" w:hAnsi="IRNazanin" w:eastAsia="IRNazanin"/>
          <w:color w:val="111111"/>
          <w:sz w:val="28"/>
          <w:sz w:val="28"/>
          <w:szCs w:val="28"/>
          <w:rtl w:val="true"/>
          <w:lang w:bidi="fa-IR"/>
        </w:rPr>
        <w:t>و در مورد همين سوره در منابع اهل‌سنت مطالب زيادى نقل شده كه قطعاً اگر تفسير و شرح آن را ندانيم، بايد تحريف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ابى‌بن‌كعب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سوره را اين‌گونه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اين‌گونه قرائت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وَلَوكانَ لِإبنِ آدَمَ واديانِ مِن ذَهَبٍ، لابتَغَى الثّالثَ، ولايَملاء جَوفَ ابنِ آدَمَ إلّا التُّراب، ويَتُوبُ اللهُ عَلَى مَن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وأُبى، در جواب عُمَر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 أقرأنيها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أفأثبتها؟ فأثبَتَها </w:t>
      </w:r>
      <w:r>
        <w:rPr>
          <w:rFonts w:eastAsia="IRNazanin" w:cs="IRNazanin"/>
          <w:color w:val="111111"/>
          <w:sz w:val="28"/>
          <w:szCs w:val="28"/>
          <w:rtl w:val="true"/>
          <w:lang w:bidi="fa-IR"/>
        </w:rPr>
        <w:t xml:space="preserve">»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متّقى هندى علاوه بر نَقل ابن‌حنبل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اندك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جملات زيرا هم نَقل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أقرَأُ عَلَيكَ القُرآنَ، فَقَرَأَ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 إنَّ ذات الدّين عنداللهِ الحنَفِيّةُ لا المُشرِكة ولا اليَهوديّةُ ولا النَصرانيّة ومن يَعمَل خيراً فلن يَكُن يكفرَه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بخارى در صحيح خود مى‌آورد كه ابوموسى‌اشعرى قاريان بصره را گرد آورد و آنان را سرزنش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 از شما سوره‌اى را كه در طول و شدت همانند سوره برائت بود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مى‌خوانديم و الآن فقط من بخشى از آن را از حفظم، سپس جمله را خواند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ديگر حُذيفه سوره توبه را سوره عذاب مى‌خواند و سوگند ياد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تركت أحداً إلّا نالت منه، ولا تقرأون منها مما كنّا نقرأ إلّا رُبعها </w:t>
      </w:r>
      <w:r>
        <w:rPr>
          <w:rFonts w:eastAsia="IRNazanin" w:cs="IRNazanin"/>
          <w:color w:val="111111"/>
          <w:sz w:val="28"/>
          <w:szCs w:val="28"/>
          <w:rtl w:val="true"/>
          <w:lang w:bidi="fa-IR"/>
        </w:rPr>
        <w:t xml:space="preserve">» </w:t>
      </w:r>
      <w:r>
        <w:rPr>
          <w:rStyle w:val="FootnoteAnchor"/>
          <w:rtl w:val="true"/>
        </w:rPr>
        <w:footnoteReference w:id="1286"/>
      </w:r>
      <w:r>
        <w:rPr>
          <w:rFonts w:ascii="Amiri" w:hAnsi="Amiri" w:eastAsia="Amiri" w:cs="Amiri"/>
          <w:color w:val="111111"/>
          <w:sz w:val="28"/>
          <w:sz w:val="28"/>
          <w:szCs w:val="28"/>
          <w:rtl w:val="true"/>
          <w:lang w:bidi="ar-SA"/>
        </w:rPr>
        <w:t>سعيد بن جبير از ابن عبّاس قريب به‌همين مضمون را مى‌آورد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 بل هي الفاضحة ما زالت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ومنهم حتى ظنوا أن لايبقى مِنّا أحد الا ذُكر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همين سخن از عمر نقل شده است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جاى شگفتى است كه اين همه روايات صريح بر تحريف قرآن در منابع معتبر پيروان ابن تيميه وجود دارد، اما امثال ظهير و قفارى، شيعه و كلينى را متهم به‌تحريف كرده و خارج از دين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اگر وجود چنين روايات سبب اعتقاد به‌تحريف شود و خروج از دين، كسى از بزرگان اهل سنت از اين امر، استثنا نخواهند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بزنطى در مصحف امام ابى‌الحسن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شايد همان مصحفى باشد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كرد و آن را بر ابوبكر و عمر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عرضه داشت ولى آنها نپذيرفتند، بى‌ترديد همان مصحف نزد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همان‌گونه كه قبلا اشاره شد با مصحف مشهور تفاوت‌هايى داشته است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امام ابى‌الحسن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289"/>
      </w:r>
      <w:r>
        <w:rPr>
          <w:rFonts w:ascii="Amiri" w:hAnsi="Amiri" w:eastAsia="Amiri" w:cs="Amiri"/>
          <w:color w:val="111111"/>
          <w:sz w:val="28"/>
          <w:sz w:val="28"/>
          <w:szCs w:val="28"/>
          <w:rtl w:val="true"/>
          <w:lang w:bidi="ar-SA"/>
        </w:rPr>
        <w:t>، كه داراى سه سند به‌ترتيب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حسن و همانند صحيح و ضعيف است، در مجموع، سند روايت صحيح خواهد شد </w:t>
      </w:r>
      <w:r>
        <w:rPr>
          <w:rStyle w:val="FootnoteAnchor"/>
          <w:rtl w:val="true"/>
        </w:rPr>
        <w:footnoteReference w:id="1290"/>
      </w:r>
      <w:r>
        <w:rPr>
          <w:rFonts w:ascii="Amiri" w:hAnsi="Amiri" w:eastAsia="Amiri" w:cs="Amiri"/>
          <w:color w:val="111111"/>
          <w:sz w:val="28"/>
          <w:sz w:val="28"/>
          <w:szCs w:val="28"/>
          <w:rtl w:val="true"/>
          <w:lang w:bidi="ar-SA"/>
        </w:rPr>
        <w:t xml:space="preserve">اما متن روايت دلالت بر تحريف باطل ندارد، بلكه مراد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لغوى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الكلمة عن معناها و حرفها إلى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291"/>
      </w:r>
      <w:r>
        <w:rPr>
          <w:rFonts w:ascii="Amiri" w:hAnsi="Amiri" w:eastAsia="Amiri" w:cs="Amiri"/>
          <w:color w:val="111111"/>
          <w:sz w:val="28"/>
          <w:sz w:val="28"/>
          <w:szCs w:val="28"/>
          <w:rtl w:val="true"/>
          <w:lang w:bidi="ar-SA"/>
        </w:rPr>
        <w:t>و شواهدى براين معنى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هماهنگى در كلام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جهت كه ميان كلمات معصوم تعارض و تهافت وجود ندارد، همين معنا در رساله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آن‌جا كه فرمود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وكان مَن نَبَذهم الكتاب أن أقاموُا حُرُوفه وحرّفوا حُدودَه، فهم يَروَونه ولا يَرعَونه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اين بيان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است در اينكه قرآن تحريف باطل يعنى زيادى و نقيصه حتى به‌اندازه يك حرف صورت نگرفته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اينكه ابوزهره در پاسخ ديدگاه فيض كاشانى مبنى بر عدم تحريف قرآن، و دلايل فيض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از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سعد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تحريف باطل را مى‌فهمد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دليلى كه اين نويسنده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براثبات اينكه كلينى اعتقاد به‌تحريف نداشته مى‌آورد، همين رساله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هرچند كه وى نقل اين رساله را توسط كلينى، دليل بر عدم اعتقاد او به‌تحريف نمى‌داند ولى همان‌گونه كه در بحث‌هاى گذشته ثابت شد؛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اعتقاد به‌تحريف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روايتى كه ظهور در تحريف دارد، دليل نمى‌شود كه راوى آن نيز معتقد به‌تحريف باشد و اگر چنين باشد بايد اكثر بزرگان اهل‌سنت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مسلم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معتقد به‌تحريف باشند؛</w:t>
      </w:r>
    </w:p>
    <w:p>
      <w:pPr>
        <w:pStyle w:val="BookText"/>
        <w:rPr/>
      </w:pPr>
      <w:r>
        <w:rPr>
          <w:rFonts w:ascii="Amiri" w:hAnsi="Amiri" w:eastAsia="Amiri" w:cs="Amiri"/>
          <w:color w:val="111111"/>
          <w:sz w:val="28"/>
          <w:sz w:val="28"/>
          <w:szCs w:val="28"/>
          <w:rtl w:val="true"/>
          <w:lang w:bidi="ar-SA"/>
        </w:rPr>
        <w:t xml:space="preserve">زيرا آنان دَه‌ها روايت دال بر تحريف را در كتاب‌هايش استخراج كرده‌اند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متأثّر شدن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حفص‌بن‌غياث از امام موسى‌بن‌جعفر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فإنّ درجاتِ الجَنّةِ عَلَى قَدرآياتِ القُرآنِ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وَأرقَ، فيقرأ ثُمَّ يَرقى، 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أحَداً أشدَّ خوفاً على نفسه 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أرجَى النّاس منه، و كانت قرائته حُزناً، فاذا قَرَأ فكأنّه يُخَاطَبُ إنساناً </w:t>
      </w:r>
      <w:r>
        <w:rPr>
          <w:rFonts w:eastAsia="Amiri" w:cs="Amiri" w:ascii="Amiri" w:hAnsi="Amiri"/>
          <w:color w:val="111111"/>
          <w:sz w:val="28"/>
          <w:szCs w:val="28"/>
          <w:rtl w:val="true"/>
          <w:lang w:bidi="ar-SA"/>
        </w:rPr>
        <w:t xml:space="preserve">» </w:t>
      </w:r>
      <w:r>
        <w:rPr>
          <w:rStyle w:val="FootnoteAnchor"/>
          <w:rtl w:val="true"/>
        </w:rPr>
        <w:footnoteReference w:id="1293"/>
      </w:r>
      <w:r>
        <w:rPr>
          <w:rFonts w:ascii="IRNazanin" w:hAnsi="IRNazanin" w:eastAsia="IRNazanin"/>
          <w:color w:val="111111"/>
          <w:sz w:val="28"/>
          <w:sz w:val="28"/>
          <w:szCs w:val="28"/>
          <w:rtl w:val="true"/>
          <w:lang w:bidi="fa-IR"/>
        </w:rPr>
        <w:t xml:space="preserve">برپايه اين حديث كه غياث با چشم خود امام را ديده گواه روشن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مُحرّف به‌مفهوم باطل آن نمى‌دانسته است و الّا ويژگى‌هاى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بهشت به‌اندازه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محزون و متأثّر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همه برخواسته از روح و عمق جان قارى است، معقول نيست از قرآن مُبدّل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تضييع حقوق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به‌نصّ متن روايت،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را در زندان و شايد در حبس سندى بن شاهك </w:t>
      </w:r>
      <w:r>
        <w:rPr>
          <w:rStyle w:val="FootnoteAnchor"/>
          <w:rtl w:val="true"/>
        </w:rPr>
        <w:footnoteReference w:id="1294"/>
      </w:r>
      <w:r>
        <w:rPr>
          <w:rFonts w:ascii="IRNazanin" w:hAnsi="IRNazanin" w:eastAsia="IRNazanin"/>
          <w:color w:val="111111"/>
          <w:sz w:val="28"/>
          <w:sz w:val="28"/>
          <w:szCs w:val="28"/>
          <w:rtl w:val="true"/>
          <w:lang w:bidi="fa-IR"/>
        </w:rPr>
        <w:t xml:space="preserve">نوشته است؛ آيا نفس زندانى كردن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حاكم جور، تحريف معناى آيه شريفه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 لاَّ اَسْاَلُكُمْ عَلَيْهِ اَجْراً إِلاَّ الْمَوَدَّةَ فِى‌الْقُرْبَى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آيه ديگر، در مورد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مصداق اهل‌بيت بود و از فضايل و كمالات بى‌مانندى برخوردار بود، جُرمى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مقصود از تحريف، دگرگونى در معنا و عمل به‌قرآن است نَه در الفاظ آن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كاوشى كه صورت گرفت، دستاوردش اين‌شد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شدن كلينى به‌اعتقاد به‌تحريف از سوى برخى نويسندگان چون ابوزهره، احسان الهى و ناصرالقفارى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بى‌ترديد غير منصفانه بلكه ظالمانه است و نقل رواياتى كه ادعا شده تحريف را مى‌رساند؛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نمى‌شود كه راوى آنها به‌مضمون آنها معتقد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نمونه‌هايى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مورد بحث كه به‌تفصيل مورد بررسى قرار گرفت، با قطع نظر از اسناد آن‌ها، تفسير يا تأويل يا تنزيل معنوى يا تبيين مصاديق آيات است نه تحريف مورد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 از احاديث گزينش شده، تكليف روايات ديگر كه ممكن است ادعاى ظهور آنها بر تحريف باشد، از جمله از ابتدا تا انتهاى كتاب الكلينى و تأويلاته الباطنيه، روشن گشت كه هيچ‌كدام دال برتحريف نيست</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976_28110"/>
      <w:bookmarkStart w:id="436" w:name="pg1976_28110"/>
      <w:bookmarkEnd w:id="436"/>
    </w:p>
    <w:p>
      <w:pPr>
        <w:pStyle w:val="Heading3"/>
        <w:numPr>
          <w:ilvl w:val="2"/>
          <w:numId w:val="1"/>
        </w:numPr>
        <w:rPr/>
      </w:pPr>
      <w:bookmarkStart w:id="437" w:name="pg1976_28110"/>
      <w:bookmarkStart w:id="438" w:name="__RefHeading___Toc3767161_3650668749"/>
      <w:bookmarkStart w:id="439" w:name="_Toc159"/>
      <w:bookmarkEnd w:id="437"/>
      <w:bookmarkEnd w:id="438"/>
      <w:r>
        <w:rPr>
          <w:rtl w:val="true"/>
        </w:rPr>
        <w:t>فصل سوم</w:t>
      </w:r>
      <w:r>
        <w:rPr>
          <w:rtl w:val="true"/>
        </w:rPr>
        <w:t xml:space="preserve">: </w:t>
      </w:r>
      <w:r>
        <w:rPr>
          <w:rtl w:val="true"/>
        </w:rPr>
        <w:t xml:space="preserve">مصحف اميرالمؤمنين </w:t>
      </w:r>
      <w:r>
        <w:rPr>
          <w:rtl w:val="true"/>
        </w:rPr>
        <w:t>(</w:t>
      </w:r>
      <w:r>
        <w:rPr>
          <w:rtl w:val="true"/>
        </w:rPr>
        <w:t>ع</w:t>
      </w:r>
      <w:r>
        <w:rPr>
          <w:rtl w:val="true"/>
        </w:rPr>
        <w:t xml:space="preserve">) </w:t>
      </w:r>
      <w:r>
        <w:rPr>
          <w:rtl w:val="true"/>
        </w:rPr>
        <w:t>حقيقت يا توهم؟</w:t>
      </w:r>
      <w:bookmarkEnd w:id="439"/>
    </w:p>
    <w:p>
      <w:pPr>
        <w:pStyle w:val="Heading4"/>
        <w:numPr>
          <w:ilvl w:val="3"/>
          <w:numId w:val="1"/>
        </w:numPr>
        <w:rPr/>
      </w:pPr>
      <w:bookmarkStart w:id="440" w:name="__RefHeading___Toc3767163_3650668749"/>
      <w:bookmarkStart w:id="441" w:name="_Toc160"/>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يكى ديگر از نقدهايى كه بر شيعه و در رأس آن بر كلينى و كتاب كافى وارد مى‌كنند، مصحف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اشكال هرچند كه از سوى برخى از نويسندگان وهابى مطرح شده ولى ناصرالقفارى بيشترين مطالب تُند و دور از ادب تحقيق را، از خود به‌نمايش گذارده است</w:t>
      </w:r>
      <w:r>
        <w:rPr>
          <w:rFonts w:eastAsia="IRNazanin" w:cs="IRNazanin"/>
          <w:color w:val="111111"/>
          <w:sz w:val="28"/>
          <w:szCs w:val="28"/>
          <w:rtl w:val="true"/>
          <w:lang w:bidi="fa-IR"/>
        </w:rPr>
        <w:t>:</w:t>
      </w:r>
    </w:p>
    <w:p>
      <w:pPr>
        <w:pStyle w:val="Heading4"/>
        <w:numPr>
          <w:ilvl w:val="3"/>
          <w:numId w:val="1"/>
        </w:numPr>
        <w:rPr/>
      </w:pPr>
      <w:bookmarkStart w:id="442" w:name="__RefHeading___Toc3767165_3650668749"/>
      <w:bookmarkStart w:id="443" w:name="_Toc161"/>
      <w:bookmarkEnd w:id="442"/>
      <w:r>
        <w:rPr/>
        <w:t>١</w:t>
      </w:r>
      <w:r>
        <w:rPr>
          <w:rtl w:val="true"/>
        </w:rPr>
        <w:t xml:space="preserve">. </w:t>
      </w:r>
      <w:r>
        <w:rPr>
          <w:rtl w:val="true"/>
        </w:rPr>
        <w:t xml:space="preserve">طرح اشكال بر مصحف على </w:t>
      </w:r>
      <w:r>
        <w:rPr>
          <w:rtl w:val="true"/>
        </w:rPr>
        <w:t>(</w:t>
      </w:r>
      <w:r>
        <w:rPr>
          <w:rtl w:val="true"/>
        </w:rPr>
        <w:t>ع</w:t>
      </w:r>
      <w:r>
        <w:rPr>
          <w:rtl w:val="true"/>
        </w:rPr>
        <w:t>)</w:t>
      </w:r>
      <w:bookmarkEnd w:id="4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أكثرالقوم من‌الحديث عن مصحف عَلِيّ المزعوم والذي يحتوي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زيادات على كتاب‌الله </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إهتمّ بإشاعةِ هذه الفِريةِ الكليني ثقةُ دينهم في كتابه الكافي وعقد لها باباً خاصاً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انّه لم يجمع القرآن كُلَّه الّا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نقل مى‌كند كه يكى از آنها اين حديث جابر جعفى است </w:t>
      </w:r>
      <w:r>
        <w:rPr>
          <w:rStyle w:val="FootnoteAnchor"/>
          <w:rtl w:val="true"/>
        </w:rPr>
        <w:footnoteReference w:id="12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سمع أبا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ادّعى أحدٌ من النّاس أنَّه جَمَع القرآنَ كُلَّهُ كَمَا أُنزِلَ إلّا كذّابٌ، و ما جَمَعَه وحَفَظَه كما نَزَّلَهُ اللهُ تعالى إلّا علي‌بن أبي‌طالب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 xml:space="preserve">» . </w:t>
      </w:r>
      <w:r>
        <w:rPr>
          <w:rStyle w:val="FootnoteAnchor"/>
          <w:rtl w:val="true"/>
        </w:rPr>
        <w:footnoteReference w:id="1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نخستين كتابى كه محصول تلاش‌هاى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بهتان تحريف قرآن را طرح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از اين مصحف مزعوم سخن به‌ميان آورد، كتاب سليم‌بن‌قيس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ضمن دو روايت طولانى نسبت به‌امامت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دروغ را مطرح ساخت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حديث نخست را أبان بن عياش كه به‌اتفاق ضعيف است، از سليم اين‌گونه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رحلت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پرهيز از بيعت با ابوبكر خودش را براى جمع آورى قرآن، در خانه ملزم كرد، وقتى ابوبكر از على خواست با او بيعت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كردم كه عبايم را جز براى نماز نپوشم تا قرآن را تأليف و گردآورى 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نويسنده روايت سُلَيم را ناقص و گزينشى نقل مى‌كند و نكته‌هاى اصلى حديث كه همان غصب خلافت و نپذيرفتن اين مصحف باشد، را بازگو نمى‌كند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حديث دومِ كتاب سُلَيم، در گفتگويى كه ميان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صورت مى‌گيرد از اين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بل‌كُلُّه قرآن، إن أخذتُم بما فيه نَجَوتم من النّار ودخلتم الجنّة، فإنَّ فيه حجتنا وبيان حقُّنا وفرض طاعتنا</w:t>
      </w:r>
      <w:r>
        <w:rPr>
          <w:rFonts w:eastAsia="IRNazanin" w:cs="IRNazanin"/>
          <w:color w:val="111111"/>
          <w:sz w:val="28"/>
          <w:szCs w:val="28"/>
          <w:rtl w:val="true"/>
          <w:lang w:bidi="fa-IR"/>
        </w:rPr>
        <w:t xml:space="preserve">. . . » </w:t>
      </w:r>
      <w:r>
        <w:rPr>
          <w:rStyle w:val="FootnoteAnchor"/>
          <w:rtl w:val="true"/>
        </w:rPr>
        <w:footnoteReference w:id="1298"/>
      </w:r>
      <w:r>
        <w:rPr>
          <w:rFonts w:ascii="Amiri" w:hAnsi="Amiri" w:eastAsia="Amiri" w:cs="Amiri"/>
          <w:color w:val="111111"/>
          <w:sz w:val="28"/>
          <w:sz w:val="28"/>
          <w:szCs w:val="28"/>
          <w:rtl w:val="true"/>
          <w:lang w:bidi="ar-SA"/>
        </w:rPr>
        <w:t xml:space="preserve">، اين مفهوم را استفاده مى‌كند كه طعن صريح به‌قرآن است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قد جائت بعض الروايات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اهل‌السُّنة ولكنّها كما قال ابن حجر لاتصحّ </w:t>
      </w:r>
      <w:r>
        <w:rPr>
          <w:rFonts w:eastAsia="Amiri" w:cs="Amiri" w:ascii="Amiri" w:hAnsi="Amiri"/>
          <w:color w:val="111111"/>
          <w:sz w:val="28"/>
          <w:szCs w:val="28"/>
          <w:rtl w:val="true"/>
          <w:lang w:bidi="ar-SA"/>
        </w:rPr>
        <w:t xml:space="preserve">» </w:t>
      </w:r>
      <w:r>
        <w:rPr>
          <w:rStyle w:val="FootnoteAnchor"/>
          <w:rtl w:val="true"/>
        </w:rPr>
        <w:footnoteReference w:id="1300"/>
      </w:r>
      <w:r>
        <w:rPr>
          <w:rFonts w:ascii="IRNazanin" w:hAnsi="IRNazanin" w:eastAsia="IRNazanin"/>
          <w:color w:val="111111"/>
          <w:sz w:val="28"/>
          <w:sz w:val="28"/>
          <w:szCs w:val="28"/>
          <w:rtl w:val="true"/>
          <w:lang w:bidi="fa-IR"/>
        </w:rPr>
        <w:t xml:space="preserve">ابن‌حجر آنچه را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آليتُ ألّا آخذ ردائي للصلاة حتّى أجمع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منقطع بودن سندش ضعيف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اينكه منقطع نباشد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حفظ كردن در سينه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نقل‌ها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حتّى‌جمعتُه بين‌الّلوحين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راوى مى‌داند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در روايت سُلَيم آمده كه همه آنچه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آورى كرد، قرآن نبوده بلكه تنزيل و تأويل و ناسخ و منسوخ بوده، عليرغم اينكه از اساس صحيح نمى‌داند، با اصولى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لاتكتبوا عَنّي شيئاً غيرالقرآن </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 xml:space="preserve">، سازگار </w:t>
      </w:r>
      <w:bookmarkStart w:id="444" w:name="pg1976_28116"/>
    </w:p>
    <w:p>
      <w:pPr>
        <w:pStyle w:val="BookText"/>
        <w:rPr/>
      </w:pPr>
      <w:bookmarkEnd w:id="444"/>
      <w:r>
        <w:rPr>
          <w:rFonts w:ascii="IRNazanin" w:hAnsi="IRNazanin" w:eastAsia="IRNazanin"/>
          <w:color w:val="111111"/>
          <w:sz w:val="28"/>
          <w:sz w:val="28"/>
          <w:szCs w:val="28"/>
          <w:rtl w:val="true"/>
          <w:lang w:bidi="fa-IR"/>
        </w:rPr>
        <w:t xml:space="preserve">نمى‌داند </w:t>
      </w:r>
      <w:r>
        <w:rPr>
          <w:rStyle w:val="FootnoteAnchor"/>
          <w:rtl w:val="true"/>
        </w:rPr>
        <w:footnoteReference w:id="1303"/>
      </w:r>
      <w:r>
        <w:rPr>
          <w:rFonts w:ascii="IRNazanin" w:hAnsi="IRNazanin" w:eastAsia="IRNazanin"/>
          <w:color w:val="111111"/>
          <w:sz w:val="28"/>
          <w:sz w:val="28"/>
          <w:szCs w:val="28"/>
          <w:rtl w:val="true"/>
          <w:lang w:bidi="fa-IR"/>
        </w:rPr>
        <w:t>هرچند كه داشتن مصحف همانند ابن‌مسعود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طعن بر قرآن نيست ولى اينكه على آن را به صحابه عرضه كرد و آنان نپذيرفتند دروغ و خيالى بيش نيست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الوشيعة فى‌نَقد عقائدالشّيعة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اين فرض، كه مصحف على پنهان است و در دست امام غايب، لوازم وجود چنين كتاب را عبارت مى‌داند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تبليغ دين و اينكه قرآن را فقط به‌على رساند؛ اتهام نسبت به‌خدا مبنى بر خلف وعده‌اش بر حفظ قرآن بر اساس آيه إِنَّا نَحْنُ نَزَّلْنَا الذِّكْرَ وَإِنَّا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 بر صحابه بدان جهت كه آيات عرضه شده توسط على را نپذيرفتند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ديگر با طرح اين سؤال كه آن مصحف كجا است؟ حديث سالم‌بن سلمه </w:t>
      </w:r>
      <w:r>
        <w:rPr>
          <w:rStyle w:val="FootnoteAnchor"/>
          <w:rtl w:val="true"/>
        </w:rPr>
        <w:footnoteReference w:id="1306"/>
      </w:r>
      <w:r>
        <w:rPr>
          <w:rFonts w:ascii="IRNazanin" w:hAnsi="IRNazanin" w:eastAsia="IRNazanin"/>
          <w:color w:val="111111"/>
          <w:sz w:val="28"/>
          <w:sz w:val="28"/>
          <w:szCs w:val="28"/>
          <w:rtl w:val="true"/>
          <w:lang w:bidi="fa-IR"/>
        </w:rPr>
        <w:t>را نقل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معتقدند كه مهدى مزعوم كه وارد سرداب موهوم شده و همچنان در سرداب است روزى با آن مصحف از سرداب خارج مى‌شود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كمال، بعد از آوردن عين سخن ظهير، اين نكته را اضافه مى‌كند كه جاى شگفتى است، آيا خشم، به‌تنهايى كافى است كه كتاب خدا را مخفى سازد حاشا از على</w:t>
      </w:r>
      <w:r>
        <w:rPr>
          <w:rFonts w:eastAsia="IRNazanin" w:cs="IRNazanin"/>
          <w:color w:val="111111"/>
          <w:sz w:val="28"/>
          <w:szCs w:val="28"/>
          <w:rtl w:val="true"/>
          <w:lang w:bidi="fa-IR"/>
        </w:rPr>
        <w:t xml:space="preserve">! </w:t>
      </w:r>
      <w:r>
        <w:rPr>
          <w:rStyle w:val="FootnoteAnchor"/>
          <w:rtl w:val="true"/>
        </w:rPr>
        <w:footnoteReference w:id="1308"/>
      </w:r>
    </w:p>
    <w:p>
      <w:pPr>
        <w:pStyle w:val="Heading4"/>
        <w:numPr>
          <w:ilvl w:val="3"/>
          <w:numId w:val="1"/>
        </w:numPr>
        <w:rPr/>
      </w:pPr>
      <w:bookmarkStart w:id="445" w:name="__RefHeading___Toc3767167_3650668749"/>
      <w:bookmarkStart w:id="446" w:name="_Toc162"/>
      <w:bookmarkEnd w:id="445"/>
      <w:r>
        <w:rPr/>
        <w:t>٢</w:t>
      </w:r>
      <w:r>
        <w:rPr>
          <w:rtl w:val="true"/>
        </w:rPr>
        <w:t xml:space="preserve">. </w:t>
      </w:r>
      <w:r>
        <w:rPr>
          <w:rtl w:val="true"/>
        </w:rPr>
        <w:t xml:space="preserve">بررسى و نقد مزعوم خواندن مصحف على </w:t>
      </w:r>
      <w:r>
        <w:rPr>
          <w:rtl w:val="true"/>
        </w:rPr>
        <w:t>(</w:t>
      </w:r>
      <w:r>
        <w:rPr>
          <w:rtl w:val="true"/>
        </w:rPr>
        <w:t>ع</w:t>
      </w:r>
      <w:r>
        <w:rPr>
          <w:rtl w:val="true"/>
        </w:rPr>
        <w:t>)</w:t>
      </w:r>
      <w:bookmarkEnd w:id="446"/>
    </w:p>
    <w:p>
      <w:pPr>
        <w:pStyle w:val="Heading5"/>
        <w:numPr>
          <w:ilvl w:val="4"/>
          <w:numId w:val="1"/>
        </w:numPr>
        <w:rPr/>
      </w:pPr>
      <w:bookmarkStart w:id="447" w:name="__RefHeading___Toc3767169_3650668749"/>
      <w:bookmarkStart w:id="448" w:name="_Toc163"/>
      <w:bookmarkEnd w:id="447"/>
      <w:r>
        <w:rPr>
          <w:rtl w:val="true"/>
        </w:rPr>
        <w:t>اشاره</w:t>
      </w:r>
      <w:bookmarkEnd w:id="44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اشاره شد، خلاصه‌اى از نقدهايى است كه نويسندگانِ ياد شده بركتاب كافى گرفته‌اند و هدف از نقدها بيشتر دو نكته تعقيب شده است؛ يكى حسادت بر اينكه چرا </w:t>
      </w:r>
      <w:bookmarkStart w:id="449" w:name="pg1976_28119"/>
    </w:p>
    <w:p>
      <w:pPr>
        <w:pStyle w:val="BookText"/>
        <w:rPr/>
      </w:pPr>
      <w:bookmarkEnd w:id="449"/>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باشد كه قرآن را جمع‌آورى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طعن و مذمّت سران صحابه را از دو جهت نتيجه مى‌دهد؛ نخست، عرضه‌شدن اين مصحف بر بزرگان صحابه و رد آن، دوم، آمدن اسامى بسيارى از قريش و منافقان در آن؛ اين دو نكته در لفافه اتهام به‌تحريف قرآن در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گرديده است، اما اينكه اتهاماتِ مطرح شده وارد است يا نه، مفصل مورد بررسى قرار مى‌گيرد</w:t>
      </w:r>
      <w:r>
        <w:rPr>
          <w:rFonts w:eastAsia="IRNazanin" w:cs="IRNazanin"/>
          <w:color w:val="111111"/>
          <w:sz w:val="28"/>
          <w:szCs w:val="28"/>
          <w:rtl w:val="true"/>
          <w:lang w:bidi="fa-IR"/>
        </w:rPr>
        <w:t>:</w:t>
      </w:r>
    </w:p>
    <w:p>
      <w:pPr>
        <w:pStyle w:val="Heading5"/>
        <w:numPr>
          <w:ilvl w:val="4"/>
          <w:numId w:val="1"/>
        </w:numPr>
        <w:rPr/>
      </w:pPr>
      <w:bookmarkStart w:id="450" w:name="__RefHeading___Toc3767171_3650668749"/>
      <w:bookmarkStart w:id="451" w:name="_Toc164"/>
      <w:bookmarkEnd w:id="450"/>
      <w:r>
        <w:rPr>
          <w:rtl w:val="true"/>
        </w:rPr>
        <w:t>الف</w:t>
      </w:r>
      <w:r>
        <w:rPr>
          <w:rtl w:val="true"/>
        </w:rPr>
        <w:t xml:space="preserve">) </w:t>
      </w:r>
      <w:r>
        <w:rPr>
          <w:rtl w:val="true"/>
        </w:rPr>
        <w:t>آيا مصحف على مزعوم، موهوم و خيال است؟</w:t>
      </w:r>
      <w:bookmarkEnd w:id="451"/>
    </w:p>
    <w:p>
      <w:pPr>
        <w:pStyle w:val="Heading6"/>
        <w:numPr>
          <w:ilvl w:val="5"/>
          <w:numId w:val="1"/>
        </w:numPr>
        <w:rPr/>
      </w:pPr>
      <w:bookmarkStart w:id="452" w:name="__RefHeading___Toc3767173_3650668749"/>
      <w:bookmarkStart w:id="453" w:name="_Toc165"/>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 xml:space="preserve">همان‌گونه كه توجّه نموديد، ناصرالقفارى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وَهم و خيالِ شيعه به‌ويژه كلينى خوانده و با استناد به‌كلام ابن‌حجر وآلوسى، اخبار وجود چنين مصحفى را درمنابع اهل‌سنت نا تمام دانسته؛ ولى ادعاى وى از جهاتى بى‌پايه و نادرست است</w:t>
      </w:r>
      <w:r>
        <w:rPr>
          <w:rFonts w:eastAsia="IRNazanin" w:cs="IRNazanin"/>
          <w:color w:val="111111"/>
          <w:sz w:val="28"/>
          <w:szCs w:val="28"/>
          <w:rtl w:val="true"/>
          <w:lang w:bidi="fa-IR"/>
        </w:rPr>
        <w:t>.</w:t>
      </w:r>
    </w:p>
    <w:p>
      <w:pPr>
        <w:pStyle w:val="Heading6"/>
        <w:numPr>
          <w:ilvl w:val="5"/>
          <w:numId w:val="1"/>
        </w:numPr>
        <w:rPr/>
      </w:pPr>
      <w:bookmarkStart w:id="454" w:name="__RefHeading___Toc3767175_3650668749"/>
      <w:bookmarkStart w:id="455" w:name="_Toc166"/>
      <w:bookmarkEnd w:id="454"/>
      <w:r>
        <w:rPr>
          <w:rtl w:val="true"/>
        </w:rPr>
        <w:t xml:space="preserve">يك </w:t>
      </w:r>
      <w:r>
        <w:rPr>
          <w:rtl w:val="true"/>
        </w:rPr>
        <w:t xml:space="preserve">- </w:t>
      </w:r>
      <w:r>
        <w:rPr>
          <w:rtl w:val="true"/>
        </w:rPr>
        <w:t xml:space="preserve">گزارش از مصحف على </w:t>
      </w:r>
      <w:r>
        <w:rPr>
          <w:rtl w:val="true"/>
        </w:rPr>
        <w:t>(</w:t>
      </w:r>
      <w:r>
        <w:rPr>
          <w:rtl w:val="true"/>
        </w:rPr>
        <w:t>ع</w:t>
      </w:r>
      <w:r>
        <w:rPr>
          <w:rtl w:val="true"/>
        </w:rPr>
        <w:t xml:space="preserve">) </w:t>
      </w:r>
      <w:r>
        <w:rPr>
          <w:rtl w:val="true"/>
        </w:rPr>
        <w:t>در منابع اهل‌سنت</w:t>
      </w:r>
      <w:bookmarkEnd w:id="45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قطع‌نظر از منابع شيعى </w:t>
      </w:r>
      <w:r>
        <w:rPr>
          <w:rStyle w:val="FootnoteAnchor"/>
          <w:rtl w:val="true"/>
        </w:rPr>
        <w:footnoteReference w:id="1309"/>
      </w:r>
      <w:r>
        <w:rPr>
          <w:rFonts w:ascii="IRNazanin" w:hAnsi="IRNazanin" w:eastAsia="IRNazanin"/>
          <w:color w:val="111111"/>
          <w:sz w:val="28"/>
          <w:sz w:val="28"/>
          <w:szCs w:val="28"/>
          <w:rtl w:val="true"/>
          <w:lang w:bidi="fa-IR"/>
        </w:rPr>
        <w:t>، بيشترين اخبار از وجود چنين مصحفى از آنِ منابع اهل‌سنت است و به‌خاطر طولانى‌نشدن بحث فقط به‌فهرست آن منابع بسنده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المصنف </w:t>
      </w:r>
      <w:r>
        <w:rPr>
          <w:rStyle w:val="FootnoteAnchor"/>
          <w:rtl w:val="true"/>
        </w:rPr>
        <w:footnoteReference w:id="1310"/>
      </w:r>
      <w:r>
        <w:rPr>
          <w:rFonts w:ascii="IRNazanin" w:hAnsi="IRNazanin" w:eastAsia="IRNazanin"/>
          <w:color w:val="111111"/>
          <w:sz w:val="28"/>
          <w:sz w:val="28"/>
          <w:szCs w:val="28"/>
          <w:rtl w:val="true"/>
          <w:lang w:bidi="fa-IR"/>
        </w:rPr>
        <w:t xml:space="preserve">، ابن‌سعد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الطبقات </w:t>
      </w:r>
      <w:r>
        <w:rPr>
          <w:rStyle w:val="FootnoteAnchor"/>
          <w:rtl w:val="true"/>
        </w:rPr>
        <w:footnoteReference w:id="1311"/>
      </w:r>
      <w:r>
        <w:rPr>
          <w:rFonts w:ascii="Amiri" w:hAnsi="Amiri" w:eastAsia="Amiri" w:cs="Amiri"/>
          <w:color w:val="111111"/>
          <w:sz w:val="28"/>
          <w:sz w:val="28"/>
          <w:szCs w:val="28"/>
          <w:rtl w:val="true"/>
          <w:lang w:bidi="ar-SA"/>
        </w:rPr>
        <w:t xml:space="preserve">، ابن‌نديم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Style w:val="FootnoteAnchor"/>
          <w:rtl w:val="true"/>
        </w:rPr>
        <w:footnoteReference w:id="1312"/>
      </w:r>
      <w:r>
        <w:rPr>
          <w:rFonts w:ascii="Amiri" w:hAnsi="Amiri" w:eastAsia="Amiri" w:cs="Amiri"/>
          <w:color w:val="111111"/>
          <w:sz w:val="28"/>
          <w:sz w:val="28"/>
          <w:szCs w:val="28"/>
          <w:rtl w:val="true"/>
          <w:lang w:bidi="ar-SA"/>
        </w:rPr>
        <w:t xml:space="preserve">، ابونعيم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حليةالاولياء </w:t>
      </w:r>
      <w:r>
        <w:rPr>
          <w:rStyle w:val="FootnoteAnchor"/>
          <w:rtl w:val="true"/>
        </w:rPr>
        <w:footnoteReference w:id="1313"/>
      </w:r>
      <w:r>
        <w:rPr>
          <w:rFonts w:ascii="Amiri" w:hAnsi="Amiri" w:eastAsia="Amiri" w:cs="Amiri"/>
          <w:color w:val="111111"/>
          <w:sz w:val="28"/>
          <w:sz w:val="28"/>
          <w:szCs w:val="28"/>
          <w:rtl w:val="true"/>
          <w:lang w:bidi="ar-SA"/>
        </w:rPr>
        <w:t xml:space="preserve">، ابن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الاستيعاب </w:t>
      </w:r>
      <w:r>
        <w:rPr>
          <w:rStyle w:val="FootnoteAnchor"/>
          <w:rtl w:val="true"/>
        </w:rPr>
        <w:footnoteReference w:id="1314"/>
      </w:r>
      <w:r>
        <w:rPr>
          <w:rFonts w:ascii="Amiri" w:hAnsi="Amiri" w:eastAsia="Amiri" w:cs="Amiri"/>
          <w:color w:val="111111"/>
          <w:sz w:val="28"/>
          <w:sz w:val="28"/>
          <w:szCs w:val="28"/>
          <w:rtl w:val="true"/>
          <w:lang w:bidi="ar-SA"/>
        </w:rPr>
        <w:t xml:space="preserve">، عبدالكريم الشّهرستانى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مفاتيح‌الاسرار و مصابيح الانوار </w:t>
      </w:r>
      <w:r>
        <w:rPr>
          <w:rStyle w:val="FootnoteAnchor"/>
          <w:rtl w:val="true"/>
        </w:rPr>
        <w:footnoteReference w:id="1315"/>
      </w:r>
      <w:r>
        <w:rPr>
          <w:rFonts w:ascii="Amiri" w:hAnsi="Amiri" w:eastAsia="Amiri" w:cs="Amiri"/>
          <w:color w:val="111111"/>
          <w:sz w:val="28"/>
          <w:sz w:val="28"/>
          <w:szCs w:val="28"/>
          <w:rtl w:val="true"/>
          <w:lang w:bidi="ar-SA"/>
        </w:rPr>
        <w:t xml:space="preserve">، الحسكان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من‌اعلام القرن الخامس الهجرى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شواهد التنزيل </w:t>
      </w:r>
      <w:r>
        <w:rPr>
          <w:rStyle w:val="FootnoteAnchor"/>
          <w:rtl w:val="true"/>
        </w:rPr>
        <w:footnoteReference w:id="1316"/>
      </w:r>
      <w:r>
        <w:rPr>
          <w:rFonts w:ascii="Amiri" w:hAnsi="Amiri" w:eastAsia="Amiri" w:cs="Amiri"/>
          <w:color w:val="111111"/>
          <w:sz w:val="28"/>
          <w:sz w:val="28"/>
          <w:szCs w:val="28"/>
          <w:rtl w:val="true"/>
          <w:lang w:bidi="ar-SA"/>
        </w:rPr>
        <w:t xml:space="preserve">، ابن‌عساكر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مدينۀ دمشق </w:t>
      </w:r>
      <w:r>
        <w:rPr>
          <w:rStyle w:val="FootnoteAnchor"/>
          <w:rtl w:val="true"/>
        </w:rPr>
        <w:footnoteReference w:id="1317"/>
      </w:r>
      <w:r>
        <w:rPr>
          <w:rFonts w:ascii="IRNazanin" w:hAnsi="IRNazanin" w:eastAsia="IRNazanin"/>
          <w:color w:val="111111"/>
          <w:sz w:val="28"/>
          <w:sz w:val="28"/>
          <w:szCs w:val="28"/>
          <w:rtl w:val="true"/>
          <w:lang w:bidi="fa-IR"/>
        </w:rPr>
        <w:t xml:space="preserve">، الخوارزمى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المناقب </w:t>
      </w:r>
      <w:r>
        <w:rPr>
          <w:rStyle w:val="FootnoteAnchor"/>
          <w:rtl w:val="true"/>
        </w:rPr>
        <w:footnoteReference w:id="1318"/>
      </w:r>
      <w:r>
        <w:rPr>
          <w:rFonts w:ascii="Amiri" w:hAnsi="Amiri" w:eastAsia="Amiri" w:cs="Amiri"/>
          <w:color w:val="111111"/>
          <w:sz w:val="28"/>
          <w:sz w:val="28"/>
          <w:szCs w:val="28"/>
          <w:rtl w:val="true"/>
          <w:lang w:bidi="ar-SA"/>
        </w:rPr>
        <w:t xml:space="preserve">، الكلبى در التسهيل </w:t>
      </w:r>
      <w:r>
        <w:rPr>
          <w:rStyle w:val="FootnoteAnchor"/>
          <w:rtl w:val="true"/>
        </w:rPr>
        <w:footnoteReference w:id="1319"/>
      </w:r>
      <w:r>
        <w:rPr>
          <w:rFonts w:ascii="Amiri" w:hAnsi="Amiri" w:eastAsia="Amiri" w:cs="Amiri"/>
          <w:color w:val="111111"/>
          <w:sz w:val="28"/>
          <w:sz w:val="28"/>
          <w:szCs w:val="28"/>
          <w:rtl w:val="true"/>
          <w:lang w:bidi="ar-SA"/>
        </w:rPr>
        <w:t xml:space="preserve">،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سير اعلام النبلاء </w:t>
      </w:r>
      <w:r>
        <w:rPr>
          <w:rStyle w:val="FootnoteAnchor"/>
          <w:rtl w:val="true"/>
        </w:rPr>
        <w:footnoteReference w:id="1320"/>
      </w:r>
      <w:r>
        <w:rPr>
          <w:rFonts w:ascii="IRNazanin" w:hAnsi="IRNazanin" w:eastAsia="IRNazanin"/>
          <w:color w:val="111111"/>
          <w:sz w:val="28"/>
          <w:sz w:val="28"/>
          <w:szCs w:val="28"/>
          <w:rtl w:val="true"/>
          <w:lang w:bidi="fa-IR"/>
        </w:rPr>
        <w:t xml:space="preserve">، ابن‌ابى‌داود السجستانى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المصاحف </w:t>
      </w:r>
      <w:r>
        <w:rPr>
          <w:rStyle w:val="FootnoteAnchor"/>
          <w:rtl w:val="true"/>
        </w:rPr>
        <w:footnoteReference w:id="1321"/>
      </w:r>
      <w:r>
        <w:rPr>
          <w:rFonts w:ascii="Amiri" w:hAnsi="Amiri" w:eastAsia="Amiri" w:cs="Amiri"/>
          <w:color w:val="111111"/>
          <w:sz w:val="28"/>
          <w:sz w:val="28"/>
          <w:szCs w:val="28"/>
          <w:rtl w:val="true"/>
          <w:lang w:bidi="ar-SA"/>
        </w:rPr>
        <w:t xml:space="preserve">،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القرطبى </w:t>
      </w:r>
      <w:r>
        <w:rPr>
          <w:rStyle w:val="FootnoteAnchor"/>
          <w:rtl w:val="true"/>
        </w:rPr>
        <w:footnoteReference w:id="1322"/>
      </w:r>
      <w:r>
        <w:rPr>
          <w:rFonts w:ascii="IRNazanin" w:hAnsi="IRNazanin" w:eastAsia="IRNazanin"/>
          <w:color w:val="111111"/>
          <w:sz w:val="28"/>
          <w:sz w:val="28"/>
          <w:szCs w:val="28"/>
          <w:rtl w:val="true"/>
          <w:lang w:bidi="fa-IR"/>
        </w:rPr>
        <w:t xml:space="preserve">، </w:t>
      </w:r>
      <w:bookmarkStart w:id="456" w:name="pg1976_28123"/>
    </w:p>
    <w:p>
      <w:pPr>
        <w:pStyle w:val="BookText"/>
        <w:rPr/>
      </w:pPr>
      <w:bookmarkEnd w:id="456"/>
      <w:r>
        <w:rPr>
          <w:rFonts w:ascii="Amiri" w:hAnsi="Amiri" w:eastAsia="Amiri" w:cs="Amiri"/>
          <w:color w:val="111111"/>
          <w:sz w:val="28"/>
          <w:sz w:val="28"/>
          <w:szCs w:val="28"/>
          <w:rtl w:val="true"/>
          <w:lang w:bidi="ar-SA"/>
        </w:rPr>
        <w:t xml:space="preserve">السيوطى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الاتقان </w:t>
      </w:r>
      <w:r>
        <w:rPr>
          <w:rStyle w:val="FootnoteAnchor"/>
          <w:rtl w:val="true"/>
        </w:rPr>
        <w:footnoteReference w:id="1323"/>
      </w:r>
      <w:r>
        <w:rPr>
          <w:rFonts w:ascii="IRNazanin" w:hAnsi="IRNazanin" w:eastAsia="IRNazanin"/>
          <w:color w:val="111111"/>
          <w:sz w:val="28"/>
          <w:sz w:val="28"/>
          <w:szCs w:val="28"/>
          <w:rtl w:val="true"/>
          <w:lang w:bidi="fa-IR"/>
        </w:rPr>
        <w:t xml:space="preserve">، الزرقاتى در مناهل العرفان </w:t>
      </w:r>
      <w:r>
        <w:rPr>
          <w:rStyle w:val="FootnoteAnchor"/>
          <w:rtl w:val="true"/>
        </w:rPr>
        <w:footnoteReference w:id="1324"/>
      </w:r>
      <w:r>
        <w:rPr>
          <w:rFonts w:ascii="Amiri" w:hAnsi="Amiri" w:eastAsia="Amiri" w:cs="Amiri"/>
          <w:color w:val="111111"/>
          <w:sz w:val="28"/>
          <w:sz w:val="28"/>
          <w:szCs w:val="28"/>
          <w:rtl w:val="true"/>
          <w:lang w:bidi="ar-SA"/>
        </w:rPr>
        <w:t xml:space="preserve">، الابيارى در الموسوعة القرآنيه </w:t>
      </w:r>
      <w:r>
        <w:rPr>
          <w:rStyle w:val="FootnoteAnchor"/>
          <w:rtl w:val="true"/>
        </w:rPr>
        <w:footnoteReference w:id="1325"/>
      </w:r>
      <w:r>
        <w:rPr>
          <w:rFonts w:ascii="Amiri" w:hAnsi="Amiri" w:eastAsia="Amiri" w:cs="Amiri"/>
          <w:color w:val="111111"/>
          <w:sz w:val="28"/>
          <w:sz w:val="28"/>
          <w:szCs w:val="28"/>
          <w:rtl w:val="true"/>
          <w:lang w:bidi="ar-SA"/>
        </w:rPr>
        <w:t xml:space="preserve">و 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اليعقوبى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اشاره شد اين نتيجه را مى‌دهد كه وجود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بوده و عالمان مسلمان بدان توجّه داشته‌اند، ازاين‌رو آن‌گونه كه قفارى مدعى‌شد، موهوم، بهتان و خيال نيست</w:t>
      </w:r>
      <w:r>
        <w:rPr>
          <w:rFonts w:eastAsia="IRNazanin" w:cs="IRNazanin"/>
          <w:color w:val="111111"/>
          <w:sz w:val="28"/>
          <w:szCs w:val="28"/>
          <w:rtl w:val="true"/>
          <w:lang w:bidi="fa-IR"/>
        </w:rPr>
        <w:t>.</w:t>
      </w:r>
    </w:p>
    <w:p>
      <w:pPr>
        <w:pStyle w:val="Heading6"/>
        <w:numPr>
          <w:ilvl w:val="5"/>
          <w:numId w:val="1"/>
        </w:numPr>
        <w:rPr/>
      </w:pPr>
      <w:bookmarkStart w:id="457" w:name="__RefHeading___Toc3767177_3650668749"/>
      <w:bookmarkStart w:id="458" w:name="_Toc167"/>
      <w:bookmarkEnd w:id="457"/>
      <w:r>
        <w:rPr>
          <w:rtl w:val="true"/>
        </w:rPr>
        <w:t xml:space="preserve">دو </w:t>
      </w:r>
      <w:r>
        <w:rPr>
          <w:rtl w:val="true"/>
        </w:rPr>
        <w:t xml:space="preserve">- </w:t>
      </w:r>
      <w:r>
        <w:rPr>
          <w:rtl w:val="true"/>
        </w:rPr>
        <w:t xml:space="preserve">نادرست بودن تضعيف خبر مصحف على </w:t>
      </w:r>
      <w:r>
        <w:rPr>
          <w:rtl w:val="true"/>
        </w:rPr>
        <w:t>(</w:t>
      </w:r>
      <w:r>
        <w:rPr>
          <w:rtl w:val="true"/>
        </w:rPr>
        <w:t>ع</w:t>
      </w:r>
      <w:r>
        <w:rPr>
          <w:rtl w:val="true"/>
        </w:rPr>
        <w:t>)</w:t>
      </w:r>
      <w:bookmarkEnd w:id="458"/>
    </w:p>
    <w:p>
      <w:pPr>
        <w:pStyle w:val="Heading6"/>
        <w:numPr>
          <w:ilvl w:val="5"/>
          <w:numId w:val="1"/>
        </w:numPr>
        <w:rPr/>
      </w:pPr>
      <w:bookmarkStart w:id="459" w:name="__RefHeading___Toc3767179_3650668749"/>
      <w:bookmarkStart w:id="460" w:name="_Toc168"/>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 xml:space="preserve">اينكه ناصرالقفارى، از يك‌سو، مصحف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مزعوم و موهوم و خيال مى‌شمارد </w:t>
      </w:r>
      <w:r>
        <w:rPr>
          <w:rStyle w:val="FootnoteAnchor"/>
          <w:rtl w:val="true"/>
        </w:rPr>
        <w:footnoteReference w:id="1327"/>
      </w:r>
      <w:r>
        <w:rPr>
          <w:rFonts w:ascii="IRNazanin" w:hAnsi="IRNazanin" w:eastAsia="IRNazanin"/>
          <w:color w:val="111111"/>
          <w:sz w:val="28"/>
          <w:sz w:val="28"/>
          <w:szCs w:val="28"/>
          <w:rtl w:val="true"/>
          <w:lang w:bidi="fa-IR"/>
        </w:rPr>
        <w:t xml:space="preserve">، و از سويى مى‌گويد اين ادعا در برخى منابع اهل‌سنت آمده ولى سندش ثابت نشده </w:t>
      </w:r>
      <w:r>
        <w:rPr>
          <w:rStyle w:val="FootnoteAnchor"/>
          <w:rtl w:val="true"/>
        </w:rPr>
        <w:footnoteReference w:id="1328"/>
      </w:r>
      <w:r>
        <w:rPr>
          <w:rFonts w:ascii="IRNazanin" w:hAnsi="IRNazanin" w:eastAsia="IRNazanin"/>
          <w:color w:val="111111"/>
          <w:sz w:val="28"/>
          <w:sz w:val="28"/>
          <w:szCs w:val="28"/>
          <w:rtl w:val="true"/>
          <w:lang w:bidi="fa-IR"/>
        </w:rPr>
        <w:t xml:space="preserve">، شكى را باقى نمى‌گذارد كه با وجود آمدن گزارش مصحف در منابع اهل سنت، تعبيرهاى وى دور از عرف پژوهشى و امر ناصواب است؛ امّا اينكه چه‌اندازه ادعاى وى مبنى بر موهوم بودن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به‌واقع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مصحف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از سه طريق گزارش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محمّدبن‌سيرين </w:t>
      </w:r>
      <w:r>
        <w:rPr>
          <w:rStyle w:val="FootnoteAnchor"/>
          <w:rtl w:val="true"/>
        </w:rPr>
        <w:footnoteReference w:id="1329"/>
      </w:r>
      <w:r>
        <w:rPr>
          <w:rFonts w:ascii="IRNazanin" w:hAnsi="IRNazanin" w:eastAsia="IRNazanin"/>
          <w:color w:val="111111"/>
          <w:sz w:val="28"/>
          <w:sz w:val="28"/>
          <w:szCs w:val="28"/>
          <w:rtl w:val="true"/>
          <w:lang w:bidi="fa-IR"/>
        </w:rPr>
        <w:t xml:space="preserve">، از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خير </w:t>
      </w:r>
      <w:r>
        <w:rPr>
          <w:rStyle w:val="FootnoteAnchor"/>
          <w:rtl w:val="true"/>
        </w:rPr>
        <w:footnoteReference w:id="1330"/>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عكرمه </w:t>
      </w:r>
      <w:r>
        <w:rPr>
          <w:rStyle w:val="FootnoteAnchor"/>
          <w:rtl w:val="true"/>
        </w:rPr>
        <w:footnoteReference w:id="1332"/>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نويسندگان ياد شده فقط طريق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تضعيف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ابن‌ابى‌داود سجستانى بعد از نقل روايت،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يذكرالمصحف أحداً إلّا أشعث </w:t>
      </w:r>
      <w:r>
        <w:rPr>
          <w:rStyle w:val="FootnoteAnchor"/>
          <w:rtl w:val="true"/>
        </w:rPr>
        <w:footnoteReference w:id="1334"/>
      </w:r>
      <w:r>
        <w:rPr>
          <w:rFonts w:ascii="Amiri" w:hAnsi="Amiri" w:eastAsia="Amiri" w:cs="Amiri"/>
          <w:color w:val="111111"/>
          <w:sz w:val="28"/>
          <w:sz w:val="28"/>
          <w:szCs w:val="28"/>
          <w:rtl w:val="true"/>
          <w:lang w:bidi="ar-SA"/>
        </w:rPr>
        <w:t xml:space="preserve">و هو ليّن الحديث، وإنّما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حتى‌أجمع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أتمّ حفظه، 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يَحفظ القرآن قد جمع </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ابن‌ابى‌داود را از چند جهت تضعيف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منقطع‌بودن، بر فرض عدم انقطاع،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حفظ قرآن در سينه است نَه مصحف، و در بعضى از نقل‌ها 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جَمَعَه بين اللوحين </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 xml:space="preserve">، آمده وَهم راوى است </w:t>
      </w:r>
      <w:r>
        <w:rPr>
          <w:rStyle w:val="FootnoteAnchor"/>
          <w:rtl w:val="true"/>
        </w:rPr>
        <w:footnoteReference w:id="1337"/>
      </w:r>
      <w:r>
        <w:rPr>
          <w:rFonts w:ascii="Amiri" w:hAnsi="Amiri" w:eastAsia="Amiri" w:cs="Amiri"/>
          <w:color w:val="111111"/>
          <w:sz w:val="28"/>
          <w:sz w:val="28"/>
          <w:szCs w:val="28"/>
          <w:rtl w:val="true"/>
          <w:lang w:bidi="ar-SA"/>
        </w:rPr>
        <w:t>، واقعيت ندارد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كلى‌تر به‌نقد روايت مى‌پردازد،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كه شايع شده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نشست و قرآن را جمع‌آورى كرد، برخى از طُرقش ضعيف، برخى ديگر جعلى و بعضى ديگر صحيح است ولى همان‌گونه كه گفته شده </w:t>
      </w:r>
      <w:bookmarkStart w:id="461" w:name="pg1976_28128"/>
    </w:p>
    <w:p>
      <w:pPr>
        <w:pStyle w:val="BookText"/>
        <w:rPr/>
      </w:pPr>
      <w:bookmarkEnd w:id="4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نمودن در سينه است</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نه در مصحف؛ قفارى نيز با استناد به‌كلام ابن‌حجر، روايت محمدبن‌سيرين را ضعيف دانست</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3767181_3650668749"/>
      <w:bookmarkStart w:id="463" w:name="_Toc169"/>
      <w:bookmarkEnd w:id="462"/>
      <w:r>
        <w:rPr>
          <w:rtl w:val="true"/>
        </w:rPr>
        <w:t>ارزيابى و نقد اشكالات</w:t>
      </w:r>
      <w:bookmarkEnd w:id="463"/>
    </w:p>
    <w:p>
      <w:pPr>
        <w:pStyle w:val="BookText"/>
        <w:rPr/>
      </w:pPr>
      <w:r>
        <w:rPr>
          <w:rFonts w:ascii="IRNazanin" w:hAnsi="IRNazanin" w:eastAsia="IRNazanin"/>
          <w:color w:val="111111"/>
          <w:sz w:val="28"/>
          <w:sz w:val="28"/>
          <w:szCs w:val="28"/>
          <w:rtl w:val="true"/>
          <w:lang w:bidi="fa-IR"/>
        </w:rPr>
        <w:t>پاسخ 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دركلام نويسندگان ياد شده حديث، به‌خاطر اشعث، بدان جهت كه جز او كسى حديث را نقل نكرده و او ضعيف است، ناتمام و غير قابل استناد مى‌دانند، درحالى‌كه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اشعث </w:t>
      </w:r>
      <w:r>
        <w:rPr>
          <w:rStyle w:val="FootnoteAnchor"/>
          <w:rtl w:val="true"/>
        </w:rPr>
        <w:footnoteReference w:id="1339"/>
      </w:r>
      <w:r>
        <w:rPr>
          <w:rFonts w:ascii="IRNazanin" w:hAnsi="IRNazanin" w:eastAsia="IRNazanin"/>
          <w:color w:val="111111"/>
          <w:sz w:val="28"/>
          <w:sz w:val="28"/>
          <w:szCs w:val="28"/>
          <w:rtl w:val="true"/>
          <w:lang w:bidi="fa-IR"/>
        </w:rPr>
        <w:t xml:space="preserve">، اشعث بن‌سوّار </w:t>
      </w:r>
      <w:r>
        <w:rPr>
          <w:rFonts w:eastAsia="IRNazanin" w:cs="IRNazanin"/>
          <w:color w:val="111111"/>
          <w:sz w:val="28"/>
          <w:szCs w:val="28"/>
          <w:lang w:bidi="fa-IR"/>
        </w:rPr>
        <w:t>4452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الكندى النجّار است، و تضعيف او مورد اتفاق نيست؛ ابواحمد بن‌عدى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نسبت به‌برخى رواياتى كه اشعث بن سوّار از مشايخ خود گزارش مى‌كند، مخالفت شده ولى فى‌الجمله يكتَب حَدِيثُه</w:t>
      </w:r>
      <w:r>
        <w:rPr>
          <w:rFonts w:eastAsia="IRNazanin" w:cs="IRNazanin"/>
          <w:color w:val="111111"/>
          <w:sz w:val="28"/>
          <w:szCs w:val="28"/>
          <w:rtl w:val="true"/>
          <w:lang w:bidi="fa-IR"/>
        </w:rPr>
        <w:t xml:space="preserve">» </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لانَعلمُ أحداً ترك حديثه إلّا من قليل المعرفة </w:t>
      </w:r>
      <w:r>
        <w:rPr>
          <w:rFonts w:eastAsia="IRNazanin" w:cs="IRNazanin"/>
          <w:color w:val="111111"/>
          <w:sz w:val="28"/>
          <w:szCs w:val="28"/>
          <w:rtl w:val="true"/>
          <w:lang w:bidi="fa-IR"/>
        </w:rPr>
        <w:t xml:space="preserve">» </w:t>
      </w:r>
      <w:r>
        <w:rPr>
          <w:rStyle w:val="FootnoteAnchor"/>
          <w:rtl w:val="true"/>
        </w:rPr>
        <w:footnoteReference w:id="1341"/>
      </w:r>
      <w:r>
        <w:rPr>
          <w:rFonts w:ascii="Amiri" w:hAnsi="Amiri" w:eastAsia="Amiri" w:cs="Amiri"/>
          <w:color w:val="111111"/>
          <w:sz w:val="28"/>
          <w:sz w:val="28"/>
          <w:szCs w:val="28"/>
          <w:rtl w:val="true"/>
          <w:lang w:bidi="ar-SA"/>
        </w:rPr>
        <w:t>بنابراين تضعيف اشعث اجماعى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اين حديث، از محمّدبن‌سيرين تنها اشعث نيست بلكه همان‌گونه كه اشاره شد، روايت را يزيدبن‌هارون و او از ابن‌عون و وى از محمّد بن سيرين </w:t>
      </w:r>
      <w:r>
        <w:rPr>
          <w:rStyle w:val="FootnoteAnchor"/>
          <w:rtl w:val="true"/>
        </w:rPr>
        <w:footnoteReference w:id="1342"/>
      </w:r>
      <w:r>
        <w:rPr>
          <w:rFonts w:ascii="Amiri" w:hAnsi="Amiri" w:eastAsia="Amiri" w:cs="Amiri"/>
          <w:color w:val="111111"/>
          <w:sz w:val="28"/>
          <w:sz w:val="28"/>
          <w:szCs w:val="28"/>
          <w:rtl w:val="true"/>
          <w:lang w:bidi="ar-SA"/>
        </w:rPr>
        <w:t xml:space="preserve">و اسماعيل‌بن ابراهيم، وى از ايوب و او از ابن‌عون ازمحمّدبن سيرين </w:t>
      </w:r>
      <w:r>
        <w:rPr>
          <w:rStyle w:val="FootnoteAnchor"/>
          <w:rtl w:val="true"/>
        </w:rPr>
        <w:footnoteReference w:id="1343"/>
      </w:r>
      <w:r>
        <w:rPr>
          <w:rFonts w:ascii="Amiri" w:hAnsi="Amiri" w:eastAsia="Amiri" w:cs="Amiri"/>
          <w:color w:val="111111"/>
          <w:sz w:val="28"/>
          <w:sz w:val="28"/>
          <w:szCs w:val="28"/>
          <w:rtl w:val="true"/>
          <w:lang w:bidi="ar-SA"/>
        </w:rPr>
        <w:t xml:space="preserve">اسماعيل‌بن‌عُلية او از ايوب السختيانى از محمّدبن‌سيرين </w:t>
      </w:r>
      <w:r>
        <w:rPr>
          <w:rStyle w:val="FootnoteAnchor"/>
          <w:rtl w:val="true"/>
        </w:rPr>
        <w:footnoteReference w:id="1344"/>
      </w:r>
      <w:r>
        <w:rPr>
          <w:rFonts w:ascii="IRNazanin" w:hAnsi="IRNazanin" w:eastAsia="IRNazanin"/>
          <w:color w:val="111111"/>
          <w:sz w:val="28"/>
          <w:sz w:val="28"/>
          <w:szCs w:val="28"/>
          <w:rtl w:val="true"/>
          <w:lang w:bidi="fa-IR"/>
        </w:rPr>
        <w:t>بازگو نموده‌اند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روايت محمّدبن‌سيرين از طريق عبدخير و عكرمه كه هر دو مورد تأييد رجال شناسان اهل‌سنت‌اند، نَقل شده است؛ بنابراين منقطع بودن روايت محمّد، مرتفع مى‌گردد، چه اينكه سيوطى بعد از كلام ابن‌حجر، تصريح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w:t>
      </w:r>
    </w:p>
    <w:p>
      <w:pPr>
        <w:pStyle w:val="BookText"/>
        <w:rPr/>
      </w:pPr>
      <w:r>
        <w:rPr>
          <w:rFonts w:ascii="Amiri" w:hAnsi="Amiri" w:eastAsia="Amiri" w:cs="Amiri"/>
          <w:color w:val="111111"/>
          <w:sz w:val="28"/>
          <w:sz w:val="28"/>
          <w:szCs w:val="28"/>
          <w:rtl w:val="true"/>
          <w:lang w:bidi="ar-SA"/>
        </w:rPr>
        <w:t>من طريق آخر، أخرجه ابن‌الض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ريس في فضائله</w:t>
      </w:r>
      <w:r>
        <w:rPr>
          <w:rFonts w:eastAsia="Amiri" w:cs="Amiri" w:ascii="Amiri" w:hAnsi="Amiri"/>
          <w:color w:val="111111"/>
          <w:sz w:val="28"/>
          <w:szCs w:val="28"/>
          <w:rtl w:val="true"/>
          <w:lang w:bidi="ar-SA"/>
        </w:rPr>
        <w:t xml:space="preserve">. . . » </w:t>
      </w:r>
      <w:r>
        <w:rPr>
          <w:rStyle w:val="FootnoteAnchor"/>
          <w:rtl w:val="true"/>
        </w:rPr>
        <w:footnoteReference w:id="1345"/>
      </w:r>
      <w:r>
        <w:rPr>
          <w:rFonts w:ascii="Amiri" w:hAnsi="Amiri" w:eastAsia="Amiri" w:cs="Amiri"/>
          <w:color w:val="111111"/>
          <w:sz w:val="28"/>
          <w:sz w:val="28"/>
          <w:szCs w:val="28"/>
          <w:rtl w:val="true"/>
          <w:lang w:bidi="ar-SA"/>
        </w:rPr>
        <w:t xml:space="preserve">، آلوسى نيز كه برخى از اسناد اين حديث را تأييد كرده و صحيح مى‌شمارد ولى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توجيه مى‌كند به‌حفظ در سينه، همين سند ضريس است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ابن‌حجر و ديگران،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را، به‌حفظ در سينه و حافظه، توجيه مى‌كنند، از جهاتى مردود و غير قابل قبول است </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ابن‌حجر در ابتداى همان باب جمع القرآن، واژۀ جمع را اين‌گونه معنا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بالجمع هُنَا جَمعٌ مخصوصٌ، و هو جمع مُتَفرّقة في صُحُفٍ، ثم جمع تلك الصُّحف في‌ال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واحد مرتّب السُّوَر </w:t>
      </w:r>
      <w:r>
        <w:rPr>
          <w:rFonts w:eastAsia="IRNazanin" w:cs="IRNazanin"/>
          <w:color w:val="111111"/>
          <w:sz w:val="28"/>
          <w:szCs w:val="28"/>
          <w:rtl w:val="true"/>
          <w:lang w:bidi="fa-IR"/>
        </w:rPr>
        <w:t xml:space="preserve">» </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ابن‌حجر عبارت ابن‌ابى‌داود 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اصل امانتدارى ناديده گرفت و آن را تحريف كرد؛ ابن ابى‌داود، تحت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جَمَعَ علي‌بن‌ابي‌طالب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في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حتّى يَجمع القرآنَ في مصحف، فَفَعَل </w:t>
      </w:r>
      <w:r>
        <w:rPr>
          <w:rFonts w:eastAsia="IRNazanin" w:cs="IRNazanin"/>
          <w:color w:val="111111"/>
          <w:sz w:val="28"/>
          <w:szCs w:val="28"/>
          <w:rtl w:val="true"/>
          <w:lang w:bidi="fa-IR"/>
        </w:rPr>
        <w:t xml:space="preserve">» </w:t>
      </w:r>
      <w:r>
        <w:rPr>
          <w:rStyle w:val="FootnoteAnchor"/>
          <w:rtl w:val="true"/>
        </w:rPr>
        <w:footnoteReference w:id="1349"/>
      </w:r>
      <w:r>
        <w:rPr>
          <w:rFonts w:ascii="IRNazanin" w:hAnsi="IRNazanin" w:eastAsia="IRNazanin"/>
          <w:color w:val="111111"/>
          <w:sz w:val="28"/>
          <w:sz w:val="28"/>
          <w:szCs w:val="28"/>
          <w:rtl w:val="true"/>
          <w:lang w:bidi="fa-IR"/>
        </w:rPr>
        <w:t xml:space="preserve">، ولى ابن‌حجر بر خلاف صريح عبارت‌هاى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عنوان و هم در متن حديث،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به‌معناى حفظ در سينه گرفت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به‌اعتراف خود آلوسى كه روايت ابن‌الضريس صحيح است، در متن همين روايت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ألّفُوهُ كما اُنزِلَ، ألاَوّل فَالاَوّل </w:t>
      </w:r>
      <w:r>
        <w:rPr>
          <w:rFonts w:eastAsia="Amiri" w:cs="Amiri" w:ascii="Amiri" w:hAnsi="Amiri"/>
          <w:color w:val="111111"/>
          <w:sz w:val="28"/>
          <w:szCs w:val="28"/>
          <w:rtl w:val="true"/>
          <w:lang w:bidi="ar-SA"/>
        </w:rPr>
        <w:t xml:space="preserve">» </w:t>
      </w:r>
      <w:r>
        <w:rPr>
          <w:rStyle w:val="FootnoteAnchor"/>
          <w:rtl w:val="true"/>
        </w:rPr>
        <w:footnoteReference w:id="1350"/>
      </w:r>
      <w:r>
        <w:rPr>
          <w:rFonts w:ascii="IRNazanin" w:hAnsi="IRNazanin" w:eastAsia="IRNazanin"/>
          <w:color w:val="111111"/>
          <w:sz w:val="28"/>
          <w:sz w:val="28"/>
          <w:szCs w:val="28"/>
          <w:rtl w:val="true"/>
          <w:lang w:bidi="fa-IR"/>
        </w:rPr>
        <w:t xml:space="preserve">ولى درعين حال سخن ابن‌حجر را مى‌پذيرد كه مراد حفظ در سينه است؛ چگونه معقول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p>
    <w:p>
      <w:pPr>
        <w:pStyle w:val="BookText"/>
        <w:rPr/>
      </w:pPr>
      <w:r>
        <w:rPr>
          <w:rFonts w:ascii="Amiri" w:hAnsi="Amiri" w:eastAsia="Amiri" w:cs="Amiri"/>
          <w:color w:val="111111"/>
          <w:sz w:val="28"/>
          <w:sz w:val="28"/>
          <w:szCs w:val="28"/>
          <w:rtl w:val="true"/>
          <w:lang w:bidi="ar-SA"/>
        </w:rPr>
        <w:t xml:space="preserve">بر اساس تاريخ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سينه‌اش تأليف كند؟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نسبت به‌بررسى روايات، راه علمى كه در علم درايه به‌اثبات رسيده، نپيموده است؛ زيرا احاديثى كه از نگاهِ مضمون هماهنگ ولى برخى اسناد به‌اصطلاح آلوسى ضعيف است، مؤيد حديث صحيح خواهد شد و آن را مستفيض خواهد ساخت نَه اينكه حديث صحيح تابع روايت ضعيف باشد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در ذهن باشد، چه نيازى بود كه اميرالمؤمنين در خانه بنشيند و جز براى نماز از خانه خارج نگردد </w:t>
      </w:r>
      <w:r>
        <w:rPr>
          <w:rStyle w:val="FootnoteAnchor"/>
          <w:rtl w:val="true"/>
        </w:rPr>
        <w:footnoteReference w:id="1353"/>
      </w:r>
      <w:r>
        <w:rPr>
          <w:rFonts w:ascii="IRNazanin" w:hAnsi="IRNazanin" w:eastAsia="IRNazanin"/>
          <w:color w:val="111111"/>
          <w:sz w:val="28"/>
          <w:sz w:val="28"/>
          <w:szCs w:val="28"/>
          <w:rtl w:val="true"/>
          <w:lang w:bidi="fa-IR"/>
        </w:rPr>
        <w:t xml:space="preserve">براى سپردن در ذهن راهى غير از نشستن در خانه وجود داشت؛ گذشته از آن درگزارش عبدالرّزاق كه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حتى‌أجمَعُه للنّاس </w:t>
      </w:r>
      <w:r>
        <w:rPr>
          <w:rFonts w:eastAsia="IRNazanin" w:cs="IRNazanin"/>
          <w:color w:val="111111"/>
          <w:sz w:val="28"/>
          <w:szCs w:val="28"/>
          <w:rtl w:val="true"/>
          <w:lang w:bidi="fa-IR"/>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موجود است، يعقوبى و شهرستانى از عرضه آن برمردم خبر مى‌دهند </w:t>
      </w:r>
      <w:r>
        <w:rPr>
          <w:rStyle w:val="FootnoteAnchor"/>
          <w:rtl w:val="true"/>
        </w:rPr>
        <w:footnoteReference w:id="1355"/>
      </w:r>
      <w:r>
        <w:rPr>
          <w:rFonts w:ascii="IRNazanin" w:hAnsi="IRNazanin" w:eastAsia="IRNazanin"/>
          <w:color w:val="111111"/>
          <w:sz w:val="28"/>
          <w:sz w:val="28"/>
          <w:szCs w:val="28"/>
          <w:rtl w:val="true"/>
          <w:lang w:bidi="fa-IR"/>
        </w:rPr>
        <w:t xml:space="preserve">، چگونه با توجيه ابن‌حجر سازگار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اشكال سوم، ابن‌حجر،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اللَّوحَين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وَهم راوى خوانده و با اين تعبيرش عبدخير را متهم به‌خطا و ضعف كرده، در حالى‌كه خود وى همين راوى را در روايت ديگر </w:t>
      </w:r>
      <w:r>
        <w:rPr>
          <w:rStyle w:val="FootnoteAnchor"/>
          <w:rtl w:val="true"/>
        </w:rPr>
        <w:footnoteReference w:id="1356"/>
      </w:r>
      <w:r>
        <w:rPr>
          <w:rFonts w:ascii="Amiri" w:hAnsi="Amiri" w:eastAsia="Amiri" w:cs="Amiri"/>
          <w:color w:val="111111"/>
          <w:sz w:val="28"/>
          <w:sz w:val="28"/>
          <w:szCs w:val="28"/>
          <w:rtl w:val="true"/>
          <w:lang w:bidi="ar-SA"/>
        </w:rPr>
        <w:t xml:space="preserve">كه مضمون آن به‌نفع ابابكر است تأييد مى‌كند </w:t>
      </w:r>
      <w:r>
        <w:rPr>
          <w:rStyle w:val="FootnoteAnchor"/>
          <w:rtl w:val="true"/>
        </w:rPr>
        <w:footnoteReference w:id="1357"/>
      </w:r>
      <w:r>
        <w:rPr>
          <w:rFonts w:ascii="IRNazanin" w:hAnsi="IRNazanin" w:eastAsia="IRNazanin"/>
          <w:color w:val="111111"/>
          <w:sz w:val="28"/>
          <w:sz w:val="28"/>
          <w:szCs w:val="28"/>
          <w:rtl w:val="true"/>
          <w:lang w:bidi="fa-IR"/>
        </w:rPr>
        <w:t xml:space="preserve">به‌راستى چگونه معقول است يك راوى نسبت به على تضعيف مى‌گردد و نسبت به‌ابابكر مورد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تعبير مِنَ‌اللّوحَين در روايات ديگر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نقل شده است؛ ابونعيم در حليۀ </w:t>
      </w:r>
      <w:bookmarkStart w:id="464" w:name="pg1976_28135"/>
    </w:p>
    <w:p>
      <w:pPr>
        <w:pStyle w:val="BookText"/>
        <w:rPr/>
      </w:pPr>
      <w:bookmarkEnd w:id="464"/>
      <w:r>
        <w:rPr>
          <w:rFonts w:ascii="Amiri" w:hAnsi="Amiri" w:eastAsia="Amiri" w:cs="Amiri"/>
          <w:color w:val="111111"/>
          <w:sz w:val="28"/>
          <w:sz w:val="28"/>
          <w:szCs w:val="28"/>
          <w:rtl w:val="true"/>
          <w:lang w:bidi="ar-SA"/>
        </w:rPr>
        <w:t xml:space="preserve">الاولياء،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أجمع ما بين‌اللَّوحَين </w:t>
      </w:r>
      <w:r>
        <w:rPr>
          <w:rFonts w:eastAsia="Amiri" w:cs="Amiri" w:ascii="Amiri" w:hAnsi="Amiri"/>
          <w:color w:val="111111"/>
          <w:sz w:val="28"/>
          <w:szCs w:val="28"/>
          <w:rtl w:val="true"/>
          <w:lang w:bidi="ar-SA"/>
        </w:rPr>
        <w:t xml:space="preserve">» </w:t>
      </w:r>
      <w:r>
        <w:rPr>
          <w:rStyle w:val="FootnoteAnchor"/>
          <w:rtl w:val="true"/>
        </w:rPr>
        <w:footnoteReference w:id="1358"/>
      </w:r>
      <w:r>
        <w:rPr>
          <w:rFonts w:ascii="IRNazanin" w:hAnsi="IRNazanin" w:eastAsia="IRNazanin"/>
          <w:color w:val="111111"/>
          <w:sz w:val="28"/>
          <w:sz w:val="28"/>
          <w:szCs w:val="28"/>
          <w:rtl w:val="true"/>
          <w:lang w:bidi="fa-IR"/>
        </w:rPr>
        <w:t>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ابن‌عساكر در چند روايت اين تعبير را نسبت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از ميان دو لوح بپرسيد</w:t>
      </w:r>
      <w:r>
        <w:rPr>
          <w:rFonts w:eastAsia="IRNazanin" w:cs="IRNazanin"/>
          <w:color w:val="111111"/>
          <w:sz w:val="28"/>
          <w:szCs w:val="28"/>
          <w:rtl w:val="true"/>
          <w:lang w:bidi="fa-IR"/>
        </w:rPr>
        <w:t xml:space="preserve">» </w:t>
      </w:r>
      <w:r>
        <w:rPr>
          <w:rStyle w:val="FootnoteAnchor"/>
          <w:rtl w:val="true"/>
        </w:rPr>
        <w:footnoteReference w:id="1359"/>
      </w:r>
      <w:r>
        <w:rPr>
          <w:rFonts w:ascii="Amiri" w:hAnsi="Amiri" w:eastAsia="Amiri" w:cs="Amiri"/>
          <w:color w:val="111111"/>
          <w:sz w:val="28"/>
          <w:sz w:val="28"/>
          <w:szCs w:val="28"/>
          <w:rtl w:val="true"/>
          <w:lang w:bidi="ar-SA"/>
        </w:rPr>
        <w:t>، بنابراين سخن ابن‌حجر ناصواب و مردود است</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3767183_3650668749"/>
      <w:bookmarkStart w:id="466" w:name="_Toc170"/>
      <w:bookmarkEnd w:id="465"/>
      <w:r>
        <w:rPr>
          <w:rtl w:val="true"/>
        </w:rPr>
        <w:t>ب</w:t>
      </w:r>
      <w:r>
        <w:rPr>
          <w:rtl w:val="true"/>
        </w:rPr>
        <w:t xml:space="preserve">) </w:t>
      </w:r>
      <w:r>
        <w:rPr>
          <w:rtl w:val="true"/>
        </w:rPr>
        <w:t xml:space="preserve">محتواى مصحف على </w:t>
      </w:r>
      <w:r>
        <w:rPr>
          <w:rtl w:val="true"/>
        </w:rPr>
        <w:t>(</w:t>
      </w:r>
      <w:r>
        <w:rPr>
          <w:rtl w:val="true"/>
        </w:rPr>
        <w:t>ع</w:t>
      </w:r>
      <w:r>
        <w:rPr>
          <w:rtl w:val="true"/>
        </w:rPr>
        <w:t>)</w:t>
      </w:r>
      <w:bookmarkEnd w:id="466"/>
    </w:p>
    <w:p>
      <w:pPr>
        <w:pStyle w:val="BookText"/>
        <w:rPr/>
      </w:pPr>
      <w:r>
        <w:rPr>
          <w:rFonts w:ascii="IRNazanin" w:hAnsi="IRNazanin" w:eastAsia="IRNazanin"/>
          <w:color w:val="111111"/>
          <w:sz w:val="28"/>
          <w:sz w:val="28"/>
          <w:szCs w:val="28"/>
          <w:rtl w:val="true"/>
          <w:lang w:bidi="fa-IR"/>
        </w:rPr>
        <w:t xml:space="preserve">ناصرالقفارى مانند هميشه در اين مورد نيز از حربه تهمت بهره مى‌گيرد و شيعه را متهم مى‌كند كه با اعتقاد به‌مصحف على، اضافاتى بر قرآن قائل‌اند </w:t>
      </w:r>
      <w:r>
        <w:rPr>
          <w:rStyle w:val="FootnoteAnchor"/>
          <w:rtl w:val="true"/>
        </w:rPr>
        <w:footnoteReference w:id="1360"/>
      </w:r>
      <w:r>
        <w:rPr>
          <w:rFonts w:ascii="IRNazanin" w:hAnsi="IRNazanin" w:eastAsia="IRNazanin"/>
          <w:color w:val="111111"/>
          <w:sz w:val="28"/>
          <w:sz w:val="28"/>
          <w:szCs w:val="28"/>
          <w:rtl w:val="true"/>
          <w:lang w:bidi="fa-IR"/>
        </w:rPr>
        <w:t>، اما اينكه به‌راستى محتواى اين مصحف شريف زايد بر قرآن موجود است تا سخن او صحيح باشد؟ و تفاوت اساسى آن با مصحف رائج، در چيست؟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منابع اهل‌سنّت؛ با معرفى ويژگى‌هايى كه منابع اهل‌سنت براى اين مصحف ارائه مى‌دهند مى‌توان به‌محتواى آن پى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على تنزيله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بن‌سيرين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فلوأصيب ذلكَ الكتابُ كانَ فيه عِلمٌ </w:t>
      </w:r>
      <w:r>
        <w:rPr>
          <w:rFonts w:eastAsia="IRNazanin" w:cs="IRNazanin"/>
          <w:color w:val="111111"/>
          <w:sz w:val="28"/>
          <w:szCs w:val="28"/>
          <w:rtl w:val="true"/>
          <w:lang w:bidi="fa-IR"/>
        </w:rPr>
        <w:t xml:space="preserve">»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فبلغني أنَّه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تنزيله ولوأصيب ذلك لوُجِد فيه عِلمٌ كثيرٌ </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 على ترتيب نُزُوله، ولو وُجد مُصحَفَه لكان فيه عِلمٌ كثير ولكنّه لم يُوجَد </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إقرأ را ابتداى قرآن قرار داده بود و هذا أوّل مصحف على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لعكرمة ألّفُوهُ كما أُنزِلَ، الاَوّل فالاَوّل؟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إجتمعت الاِنسُ والجنُّ على أن يؤلّفوهُ هذا التأليف ما </w:t>
      </w:r>
    </w:p>
    <w:p>
      <w:pPr>
        <w:pStyle w:val="BookText"/>
        <w:rPr/>
      </w:pPr>
      <w:r>
        <w:rPr>
          <w:rFonts w:ascii="IRNazanin" w:hAnsi="IRNazanin" w:eastAsia="IRNazanin"/>
          <w:color w:val="111111"/>
          <w:sz w:val="28"/>
          <w:sz w:val="28"/>
          <w:szCs w:val="28"/>
          <w:rtl w:val="true"/>
          <w:lang w:bidi="fa-IR"/>
        </w:rPr>
        <w:t xml:space="preserve">استطاعوا </w:t>
      </w:r>
      <w:r>
        <w:rPr>
          <w:rFonts w:eastAsia="IRNazanin" w:cs="IRNazanin"/>
          <w:color w:val="111111"/>
          <w:sz w:val="28"/>
          <w:szCs w:val="28"/>
          <w:rtl w:val="true"/>
          <w:lang w:bidi="fa-IR"/>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كَتَب في مُصحفه النّاسخ والمنسُوخ وأنّ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 ذلك الكتاب وكتبتُ فيه إلى المدينة فلم يَقدرعليه </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ابن‌عساكر روايت متعددى را در اين خصوص گزارش مى‌كند، از جمله از ابى‌الطفيل مى‌آورد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پس از حمد و ثنا،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فوالله مَا بين لوحَيِ المصحف آية تخفى عَلَيَّ فيما أنزِلَت ولا أينَ نُزِلَت، ولا مَا عَنى بها </w:t>
      </w:r>
      <w:r>
        <w:rPr>
          <w:rFonts w:eastAsia="IRNazanin" w:cs="IRNazanin"/>
          <w:color w:val="111111"/>
          <w:sz w:val="28"/>
          <w:szCs w:val="28"/>
          <w:rtl w:val="true"/>
          <w:lang w:bidi="fa-IR"/>
        </w:rPr>
        <w:t xml:space="preserve">» </w:t>
      </w:r>
      <w:r>
        <w:rPr>
          <w:rStyle w:val="FootnoteAnchor"/>
          <w:rtl w:val="true"/>
        </w:rPr>
        <w:footnoteReference w:id="1367"/>
      </w:r>
      <w:r>
        <w:rPr>
          <w:rFonts w:ascii="Amiri" w:hAnsi="Amiri" w:eastAsia="Amiri" w:cs="Amiri"/>
          <w:color w:val="111111"/>
          <w:sz w:val="28"/>
          <w:sz w:val="28"/>
          <w:szCs w:val="28"/>
          <w:rtl w:val="true"/>
          <w:lang w:bidi="ar-SA"/>
        </w:rPr>
        <w:t>، يا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عن كتاب‌الله، فإنّه ليس من آية إلاّ وقد عرفتُ بِلَيلٍ نزلت، أم بنهارٍ، أم في سهلٍ، أم في جَبَلٍ </w:t>
      </w:r>
      <w:r>
        <w:rPr>
          <w:rFonts w:eastAsia="Amiri" w:cs="Amiri" w:ascii="Amiri" w:hAnsi="Amiri"/>
          <w:color w:val="111111"/>
          <w:sz w:val="28"/>
          <w:szCs w:val="28"/>
          <w:rtl w:val="true"/>
          <w:lang w:bidi="ar-SA"/>
        </w:rPr>
        <w:t xml:space="preserve">» </w:t>
      </w:r>
      <w:r>
        <w:rPr>
          <w:rStyle w:val="FootnoteAnchor"/>
          <w:rtl w:val="true"/>
        </w:rPr>
        <w:footnoteReference w:id="1368"/>
      </w:r>
      <w:r>
        <w:rPr>
          <w:rFonts w:ascii="IRNazanin" w:hAnsi="IRNazanin" w:eastAsia="IRNazanin"/>
          <w:color w:val="111111"/>
          <w:sz w:val="28"/>
          <w:sz w:val="28"/>
          <w:szCs w:val="28"/>
          <w:rtl w:val="true"/>
          <w:lang w:bidi="fa-IR"/>
        </w:rPr>
        <w:t xml:space="preserve">، در تعبير ديگر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ولا تجدون أحداً علم بما بَين اللَّوحَين منّي، فَسَلُوني </w:t>
      </w:r>
      <w:r>
        <w:rPr>
          <w:rFonts w:eastAsia="IRNazanin" w:cs="IRNazanin"/>
          <w:color w:val="111111"/>
          <w:sz w:val="28"/>
          <w:szCs w:val="28"/>
          <w:rtl w:val="true"/>
          <w:lang w:bidi="fa-IR"/>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مفصّل‌تر و از جزئيات بيشترى پرده برمى‌دارد كه به‌خاطر اهميت كلام او متن كلام وى نقل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وهوعليه السّلام لمّا فَرَغ مِن تجهيز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وغُسله و تكفينه والصّلاة عليه و دفنه، آلي أن‌لايرتدي بُرداً إلّا لجُمعة حتّى يَجمع القرآنَ، اذ كان مأموراً بذلك أمراً جزماً فجَمَعه كما اُنزِلَ من غير تحريف و تبديل و نقصان؛ وقد كان اشار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مواضع التّرتيب والوضع، والتقديم والتأخير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يروي أنَّه لمّا فَرَغَ من جمعه أخرجه هو وغلامه قنبر إلى النّاس، وهم في المسجد،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الله أنزله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جَمَعتُه بين اللَّوحَين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المصحف، لا حاجة بنَا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لاترونه بعدُ هذا، أبداً، إنّما كان عَلَيَّ أن أخبركم حين جمعتُه، فرَجَع به‌الى بيته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الرَّسُولُ يَا رَبِّ إِنَّ قَوْمِى اتَّخَذُوا هَذَا الْقُرْآنَ مَهْجُوراً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وتركهم على ما هم عليه كما ترك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أخيه موسى بعد إلقاء الحجة عليهم، واعتذرلاخيه، بقوله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إِنِّى خَشِيتُ اَن تَقُولَ فَرَّقْتَ بَيْنَ بَنِى إِسْرَائِيلَ وَلَمْ تَرْقُبْ 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على‌بن‌ابى‌طالب پس از وفات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هفت جزء، هر جزء شامل شانزده سوره و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با يك سوره شمردن معوذتين، كه در مجموع</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w:t>
      </w:r>
      <w:r>
        <w:rPr>
          <w:rFonts w:eastAsia="IRNazanin" w:cs="IRNazanin"/>
          <w:color w:val="111111"/>
          <w:sz w:val="28"/>
          <w:szCs w:val="28"/>
          <w:lang w:bidi="fa-IR"/>
        </w:rPr>
        <w:t>62</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مى‌شد، بار شتر كرده، نزد مردم آورد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القرآن قد جَمَعتُه </w:t>
      </w:r>
      <w:r>
        <w:rPr>
          <w:rFonts w:eastAsia="IRNazanin" w:cs="IRNazanin"/>
          <w:color w:val="111111"/>
          <w:sz w:val="28"/>
          <w:szCs w:val="28"/>
          <w:rtl w:val="true"/>
          <w:lang w:bidi="fa-IR"/>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نديم زمان جمع‌آورى آن را سه روز مى‌داند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به‌مطالبى كه از منابع اهل‌سنت ارائه شد، نكات زير را نتيجه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شريف علاوه بر ترتيب سُور قرآن، براساس نزول، مشتمل بر حقائق فراوانى چون تبيين، تفسير و تأويل و شأن نزول</w:t>
      </w:r>
      <w:r>
        <w:rPr>
          <w:rFonts w:eastAsia="IRNazanin" w:cs="IRNazanin"/>
          <w:color w:val="111111"/>
          <w:sz w:val="28"/>
          <w:szCs w:val="28"/>
          <w:rtl w:val="true"/>
          <w:lang w:bidi="fa-IR"/>
        </w:rPr>
        <w:t xml:space="preserve">. . . </w:t>
      </w:r>
      <w:r>
        <w:rPr>
          <w:rStyle w:val="FootnoteAnchor"/>
          <w:rtl w:val="true"/>
        </w:rPr>
        <w:footnoteReference w:id="1373"/>
      </w:r>
      <w:r>
        <w:rPr>
          <w:rFonts w:ascii="Amiri" w:hAnsi="Amiri" w:eastAsia="Amiri" w:cs="Amiri"/>
          <w:color w:val="111111"/>
          <w:sz w:val="28"/>
          <w:sz w:val="28"/>
          <w:szCs w:val="28"/>
          <w:rtl w:val="true"/>
          <w:lang w:bidi="ar-SA"/>
        </w:rPr>
        <w:t xml:space="preserve">ناسخ و منسوخ بوده است و به‌امر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تعيين مواضع سوره‌ها </w:t>
      </w:r>
      <w:r>
        <w:rPr>
          <w:rStyle w:val="FootnoteAnchor"/>
          <w:rtl w:val="true"/>
        </w:rPr>
        <w:footnoteReference w:id="1374"/>
      </w:r>
      <w:r>
        <w:rPr>
          <w:rFonts w:ascii="IRNazanin" w:hAnsi="IRNazanin" w:eastAsia="IRNazanin"/>
          <w:color w:val="111111"/>
          <w:sz w:val="28"/>
          <w:sz w:val="28"/>
          <w:szCs w:val="28"/>
          <w:rtl w:val="true"/>
          <w:lang w:bidi="fa-IR"/>
        </w:rPr>
        <w:t xml:space="preserve">به‌املاء آن حضرت و خط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جمع‌آورى شد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مصحف با مصحفى كه در زمان عثمان مشهور شد، تنها در تقديم و تأخير سُوَر نبود بلكه همان‌گونه كه از اين تعبيرات راويان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عِلمٌ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فيه عِلمٌ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إجتَمَعَتِ الاِنسُ والجن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لاتجدون أحَداً أعلم بما بين اللَّوحين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پيداست، مملو از دانش و حقائقى كه نجات‌دهنده بشر باشد، بوده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سوره‌ها و آيات‌آن با قرآن موجود هيچ تفاوتى نداشته </w:t>
      </w:r>
      <w:r>
        <w:rPr>
          <w:rStyle w:val="FootnoteAnchor"/>
          <w:rtl w:val="true"/>
        </w:rPr>
        <w:footnoteReference w:id="1376"/>
      </w:r>
      <w:r>
        <w:rPr>
          <w:rFonts w:ascii="IRNazanin" w:hAnsi="IRNazanin" w:eastAsia="IRNazanin"/>
          <w:color w:val="111111"/>
          <w:sz w:val="28"/>
          <w:sz w:val="28"/>
          <w:szCs w:val="28"/>
          <w:rtl w:val="true"/>
          <w:lang w:bidi="fa-IR"/>
        </w:rPr>
        <w:t xml:space="preserve">، آنچه اين </w:t>
      </w:r>
    </w:p>
    <w:p>
      <w:pPr>
        <w:pStyle w:val="BookText"/>
        <w:rPr/>
      </w:pPr>
      <w:r>
        <w:rPr>
          <w:rFonts w:ascii="Amiri" w:hAnsi="Amiri" w:eastAsia="Amiri" w:cs="Amiri"/>
          <w:color w:val="111111"/>
          <w:sz w:val="28"/>
          <w:sz w:val="28"/>
          <w:szCs w:val="28"/>
          <w:rtl w:val="true"/>
          <w:lang w:bidi="ar-SA"/>
        </w:rPr>
        <w:t xml:space="preserve">مصحف را ممتاز ساخته حقايق و شرح و تبيينى است كه براساس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بوده است، و در مباحث قبلى اشاره شد كه </w:t>
      </w:r>
      <w:r>
        <w:rPr>
          <w:rStyle w:val="FootnoteAnchor"/>
          <w:rtl w:val="true"/>
        </w:rPr>
        <w:footnoteReference w:id="1377"/>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ديدگاه خود پژوهشگران اهل‌سنت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 xml:space="preserve">و اعلام هم، با نزول قرآن و هم با اعلام حقايقى كه متن قرآن نيست ولى سخن خداوند و وحى است، سازگار است؛ چنان‌كه ابن‌قتيبه وابن‌حزم </w:t>
      </w:r>
      <w:r>
        <w:rPr>
          <w:rStyle w:val="FootnoteAnchor"/>
          <w:rtl w:val="true"/>
        </w:rPr>
        <w:footnoteReference w:id="1379"/>
      </w:r>
      <w:r>
        <w:rPr>
          <w:rFonts w:ascii="Amiri" w:hAnsi="Amiri" w:eastAsia="Amiri" w:cs="Amiri"/>
          <w:color w:val="111111"/>
          <w:sz w:val="28"/>
          <w:sz w:val="28"/>
          <w:szCs w:val="28"/>
          <w:rtl w:val="true"/>
          <w:lang w:bidi="ar-SA"/>
        </w:rPr>
        <w:t xml:space="preserve">و على‌حسن العريض </w:t>
      </w:r>
      <w:r>
        <w:rPr>
          <w:rStyle w:val="FootnoteAnchor"/>
          <w:rtl w:val="true"/>
        </w:rPr>
        <w:footnoteReference w:id="1380"/>
      </w:r>
      <w:r>
        <w:rPr>
          <w:rFonts w:ascii="Amiri" w:hAnsi="Amiri" w:eastAsia="Amiri" w:cs="Amiri"/>
          <w:color w:val="111111"/>
          <w:sz w:val="28"/>
          <w:sz w:val="28"/>
          <w:szCs w:val="28"/>
          <w:rtl w:val="true"/>
          <w:lang w:bidi="ar-SA"/>
        </w:rPr>
        <w:t>، به‌يك حقيقتى وحيانى و تنزيلى معتقدند كه قرآن نيست ولى سخن خدا هست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آنچه زائد بر متن قرآن در اين مصحف شريف وجود داشته، كلمات وحيانى بوده كه توسط جبرئيل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و توسط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براساس حديث متواتر ثقلين </w:t>
      </w:r>
      <w:r>
        <w:rPr>
          <w:rStyle w:val="FootnoteAnchor"/>
          <w:rtl w:val="true"/>
        </w:rPr>
        <w:footnoteReference w:id="1381"/>
      </w:r>
      <w:r>
        <w:rPr>
          <w:rFonts w:ascii="IRNazanin" w:hAnsi="IRNazanin" w:eastAsia="IRNazanin"/>
          <w:color w:val="111111"/>
          <w:sz w:val="28"/>
          <w:sz w:val="28"/>
          <w:szCs w:val="28"/>
          <w:rtl w:val="true"/>
          <w:lang w:bidi="fa-IR"/>
        </w:rPr>
        <w:t xml:space="preserve">، عِدل قرآن است، به‌عنوان شرح و تفسير و تأويل و تنزيل، مكتوب گرديده است و قطعاً در آن چيزى كه سبب خشم وهابيان را فراهم كرده </w:t>
      </w:r>
      <w:r>
        <w:rPr>
          <w:rStyle w:val="FootnoteAnchor"/>
          <w:rtl w:val="true"/>
        </w:rPr>
        <w:footnoteReference w:id="1382"/>
      </w:r>
      <w:r>
        <w:rPr>
          <w:rFonts w:ascii="IRNazanin" w:hAnsi="IRNazanin" w:eastAsia="IRNazanin"/>
          <w:color w:val="111111"/>
          <w:sz w:val="28"/>
          <w:sz w:val="28"/>
          <w:szCs w:val="28"/>
          <w:rtl w:val="true"/>
          <w:lang w:bidi="fa-IR"/>
        </w:rPr>
        <w:t xml:space="preserve">يعنى اسامى منافقين و طعن برخى از اصحاب، وجود داشته است، ولى اين مسأله؛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ربطى به‌تحريف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مشكل از سوى خود اصحاب بود نَه خداوند و نه كسى ديگر؛ كسى و كسانى كه در هنگام مرگ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قلم و دواتى خواست چيزى بنويسد تا بعد از او امت گمراه نشوند،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شَأنه أهجَر؟</w:t>
      </w:r>
      <w:r>
        <w:rPr>
          <w:rFonts w:eastAsia="IRNazanin" w:cs="IRNazanin"/>
          <w:color w:val="111111"/>
          <w:sz w:val="28"/>
          <w:szCs w:val="28"/>
          <w:rtl w:val="true"/>
          <w:lang w:bidi="fa-IR"/>
        </w:rPr>
        <w:t xml:space="preserve">» </w:t>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غَلَبَه‌الوَجَع </w:t>
      </w:r>
      <w:r>
        <w:rPr>
          <w:rFonts w:eastAsia="Amiri" w:cs="Amiri" w:ascii="Amiri" w:hAnsi="Amiri"/>
          <w:color w:val="111111"/>
          <w:sz w:val="28"/>
          <w:szCs w:val="28"/>
          <w:rtl w:val="true"/>
          <w:lang w:bidi="ar-SA"/>
        </w:rPr>
        <w:t xml:space="preserve">» </w:t>
      </w:r>
      <w:r>
        <w:rPr>
          <w:rStyle w:val="FootnoteAnchor"/>
          <w:rtl w:val="true"/>
        </w:rPr>
        <w:footnoteReference w:id="1384"/>
      </w:r>
      <w:r>
        <w:rPr>
          <w:rFonts w:ascii="IRNazanin" w:hAnsi="IRNazanin" w:eastAsia="IRNazanin"/>
          <w:color w:val="111111"/>
          <w:sz w:val="28"/>
          <w:sz w:val="28"/>
          <w:szCs w:val="28"/>
          <w:rtl w:val="true"/>
          <w:lang w:bidi="fa-IR"/>
        </w:rPr>
        <w:t xml:space="preserve">، و توهين و اسائه ادب از سوى برخى صحابه كه ابن‌عبّاس را به‌گريه واداشت و آن روز را روز مصيبت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الرَّزِيّة كل الرَّزِيّة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Style w:val="FootnoteAnchor"/>
          <w:rtl w:val="true"/>
        </w:rPr>
        <w:footnoteReference w:id="1385"/>
      </w:r>
      <w:r>
        <w:rPr>
          <w:rFonts w:ascii="IRNazanin" w:hAnsi="IRNazanin" w:eastAsia="IRNazanin"/>
          <w:color w:val="111111"/>
          <w:sz w:val="28"/>
          <w:sz w:val="28"/>
          <w:szCs w:val="28"/>
          <w:rtl w:val="true"/>
          <w:lang w:bidi="fa-IR"/>
        </w:rPr>
        <w:t>، و پيامبر را در آخرين لحظات عمرش، خونِ دل كنند تا به آنها بفرمايد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بيرون</w:t>
      </w:r>
      <w:r>
        <w:rPr>
          <w:rFonts w:eastAsia="IRNazanin" w:cs="IRNazanin"/>
          <w:color w:val="111111"/>
          <w:sz w:val="28"/>
          <w:szCs w:val="28"/>
          <w:rtl w:val="true"/>
          <w:lang w:bidi="fa-IR"/>
        </w:rPr>
        <w:t xml:space="preserve">» </w:t>
      </w:r>
      <w:r>
        <w:rPr>
          <w:rStyle w:val="FootnoteAnchor"/>
          <w:rtl w:val="true"/>
        </w:rPr>
        <w:footnoteReference w:id="1386"/>
      </w:r>
      <w:r>
        <w:rPr>
          <w:rFonts w:ascii="Amiri" w:hAnsi="Amiri" w:eastAsia="Amiri" w:cs="Amiri"/>
          <w:color w:val="111111"/>
          <w:sz w:val="28"/>
          <w:sz w:val="28"/>
          <w:szCs w:val="28"/>
          <w:rtl w:val="true"/>
          <w:lang w:bidi="ar-SA"/>
        </w:rPr>
        <w:t xml:space="preserve">قفارى و هم قطاران وى، انتظار دارند از كار آنان تمجيد هم بشود؟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من‌الله العزيزالمجيد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به‌كلام شهرستانى كه جمع و ترتيب سوره‌ها به‌فرمان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وسخن ابن‌نديم مبنى براينكه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سه روز، مصحفش را جمع آورى كرد، نه تنها ديدگاه شيعه را تقويت كه قطعى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جمع‌آورى شد </w:t>
      </w:r>
      <w:r>
        <w:rPr>
          <w:rStyle w:val="FootnoteAnchor"/>
          <w:rtl w:val="true"/>
        </w:rPr>
        <w:footnoteReference w:id="1387"/>
      </w:r>
      <w:r>
        <w:rPr>
          <w:rFonts w:ascii="IRNazanin" w:hAnsi="IRNazanin" w:eastAsia="IRNazanin"/>
          <w:color w:val="111111"/>
          <w:sz w:val="28"/>
          <w:sz w:val="28"/>
          <w:szCs w:val="28"/>
          <w:rtl w:val="true"/>
          <w:lang w:bidi="fa-IR"/>
        </w:rPr>
        <w:t>، و اميرالمؤمنين در مدت سه روز آن را آماده عرضه ساخت؛ زيرا معقول نيست حضرت آن را در طول سه روز از ابتدا جمع‌آورى نمايد، چه اينكه ابن‌حجر تصريح مى‌كند به‌اينكه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وقدكان القرآن كُلُّه كَتَبَ على عهدالنَّبي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غيرَ مَجموعٍ في موضع واحد و لا مرتّب السُّوَر </w:t>
      </w:r>
      <w:r>
        <w:rPr>
          <w:rFonts w:eastAsia="IRNazanin" w:cs="IRNazanin"/>
          <w:color w:val="111111"/>
          <w:sz w:val="28"/>
          <w:szCs w:val="28"/>
          <w:rtl w:val="true"/>
          <w:lang w:bidi="fa-IR"/>
        </w:rPr>
        <w:t xml:space="preserve">» </w:t>
      </w:r>
      <w:r>
        <w:rPr>
          <w:rStyle w:val="FootnoteAnchor"/>
          <w:rtl w:val="true"/>
        </w:rPr>
        <w:footnoteReference w:id="1388"/>
      </w:r>
      <w:r>
        <w:rPr>
          <w:rFonts w:ascii="IRNazanin" w:hAnsi="IRNazanin" w:eastAsia="IRNazanin"/>
          <w:color w:val="111111"/>
          <w:sz w:val="28"/>
          <w:sz w:val="28"/>
          <w:szCs w:val="28"/>
          <w:rtl w:val="true"/>
          <w:lang w:bidi="fa-IR"/>
        </w:rPr>
        <w:t>در نتيجه طبعاً دَه‌ها سؤال ايجاد خواهد شد؛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ابوبكر و پس از او عثمان قرآن را با اقامه دو شاهد، از مردم پذيرفت و جمع‌آورى كرد، چرا قرآنى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جمع‌آورى كرده بود، مورد توجّه قرار نگرفت؟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روايات اهل‌سنّت در اين خصوص نه تنها با روايات شيعه در تعارض نيست كه كاملاً هماهنگ بلكه جزئيات بيشترى از اين مصحف ارائه داده است، احاديث منقول در تاريخ مدينه دمشق وكلام شهرستانى شاهد روشن اين مدعا است</w:t>
      </w:r>
      <w:r>
        <w:rPr>
          <w:rFonts w:eastAsia="IRNazanin" w:cs="IRNazanin"/>
          <w:color w:val="111111"/>
          <w:sz w:val="28"/>
          <w:szCs w:val="28"/>
          <w:rtl w:val="true"/>
          <w:lang w:bidi="fa-IR"/>
        </w:rPr>
        <w:t xml:space="preserve">. </w:t>
      </w:r>
      <w:bookmarkStart w:id="467" w:name="pg1976_28146"/>
    </w:p>
    <w:p>
      <w:pPr>
        <w:pStyle w:val="Heading5"/>
        <w:numPr>
          <w:ilvl w:val="4"/>
          <w:numId w:val="1"/>
        </w:numPr>
        <w:rPr/>
      </w:pPr>
      <w:bookmarkStart w:id="468" w:name="__RefHeading___Toc3767185_3650668749"/>
      <w:bookmarkStart w:id="469" w:name="_Toc171"/>
      <w:bookmarkEnd w:id="467"/>
      <w:bookmarkEnd w:id="468"/>
      <w:r>
        <w:rPr>
          <w:rtl w:val="true"/>
        </w:rPr>
        <w:t>ج</w:t>
      </w:r>
      <w:r>
        <w:rPr>
          <w:rtl w:val="true"/>
        </w:rPr>
        <w:t xml:space="preserve">) </w:t>
      </w:r>
      <w:r>
        <w:rPr>
          <w:rtl w:val="true"/>
        </w:rPr>
        <w:t xml:space="preserve">نقش كلينى در ترويج مصحف على </w:t>
      </w:r>
      <w:r>
        <w:rPr>
          <w:rtl w:val="true"/>
        </w:rPr>
        <w:t>(</w:t>
      </w:r>
      <w:r>
        <w:rPr>
          <w:rtl w:val="true"/>
        </w:rPr>
        <w:t>ع</w:t>
      </w:r>
      <w:r>
        <w:rPr>
          <w:rtl w:val="true"/>
        </w:rPr>
        <w:t>)</w:t>
      </w:r>
      <w:bookmarkEnd w:id="469"/>
    </w:p>
    <w:p>
      <w:pPr>
        <w:pStyle w:val="BookText"/>
        <w:rPr/>
      </w:pPr>
      <w:r>
        <w:rPr>
          <w:rFonts w:ascii="IRNazanin" w:hAnsi="IRNazanin" w:eastAsia="IRNazanin"/>
          <w:color w:val="111111"/>
          <w:sz w:val="28"/>
          <w:sz w:val="28"/>
          <w:szCs w:val="28"/>
          <w:rtl w:val="true"/>
          <w:lang w:bidi="fa-IR"/>
        </w:rPr>
        <w:t xml:space="preserve">اينكه قفارى مدعى شد، كلينى در شايع‌سازى مصحف على نقش داشته است، پاسخش از مباحثى كه نسبت به‌محتواى اين مصحف ارائه گرديد، كاملاً آشكار شد؛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اين مصحف در منابع اهل سنت بيشتر است تا منابع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امر غيرعادى و آنچه موجب طعن و نقص قرآن باشد؛ روايت نكرده است</w:t>
      </w:r>
      <w:r>
        <w:rPr>
          <w:rFonts w:eastAsia="IRNazanin" w:cs="IRNazanin"/>
          <w:color w:val="111111"/>
          <w:sz w:val="28"/>
          <w:szCs w:val="28"/>
          <w:rtl w:val="true"/>
          <w:lang w:bidi="fa-IR"/>
        </w:rPr>
        <w:t>.</w:t>
      </w:r>
    </w:p>
    <w:p>
      <w:pPr>
        <w:pStyle w:val="Heading5"/>
        <w:numPr>
          <w:ilvl w:val="4"/>
          <w:numId w:val="1"/>
        </w:numPr>
        <w:rPr/>
      </w:pPr>
      <w:bookmarkStart w:id="470" w:name="__RefHeading___Toc3767187_3650668749"/>
      <w:bookmarkStart w:id="471" w:name="_Toc172"/>
      <w:bookmarkEnd w:id="470"/>
      <w:r>
        <w:rPr>
          <w:rtl w:val="true"/>
        </w:rPr>
        <w:t>د</w:t>
      </w:r>
      <w:r>
        <w:rPr>
          <w:rtl w:val="true"/>
        </w:rPr>
        <w:t xml:space="preserve">) </w:t>
      </w:r>
      <w:r>
        <w:rPr>
          <w:rtl w:val="true"/>
        </w:rPr>
        <w:t>كتاب سُليم بن قيس</w:t>
      </w:r>
      <w:r>
        <w:rPr>
          <w:rtl w:val="true"/>
        </w:rPr>
        <w:t>. . .</w:t>
      </w:r>
      <w:bookmarkEnd w:id="471"/>
    </w:p>
    <w:p>
      <w:pPr>
        <w:pStyle w:val="BookText"/>
        <w:rPr/>
      </w:pPr>
      <w:r>
        <w:rPr>
          <w:rFonts w:ascii="IRNazanin" w:hAnsi="IRNazanin" w:eastAsia="IRNazanin"/>
          <w:color w:val="111111"/>
          <w:sz w:val="28"/>
          <w:sz w:val="28"/>
          <w:szCs w:val="28"/>
          <w:rtl w:val="true"/>
          <w:lang w:bidi="fa-IR"/>
        </w:rPr>
        <w:t xml:space="preserve">نخستين كتابى كه به عقيده قفارى، از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و كتاب را توطئه سبئيه شمرد، كتاب سليم بن قيس الهلالى العامرى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و چون راوى از سليم، ابان بن‌ابى‌عياش است، و او به‌اتفاق علما ضعيف است، پس حديث سُليم اعتبارى ندارد </w:t>
      </w:r>
      <w:r>
        <w:rPr>
          <w:rStyle w:val="FootnoteAnchor"/>
          <w:rtl w:val="true"/>
        </w:rPr>
        <w:footnoteReference w:id="1389"/>
      </w:r>
      <w:r>
        <w:rPr>
          <w:rFonts w:ascii="Amiri" w:hAnsi="Amiri" w:eastAsia="Amiri" w:cs="Amiri"/>
          <w:color w:val="111111"/>
          <w:sz w:val="28"/>
          <w:sz w:val="28"/>
          <w:szCs w:val="28"/>
          <w:rtl w:val="true"/>
          <w:lang w:bidi="ar-SA"/>
        </w:rPr>
        <w:t>اين كلام قفارى از جهاتى قابل نقد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بى‌ترديد سُلَيم از اصحاب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Style w:val="FootnoteAnchor"/>
          <w:rtl w:val="true"/>
        </w:rPr>
        <w:footnoteReference w:id="1390"/>
      </w:r>
      <w:r>
        <w:rPr>
          <w:rFonts w:ascii="IRNazanin" w:hAnsi="IRNazanin" w:eastAsia="IRNazanin"/>
          <w:color w:val="111111"/>
          <w:sz w:val="28"/>
          <w:sz w:val="28"/>
          <w:szCs w:val="28"/>
          <w:rtl w:val="true"/>
          <w:lang w:bidi="fa-IR"/>
        </w:rPr>
        <w:t xml:space="preserve">، و امامان حسن و حسين‌بن‌على و على‌بن‌الحسين و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كرده و قبل از على‌بن‌الحسين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حيات گفته است </w:t>
      </w:r>
      <w:r>
        <w:rPr>
          <w:rStyle w:val="FootnoteAnchor"/>
          <w:rtl w:val="true"/>
        </w:rPr>
        <w:footnoteReference w:id="1391"/>
      </w:r>
      <w:r>
        <w:rPr>
          <w:rFonts w:ascii="Amiri" w:hAnsi="Amiri" w:eastAsia="Amiri" w:cs="Amiri"/>
          <w:color w:val="111111"/>
          <w:sz w:val="28"/>
          <w:sz w:val="28"/>
          <w:szCs w:val="28"/>
          <w:rtl w:val="true"/>
          <w:lang w:bidi="ar-SA"/>
        </w:rPr>
        <w:t xml:space="preserve">وى به‌خاطر اينكه تحت تعقيب حجاج بود </w:t>
      </w:r>
      <w:r>
        <w:rPr>
          <w:rStyle w:val="FootnoteAnchor"/>
          <w:rtl w:val="true"/>
        </w:rPr>
        <w:footnoteReference w:id="1392"/>
      </w:r>
      <w:r>
        <w:rPr>
          <w:rFonts w:ascii="IRNazanin" w:hAnsi="IRNazanin" w:eastAsia="IRNazanin"/>
          <w:color w:val="111111"/>
          <w:sz w:val="28"/>
          <w:sz w:val="28"/>
          <w:szCs w:val="28"/>
          <w:rtl w:val="true"/>
          <w:lang w:bidi="fa-IR"/>
        </w:rPr>
        <w:t xml:space="preserve">به ابان‌بن‌ابى‌عياش پناه آورد و هنگام وفات، كتابش را به‌ابان داد و اين كتاب نخستين كتابى است كه در شيعه پديد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يروه غيره </w:t>
      </w:r>
      <w:r>
        <w:rPr>
          <w:rFonts w:eastAsia="IRNazanin" w:cs="IRNazanin"/>
          <w:color w:val="111111"/>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كتاب وى نيز نزد امامان از جمله امام صادق از جايگاه خاص برخوردار بوده </w:t>
      </w:r>
    </w:p>
    <w:p>
      <w:pPr>
        <w:pStyle w:val="BookText"/>
        <w:rPr/>
      </w:pPr>
      <w:r>
        <w:rPr>
          <w:rFonts w:ascii="IRNazanin" w:hAnsi="IRNazanin" w:eastAsia="IRNazanin"/>
          <w:color w:val="111111"/>
          <w:sz w:val="28"/>
          <w:sz w:val="28"/>
          <w:szCs w:val="28"/>
          <w:rtl w:val="true"/>
          <w:lang w:bidi="fa-IR"/>
        </w:rPr>
        <w:t>است، 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يَكُن عِندَه مِن شِيعَتِنا ومُحبِّينا كتابُ سليم بن قيس الهلالي، فليس عنده من أمرنا شيء ولا يعلم من أسبابنا شيء وهو أبجد الشيعة و هو سرّ من أسرارآل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394"/>
      </w:r>
      <w:r>
        <w:rPr>
          <w:rFonts w:ascii="IRNazanin" w:hAnsi="IRNazanin" w:eastAsia="IRNazanin"/>
          <w:color w:val="111111"/>
          <w:sz w:val="28"/>
          <w:sz w:val="28"/>
          <w:szCs w:val="28"/>
          <w:rtl w:val="true"/>
          <w:lang w:bidi="fa-IR"/>
        </w:rPr>
        <w:t xml:space="preserve">و يكى از مهم‌ترين اصولى است كه قبل از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گرديده است </w:t>
      </w:r>
      <w:r>
        <w:rPr>
          <w:rStyle w:val="FootnoteAnchor"/>
          <w:rtl w:val="true"/>
        </w:rPr>
        <w:footnoteReference w:id="1395"/>
      </w:r>
      <w:r>
        <w:rPr>
          <w:rFonts w:ascii="Amiri" w:hAnsi="Amiri" w:eastAsia="Amiri" w:cs="Amiri"/>
          <w:color w:val="111111"/>
          <w:sz w:val="28"/>
          <w:sz w:val="28"/>
          <w:szCs w:val="28"/>
          <w:rtl w:val="true"/>
          <w:lang w:bidi="ar-SA"/>
        </w:rPr>
        <w:t xml:space="preserve">، و اين كتاب به‌عنوان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ابان‌بن‌ابى‌عياش داده شد و از او به‌عمربن محمدبن عبدالرحمان بن اُذَينه رسيد </w:t>
      </w:r>
      <w:r>
        <w:rPr>
          <w:rStyle w:val="FootnoteAnchor"/>
          <w:rtl w:val="true"/>
        </w:rPr>
        <w:footnoteReference w:id="1396"/>
      </w:r>
      <w:r>
        <w:rPr>
          <w:rFonts w:ascii="IRNazanin" w:hAnsi="IRNazanin" w:eastAsia="IRNazanin"/>
          <w:color w:val="111111"/>
          <w:sz w:val="28"/>
          <w:sz w:val="28"/>
          <w:szCs w:val="28"/>
          <w:rtl w:val="true"/>
          <w:lang w:bidi="fa-IR"/>
        </w:rPr>
        <w:t xml:space="preserve">، ولى نسخه‌هاى متفاوتى از آن كتاب پديد آمد كه شك و ترديدى در مورد آن ايجاد نموده است، علّامه طهرانى نسخه‌هاى متفاوتى از اين كتاب را نام مى‌برد و تفاوت‌هاى اساسى آنها را متذكر مى‌شود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به‌همين جهت ابن‌داود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مى‌شمارد </w:t>
      </w:r>
      <w:r>
        <w:rPr>
          <w:rStyle w:val="FootnoteAnchor"/>
          <w:rtl w:val="true"/>
        </w:rPr>
        <w:footnoteReference w:id="1398"/>
      </w:r>
      <w:r>
        <w:rPr>
          <w:rFonts w:ascii="Amiri" w:hAnsi="Amiri" w:eastAsia="Amiri" w:cs="Amiri"/>
          <w:color w:val="111111"/>
          <w:sz w:val="28"/>
          <w:sz w:val="28"/>
          <w:szCs w:val="28"/>
          <w:rtl w:val="true"/>
          <w:lang w:bidi="ar-SA"/>
        </w:rPr>
        <w:t xml:space="preserve">و كشّى </w:t>
      </w:r>
      <w:r>
        <w:rPr>
          <w:rStyle w:val="FootnoteAnchor"/>
          <w:rtl w:val="true"/>
        </w:rPr>
        <w:footnoteReference w:id="1399"/>
      </w:r>
      <w:r>
        <w:rPr>
          <w:rFonts w:ascii="Amiri" w:hAnsi="Amiri" w:eastAsia="Amiri" w:cs="Amiri"/>
          <w:color w:val="111111"/>
          <w:sz w:val="28"/>
          <w:sz w:val="28"/>
          <w:szCs w:val="28"/>
          <w:rtl w:val="true"/>
          <w:lang w:bidi="ar-SA"/>
        </w:rPr>
        <w:t xml:space="preserve">و شيخ طوسى </w:t>
      </w:r>
      <w:r>
        <w:rPr>
          <w:rStyle w:val="FootnoteAnchor"/>
          <w:rtl w:val="true"/>
        </w:rPr>
        <w:footnoteReference w:id="1400"/>
      </w:r>
      <w:r>
        <w:rPr>
          <w:rFonts w:ascii="IRNazanin" w:hAnsi="IRNazanin" w:eastAsia="IRNazanin"/>
          <w:color w:val="111111"/>
          <w:sz w:val="28"/>
          <w:sz w:val="28"/>
          <w:szCs w:val="28"/>
          <w:rtl w:val="true"/>
          <w:lang w:bidi="fa-IR"/>
        </w:rPr>
        <w:t xml:space="preserve">از اين كتاب نام برده‌اند كه شايسته است اهل پژوهش، به‌تحقيق مفصّلى كه در مقدمه اين كتاب، به‌چاپ رسيده مراجعه نمايند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ابان‌بن‌ابى‌عياش فيروز، هرچند كه تضعيف شده </w:t>
      </w:r>
      <w:r>
        <w:rPr>
          <w:rStyle w:val="FootnoteAnchor"/>
          <w:rtl w:val="true"/>
        </w:rPr>
        <w:footnoteReference w:id="1402"/>
      </w:r>
      <w:r>
        <w:rPr>
          <w:rFonts w:ascii="Amiri" w:hAnsi="Amiri" w:eastAsia="Amiri" w:cs="Amiri"/>
          <w:color w:val="111111"/>
          <w:sz w:val="28"/>
          <w:sz w:val="28"/>
          <w:szCs w:val="28"/>
          <w:rtl w:val="true"/>
          <w:lang w:bidi="ar-SA"/>
        </w:rPr>
        <w:t xml:space="preserve">وجعل كتاب سليم به‌وى نسبت داده شده است </w:t>
      </w:r>
      <w:r>
        <w:rPr>
          <w:rStyle w:val="FootnoteAnchor"/>
          <w:rtl w:val="true"/>
        </w:rPr>
        <w:footnoteReference w:id="1403"/>
      </w:r>
      <w:r>
        <w:rPr>
          <w:rFonts w:ascii="IRNazanin" w:hAnsi="IRNazanin" w:eastAsia="IRNazanin"/>
          <w:color w:val="111111"/>
          <w:sz w:val="28"/>
          <w:sz w:val="28"/>
          <w:szCs w:val="28"/>
          <w:rtl w:val="true"/>
          <w:lang w:bidi="fa-IR"/>
        </w:rPr>
        <w:t xml:space="preserve">ولى مضمون روايت آن درخصوص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وسيع درمنابع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اشاره‌شد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گرديده است، و كلينى در مواردى </w:t>
      </w:r>
      <w:r>
        <w:rPr>
          <w:rStyle w:val="FootnoteAnchor"/>
          <w:rtl w:val="true"/>
        </w:rPr>
        <w:footnoteReference w:id="1404"/>
      </w:r>
      <w:r>
        <w:rPr>
          <w:rFonts w:ascii="Amiri" w:hAnsi="Amiri" w:eastAsia="Amiri" w:cs="Amiri"/>
          <w:color w:val="111111"/>
          <w:sz w:val="28"/>
          <w:sz w:val="28"/>
          <w:szCs w:val="28"/>
          <w:rtl w:val="true"/>
          <w:lang w:bidi="ar-SA"/>
        </w:rPr>
        <w:t xml:space="preserve">كه حديث </w:t>
      </w:r>
      <w:bookmarkStart w:id="472" w:name="pg1976_28150"/>
    </w:p>
    <w:p>
      <w:pPr>
        <w:pStyle w:val="BookText"/>
        <w:rPr/>
      </w:pPr>
      <w:bookmarkEnd w:id="472"/>
      <w:r>
        <w:rPr>
          <w:rFonts w:ascii="IRNazanin" w:hAnsi="IRNazanin" w:eastAsia="IRNazanin"/>
          <w:color w:val="111111"/>
          <w:sz w:val="28"/>
          <w:sz w:val="28"/>
          <w:szCs w:val="28"/>
          <w:rtl w:val="true"/>
          <w:lang w:bidi="fa-IR"/>
        </w:rPr>
        <w:t>مرتبط به‌اين مصحف را گزارش مى‌كند از كتاب سُلَيم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ناصرالقفارى كتاب سُليم را از آن جهت كه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دسيسه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مردود است؛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روايت سُليم در منابع مورد قبول خود وهابى‌ها واضح‌تر و صريح‌تر آمده است، و اگر صرف آمدن چنين روايتى در كتابى از دسايس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گردد، بسيارى از كتاب‌هاى آنان كه از اين مصحف خبر داده شامل اين وصف مى‌شود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وجود گروهى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منكرند وآن را يك توطئه مى‌دانند كه در بخش چهارم اين كتاب مورد بررسى قرار مى‌گيرد</w:t>
      </w:r>
      <w:r>
        <w:rPr>
          <w:rFonts w:eastAsia="IRNazanin" w:cs="IRNazanin"/>
          <w:color w:val="111111"/>
          <w:sz w:val="28"/>
          <w:szCs w:val="28"/>
          <w:rtl w:val="true"/>
          <w:lang w:bidi="fa-IR"/>
        </w:rPr>
        <w:t>.</w:t>
      </w:r>
    </w:p>
    <w:p>
      <w:pPr>
        <w:pStyle w:val="Heading5"/>
        <w:numPr>
          <w:ilvl w:val="4"/>
          <w:numId w:val="1"/>
        </w:numPr>
        <w:rPr/>
      </w:pPr>
      <w:bookmarkStart w:id="473" w:name="__RefHeading___Toc3767189_3650668749"/>
      <w:bookmarkStart w:id="474" w:name="_Toc173"/>
      <w:bookmarkEnd w:id="473"/>
      <w:r>
        <w:rPr>
          <w:rtl w:val="true"/>
        </w:rPr>
        <w:t>ه</w:t>
      </w:r>
      <w:r>
        <w:rPr>
          <w:rtl w:val="true"/>
        </w:rPr>
        <w:t xml:space="preserve">) </w:t>
      </w:r>
      <w:r>
        <w:rPr>
          <w:rtl w:val="true"/>
        </w:rPr>
        <w:t>منع از كتابت جز قرآن</w:t>
      </w:r>
      <w:bookmarkEnd w:id="474"/>
    </w:p>
    <w:p>
      <w:pPr>
        <w:pStyle w:val="BookText"/>
        <w:rPr/>
      </w:pPr>
      <w:r>
        <w:rPr>
          <w:rFonts w:ascii="IRNazanin" w:hAnsi="IRNazanin" w:eastAsia="IRNazanin"/>
          <w:color w:val="111111"/>
          <w:sz w:val="28"/>
          <w:sz w:val="28"/>
          <w:szCs w:val="28"/>
          <w:rtl w:val="true"/>
          <w:lang w:bidi="fa-IR"/>
        </w:rPr>
        <w:t xml:space="preserve">از نقدهاى وهابيان نسبت به‌وجود مصحف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براساس حديث سُلَيم، در اين مصحف غير از قرآن همچون تنزيل، تأويل و ناسخ و منسوخ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مكتوب بوده است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اساس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اصولى است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لاتكتبوا عنّي شَيئاً الّا القرآن </w:t>
      </w:r>
      <w:r>
        <w:rPr>
          <w:rFonts w:eastAsia="IRNazanin" w:cs="IRNazanin"/>
          <w:color w:val="111111"/>
          <w:sz w:val="28"/>
          <w:szCs w:val="28"/>
          <w:rtl w:val="true"/>
          <w:lang w:bidi="fa-IR"/>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عليرغم اينكه اين نويسنده، روايات سُليم را به‌خاطر حضور ابان بن‌ابى‌عياش بالاتفاق ضعيف مى‌داند </w:t>
      </w:r>
      <w:r>
        <w:rPr>
          <w:rStyle w:val="FootnoteAnchor"/>
          <w:rtl w:val="true"/>
        </w:rPr>
        <w:footnoteReference w:id="1407"/>
      </w:r>
      <w:r>
        <w:rPr>
          <w:rFonts w:ascii="Amiri" w:hAnsi="Amiri" w:eastAsia="Amiri" w:cs="Amiri"/>
          <w:color w:val="111111"/>
          <w:sz w:val="28"/>
          <w:sz w:val="28"/>
          <w:szCs w:val="28"/>
          <w:rtl w:val="true"/>
          <w:lang w:bidi="ar-SA"/>
        </w:rPr>
        <w:t xml:space="preserve">و در عين حال به‌روايت او عليه شيعه استناد مى‌كند، امر غيرمعقول است و برخلاف تعهد خويش مبنى برتمسك به‌روايات صحيح شيعى است </w:t>
      </w:r>
      <w:r>
        <w:rPr>
          <w:rStyle w:val="FootnoteAnchor"/>
          <w:rtl w:val="true"/>
        </w:rPr>
        <w:footnoteReference w:id="1408"/>
      </w:r>
      <w:r>
        <w:rPr>
          <w:rFonts w:ascii="IRNazanin" w:hAnsi="IRNazanin" w:eastAsia="IRNazanin"/>
          <w:color w:val="111111"/>
          <w:sz w:val="28"/>
          <w:sz w:val="28"/>
          <w:szCs w:val="28"/>
          <w:rtl w:val="true"/>
          <w:lang w:bidi="fa-IR"/>
        </w:rPr>
        <w:t>، سخن وى به‌چند لحاظ غير علمى و مردود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مصحف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قرآن، با نظم خاص مشتمل بر تنزيل، تأويل، </w:t>
      </w:r>
    </w:p>
    <w:p>
      <w:pPr>
        <w:pStyle w:val="BookText"/>
        <w:rPr/>
      </w:pPr>
      <w:r>
        <w:rPr>
          <w:rFonts w:ascii="IRNazanin" w:hAnsi="IRNazanin" w:eastAsia="IRNazanin"/>
          <w:color w:val="111111"/>
          <w:sz w:val="28"/>
          <w:sz w:val="28"/>
          <w:szCs w:val="28"/>
          <w:rtl w:val="true"/>
          <w:lang w:bidi="fa-IR"/>
        </w:rPr>
        <w:t xml:space="preserve">تفسير و ناسخ و منسوخ است، تنها مستند به‌روايت سُليم بن‌قيس نيست بلكه همان‌گونه كه ملاحظه گرديد، عمده مدارك آن منابع اهل سنت است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لاتكتبُوا عَنِّي شيئاً إلّا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منابع مختلف اهل‌سنّت انعكاس يافته است كه ريشۀ همه آنها مسند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و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411"/>
      </w:r>
      <w:r>
        <w:rPr>
          <w:rFonts w:ascii="IRNazanin" w:hAnsi="IRNazanin" w:eastAsia="IRNazanin"/>
          <w:color w:val="111111"/>
          <w:sz w:val="28"/>
          <w:sz w:val="28"/>
          <w:szCs w:val="28"/>
          <w:rtl w:val="true"/>
          <w:lang w:bidi="fa-IR"/>
        </w:rPr>
        <w:t xml:space="preserve">، است، راويان هر دو منبع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مشتركند منتها با متن متفاوت، كه احتمال مى‌رود كه مسلم حديث را از مسند امام احمد بن حنبل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منع از تدوين حديث نادرست و برخلاف سيره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ولى براى پاسخ اين ايراد نكاتى بسيار فشرده اشاره مى‌گردد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اينكه حديث مسلم غير از حديث مسند امام احمدبن‌حنبل باشد، قفارى حديث را برخلاف اخلاق امانتدارى آن‌گونه كه در صحيح مسلم نقل شده نياورده است، برخى از پژوهشگرانِ اهل سنت آن را متفرّد </w:t>
      </w:r>
      <w:r>
        <w:rPr>
          <w:rStyle w:val="FootnoteAnchor"/>
          <w:rtl w:val="true"/>
        </w:rPr>
        <w:footnoteReference w:id="1412"/>
      </w:r>
      <w:r>
        <w:rPr>
          <w:rFonts w:ascii="IRNazanin" w:hAnsi="IRNazanin" w:eastAsia="IRNazanin"/>
          <w:color w:val="111111"/>
          <w:sz w:val="28"/>
          <w:sz w:val="28"/>
          <w:szCs w:val="28"/>
          <w:rtl w:val="true"/>
          <w:lang w:bidi="fa-IR"/>
        </w:rPr>
        <w:t xml:space="preserve">مى‌دانند </w:t>
      </w:r>
      <w:r>
        <w:rPr>
          <w:rStyle w:val="FootnoteAnchor"/>
          <w:rtl w:val="true"/>
        </w:rPr>
        <w:footnoteReference w:id="1413"/>
      </w:r>
      <w:r>
        <w:rPr>
          <w:rFonts w:ascii="IRNazanin" w:hAnsi="IRNazanin" w:eastAsia="IRNazanin"/>
          <w:color w:val="111111"/>
          <w:sz w:val="28"/>
          <w:sz w:val="28"/>
          <w:szCs w:val="28"/>
          <w:rtl w:val="true"/>
          <w:lang w:bidi="fa-IR"/>
        </w:rPr>
        <w:t xml:space="preserve">برخى ديگر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عليل مى‌شمارند </w:t>
      </w:r>
      <w:r>
        <w:rPr>
          <w:rStyle w:val="FootnoteAnchor"/>
          <w:rtl w:val="true"/>
        </w:rPr>
        <w:footnoteReference w:id="1414"/>
      </w:r>
      <w:r>
        <w:rPr>
          <w:rFonts w:ascii="Amiri" w:hAnsi="Amiri" w:eastAsia="Amiri" w:cs="Amiri"/>
          <w:color w:val="111111"/>
          <w:sz w:val="28"/>
          <w:sz w:val="28"/>
          <w:szCs w:val="28"/>
          <w:rtl w:val="true"/>
          <w:lang w:bidi="ar-SA"/>
        </w:rPr>
        <w:t xml:space="preserve">و شكى نيست كه با حديث متفرّد و يا موقوف نمى‌شود </w:t>
      </w:r>
    </w:p>
    <w:p>
      <w:pPr>
        <w:pStyle w:val="BookText"/>
        <w:rPr/>
      </w:pPr>
      <w:r>
        <w:rPr>
          <w:rFonts w:ascii="Amiri" w:hAnsi="Amiri" w:eastAsia="Amiri" w:cs="Amiri"/>
          <w:color w:val="111111"/>
          <w:sz w:val="28"/>
          <w:sz w:val="28"/>
          <w:szCs w:val="28"/>
          <w:rtl w:val="true"/>
          <w:lang w:bidi="ar-SA"/>
        </w:rPr>
        <w:t xml:space="preserve">منع تدوين را كه با عقل و نقل، اعم از قرآن </w:t>
      </w:r>
      <w:r>
        <w:rPr>
          <w:rStyle w:val="FootnoteAnchor"/>
          <w:rtl w:val="true"/>
        </w:rPr>
        <w:footnoteReference w:id="1415"/>
      </w:r>
      <w:r>
        <w:rPr>
          <w:rFonts w:ascii="Amiri" w:hAnsi="Amiri" w:eastAsia="Amiri" w:cs="Amiri"/>
          <w:color w:val="111111"/>
          <w:sz w:val="28"/>
          <w:sz w:val="28"/>
          <w:szCs w:val="28"/>
          <w:rtl w:val="true"/>
          <w:lang w:bidi="ar-SA"/>
        </w:rPr>
        <w:t xml:space="preserve">و روايات متعدد، از جمله فرموده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أُكتُب، فَوَالذي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بِيَدِهِ مَا خَرَج منِّي إلا الحق </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 xml:space="preserve">ابن‌تيميه، احمدبن عبدالحليم الحرّانى، منهاج السنّة، تحقيق محمدرشاد،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قرطبة، ط الاولى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7/399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الرافضى البرهان الحادى والثلاثون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سيرۀ آن حضرت، مخالف است،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حديث مسند امام حنبل؛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شيخ و پيشواى ناصرالقفارى، يعنى ابن‌تيمّيه، هرچند اصل مسند صحيح است ولى به‌خاطر اينكه عبدالله‌بن احمدبن حنبل و قطيعى در آن كتاب، تصرّف نموده‌اند و روايات جعلى را وارد آن كرده‌اند، كتاب را از اعتبار انداخته‌اند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فيه إبنُهُ عبدالله زيادات، ثم إنَّ القطيعي الَّذي رواه عن إبنه عبدالله زاد عن شيوخه زيادات و فيها أحاديث موضوعة بإتّفاق أهل المعرفة</w:t>
      </w:r>
      <w:r>
        <w:rPr>
          <w:rFonts w:eastAsia="IRNazanin" w:cs="IRNazanin"/>
          <w:color w:val="111111"/>
          <w:sz w:val="28"/>
          <w:szCs w:val="28"/>
          <w:rtl w:val="true"/>
          <w:lang w:bidi="fa-IR"/>
        </w:rPr>
        <w:t xml:space="preserve">. . . »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اين سخن را در ردّ حديث ثقلين كه علامه حلّى، آن را از مسند الامام حنبل نقل مى‌كند، اظهار مى‌دارد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وأمثالُه من شيوخ الرّافضةِ جُهّال فهُم يَنقلون من هذا المُصَنّف فيظنون أنّ كلَّ مَا رواهُ القطيعي أوعبدالله، فقد رواهُ أحمد نَفسه ولايميزون بين شيوخ أحمد و شيوخ القطيعي ثمَّ يظنُّون أنَّ أحمد اذا رواهُ فقد رواهُ في المسند </w:t>
      </w:r>
      <w:r>
        <w:rPr>
          <w:rFonts w:eastAsia="IRNazanin" w:cs="IRNazanin"/>
          <w:color w:val="111111"/>
          <w:sz w:val="28"/>
          <w:szCs w:val="28"/>
          <w:rtl w:val="true"/>
          <w:lang w:bidi="fa-IR"/>
        </w:rPr>
        <w:t xml:space="preserve">. . .» </w:t>
      </w:r>
      <w:r>
        <w:rPr>
          <w:rStyle w:val="FootnoteAnchor"/>
          <w:rtl w:val="true"/>
        </w:rPr>
        <w:footnoteReference w:id="1418"/>
      </w:r>
      <w:r>
        <w:rPr>
          <w:rFonts w:ascii="IRNazanin" w:hAnsi="IRNazanin" w:eastAsia="IRNazanin"/>
          <w:color w:val="111111"/>
          <w:sz w:val="28"/>
          <w:sz w:val="28"/>
          <w:szCs w:val="28"/>
          <w:rtl w:val="true"/>
          <w:lang w:bidi="fa-IR"/>
        </w:rPr>
        <w:t>، درحالى‌كه در چاپ‌هاى مختلف اين كتاب، حديث ثقلين از شخص احمدبن‌حنبل نقل</w:t>
      </w:r>
    </w:p>
    <w:p>
      <w:pPr>
        <w:pStyle w:val="BookText"/>
        <w:rPr/>
      </w:pPr>
      <w:r>
        <w:rPr>
          <w:rFonts w:ascii="IRNazanin" w:hAnsi="IRNazanin" w:eastAsia="IRNazanin"/>
          <w:color w:val="111111"/>
          <w:sz w:val="28"/>
          <w:sz w:val="28"/>
          <w:szCs w:val="28"/>
          <w:rtl w:val="true"/>
          <w:lang w:bidi="fa-IR"/>
        </w:rPr>
        <w:t xml:space="preserve">شده است </w:t>
      </w:r>
      <w:r>
        <w:rPr>
          <w:rStyle w:val="FootnoteAnchor"/>
          <w:rtl w:val="true"/>
        </w:rPr>
        <w:footnoteReference w:id="1419"/>
      </w:r>
      <w:r>
        <w:rPr>
          <w:rFonts w:ascii="IRNazanin" w:hAnsi="IRNazanin" w:eastAsia="IRNazanin"/>
          <w:color w:val="111111"/>
          <w:sz w:val="28"/>
          <w:sz w:val="28"/>
          <w:szCs w:val="28"/>
          <w:rtl w:val="true"/>
          <w:lang w:bidi="fa-IR"/>
        </w:rPr>
        <w:t>نَه از عبدالله پسر او، و حديث</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لاتَكتُبُوا عَنِّي شَيئاً إلّا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پسر </w:t>
      </w:r>
    </w:p>
    <w:p>
      <w:pPr>
        <w:pStyle w:val="BookText"/>
        <w:rPr/>
      </w:pPr>
      <w:r>
        <w:rPr>
          <w:rFonts w:ascii="IRNazanin" w:hAnsi="IRNazanin" w:eastAsia="IRNazanin"/>
          <w:color w:val="111111"/>
          <w:sz w:val="28"/>
          <w:sz w:val="28"/>
          <w:szCs w:val="28"/>
          <w:rtl w:val="true"/>
          <w:lang w:bidi="fa-IR"/>
        </w:rPr>
        <w:t xml:space="preserve">اوست </w:t>
      </w:r>
      <w:r>
        <w:rPr>
          <w:rStyle w:val="FootnoteAnchor"/>
          <w:rtl w:val="true"/>
        </w:rPr>
        <w:footnoteReference w:id="1420"/>
      </w:r>
      <w:r>
        <w:rPr>
          <w:rFonts w:ascii="IRNazanin" w:hAnsi="IRNazanin" w:eastAsia="IRNazanin"/>
          <w:color w:val="111111"/>
          <w:sz w:val="28"/>
          <w:sz w:val="28"/>
          <w:szCs w:val="28"/>
          <w:rtl w:val="true"/>
          <w:lang w:bidi="fa-IR"/>
        </w:rPr>
        <w:t xml:space="preserve">و اين سخن ابن‌تيمّيه، گواه روشنى است كه اين پيروان اويند كه در كتاب‌هاى بزرگان خويش، دخل و تصرّف مى‌كنند، نَه شيعه كه وى شيعه را متهّم به اين خيانت مى‌كند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اينكه مسند احمد به‌خاطر تصرّفات خائنانه، معتبر نباشد حديث ثقلين در دَه‌ها منبع ديگر آمده است، تا آن‌جا كه ابن‌حجر بعد از نقل حديث ثقلين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أخرجه الترمذي والنّسائي، وهو كثير الطُرُقِ جدّاً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وكثير من اسانيدها صحاح و حسان </w:t>
      </w:r>
      <w:r>
        <w:rPr>
          <w:rFonts w:eastAsia="IRNazanin" w:cs="IRNazanin"/>
          <w:color w:val="111111"/>
          <w:sz w:val="28"/>
          <w:szCs w:val="28"/>
          <w:rtl w:val="true"/>
          <w:lang w:bidi="fa-IR"/>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اهل‌سنّت در توجيه همين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تكتبوا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به‌شدت دچار اختلافند؛ گروهى براين باورند كه نهى از كتابت حديث در صورتى بود كه حديث همراه قرآن در يك صفحه مكتوب مى‌شد تا قارى ميان قرآن و حديث دچار خلط و اشتباه نگردد </w:t>
      </w:r>
      <w:r>
        <w:rPr>
          <w:rStyle w:val="FootnoteAnchor"/>
          <w:rtl w:val="true"/>
        </w:rPr>
        <w:footnoteReference w:id="1423"/>
      </w:r>
      <w:r>
        <w:rPr>
          <w:rFonts w:ascii="Amiri" w:hAnsi="Amiri" w:eastAsia="Amiri" w:cs="Amiri"/>
          <w:color w:val="111111"/>
          <w:sz w:val="28"/>
          <w:sz w:val="28"/>
          <w:szCs w:val="28"/>
          <w:rtl w:val="true"/>
          <w:lang w:bidi="ar-SA"/>
        </w:rPr>
        <w:t>و در صورت امن از اختلاط، منعى براى كتابت وجود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دسته‌اى معتقدند حديث نهى از كتابت حديث، توسط احاديث جواز كتابت </w:t>
      </w:r>
      <w:r>
        <w:rPr>
          <w:rStyle w:val="FootnoteAnchor"/>
          <w:rtl w:val="true"/>
        </w:rPr>
        <w:footnoteReference w:id="1424"/>
      </w:r>
      <w:r>
        <w:rPr>
          <w:rFonts w:ascii="IRNazanin" w:hAnsi="IRNazanin" w:eastAsia="IRNazanin"/>
          <w:color w:val="111111"/>
          <w:sz w:val="28"/>
          <w:sz w:val="28"/>
          <w:szCs w:val="28"/>
          <w:rtl w:val="true"/>
          <w:lang w:bidi="fa-IR"/>
        </w:rPr>
        <w:t xml:space="preserve">نسخ گرديده است </w:t>
      </w:r>
      <w:r>
        <w:rPr>
          <w:rStyle w:val="FootnoteAnchor"/>
          <w:rtl w:val="true"/>
        </w:rPr>
        <w:footnoteReference w:id="1425"/>
      </w:r>
      <w:r>
        <w:rPr>
          <w:rFonts w:ascii="IRNazanin" w:hAnsi="IRNazanin" w:eastAsia="IRNazanin"/>
          <w:color w:val="111111"/>
          <w:sz w:val="28"/>
          <w:sz w:val="28"/>
          <w:szCs w:val="28"/>
          <w:rtl w:val="true"/>
          <w:lang w:bidi="fa-IR"/>
        </w:rPr>
        <w:t>، نووى در شرح مسلم نمونه‌هايى از اين روايات را آورده است؛ چه اينكه از قاضى عياض اين عبارت در همين خصوص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بين </w:t>
      </w:r>
    </w:p>
    <w:p>
      <w:pPr>
        <w:pStyle w:val="BookText"/>
        <w:rPr/>
      </w:pPr>
      <w:r>
        <w:rPr>
          <w:rFonts w:ascii="Amiri" w:hAnsi="Amiri" w:eastAsia="Amiri" w:cs="Amiri"/>
          <w:color w:val="111111"/>
          <w:sz w:val="28"/>
          <w:sz w:val="28"/>
          <w:szCs w:val="28"/>
          <w:rtl w:val="true"/>
          <w:lang w:bidi="ar-SA"/>
        </w:rPr>
        <w:t>السَّلف من الصّحابة والتابعين اختلاف كثيرٌ في كتابة العلم، فكرهها كثيرون، منهم و اجازها أكثرهم، ثم أجمع المسلمون على جوازها و زال ذلك الخلاف</w:t>
      </w:r>
      <w:r>
        <w:rPr>
          <w:rFonts w:eastAsia="Amiri" w:cs="Amiri" w:ascii="Amiri" w:hAnsi="Amiri"/>
          <w:color w:val="111111"/>
          <w:sz w:val="28"/>
          <w:szCs w:val="28"/>
          <w:rtl w:val="true"/>
          <w:lang w:bidi="ar-SA"/>
        </w:rPr>
        <w:t xml:space="preserve">» </w:t>
      </w:r>
      <w:r>
        <w:rPr>
          <w:rStyle w:val="FootnoteAnchor"/>
          <w:rtl w:val="true"/>
        </w:rPr>
        <w:footnoteReference w:id="1426"/>
      </w:r>
      <w:r>
        <w:rPr>
          <w:rFonts w:ascii="IRNazanin" w:hAnsi="IRNazanin" w:eastAsia="IRNazanin"/>
          <w:color w:val="111111"/>
          <w:sz w:val="28"/>
          <w:sz w:val="28"/>
          <w:szCs w:val="28"/>
          <w:rtl w:val="true"/>
          <w:lang w:bidi="fa-IR"/>
        </w:rPr>
        <w:t xml:space="preserve">، ذهبى در ترجمه عبدالله بن عمروبن‌العاص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الكثير بإذن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ترخيصِهِ لَهُ في الكتابةِ بعد كراهيّة للصّحابةِ أن يَكتبوا عنه سوى‌القرآن، و سَوّغ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إنعقد الاجماعُ بعد اختلاف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والاستحباب لتقييد العلم بالكتابة </w:t>
      </w:r>
      <w:r>
        <w:rPr>
          <w:rFonts w:eastAsia="IRNazanin" w:cs="IRNazanin"/>
          <w:color w:val="111111"/>
          <w:sz w:val="28"/>
          <w:szCs w:val="28"/>
          <w:rtl w:val="true"/>
          <w:lang w:bidi="fa-IR"/>
        </w:rPr>
        <w:t xml:space="preserve">» </w:t>
      </w:r>
      <w:r>
        <w:rPr>
          <w:rStyle w:val="FootnoteAnchor"/>
          <w:rtl w:val="true"/>
        </w:rPr>
        <w:footnoteReference w:id="1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 نهى از كتابت حديث را همزمان با نزول قرآن به‌خاطر پرهيز از مُشتَبه شدن آن با قرآن، مى‌دانند؛ نويسنده فيض‌القدير پس از اينكه كتابت را امر معقول، ماندگار، قابل استفاده براى ديگران مى‌شمارد،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لاتكتبوا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نهى خاص هنگام نزول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 لَبسه بغيره، او بكتابة غير القرآن مَعَه في شيء واحدٍ، اذ النَّهي مُتَقدِّم والاِذن ناسخ عند أمن اللبس </w:t>
      </w:r>
      <w:r>
        <w:rPr>
          <w:rFonts w:eastAsia="IRNazanin" w:cs="IRNazanin"/>
          <w:color w:val="111111"/>
          <w:sz w:val="28"/>
          <w:szCs w:val="28"/>
          <w:rtl w:val="true"/>
          <w:lang w:bidi="fa-IR"/>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نويسندگان اهل‌سنت اين عقيده را ابراز مى‌دارند كه منع از كتابت حديث، حتى همراه قرآن تنها در مورد ساير اصحاب، 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وى تصريح مى‌كند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كُلاًّ مِن السّنة الصّحيحة والقرآن الكريم واجب الطاعة، وقد كان من‌الصّحابة مَن يَكتُب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ليحفظه، حتّى نهى الرّسول عن كتابة ما ليس بقرآن، إلّا مَا كان في صحيفة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 الله‌وجهه </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 xml:space="preserve">، بنابراين از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در آن غيرقرآن هم مكتوب مى‌شده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مى‌رسد همۀ جار و جنجال‌ها، و تهمت‌ها از سوى منتقدان كافى بر سر اين نكته است كه از يك‌طرف مى‌خواهند با تكلُّف و فشار ثابت كنند كه جمع‌آورى قرآن، جز توسط ابوبكر و عمر و بالاخره عثمان انجام نگرفت و اين كار را براى آنان </w:t>
      </w:r>
    </w:p>
    <w:p>
      <w:pPr>
        <w:pStyle w:val="BookText"/>
        <w:rPr/>
      </w:pPr>
      <w:r>
        <w:rPr>
          <w:rFonts w:ascii="IRNazanin" w:hAnsi="IRNazanin" w:eastAsia="IRNazanin"/>
          <w:color w:val="111111"/>
          <w:sz w:val="28"/>
          <w:sz w:val="28"/>
          <w:szCs w:val="28"/>
          <w:rtl w:val="true"/>
          <w:lang w:bidi="fa-IR"/>
        </w:rPr>
        <w:t xml:space="preserve">فضيلت بدانند و از طرف‌ديگر، عليرغم انبوه روايات نسبت به‌جايگاه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اثبات اين نكته‌اند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 اصحاب هيچ تفاوتى نداشت و مصحف او نيز همانند مصاحف ديگر است، درحالى‌كه اين هدف براى ابوبكر و عمر تأمين نمى‌گردد؛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به‌اينكه منع كتابت حديث برخلاف عقل و سيره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430"/>
      </w:r>
      <w:r>
        <w:rPr>
          <w:rFonts w:ascii="Amiri" w:hAnsi="Amiri" w:eastAsia="Amiri" w:cs="Amiri"/>
          <w:color w:val="111111"/>
          <w:sz w:val="28"/>
          <w:sz w:val="28"/>
          <w:szCs w:val="28"/>
          <w:rtl w:val="true"/>
          <w:lang w:bidi="ar-SA"/>
        </w:rPr>
        <w:t xml:space="preserve">و احاديث دال بر كتابت است </w:t>
      </w:r>
      <w:r>
        <w:rPr>
          <w:rStyle w:val="FootnoteAnchor"/>
          <w:rtl w:val="true"/>
        </w:rPr>
        <w:footnoteReference w:id="1431"/>
      </w:r>
      <w:r>
        <w:rPr>
          <w:rFonts w:ascii="IRNazanin" w:hAnsi="IRNazanin" w:eastAsia="IRNazanin"/>
          <w:color w:val="111111"/>
          <w:sz w:val="28"/>
          <w:sz w:val="28"/>
          <w:szCs w:val="28"/>
          <w:rtl w:val="true"/>
          <w:lang w:bidi="fa-IR"/>
        </w:rPr>
        <w:t>، تدوين قرآن در زمان خود حضرت انجام شد، چنان‌كه ابن‌حجر تصريح مى‌كند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كان القرآن كُلّه كتب على عهد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غير مَجموع في موضع واحدٍ ولا مرتب السُّوَر </w:t>
      </w:r>
      <w:r>
        <w:rPr>
          <w:rFonts w:eastAsia="IRNazanin" w:cs="IRNazanin"/>
          <w:color w:val="111111"/>
          <w:sz w:val="28"/>
          <w:szCs w:val="28"/>
          <w:rtl w:val="true"/>
          <w:lang w:bidi="fa-IR"/>
        </w:rPr>
        <w:t xml:space="preserve">. . .» </w:t>
      </w:r>
      <w:r>
        <w:rPr>
          <w:rStyle w:val="FootnoteAnchor"/>
          <w:rtl w:val="true"/>
        </w:rPr>
        <w:footnoteReference w:id="1432"/>
      </w: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الثّابت أنَّ القرآنَ الكريمَ قدجُمِع في حياة النّبي الكريم بعد ان كان مُفرّقاً في جريد النّخيل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وصفائح الحجارة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العظام والجلود والرقاع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 يترتب يومئذ على حسب السور الموضوعة </w:t>
      </w:r>
      <w:r>
        <w:rPr>
          <w:rFonts w:eastAsia="IRNazanin" w:cs="IRNazanin"/>
          <w:color w:val="111111"/>
          <w:sz w:val="28"/>
          <w:szCs w:val="28"/>
          <w:rtl w:val="true"/>
          <w:lang w:bidi="fa-IR"/>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بخارى از ابن‌عبّاس نقل مى‌كند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بين الدفَّتين </w:t>
      </w:r>
      <w:r>
        <w:rPr>
          <w:rFonts w:eastAsia="Amiri" w:cs="Amiri" w:ascii="Amiri" w:hAnsi="Amiri"/>
          <w:color w:val="111111"/>
          <w:sz w:val="28"/>
          <w:szCs w:val="28"/>
          <w:rtl w:val="true"/>
          <w:lang w:bidi="ar-SA"/>
        </w:rPr>
        <w:t xml:space="preserve">» </w:t>
      </w:r>
      <w:r>
        <w:rPr>
          <w:rStyle w:val="FootnoteAnchor"/>
          <w:rtl w:val="true"/>
        </w:rPr>
        <w:footnoteReference w:id="1434"/>
      </w:r>
      <w:r>
        <w:rPr>
          <w:rFonts w:ascii="IRNazanin" w:hAnsi="IRNazanin" w:eastAsia="IRNazanin"/>
          <w:color w:val="111111"/>
          <w:sz w:val="28"/>
          <w:sz w:val="28"/>
          <w:szCs w:val="28"/>
          <w:rtl w:val="true"/>
          <w:lang w:bidi="fa-IR"/>
        </w:rPr>
        <w:t xml:space="preserve">، و بى‌ترديد در صورت نپذيرفتن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دَه‌ها سؤال اساسى نسبت به‌قرآن، ايجاد مى‌گردد و به‌احتمال بسيار قوى ابوبكر و عمر كه اقدام به‌جمع‌آورى قرآن كردند نه به‌خاطر اينكه قرآن جمع آورى نشده بود بلكه بدان جهت بود كه ديگر بزرگان صحابه چون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عبدالله‌بن‌مسعود و ابّى‌بن‌كعب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مصحف داشتند و آن دو، نداشتن مصحف را براى خود كسر شأن مى‌شمردند، ازاين‌رو به چنين كارى دست </w:t>
      </w:r>
    </w:p>
    <w:p>
      <w:pPr>
        <w:pStyle w:val="BookText"/>
        <w:rPr/>
      </w:pPr>
      <w:r>
        <w:rPr>
          <w:rFonts w:ascii="IRNazanin" w:hAnsi="IRNazanin" w:eastAsia="IRNazanin"/>
          <w:color w:val="111111"/>
          <w:sz w:val="28"/>
          <w:sz w:val="28"/>
          <w:szCs w:val="28"/>
          <w:rtl w:val="true"/>
          <w:lang w:bidi="fa-IR"/>
        </w:rPr>
        <w:t xml:space="preserve">زدند، و الا چرا يكى از مصحف‌هايى كه به‌نقل بخارى وجود داشت انتخاب و رسميت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انس‌بن‌مالك 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جَمَع القرآن على عهد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كُلُّهم من الانصار، اُبّي بن‌كعب، و معاذبن جبل، و زيدبن‌ثابت و ابو زيد </w:t>
      </w:r>
      <w:r>
        <w:rPr>
          <w:rFonts w:eastAsia="IRNazanin" w:cs="IRNazanin"/>
          <w:color w:val="111111"/>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و به‌همين جهت مصحف ابابكر هيچ‌وقت ميان مردم پخش نشد و فقط همانند مصحف‌هاى عبدالله‌بن مسعود جنبه شخصى داشت هر چند كه از سوى مقام رسمى اداره مسلمانان گردآورى شد، چنان‌كه مى‌نويسند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أنّ هذ المصحف الرّسمي لم يأخذ طريقه الرسمي الى الامصار، ولعل مقتل عُمَر هو الذي أخّر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مصحف پس از ابوبكر به‌عمر منتقل و نزد حفصه دختر عمر، ماند </w:t>
      </w:r>
      <w:r>
        <w:rPr>
          <w:rStyle w:val="FootnoteAnchor"/>
          <w:rtl w:val="true"/>
        </w:rPr>
        <w:footnoteReference w:id="1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عمربن‌الخطاب هم براى اينكه مصحفى مستقل داشته باشد، اعلام كرد هركسى چيزى از قرآن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با دو شاهد بياورند، ولى موفق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يجمع ذلك </w:t>
      </w:r>
      <w:r>
        <w:rPr>
          <w:rFonts w:eastAsia="IRNazanin" w:cs="IRNazanin"/>
          <w:color w:val="111111"/>
          <w:sz w:val="28"/>
          <w:szCs w:val="28"/>
          <w:rtl w:val="true"/>
          <w:lang w:bidi="fa-IR"/>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دليلش اين است كه قبل از توحيد مصاحف توسط عثمان، مصحف‌هاى متعددى وجود داشت، و در هر شهرى يك مصحف رايج بود؛ مصحف ابن‌مسعود ميان اهل كوفه، مصحف ابوموسى ميان اهل بصره، مصحف مقدادبن‌اسود در دمشق و مصحف أُبَى بن‌كعب ميان اهل شام، مورد توجّه بود </w:t>
      </w:r>
      <w:r>
        <w:rPr>
          <w:rStyle w:val="FootnoteAnchor"/>
          <w:rtl w:val="true"/>
        </w:rPr>
        <w:footnoteReference w:id="1438"/>
      </w:r>
      <w:r>
        <w:rPr>
          <w:rFonts w:ascii="IRNazanin" w:hAnsi="IRNazanin" w:eastAsia="IRNazanin"/>
          <w:color w:val="111111"/>
          <w:sz w:val="28"/>
          <w:sz w:val="28"/>
          <w:szCs w:val="28"/>
          <w:rtl w:val="true"/>
          <w:lang w:bidi="fa-IR"/>
        </w:rPr>
        <w:t>و چون اختلافات قرائت و ادعاهاى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رسيد، عثمان‌بن‌عفان به‌پيشنهاد حذيفه مجبور شد، مصاحف ديگر را جمع‌آورى و نابود كرد </w:t>
      </w:r>
      <w:r>
        <w:rPr>
          <w:rStyle w:val="FootnoteAnchor"/>
          <w:rtl w:val="true"/>
        </w:rPr>
        <w:footnoteReference w:id="1439"/>
      </w:r>
      <w:r>
        <w:rPr>
          <w:rFonts w:ascii="Amiri" w:hAnsi="Amiri" w:eastAsia="Amiri" w:cs="Amiri"/>
          <w:color w:val="111111"/>
          <w:sz w:val="28"/>
          <w:sz w:val="28"/>
          <w:szCs w:val="28"/>
          <w:rtl w:val="true"/>
          <w:lang w:bidi="ar-SA"/>
        </w:rPr>
        <w:t xml:space="preserve">، و مصحف عثمانى را ارائه داد و آن را از أهمّ كارهاى او مى‌شمارند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bookmarkStart w:id="475" w:name="pg1976_28164"/>
    </w:p>
    <w:p>
      <w:pPr>
        <w:pStyle w:val="BookText"/>
        <w:rPr/>
      </w:pPr>
      <w:bookmarkEnd w:id="475"/>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قبلاً اشاره شد، نوشتن درحاشيه مصحف و يا حتى دركنار آيات، جهت توضيح وتفسير و تأويل، ميان صحابه امر معمول و رايج بوده است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اينكه قفارى در مرحله نخست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بعدى شيعه را متهم مى‌كند كه با اعتقاد به‌مصحفى كه در آن تفسير وتأويل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مكتوب بوده، مخالف دستور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لاتكتبوا عَنِّي شيئاً إلّا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كاملاً مردود و باطل است</w:t>
      </w:r>
      <w:r>
        <w:rPr>
          <w:rFonts w:eastAsia="IRNazanin" w:cs="IRNazanin"/>
          <w:color w:val="111111"/>
          <w:sz w:val="28"/>
          <w:szCs w:val="28"/>
          <w:rtl w:val="true"/>
          <w:lang w:bidi="fa-IR"/>
        </w:rPr>
        <w:t>.</w:t>
      </w:r>
    </w:p>
    <w:p>
      <w:pPr>
        <w:pStyle w:val="Heading5"/>
        <w:numPr>
          <w:ilvl w:val="4"/>
          <w:numId w:val="1"/>
        </w:numPr>
        <w:rPr/>
      </w:pPr>
      <w:bookmarkStart w:id="476" w:name="__RefHeading___Toc3767191_3650668749"/>
      <w:bookmarkStart w:id="477" w:name="_Toc174"/>
      <w:bookmarkEnd w:id="476"/>
      <w:r>
        <w:rPr>
          <w:rtl w:val="true"/>
        </w:rPr>
        <w:t>و</w:t>
      </w:r>
      <w:r>
        <w:rPr>
          <w:rtl w:val="true"/>
        </w:rPr>
        <w:t xml:space="preserve">) </w:t>
      </w:r>
      <w:r>
        <w:rPr>
          <w:rtl w:val="true"/>
        </w:rPr>
        <w:t xml:space="preserve">لازمۀ مصحف على </w:t>
      </w:r>
      <w:r>
        <w:rPr>
          <w:rtl w:val="true"/>
        </w:rPr>
        <w:t>(</w:t>
      </w:r>
      <w:r>
        <w:rPr>
          <w:rtl w:val="true"/>
        </w:rPr>
        <w:t>ع</w:t>
      </w:r>
      <w:r>
        <w:rPr>
          <w:rtl w:val="true"/>
        </w:rPr>
        <w:t xml:space="preserve">) </w:t>
      </w:r>
      <w:r>
        <w:rPr>
          <w:rtl w:val="true"/>
        </w:rPr>
        <w:t>كوتاهى در امر تبليغ</w:t>
      </w:r>
      <w:r>
        <w:rPr>
          <w:rtl w:val="true"/>
        </w:rPr>
        <w:t xml:space="preserve">! </w:t>
      </w:r>
      <w:r>
        <w:rPr>
          <w:rtl w:val="true"/>
        </w:rPr>
        <w:t>نيست</w:t>
      </w:r>
      <w:bookmarkEnd w:id="47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برخى از نويسندگان، لازمه وجود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كوتاهى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تبليغ قرآن و طعن صحابه، مى‌دانند </w:t>
      </w:r>
      <w:r>
        <w:rPr>
          <w:rStyle w:val="FootnoteAnchor"/>
          <w:rtl w:val="true"/>
        </w:rPr>
        <w:footnoteReference w:id="1442"/>
      </w:r>
      <w:r>
        <w:rPr>
          <w:rFonts w:ascii="Amiri" w:hAnsi="Amiri" w:eastAsia="Amiri" w:cs="Amiri"/>
          <w:color w:val="111111"/>
          <w:sz w:val="28"/>
          <w:sz w:val="28"/>
          <w:szCs w:val="28"/>
          <w:rtl w:val="true"/>
          <w:lang w:bidi="ar-SA"/>
        </w:rPr>
        <w:t>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مخالف نصّ آيه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است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به‌منابع خود وهابى‌ها نسبت به‌اين مصحف </w:t>
      </w:r>
      <w:r>
        <w:rPr>
          <w:rStyle w:val="FootnoteAnchor"/>
          <w:rtl w:val="true"/>
        </w:rPr>
        <w:footnoteReference w:id="1444"/>
      </w:r>
      <w:r>
        <w:rPr>
          <w:rFonts w:ascii="IRNazanin" w:hAnsi="IRNazanin" w:eastAsia="IRNazanin"/>
          <w:color w:val="111111"/>
          <w:sz w:val="28"/>
          <w:sz w:val="28"/>
          <w:szCs w:val="28"/>
          <w:rtl w:val="true"/>
          <w:lang w:bidi="fa-IR"/>
        </w:rPr>
        <w:t xml:space="preserve">، نَه‌تنها كوتاهى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تبليغ را ثابت نمى‌كند كه تأييد و تثبيت و تبليغ رسالت و قرآن است؛ برپايه همان مدارك، حديث مشهور ثقلين </w:t>
      </w:r>
      <w:r>
        <w:rPr>
          <w:rStyle w:val="FootnoteAnchor"/>
          <w:rtl w:val="true"/>
        </w:rPr>
        <w:footnoteReference w:id="1445"/>
      </w:r>
      <w:r>
        <w:rPr>
          <w:rFonts w:ascii="IRNazanin" w:hAnsi="IRNazanin" w:eastAsia="IRNazanin"/>
          <w:color w:val="111111"/>
          <w:sz w:val="28"/>
          <w:sz w:val="28"/>
          <w:szCs w:val="28"/>
          <w:rtl w:val="true"/>
          <w:lang w:bidi="fa-IR"/>
        </w:rPr>
        <w:t xml:space="preserve">در جهت ماندگارى تبليغ قرآن تا روز رستاخيز از خاتم‌الانبياء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عِدل قرآن معرفى كرد، همان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بنابر نقل مدارك خود آنها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سَلوُني عن كتابِ الله فإنّه ليس من آية إلّا و قد عَرَفتُ بليلٍ نَزَلَت أم بنهارٍ، أم في سَهلٍ أم في جَبَلٍ </w:t>
      </w:r>
      <w:r>
        <w:rPr>
          <w:rFonts w:eastAsia="IRNazanin" w:cs="IRNazanin"/>
          <w:color w:val="111111"/>
          <w:sz w:val="28"/>
          <w:szCs w:val="28"/>
          <w:rtl w:val="true"/>
          <w:lang w:bidi="fa-IR"/>
        </w:rPr>
        <w:t xml:space="preserve">» </w:t>
      </w:r>
      <w:r>
        <w:rPr>
          <w:rStyle w:val="FootnoteAnchor"/>
          <w:rtl w:val="true"/>
        </w:rPr>
        <w:footnoteReference w:id="1446"/>
      </w:r>
      <w:r>
        <w:rPr>
          <w:rFonts w:ascii="Amiri" w:hAnsi="Amiri" w:eastAsia="Amiri" w:cs="Amiri"/>
          <w:color w:val="111111"/>
          <w:sz w:val="28"/>
          <w:sz w:val="28"/>
          <w:szCs w:val="28"/>
          <w:rtl w:val="true"/>
          <w:lang w:bidi="ar-SA"/>
        </w:rPr>
        <w:t>، و يا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إلّا وقد علمتُ فيما نزلت، وأينَ نَزَلَت، وعلى مَن نزلت، إنّ ربّي وهَبَ لي قلباً عَقُولاً ولساناً ناطقاً </w:t>
      </w:r>
      <w:r>
        <w:rPr>
          <w:rFonts w:eastAsia="Amiri" w:cs="Amiri" w:ascii="Amiri" w:hAnsi="Amiri"/>
          <w:color w:val="111111"/>
          <w:sz w:val="28"/>
          <w:szCs w:val="28"/>
          <w:rtl w:val="true"/>
          <w:lang w:bidi="ar-SA"/>
        </w:rPr>
        <w:t xml:space="preserve">» </w:t>
      </w:r>
      <w:r>
        <w:rPr>
          <w:rStyle w:val="FootnoteAnchor"/>
          <w:rtl w:val="true"/>
        </w:rPr>
        <w:footnoteReference w:id="1447"/>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 عرضه مى‌داشت با </w:t>
      </w:r>
      <w:bookmarkStart w:id="478" w:name="pg1976_28166"/>
    </w:p>
    <w:p>
      <w:pPr>
        <w:pStyle w:val="BookText"/>
        <w:rPr/>
      </w:pPr>
      <w:bookmarkEnd w:id="478"/>
      <w:r>
        <w:rPr>
          <w:rFonts w:ascii="IRNazanin" w:hAnsi="IRNazanin" w:eastAsia="IRNazanin"/>
          <w:color w:val="111111"/>
          <w:sz w:val="28"/>
          <w:sz w:val="28"/>
          <w:szCs w:val="28"/>
          <w:rtl w:val="true"/>
          <w:lang w:bidi="fa-IR"/>
        </w:rPr>
        <w:t xml:space="preserve">اين‌حال چگونه مى‌توان مدعى‌شد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قرآن كوتاهى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أداى وظيفه دينى و سياسى، مصحف خويش را بر اصحاب عرضه داشت و براى هميشه عذر آنان را بريد </w:t>
      </w:r>
      <w:r>
        <w:rPr>
          <w:rStyle w:val="FootnoteAnchor"/>
          <w:rtl w:val="true"/>
        </w:rPr>
        <w:footnoteReference w:id="1448"/>
      </w:r>
      <w:r>
        <w:rPr>
          <w:rFonts w:ascii="IRNazanin" w:hAnsi="IRNazanin" w:eastAsia="IRNazanin"/>
          <w:color w:val="111111"/>
          <w:sz w:val="28"/>
          <w:sz w:val="28"/>
          <w:szCs w:val="28"/>
          <w:rtl w:val="true"/>
          <w:lang w:bidi="fa-IR"/>
        </w:rPr>
        <w:t xml:space="preserve">، و اينكه اصحاب به‌هردليلى آن را نپذيرفتند، ترديدى باقى نمى‌گذارد كه صحابه در نپذيرفتن آن بى‌تقصير نيستند و براساس نقل شهرستانى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و شنيدن اين سخنِ برخى از أصحاب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إرفع مصحفك لاحاجة بنا اليه </w:t>
      </w:r>
      <w:r>
        <w:rPr>
          <w:rFonts w:eastAsia="IRNazanin" w:cs="IRNazanin"/>
          <w:color w:val="111111"/>
          <w:sz w:val="28"/>
          <w:szCs w:val="28"/>
          <w:rtl w:val="true"/>
          <w:lang w:bidi="fa-IR"/>
        </w:rPr>
        <w:t xml:space="preserve">!» </w:t>
      </w:r>
      <w:r>
        <w:rPr>
          <w:rStyle w:val="FootnoteAnchor"/>
          <w:rtl w:val="true"/>
        </w:rPr>
        <w:footnoteReference w:id="1449"/>
      </w:r>
      <w:r>
        <w:rPr>
          <w:rFonts w:ascii="IRNazanin" w:hAnsi="IRNazanin" w:eastAsia="IRNazanin"/>
          <w:color w:val="111111"/>
          <w:sz w:val="28"/>
          <w:sz w:val="28"/>
          <w:szCs w:val="28"/>
          <w:rtl w:val="true"/>
          <w:lang w:bidi="fa-IR"/>
        </w:rPr>
        <w:t>، با كوله بارى از دَرد، شِكوه آميزانه آيه</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فرقان را با خود زمزمه مى‌كرد و صحابه را بسان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كه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غياب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اطاعت ننمودند و حجت‌هاى او را نپذيرفتند كه او را تهديد كردند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3767193_3650668749"/>
      <w:bookmarkStart w:id="480" w:name="_Toc175"/>
      <w:bookmarkEnd w:id="479"/>
      <w:r>
        <w:rPr>
          <w:rtl w:val="true"/>
        </w:rPr>
        <w:t>ز</w:t>
      </w:r>
      <w:r>
        <w:rPr>
          <w:rtl w:val="true"/>
        </w:rPr>
        <w:t xml:space="preserve">) </w:t>
      </w:r>
      <w:r>
        <w:rPr>
          <w:rtl w:val="true"/>
        </w:rPr>
        <w:t>وضعيت فعلى مصحف</w:t>
      </w:r>
      <w:bookmarkEnd w:id="480"/>
    </w:p>
    <w:p>
      <w:pPr>
        <w:pStyle w:val="BookText"/>
        <w:rPr/>
      </w:pPr>
      <w:r>
        <w:rPr>
          <w:rFonts w:ascii="Amiri" w:hAnsi="Amiri" w:eastAsia="Amiri" w:cs="Amiri"/>
          <w:color w:val="111111"/>
          <w:sz w:val="28"/>
          <w:sz w:val="28"/>
          <w:szCs w:val="28"/>
          <w:rtl w:val="true"/>
          <w:lang w:bidi="ar-SA"/>
        </w:rPr>
        <w:t xml:space="preserve">اما اينكه موسى‌جارالله، با طرح اين سؤال كه مصحف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كجاست؟ و شيعه معتقدند كه مهدى مزعوم كه در سرداب موهوم، مخفى است و روزى با آن مصحف از سرداب خارج مى شود </w:t>
      </w:r>
      <w:r>
        <w:rPr>
          <w:rStyle w:val="FootnoteAnchor"/>
          <w:rtl w:val="true"/>
        </w:rPr>
        <w:footnoteReference w:id="1451"/>
      </w:r>
      <w:r>
        <w:rPr>
          <w:rFonts w:ascii="IRNazanin" w:hAnsi="IRNazanin" w:eastAsia="IRNazanin"/>
          <w:color w:val="111111"/>
          <w:sz w:val="28"/>
          <w:sz w:val="28"/>
          <w:szCs w:val="28"/>
          <w:rtl w:val="true"/>
          <w:lang w:bidi="fa-IR"/>
        </w:rPr>
        <w:t>از چند جهت قابل بررسى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پرسش نسبت به‌مصحف ابوبكر و عمر نيز مطرح خواهد شد؛ زيرا با گذشت بيش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و صدها حوادث تلخ و نابودكننده، طرح چنين سؤالى به‌عنوان نقد بر اعتقادات شيعه، غير عاقلانه است؛ زيرا در دسترس نبودن اين مصحف، دليل بر نبود آن نخواهد بود و الا هزاران كتاب ارزشمند و ميراث فرهنگى مسلمانان كه هم‌اكنون در اختيار نيست و بر اثر حوادث روزگار، از بين رفته است، بايد دروغ قلمداد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به‌برخورد منفى و كينه‌توزانه برخى سران 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مصحفك لاحاجة بنا اِليه </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 xml:space="preserve">، نسبت به‌على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مصحف او از يك‌سو، و منع شديد نقل و تدوين حديث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يك قرن </w:t>
      </w:r>
      <w:r>
        <w:rPr>
          <w:rStyle w:val="FootnoteAnchor"/>
          <w:rtl w:val="true"/>
        </w:rPr>
        <w:footnoteReference w:id="1453"/>
      </w:r>
      <w:r>
        <w:rPr>
          <w:rFonts w:ascii="IRNazanin" w:hAnsi="IRNazanin" w:eastAsia="IRNazanin"/>
          <w:color w:val="111111"/>
          <w:sz w:val="28"/>
          <w:sz w:val="28"/>
          <w:szCs w:val="28"/>
          <w:rtl w:val="true"/>
          <w:lang w:bidi="fa-IR"/>
        </w:rPr>
        <w:t xml:space="preserve">از ديگرسو، و دشمنى شديد شجره پليده بنى‌اُميه و در رأس آن معاويه، با خاندان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454"/>
      </w:r>
      <w:r>
        <w:rPr>
          <w:rFonts w:ascii="IRNazanin" w:hAnsi="IRNazanin" w:eastAsia="IRNazanin"/>
          <w:color w:val="111111"/>
          <w:sz w:val="28"/>
          <w:sz w:val="28"/>
          <w:szCs w:val="28"/>
          <w:rtl w:val="true"/>
          <w:lang w:bidi="fa-IR"/>
        </w:rPr>
        <w:t xml:space="preserve">و سپس بنى‌عبّاس </w:t>
      </w:r>
      <w:r>
        <w:rPr>
          <w:rStyle w:val="FootnoteAnchor"/>
          <w:rtl w:val="true"/>
        </w:rPr>
        <w:footnoteReference w:id="1455"/>
      </w:r>
      <w:r>
        <w:rPr>
          <w:rFonts w:ascii="IRNazanin" w:hAnsi="IRNazanin" w:eastAsia="IRNazanin"/>
          <w:color w:val="111111"/>
          <w:sz w:val="28"/>
          <w:sz w:val="28"/>
          <w:szCs w:val="28"/>
          <w:rtl w:val="true"/>
          <w:lang w:bidi="fa-IR"/>
        </w:rPr>
        <w:t xml:space="preserve">از طرف‌سوم، انتظار باطل است كه مصحف شريف و مكتوبات ديگر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در اختيار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و كسانى كه امكانات و بيت‌المال مسلمانان را حتى براى محوِ نام آنان به‌كار مى‌گرفتند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حتّى يَربُوَ عليه الصَّغير، ويَهرم عليه الكبير، ولا يَذكر ذاكرٌ فَضلاً </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چگونه آثار مكتوب آن حضرت در اختيار عموم مسلمانان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مصحف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مكتوبات آن حضرت و امانت‌هاى نبوت و رسالت نزد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امامى به‌امام ديگر كه در واقع منبع علوم آنان است منتقل مى‌گردد </w:t>
      </w:r>
      <w:r>
        <w:rPr>
          <w:rStyle w:val="FootnoteAnchor"/>
          <w:rtl w:val="true"/>
        </w:rPr>
        <w:footnoteReference w:id="1458"/>
      </w:r>
      <w:r>
        <w:rPr>
          <w:rFonts w:ascii="IRNazanin" w:hAnsi="IRNazanin" w:eastAsia="IRNazanin"/>
          <w:color w:val="111111"/>
          <w:sz w:val="28"/>
          <w:sz w:val="28"/>
          <w:szCs w:val="28"/>
          <w:rtl w:val="true"/>
          <w:lang w:bidi="fa-IR"/>
        </w:rPr>
        <w:t xml:space="preserve">و اين باور، نَه‌تحريف قرآن است و نَه‌انحراف از دين؛ و اگر چنانچه عدم دسترسى مسلمانان به‌اين مصحف مورد ايراد باشد، بايد از پيروان ابن‌تيميه پرسيد كه چرا؟ و به چه دليل؟ و توسط چه كسانى؟ و اگرآن همه محدوديت و ستم و </w:t>
      </w:r>
      <w:bookmarkStart w:id="481" w:name="pg1976_28171"/>
    </w:p>
    <w:p>
      <w:pPr>
        <w:pStyle w:val="BookText"/>
        <w:rPr/>
      </w:pPr>
      <w:bookmarkEnd w:id="481"/>
      <w:r>
        <w:rPr>
          <w:rFonts w:ascii="IRNazanin" w:hAnsi="IRNazanin" w:eastAsia="IRNazanin"/>
          <w:color w:val="111111"/>
          <w:sz w:val="28"/>
          <w:sz w:val="28"/>
          <w:szCs w:val="28"/>
          <w:rtl w:val="true"/>
          <w:lang w:bidi="fa-IR"/>
        </w:rPr>
        <w:t>بى‌عدالتى‌ها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نسبت به‌خاندان وحى، صورت نمى‌گرفت و از نشر علوم آنان جلوگيرى به‌عمل نمى‌آمد، چه مى‌شد؟ و چه آثارى در جهت پيشرفت و تعالى اسلام در پى داشت و امروز مسلمانان در كدام نقطه از عالم ايستاده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موسى جارالله و برخى ديگر مدعى شدند روزى مهدى مزعوم از سرداب موهوم خارج شده و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به‌همراه خواهد داشت؛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به‌اعتقاد پيروان اهل‌بيت نَه‌تنها مصحف ياد شده كه امانت‌هاى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سرداب مورد نظرشما كه از كنارخانه خدا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به‌منجى عالم، فرا مذهبى است و اختصاص به‌شيعه ندارد بلكه همه اديان الهى معتقد به‌منجى‌اند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اصل وجود مصحف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رسول‌الله براصحاب عرضه شد ولى به‌دلايلى مورد پذيرش قرار نگرفت، با ويژگى‌هايى چون متن قرآن براساس تاريخ نزول، تأويلات آيات، تفسير، بيان مصاديق،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بوده است و هيچ ترديدى نيست كه اين مصحف نه‌تنها شاهد بر تحريف قرآن نيست كه مؤيدى بر تحريف‌ناپذيرى آن است و آنچه القفارى و ديگران در اين جهت بافته‌اند، جز افترا و تهمتى بيش نيست و در حقيقت بى‌اطلاعى خودشان را به‌معرض ديد گذاشته‌اند</w:t>
      </w:r>
      <w:r>
        <w:rPr>
          <w:rFonts w:eastAsia="IRNazanin" w:cs="IRNazanin"/>
          <w:color w:val="111111"/>
          <w:sz w:val="28"/>
          <w:szCs w:val="28"/>
          <w:rtl w:val="true"/>
          <w:lang w:bidi="fa-IR"/>
        </w:rPr>
        <w:t>!</w:t>
      </w:r>
    </w:p>
    <w:p>
      <w:pPr>
        <w:pStyle w:val="Heading4"/>
        <w:numPr>
          <w:ilvl w:val="3"/>
          <w:numId w:val="1"/>
        </w:numPr>
        <w:rPr/>
      </w:pPr>
      <w:bookmarkStart w:id="482" w:name="__RefHeading___Toc3767195_3650668749"/>
      <w:bookmarkStart w:id="483" w:name="_Toc176"/>
      <w:bookmarkEnd w:id="482"/>
      <w:r>
        <w:rPr>
          <w:rtl w:val="true"/>
        </w:rPr>
        <w:t>نتيجه‌گيرى</w:t>
      </w:r>
      <w:bookmarkEnd w:id="48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اتهام گروهى از نويسندگان مبنى براينكه شيعه و در رأس آنان كلينى، معتقد به‌تحريف قرآن اند، مورد بررسى و نقد قرارگرفت، و اين نتيجه را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به‌تحريف قرآن نيست؛ عالمان شيعه گذشته از عمل و استنباط احكام عملى از قرآن موجود و قرائت سوره‌اى از آن، در نمازها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محكم‌ترين دليل بر صيانت قرآن از تحريف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تحريف به‌مفهوم باطل آن، بيش از آنچه در منابع شيعه باشد در منابع مورد پسند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وهابى‌ها موجود است و هر توجيه و تحليلى كه اين نويسندگان براى آنها ارائه مى‌دهند، در مواردى كه در منابع شيعه ادعا شده، نيز كاربرد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و احاديث كتاب كافى كه تحريف را مى‌رساند در حقيقت تفسير يا تأويل يا تنزيل و يا تبيين و توسعه آيات قرآن كريم است و تفاوت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فعلى تنها در تنظيم سُوَر نيست بلكه براساس احاديث اهل‌سنت، مشتمل بر علوم الهى و حقائق گذشته و آينده است و مصحف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به‌فرمان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يافت، نه تنها شاهدى بر تحريف نيست كه محكم‌ترين مؤيد قرآن فعلى محسوب مى‌گردد</w:t>
      </w:r>
      <w:r>
        <w:rPr>
          <w:rFonts w:eastAsia="IRNazanin" w:cs="IRNazanin"/>
          <w:color w:val="111111"/>
          <w:sz w:val="28"/>
          <w:szCs w:val="28"/>
          <w:rtl w:val="true"/>
          <w:lang w:bidi="fa-IR"/>
        </w:rPr>
        <w:t xml:space="preserve">. </w:t>
      </w:r>
      <w:bookmarkStart w:id="484" w:name="pg1976_28175"/>
    </w:p>
    <w:p>
      <w:pPr>
        <w:pStyle w:val="Heading2"/>
        <w:numPr>
          <w:ilvl w:val="1"/>
          <w:numId w:val="1"/>
        </w:numPr>
        <w:rPr/>
      </w:pPr>
      <w:bookmarkStart w:id="485" w:name="__RefHeading___Toc3767197_3650668749"/>
      <w:bookmarkStart w:id="486" w:name="_Toc177"/>
      <w:bookmarkEnd w:id="484"/>
      <w:bookmarkEnd w:id="485"/>
      <w:r>
        <w:rPr>
          <w:rtl w:val="true"/>
        </w:rPr>
        <w:t>بخش چهارم</w:t>
      </w:r>
      <w:r>
        <w:rPr>
          <w:rtl w:val="true"/>
        </w:rPr>
        <w:t xml:space="preserve">: </w:t>
      </w:r>
      <w:r>
        <w:rPr>
          <w:rtl w:val="true"/>
        </w:rPr>
        <w:t>غلوّ در امامت به‌روايت كافى</w:t>
      </w:r>
      <w:bookmarkEnd w:id="48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7" w:name="__RefHeading___Toc3767199_3650668749"/>
      <w:bookmarkStart w:id="488" w:name="_Toc178"/>
      <w:bookmarkEnd w:id="487"/>
      <w:r>
        <w:rPr>
          <w:rtl w:val="true"/>
        </w:rPr>
        <w:t>اشاره</w:t>
      </w:r>
      <w:bookmarkEnd w:id="48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976_28178"/>
      <w:bookmarkStart w:id="490" w:name="pg1976_28178"/>
      <w:bookmarkEnd w:id="490"/>
    </w:p>
    <w:p>
      <w:pPr>
        <w:pStyle w:val="Heading3"/>
        <w:numPr>
          <w:ilvl w:val="2"/>
          <w:numId w:val="1"/>
        </w:numPr>
        <w:rPr/>
      </w:pPr>
      <w:bookmarkStart w:id="491" w:name="pg1976_28178"/>
      <w:bookmarkStart w:id="492" w:name="__RefHeading___Toc3767201_3650668749"/>
      <w:bookmarkStart w:id="493" w:name="_Toc179"/>
      <w:bookmarkEnd w:id="491"/>
      <w:bookmarkEnd w:id="492"/>
      <w:r>
        <w:rPr>
          <w:rtl w:val="true"/>
        </w:rPr>
        <w:t>مقدمه</w:t>
      </w:r>
      <w:bookmarkEnd w:id="49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برجسته‌ترين اشكال‌هايى كه بر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امامت به‌روايت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اشكال هر چند از منابع ديگر شيعه نيز ياد شده </w:t>
      </w:r>
      <w:r>
        <w:rPr>
          <w:rStyle w:val="FootnoteAnchor"/>
          <w:rtl w:val="true"/>
        </w:rPr>
        <w:footnoteReference w:id="1459"/>
      </w:r>
      <w:r>
        <w:rPr>
          <w:rFonts w:ascii="IRNazanin" w:hAnsi="IRNazanin" w:eastAsia="IRNazanin"/>
          <w:color w:val="111111"/>
          <w:sz w:val="28"/>
          <w:sz w:val="28"/>
          <w:szCs w:val="28"/>
          <w:rtl w:val="true"/>
          <w:lang w:bidi="fa-IR"/>
        </w:rPr>
        <w:t xml:space="preserve">ولى از آن روى كه از يك‌سو، موضوع تحقيق بر محور كتاب كافى است و از ديگرسو، اين كتاب در ميان منابع روايى از جايگاه ويژه‌اى برخوردار است و به‌همين جهت اين كتاب، مورد آماج تهمت‌ها قرار مى‌گيرد، در اين بخش اشكالات طرح شده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بررسى و نقد قرار خواهد گرفت؛ و با توجه به اينكه برخى از عناوين باب‌ها و روايات به‌ويژه از كتاب‌الحجۀ اين كتاب، بيشترين اشكالات را به‌خود اختصاص داده است، اين اشكالات به‌دو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توطئه بودن طرح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شده است</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976_28182"/>
      <w:bookmarkStart w:id="495" w:name="pg1976_28182"/>
      <w:bookmarkEnd w:id="495"/>
    </w:p>
    <w:p>
      <w:pPr>
        <w:pStyle w:val="Heading3"/>
        <w:numPr>
          <w:ilvl w:val="2"/>
          <w:numId w:val="1"/>
        </w:numPr>
        <w:rPr/>
      </w:pPr>
      <w:bookmarkStart w:id="496" w:name="pg1976_28182"/>
      <w:bookmarkStart w:id="497" w:name="__RefHeading___Toc3767203_3650668749"/>
      <w:bookmarkStart w:id="498" w:name="_Toc180"/>
      <w:bookmarkEnd w:id="496"/>
      <w:bookmarkEnd w:id="497"/>
      <w:r>
        <w:rPr>
          <w:rtl w:val="true"/>
        </w:rPr>
        <w:t>فصل اول</w:t>
      </w:r>
      <w:r>
        <w:rPr>
          <w:rtl w:val="true"/>
        </w:rPr>
        <w:t xml:space="preserve">: </w:t>
      </w:r>
      <w:r>
        <w:rPr>
          <w:rtl w:val="true"/>
        </w:rPr>
        <w:t>طرح انديشه امامت، از سوى عبدالله‌بن‌سبأ</w:t>
      </w:r>
      <w:bookmarkEnd w:id="498"/>
    </w:p>
    <w:p>
      <w:pPr>
        <w:pStyle w:val="Heading4"/>
        <w:numPr>
          <w:ilvl w:val="3"/>
          <w:numId w:val="1"/>
        </w:numPr>
        <w:rPr/>
      </w:pPr>
      <w:bookmarkStart w:id="499" w:name="__RefHeading___Toc3767205_3650668749"/>
      <w:bookmarkStart w:id="500" w:name="_Toc181"/>
      <w:bookmarkEnd w:id="499"/>
      <w:r>
        <w:rPr/>
        <w:t>١</w:t>
      </w:r>
      <w:r>
        <w:rPr>
          <w:rtl w:val="true"/>
        </w:rPr>
        <w:t xml:space="preserve">. </w:t>
      </w:r>
      <w:r>
        <w:rPr>
          <w:rtl w:val="true"/>
        </w:rPr>
        <w:t>طرح اتهام</w:t>
      </w:r>
      <w:bookmarkEnd w:id="500"/>
    </w:p>
    <w:p>
      <w:pPr>
        <w:pStyle w:val="BookText"/>
        <w:rPr/>
      </w:pPr>
      <w:r>
        <w:rPr>
          <w:rFonts w:ascii="IRNazanin" w:hAnsi="IRNazanin" w:eastAsia="IRNazanin"/>
          <w:color w:val="111111"/>
          <w:sz w:val="28"/>
          <w:sz w:val="28"/>
          <w:szCs w:val="28"/>
          <w:rtl w:val="true"/>
          <w:lang w:bidi="fa-IR"/>
        </w:rPr>
        <w:t xml:space="preserve">با كمال تأسف بخش‌هاى قابل توجهى ازكتاب‌هاى اهل‌سنت به‌ويژه منابع وهابى‌ها به‌اين مسأله اختصاص يافته است تا وانمود كنند كه طرح امامت و جانشينى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دسيسه فردى به‌نام عبدالله‌بن‌سبأ يهودى‌الاصل است و وى با چنين طرحى نه تنها ميان مسلمانان اختلاف انداخت كه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كرد و براى آنان اوصاف الُوهى داد، براى اينكه ادعاى طرح شده، ملموس‌تر ارائه گردد، به‌عبارت‌هاى زير كه ملايم‌تر از تعبير ديگران است به‌عنوان نمونه، توجه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قفارى مى‌آورد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أوّل مَن تَحدّث عن مفهوم الإمامة بالصورةالموجودة عندالشيعة هو إبن سبأ، الذي بَدَأَ يشيع القول بأن الإمامة هي وصاية من النَّبي، و محصورة بالوصّي</w:t>
      </w:r>
      <w:r>
        <w:rPr>
          <w:rFonts w:eastAsia="Amiri" w:cs="Amiri" w:ascii="Amiri" w:hAnsi="Amiri"/>
          <w:color w:val="111111"/>
          <w:sz w:val="28"/>
          <w:szCs w:val="28"/>
          <w:rtl w:val="true"/>
          <w:lang w:bidi="ar-SA"/>
        </w:rPr>
        <w:t xml:space="preserve">. . . »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تشيع و امامت دو مفهوم بهم پيوسته و ملازم هم است، اين گروه از نويسندگان به‌مسأله امامت كه آن را توطئه عبدالله‌بن‌سبأ مى‌شمارند، اكتفا نكرده بلكه پارا فراتر گذاشته و حتى ظهور و به‌وجود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ابن‌سبأ مى‌دانند و او را مؤسِّس </w:t>
      </w:r>
    </w:p>
    <w:p>
      <w:pPr>
        <w:pStyle w:val="BookText"/>
        <w:rPr/>
      </w:pPr>
      <w:r>
        <w:rPr>
          <w:rFonts w:ascii="IRNazanin" w:hAnsi="IRNazanin" w:eastAsia="IRNazanin"/>
          <w:color w:val="111111"/>
          <w:sz w:val="28"/>
          <w:sz w:val="28"/>
          <w:szCs w:val="28"/>
          <w:rtl w:val="true"/>
          <w:lang w:bidi="fa-IR"/>
        </w:rPr>
        <w:t>مذهب شيعه 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اين طيف، اين چنين بى‌ادبانه اظهار نظر مى‌نمايند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عاراً و شناراً أنّ أوّل من أسّس مذهبهم الضّال هو عبدالله بن سبأ اليهودي‌الحاقد الَّذي أظهر الإسلام و أبطن الكفر و سعى لِهدم الإسلام من داخله، وأنّي له ذلك؟ </w:t>
      </w:r>
      <w:r>
        <w:rPr>
          <w:rFonts w:eastAsia="IRNazanin" w:cs="IRNazanin"/>
          <w:color w:val="111111"/>
          <w:sz w:val="28"/>
          <w:szCs w:val="28"/>
          <w:rtl w:val="true"/>
          <w:lang w:bidi="fa-IR"/>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قفارى با اينكه مدعى است آراء و عقايد شيعه را با توجّه به‌منابع مورد اطمينان و با رعايت انصاف بررسى مى‌كند </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بررسى ديدگاه‌هاى ظهور شيعه </w:t>
      </w:r>
      <w:r>
        <w:rPr>
          <w:rStyle w:val="FootnoteAnchor"/>
          <w:rtl w:val="true"/>
        </w:rPr>
        <w:footnoteReference w:id="1463"/>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خودش را كه به‌باور وى نتايج پژوهش اوست، اين‌گونه ارائه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أرى أنّ الشيعةَ كفكر و عقيدة لم تولد فجأة، بل أنّها أخذت طوراً زمنياً و مرّت بمراحل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لكن طلائع العقيدة الشيعيّة و أصل أصولها ظهرت على يد السبئيّة بإعتراف كتب الشّيعة</w:t>
      </w:r>
      <w:r>
        <w:rPr>
          <w:rFonts w:eastAsia="IRNazanin" w:cs="IRNazanin"/>
          <w:color w:val="111111"/>
          <w:sz w:val="28"/>
          <w:szCs w:val="28"/>
          <w:rtl w:val="true"/>
          <w:lang w:bidi="fa-IR"/>
        </w:rPr>
        <w:t xml:space="preserve">. . . » . </w:t>
      </w:r>
      <w:r>
        <w:rPr>
          <w:rStyle w:val="FootnoteAnchor"/>
          <w:rtl w:val="true"/>
        </w:rPr>
        <w:footnoteReference w:id="1464"/>
      </w:r>
      <w:r>
        <w:rPr>
          <w:rFonts w:ascii="IRNazanin" w:hAnsi="IRNazanin" w:eastAsia="IRNazanin"/>
          <w:color w:val="111111"/>
          <w:sz w:val="28"/>
          <w:sz w:val="28"/>
          <w:szCs w:val="28"/>
          <w:rtl w:val="true"/>
          <w:lang w:bidi="fa-IR"/>
        </w:rPr>
        <w:t xml:space="preserve">برخى ديگر از وهابى‌هاى افراطى چون احسان الهى‌ظهير </w:t>
      </w:r>
      <w:r>
        <w:rPr>
          <w:rStyle w:val="FootnoteAnchor"/>
          <w:rtl w:val="true"/>
        </w:rPr>
        <w:footnoteReference w:id="1465"/>
      </w:r>
      <w:r>
        <w:rPr>
          <w:rFonts w:ascii="Amiri" w:hAnsi="Amiri" w:eastAsia="Amiri" w:cs="Amiri"/>
          <w:color w:val="111111"/>
          <w:sz w:val="28"/>
          <w:sz w:val="28"/>
          <w:szCs w:val="28"/>
          <w:rtl w:val="true"/>
          <w:lang w:bidi="ar-SA"/>
        </w:rPr>
        <w:t xml:space="preserve">و احمدكمال شعث </w:t>
      </w:r>
      <w:r>
        <w:rPr>
          <w:rStyle w:val="FootnoteAnchor"/>
          <w:rtl w:val="true"/>
        </w:rPr>
        <w:footnoteReference w:id="1466"/>
      </w:r>
      <w:r>
        <w:rPr>
          <w:rFonts w:ascii="IRNazanin" w:hAnsi="IRNazanin" w:eastAsia="IRNazanin"/>
          <w:color w:val="111111"/>
          <w:sz w:val="28"/>
          <w:sz w:val="28"/>
          <w:szCs w:val="28"/>
          <w:rtl w:val="true"/>
          <w:lang w:bidi="fa-IR"/>
        </w:rPr>
        <w:t>روى همين نظر پافشارى مى‌كنند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ريشه اين ادعا به‌ويژه اينكه فردى به‌نام عبدالله‌بن‌سبأ موجود بوده و اعتقاد و باورهاى خاص نسبت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در آثار مكتوب اسلاف اين گروهِ از نويسندگان به‌چشم مى‌خورد؛ ابن‌عبدربّه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اعتقاد به‌خلافت ابوبكر و عمر نداشتند، اصحابِ اين شخصِ موهوم مى‌داند </w:t>
      </w:r>
      <w:r>
        <w:rPr>
          <w:rStyle w:val="FootnoteAnchor"/>
          <w:rtl w:val="true"/>
        </w:rPr>
        <w:footnoteReference w:id="1467"/>
      </w:r>
      <w:r>
        <w:rPr>
          <w:rFonts w:ascii="IRNazanin" w:hAnsi="IRNazanin" w:eastAsia="IRNazanin"/>
          <w:color w:val="111111"/>
          <w:sz w:val="28"/>
          <w:sz w:val="28"/>
          <w:szCs w:val="28"/>
          <w:rtl w:val="true"/>
          <w:lang w:bidi="fa-IR"/>
        </w:rPr>
        <w:t xml:space="preserve">و با نقل گفت وگويى‌كه ميان دو شخص </w:t>
      </w:r>
      <w:bookmarkStart w:id="501" w:name="pg1976_28186"/>
    </w:p>
    <w:p>
      <w:pPr>
        <w:pStyle w:val="BookText"/>
        <w:rPr/>
      </w:pPr>
      <w:bookmarkEnd w:id="501"/>
      <w:r>
        <w:rPr>
          <w:rFonts w:ascii="IRNazanin" w:hAnsi="IRNazanin" w:eastAsia="IRNazanin"/>
          <w:color w:val="111111"/>
          <w:sz w:val="28"/>
          <w:sz w:val="28"/>
          <w:szCs w:val="28"/>
          <w:rtl w:val="true"/>
          <w:lang w:bidi="fa-IR"/>
        </w:rPr>
        <w:t xml:space="preserve">به‌نام‌هاى مالك‌بن‌معاويه و شبعى رخ داده، زشت‌ترين تعبيرات و دروغ‌ترين تهمت‌ها را به‌رافضه و پيروان ابن‌سبأ نسبت مى‌دهد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اين شخص و ياران او را معتقد به‌الوهيت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زنده‌بودن حضرت، معرفى مى‌كند</w:t>
      </w:r>
      <w:r>
        <w:rPr>
          <w:rFonts w:eastAsia="Amiri" w:cs="Amiri" w:ascii="Amiri" w:hAnsi="Amiri"/>
          <w:color w:val="111111"/>
          <w:sz w:val="28"/>
          <w:szCs w:val="28"/>
          <w:rtl w:val="true"/>
          <w:lang w:bidi="ar-SA"/>
        </w:rPr>
        <w:t xml:space="preserve">. </w:t>
      </w:r>
      <w:r>
        <w:rPr>
          <w:rStyle w:val="FootnoteAnchor"/>
          <w:rtl w:val="true"/>
        </w:rPr>
        <w:footnoteReference w:id="1469"/>
      </w:r>
      <w:r>
        <w:rPr>
          <w:rFonts w:ascii="IRNazanin" w:hAnsi="IRNazanin" w:eastAsia="IRNazanin"/>
          <w:color w:val="111111"/>
          <w:sz w:val="28"/>
          <w:sz w:val="28"/>
          <w:szCs w:val="28"/>
          <w:rtl w:val="true"/>
          <w:lang w:bidi="fa-IR"/>
        </w:rPr>
        <w:t xml:space="preserve">عبدالكريم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معرفى فرقه‌هاى دروغين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پيروان عبدالله‌بن‌سبأ مى‌داند كه نخستين نصّ به‌امامت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اظهار كرد و به‌الوهيت و زنده بودن او، معتقد شد و روزى باز خواهد گشت </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قريب به‌تعبيرات شهرستانى را به‌كار مى‌گيرد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آنچه اشاره شد، فرجامش اين است كه شيعه و مفهوم همزاد آن يعنى امامت يا ولايت، يا وصايت مفهوم انحرافى است و از متن اسلام برنخاسته است بلكه دسيسه‌اى است كه از سوى فردى به‌نام عبدالله‌بن‌سبأ يهودى طراحى شده است و طبعاً چنين عقيده انحرافى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 خواهد داشت</w:t>
      </w:r>
      <w:r>
        <w:rPr>
          <w:rFonts w:eastAsia="IRNazanin" w:cs="IRNazanin"/>
          <w:color w:val="111111"/>
          <w:sz w:val="28"/>
          <w:szCs w:val="28"/>
          <w:rtl w:val="true"/>
          <w:lang w:bidi="fa-IR"/>
        </w:rPr>
        <w:t>!</w:t>
      </w:r>
    </w:p>
    <w:p>
      <w:pPr>
        <w:pStyle w:val="Heading4"/>
        <w:numPr>
          <w:ilvl w:val="3"/>
          <w:numId w:val="1"/>
        </w:numPr>
        <w:rPr/>
      </w:pPr>
      <w:bookmarkStart w:id="502" w:name="__RefHeading___Toc3767207_3650668749"/>
      <w:bookmarkStart w:id="503" w:name="_Toc182"/>
      <w:bookmarkEnd w:id="502"/>
      <w:r>
        <w:rPr/>
        <w:t>٢</w:t>
      </w:r>
      <w:r>
        <w:rPr>
          <w:rtl w:val="true"/>
        </w:rPr>
        <w:t xml:space="preserve">. </w:t>
      </w:r>
      <w:r>
        <w:rPr>
          <w:rtl w:val="true"/>
        </w:rPr>
        <w:t>بررسى و نقد ادعاى دسيسه ابن‌سبأ</w:t>
      </w:r>
      <w:bookmarkEnd w:id="503"/>
    </w:p>
    <w:p>
      <w:pPr>
        <w:pStyle w:val="Heading5"/>
        <w:numPr>
          <w:ilvl w:val="4"/>
          <w:numId w:val="1"/>
        </w:numPr>
        <w:rPr/>
      </w:pPr>
      <w:bookmarkStart w:id="504" w:name="__RefHeading___Toc3767209_3650668749"/>
      <w:bookmarkStart w:id="505" w:name="_Toc183"/>
      <w:bookmarkEnd w:id="504"/>
      <w:r>
        <w:rPr>
          <w:rtl w:val="true"/>
        </w:rPr>
        <w:t>اشاره</w:t>
      </w:r>
      <w:bookmarkEnd w:id="50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و نقّادى مسأله چگونگى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پى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ادعاى طرح شده و اينكه چرا و به چه انگيزه‌اى و توسط چه كسى و گروهى، اين تهمت برسر زبان‌ها افتاد و سرانجام به‌كتاب‌ها كشيده شد، و اين شخص اسطوره‌اى چه كسى است و چگونه اين همه تأثيرگذار جلوه داده مى‌شود و دَه‌ها سؤال ديگر، در اين قسمت قابل </w:t>
      </w:r>
      <w:bookmarkStart w:id="506" w:name="pg1976_28188"/>
    </w:p>
    <w:p>
      <w:pPr>
        <w:pStyle w:val="BookText"/>
        <w:rPr/>
      </w:pPr>
      <w:bookmarkEnd w:id="506"/>
      <w:r>
        <w:rPr>
          <w:rFonts w:ascii="IRNazanin" w:hAnsi="IRNazanin" w:eastAsia="IRNazanin"/>
          <w:color w:val="111111"/>
          <w:sz w:val="28"/>
          <w:sz w:val="28"/>
          <w:szCs w:val="28"/>
          <w:rtl w:val="true"/>
          <w:lang w:bidi="fa-IR"/>
        </w:rPr>
        <w:t>طرح و نياز به‌پاسخ مفصّل و مدلّل است؛ ولى بر اساس ظرفيت اين كتاب و آن مقدارى كه محورهاى بعدى بحث روشن گردد، به‌نكات كليدى و اساسى كه ارتباط با موضوع اين قسمت دارد، پرداخته مى‌شود</w:t>
      </w:r>
      <w:r>
        <w:rPr>
          <w:rFonts w:eastAsia="IRNazanin" w:cs="IRNazanin"/>
          <w:color w:val="111111"/>
          <w:sz w:val="28"/>
          <w:szCs w:val="28"/>
          <w:rtl w:val="true"/>
          <w:lang w:bidi="fa-IR"/>
        </w:rPr>
        <w:t>:</w:t>
      </w:r>
    </w:p>
    <w:p>
      <w:pPr>
        <w:pStyle w:val="Heading5"/>
        <w:numPr>
          <w:ilvl w:val="4"/>
          <w:numId w:val="1"/>
        </w:numPr>
        <w:rPr/>
      </w:pPr>
      <w:bookmarkStart w:id="507" w:name="__RefHeading___Toc3767211_3650668749"/>
      <w:bookmarkStart w:id="508" w:name="_Toc184"/>
      <w:bookmarkEnd w:id="507"/>
      <w:r>
        <w:rPr>
          <w:rtl w:val="true"/>
        </w:rPr>
        <w:t>الف</w:t>
      </w:r>
      <w:r>
        <w:rPr>
          <w:rtl w:val="true"/>
        </w:rPr>
        <w:t xml:space="preserve">) </w:t>
      </w:r>
      <w:r>
        <w:rPr>
          <w:rtl w:val="true"/>
        </w:rPr>
        <w:t xml:space="preserve">مفهوم </w:t>
      </w:r>
      <w:r>
        <w:rPr>
          <w:rtl w:val="true"/>
        </w:rPr>
        <w:t>«</w:t>
      </w:r>
      <w:r>
        <w:rPr>
          <w:rtl w:val="true"/>
        </w:rPr>
        <w:t>شيعه</w:t>
      </w:r>
      <w:r>
        <w:rPr>
          <w:rtl w:val="true"/>
        </w:rPr>
        <w:t>»</w:t>
      </w:r>
      <w:bookmarkEnd w:id="508"/>
    </w:p>
    <w:p>
      <w:pPr>
        <w:pStyle w:val="Heading6"/>
        <w:numPr>
          <w:ilvl w:val="5"/>
          <w:numId w:val="1"/>
        </w:numPr>
        <w:rPr/>
      </w:pPr>
      <w:bookmarkStart w:id="509" w:name="__RefHeading___Toc3767213_3650668749"/>
      <w:bookmarkStart w:id="510" w:name="_Toc185"/>
      <w:bookmarkEnd w:id="509"/>
      <w:r>
        <w:rPr>
          <w:rtl w:val="true"/>
        </w:rPr>
        <w:t>اشاره</w:t>
      </w:r>
      <w:bookmarkEnd w:id="51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 xml:space="preserve">براى اينكه از تداعى مفهوم انحرافى اين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اذهان مخاطبان جلوگيرى به‌عمل آيد و نيز شيعه و تشيع اصيل را بشناساند، لازم است به‌فشرده‌اى از مفهوم اصلى آن كه مورد نظر شيعيان پيروِ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شيعيان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گردد</w:t>
      </w:r>
      <w:r>
        <w:rPr>
          <w:rFonts w:eastAsia="IRNazanin" w:cs="IRNazanin"/>
          <w:color w:val="111111"/>
          <w:sz w:val="28"/>
          <w:szCs w:val="28"/>
          <w:rtl w:val="true"/>
          <w:lang w:bidi="fa-IR"/>
        </w:rPr>
        <w:t>:</w:t>
      </w:r>
    </w:p>
    <w:p>
      <w:pPr>
        <w:pStyle w:val="Heading6"/>
        <w:numPr>
          <w:ilvl w:val="5"/>
          <w:numId w:val="1"/>
        </w:numPr>
        <w:rPr/>
      </w:pPr>
      <w:bookmarkStart w:id="511" w:name="__RefHeading___Toc3767215_3650668749"/>
      <w:bookmarkStart w:id="512" w:name="_Toc186"/>
      <w:bookmarkEnd w:id="511"/>
      <w:r>
        <w:rPr>
          <w:rtl w:val="true"/>
        </w:rPr>
        <w:t xml:space="preserve">يك </w:t>
      </w:r>
      <w:r>
        <w:rPr>
          <w:rtl w:val="true"/>
        </w:rPr>
        <w:t xml:space="preserve">- </w:t>
      </w:r>
      <w:r>
        <w:rPr>
          <w:rtl w:val="true"/>
        </w:rPr>
        <w:t>شيعه در لغت</w:t>
      </w:r>
      <w:bookmarkEnd w:id="51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ريشه اصلى اين واژه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به‌معناى پيرو و تسليم بودن مى‌آيد، مفرد و تثنيه و جمع، مذكر، و مؤنثش به‌يك لفظ و به‌معناى واحد به‌كار مى‌رود،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شين و فتح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473"/>
      </w:r>
      <w:r>
        <w:rPr>
          <w:rFonts w:ascii="IRNazanin" w:hAnsi="IRNazanin" w:eastAsia="IRNazanin"/>
          <w:color w:val="111111"/>
          <w:sz w:val="28"/>
          <w:sz w:val="28"/>
          <w:szCs w:val="28"/>
          <w:rtl w:val="true"/>
          <w:lang w:bidi="fa-IR"/>
        </w:rPr>
        <w:t>، شيعۀ الرّجل، يعنى پيروان و ياران او</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 xml:space="preserve">و به هر قوم و گروهى كه بر امرى اجتماع نمايند </w:t>
      </w:r>
      <w:r>
        <w:rPr>
          <w:rStyle w:val="FootnoteAnchor"/>
          <w:rtl w:val="true"/>
        </w:rPr>
        <w:footnoteReference w:id="1475"/>
      </w:r>
      <w:r>
        <w:rPr>
          <w:rFonts w:ascii="IRNazanin" w:hAnsi="IRNazanin" w:eastAsia="IRNazanin"/>
          <w:color w:val="111111"/>
          <w:sz w:val="28"/>
          <w:sz w:val="28"/>
          <w:szCs w:val="28"/>
          <w:rtl w:val="true"/>
          <w:lang w:bidi="fa-IR"/>
        </w:rPr>
        <w:t xml:space="preserve">، و برخى از آراء ديگرى پيروى كنند، شيعه اطلاق مى‌گردد </w:t>
      </w:r>
      <w:r>
        <w:rPr>
          <w:rStyle w:val="FootnoteAnchor"/>
          <w:rtl w:val="true"/>
        </w:rPr>
        <w:footnoteReference w:id="1476"/>
      </w:r>
      <w:r>
        <w:rPr>
          <w:rFonts w:ascii="IRNazanin" w:hAnsi="IRNazanin" w:eastAsia="IRNazanin"/>
          <w:color w:val="111111"/>
          <w:sz w:val="28"/>
          <w:sz w:val="28"/>
          <w:szCs w:val="28"/>
          <w:rtl w:val="true"/>
          <w:lang w:bidi="fa-IR"/>
        </w:rPr>
        <w:t xml:space="preserve">هر چند در آن امر اتفاق نظر نداشته باشند </w:t>
      </w:r>
      <w:r>
        <w:rPr>
          <w:rStyle w:val="FootnoteAnchor"/>
          <w:rtl w:val="true"/>
        </w:rPr>
        <w:footnoteReference w:id="1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عُرف، ابتدا به‌عنوان </w:t>
      </w:r>
      <w:bookmarkStart w:id="513" w:name="pg1976_28190"/>
    </w:p>
    <w:p>
      <w:pPr>
        <w:pStyle w:val="BookText"/>
        <w:rPr/>
      </w:pPr>
      <w:bookmarkEnd w:id="513"/>
      <w:r>
        <w:rPr>
          <w:rFonts w:ascii="IRNazanin" w:hAnsi="IRNazanin" w:eastAsia="IRNazanin"/>
          <w:color w:val="111111"/>
          <w:sz w:val="28"/>
          <w:sz w:val="28"/>
          <w:szCs w:val="28"/>
          <w:rtl w:val="true"/>
          <w:lang w:bidi="fa-IR"/>
        </w:rPr>
        <w:t xml:space="preserve">عَلَم بالغلبه به‌كار رفت و سپس به‌طور خاص اسم كسانى شد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او را ولِى خود مى‌دانستند</w:t>
      </w:r>
      <w:r>
        <w:rPr>
          <w:rFonts w:eastAsia="IRNazanin" w:cs="IRNazanin"/>
          <w:color w:val="111111"/>
          <w:sz w:val="28"/>
          <w:szCs w:val="28"/>
          <w:rtl w:val="true"/>
          <w:lang w:bidi="fa-IR"/>
        </w:rPr>
        <w:t xml:space="preserve">. </w:t>
      </w:r>
      <w:r>
        <w:rPr>
          <w:rStyle w:val="FootnoteAnchor"/>
          <w:rtl w:val="true"/>
        </w:rPr>
        <w:footnoteReference w:id="1478"/>
      </w:r>
    </w:p>
    <w:p>
      <w:pPr>
        <w:pStyle w:val="Heading6"/>
        <w:numPr>
          <w:ilvl w:val="5"/>
          <w:numId w:val="1"/>
        </w:numPr>
        <w:rPr/>
      </w:pPr>
      <w:bookmarkStart w:id="514" w:name="__RefHeading___Toc3767217_3650668749"/>
      <w:bookmarkStart w:id="515" w:name="_Toc187"/>
      <w:bookmarkEnd w:id="514"/>
      <w:r>
        <w:rPr>
          <w:rtl w:val="true"/>
        </w:rPr>
        <w:t xml:space="preserve">دو </w:t>
      </w:r>
      <w:r>
        <w:rPr>
          <w:rtl w:val="true"/>
        </w:rPr>
        <w:t xml:space="preserve">- </w:t>
      </w:r>
      <w:r>
        <w:rPr>
          <w:rtl w:val="true"/>
        </w:rPr>
        <w:t>شيعه در اصطلاح</w:t>
      </w:r>
      <w:bookmarkEnd w:id="515"/>
    </w:p>
    <w:p>
      <w:pPr>
        <w:pStyle w:val="BookText"/>
        <w:rPr/>
      </w:pPr>
      <w:r>
        <w:rPr>
          <w:rFonts w:ascii="IRNazanin" w:hAnsi="IRNazanin" w:eastAsia="IRNazanin"/>
          <w:color w:val="111111"/>
          <w:sz w:val="28"/>
          <w:sz w:val="28"/>
          <w:szCs w:val="28"/>
          <w:rtl w:val="true"/>
          <w:lang w:bidi="fa-IR"/>
        </w:rPr>
        <w:t xml:space="preserve">از ميان تعاريف مختلفى كه با گرايش‌هاى گوناگون ارائه شده </w:t>
      </w:r>
      <w:r>
        <w:rPr>
          <w:rStyle w:val="FootnoteAnchor"/>
          <w:rtl w:val="true"/>
        </w:rPr>
        <w:footnoteReference w:id="1479"/>
      </w:r>
      <w:r>
        <w:rPr>
          <w:rFonts w:ascii="Amiri" w:hAnsi="Amiri" w:eastAsia="Amiri" w:cs="Amiri"/>
          <w:color w:val="111111"/>
          <w:sz w:val="28"/>
          <w:sz w:val="28"/>
          <w:szCs w:val="28"/>
          <w:rtl w:val="true"/>
          <w:lang w:bidi="ar-SA"/>
        </w:rPr>
        <w:t xml:space="preserve">، به‌سه نمونه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قدما و 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 لشّيعةُ هُم مَن شَايعَ عَلِياً و قدّمَهُ عَلَى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اعتقد أنّه الإمام بوَصِية من رسول‌اللهِ أو بإرادة من‌الله‌تعالى نَصّاً كَمَا يَرَى الإماميّة أو وَصفاً كَمَا يَرَى الجاروديّة </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ألشّيعةالّذين شايَعوا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بإمامته وخلافته نَصّاً و وصيةً، وإمّا جَلِياً، و إمّا خَفيّاً، واعتقدوا أنّ الإمامةَ لا تخرج من أولاده، وإن </w:t>
      </w:r>
    </w:p>
    <w:p>
      <w:pPr>
        <w:pStyle w:val="BookText"/>
        <w:rPr/>
      </w:pPr>
      <w:r>
        <w:rPr>
          <w:rFonts w:ascii="Amiri" w:hAnsi="Amiri" w:eastAsia="Amiri" w:cs="Amiri"/>
          <w:color w:val="111111"/>
          <w:sz w:val="28"/>
          <w:sz w:val="28"/>
          <w:szCs w:val="28"/>
          <w:rtl w:val="true"/>
          <w:lang w:bidi="ar-SA"/>
        </w:rPr>
        <w:t xml:space="preserve">خرجت فبظلم، يكون من غيره أو بتقيّة من عنده </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تُطلَقُ هذه اللفظة أو التسمية على فريقٍ من‌المسلمين يعتقدون بأنَّ قيادة الأُمّة الإسلاميّةِ بعدَ وفاةِ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حق‌الإمام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وأبنائه المعصومين</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عنايت به اينكه از يك‌سو، تعريف جامع اگر ناممكن نباشد، قطعاً خالى از دشوار نيست و از ديگرسو، شرايط زمان و احياناً اوضاع سياسى، بى‌تأثير در دو تعريف نخست نبوده است؛ تعريف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به‌وى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دو ثلث از فرقه زيديه را خارج نموده است </w:t>
      </w:r>
      <w:r>
        <w:rPr>
          <w:rStyle w:val="FootnoteAnchor"/>
          <w:rtl w:val="true"/>
        </w:rPr>
        <w:footnoteReference w:id="1483"/>
      </w:r>
      <w:r>
        <w:rPr>
          <w:rFonts w:ascii="IRNazanin" w:hAnsi="IRNazanin" w:eastAsia="IRNazanin"/>
          <w:color w:val="111111"/>
          <w:sz w:val="28"/>
          <w:sz w:val="28"/>
          <w:szCs w:val="28"/>
          <w:rtl w:val="true"/>
          <w:lang w:bidi="fa-IR"/>
        </w:rPr>
        <w:t xml:space="preserve">ولى ثُلث ديگر آن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شامل مى‌گردد </w:t>
      </w:r>
      <w:r>
        <w:rPr>
          <w:rStyle w:val="FootnoteAnchor"/>
          <w:rtl w:val="true"/>
        </w:rPr>
        <w:footnoteReference w:id="1484"/>
      </w:r>
      <w:r>
        <w:rPr>
          <w:rFonts w:ascii="Amiri" w:hAnsi="Amiri" w:eastAsia="Amiri" w:cs="Amiri"/>
          <w:color w:val="111111"/>
          <w:sz w:val="28"/>
          <w:sz w:val="28"/>
          <w:szCs w:val="28"/>
          <w:rtl w:val="true"/>
          <w:lang w:bidi="ar-SA"/>
        </w:rPr>
        <w:t xml:space="preserve">، درحالى‌كه آنان نمى‌توانند جزء شيعيان اصيل باشند </w:t>
      </w:r>
      <w:r>
        <w:rPr>
          <w:rStyle w:val="FootnoteAnchor"/>
          <w:rtl w:val="true"/>
        </w:rPr>
        <w:footnoteReference w:id="1485"/>
      </w:r>
      <w:r>
        <w:rPr>
          <w:rFonts w:ascii="IRNazanin" w:hAnsi="IRNazanin" w:eastAsia="IRNazanin"/>
          <w:color w:val="111111"/>
          <w:sz w:val="28"/>
          <w:sz w:val="28"/>
          <w:szCs w:val="28"/>
          <w:rtl w:val="true"/>
          <w:lang w:bidi="fa-IR"/>
        </w:rPr>
        <w:t xml:space="preserve">، چه اينكه تعريف شهرستانى قسمت پايانى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خرجت فبظلم، يكون من غيره أو بتقية من‌عنده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اعتقادات شيعه اثنى‌عشرى، سازگارى ندارد، زيرا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امامت نكند همچنان امام خواهد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سومين تعريف، كه بيشتر قيادت و رهبرى سياسى و ظاهرى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ذهن تداعى مى‌سازد، مى‌توان گفت به‌لحاظ اينكه شامل قيادت فكرى آنان نمى‌شود </w:t>
      </w:r>
      <w:r>
        <w:rPr>
          <w:rStyle w:val="FootnoteAnchor"/>
          <w:rtl w:val="true"/>
        </w:rPr>
        <w:footnoteReference w:id="1486"/>
      </w:r>
      <w:r>
        <w:rPr>
          <w:rFonts w:ascii="IRNazanin" w:hAnsi="IRNazanin" w:eastAsia="IRNazanin"/>
          <w:color w:val="111111"/>
          <w:sz w:val="28"/>
          <w:sz w:val="28"/>
          <w:szCs w:val="28"/>
          <w:rtl w:val="true"/>
          <w:lang w:bidi="fa-IR"/>
        </w:rPr>
        <w:t xml:space="preserve">نا تمام </w:t>
      </w:r>
      <w:bookmarkStart w:id="516" w:name="pg1976_28195"/>
    </w:p>
    <w:p>
      <w:pPr>
        <w:pStyle w:val="BookText"/>
        <w:rPr/>
      </w:pPr>
      <w:bookmarkEnd w:id="516"/>
      <w:r>
        <w:rPr>
          <w:rFonts w:ascii="IRNazanin" w:hAnsi="IRNazanin" w:eastAsia="IRNazanin"/>
          <w:color w:val="111111"/>
          <w:sz w:val="28"/>
          <w:sz w:val="28"/>
          <w:szCs w:val="28"/>
          <w:rtl w:val="true"/>
          <w:lang w:bidi="fa-IR"/>
        </w:rPr>
        <w:t>است، از اين رو مى‌شود آن را تكميل و شيعه و يا تشيع را اين‌گونه 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به‌جمع كثيرى از مسلمانان اطلاق مى‌شود كه پس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به‌ولايت و امامت على و نُه امام از فرزندان معصوم او باشند، و از آنان در همه فروعات دين اطاعت كنند و عقلاً و شرعاً تسليم دستورات آنان باشند</w:t>
      </w:r>
      <w:r>
        <w:rPr>
          <w:rFonts w:eastAsia="IRNazanin" w:cs="IRNazanin"/>
          <w:color w:val="111111"/>
          <w:sz w:val="28"/>
          <w:szCs w:val="28"/>
          <w:rtl w:val="true"/>
          <w:lang w:bidi="fa-IR"/>
        </w:rPr>
        <w:t>.</w:t>
      </w:r>
    </w:p>
    <w:p>
      <w:pPr>
        <w:pStyle w:val="Heading5"/>
        <w:numPr>
          <w:ilvl w:val="4"/>
          <w:numId w:val="1"/>
        </w:numPr>
        <w:rPr/>
      </w:pPr>
      <w:bookmarkStart w:id="517" w:name="__RefHeading___Toc3767219_3650668749"/>
      <w:bookmarkStart w:id="518" w:name="_Toc188"/>
      <w:bookmarkEnd w:id="517"/>
      <w:r>
        <w:rPr>
          <w:rtl w:val="true"/>
        </w:rPr>
        <w:t>ب</w:t>
      </w:r>
      <w:r>
        <w:rPr>
          <w:rtl w:val="true"/>
        </w:rPr>
        <w:t xml:space="preserve">) </w:t>
      </w:r>
      <w:r>
        <w:rPr>
          <w:rtl w:val="true"/>
        </w:rPr>
        <w:t>پيدايش و ظهور شيعه</w:t>
      </w:r>
      <w:bookmarkEnd w:id="518"/>
    </w:p>
    <w:p>
      <w:pPr>
        <w:pStyle w:val="Heading6"/>
        <w:numPr>
          <w:ilvl w:val="5"/>
          <w:numId w:val="1"/>
        </w:numPr>
        <w:rPr/>
      </w:pPr>
      <w:bookmarkStart w:id="519" w:name="__RefHeading___Toc3767221_3650668749"/>
      <w:bookmarkStart w:id="520" w:name="_Toc189"/>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 xml:space="preserve">اين عنوان، هرچند غلطانداز و گمراه كننده است، ولى نگارنده از باب مماشات با خصم آن را مى‌آورد؛ زيرا ظهور شيعه و تشيعّ واقعى، همزاد اسلام و متن دين بوده است؛ چرا كه گذشته از فداكارى‌ها و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487"/>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معيار ارزيابى حق، معرفى كرد و به‌نقل أُمّ سلمه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مَعَ الحقِّ، وَ الحقُّ مَع عَلِيٍّ، و لَن يَفتَرِقا حتّى يَرِدا عَلَيَّ الحَوض يَومَ القيامة</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 xml:space="preserve">و در نقل ديگر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إنَّ عَلِيّاً عَلَى‌الحَقِّ قَبلَ اليَومِ، و بعدَ اليَومِ، عَهداً مَعهُوداً و قضاء مَقضياً </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 توجّه به‌حديث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و اسلام ز او جداناپذير است، و بى‌ترديد پيروان واقعى او، برخاسته از متن اسلام خواهد </w:t>
      </w:r>
      <w:bookmarkStart w:id="521" w:name="pg1976_28197"/>
    </w:p>
    <w:p>
      <w:pPr>
        <w:pStyle w:val="BookText"/>
        <w:rPr/>
      </w:pPr>
      <w:bookmarkEnd w:id="521"/>
      <w:r>
        <w:rPr>
          <w:rFonts w:ascii="IRNazanin" w:hAnsi="IRNazanin" w:eastAsia="IRNazanin"/>
          <w:color w:val="111111"/>
          <w:sz w:val="28"/>
          <w:sz w:val="28"/>
          <w:szCs w:val="28"/>
          <w:rtl w:val="true"/>
          <w:lang w:bidi="fa-IR"/>
        </w:rPr>
        <w:t>بود، ولى در اين جا از باب مماشات با ديگران، مطالبى چند با عنايت به‌اين عنوان ارائه مى‌گردد</w:t>
      </w:r>
      <w:r>
        <w:rPr>
          <w:rFonts w:eastAsia="IRNazanin" w:cs="IRNazanin"/>
          <w:color w:val="111111"/>
          <w:sz w:val="28"/>
          <w:szCs w:val="28"/>
          <w:rtl w:val="true"/>
          <w:lang w:bidi="fa-IR"/>
        </w:rPr>
        <w:t>:</w:t>
      </w:r>
    </w:p>
    <w:p>
      <w:pPr>
        <w:pStyle w:val="Heading6"/>
        <w:numPr>
          <w:ilvl w:val="5"/>
          <w:numId w:val="1"/>
        </w:numPr>
        <w:rPr/>
      </w:pPr>
      <w:bookmarkStart w:id="522" w:name="__RefHeading___Toc3767223_3650668749"/>
      <w:bookmarkStart w:id="523" w:name="_Toc190"/>
      <w:bookmarkEnd w:id="522"/>
      <w:r>
        <w:rPr>
          <w:rtl w:val="true"/>
        </w:rPr>
        <w:t xml:space="preserve">يك </w:t>
      </w:r>
      <w:r>
        <w:rPr>
          <w:rtl w:val="true"/>
        </w:rPr>
        <w:t xml:space="preserve">- </w:t>
      </w:r>
      <w:r>
        <w:rPr>
          <w:rtl w:val="true"/>
        </w:rPr>
        <w:t>قرآن و اصطلاح شيعه</w:t>
      </w:r>
      <w:bookmarkEnd w:id="52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شيعه پيش از آن كه در عرصه مِلل و مذاهب مورد بحث قرار گيرد، ريشه قرآنى دارد و بيش از دَه‌بار اين واژه و جمع آن در قرآن كريم </w:t>
      </w:r>
      <w:r>
        <w:rPr>
          <w:rStyle w:val="FootnoteAnchor"/>
          <w:rtl w:val="true"/>
        </w:rPr>
        <w:footnoteReference w:id="1491"/>
      </w:r>
      <w:r>
        <w:rPr>
          <w:rFonts w:ascii="IRNazanin" w:hAnsi="IRNazanin" w:eastAsia="IRNazanin"/>
          <w:color w:val="111111"/>
          <w:sz w:val="28"/>
          <w:sz w:val="28"/>
          <w:szCs w:val="28"/>
          <w:rtl w:val="true"/>
          <w:lang w:bidi="fa-IR"/>
        </w:rPr>
        <w:t>در مورد پيامبران بزرگ الهى چون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آنان و نيز فرعون به‌كار رفته است، و وقتى اين اصطلاح در مورد سرگذشت عبرت‌انگيز دو پيامبر الهى ابراهيم خليل </w:t>
      </w:r>
      <w:r>
        <w:rPr>
          <w:rStyle w:val="FootnoteAnchor"/>
          <w:rtl w:val="true"/>
        </w:rPr>
        <w:footnoteReference w:id="1492"/>
      </w:r>
      <w:r>
        <w:rPr>
          <w:rFonts w:ascii="Amiri" w:hAnsi="Amiri" w:eastAsia="Amiri" w:cs="Amiri"/>
          <w:color w:val="111111"/>
          <w:sz w:val="28"/>
          <w:sz w:val="28"/>
          <w:szCs w:val="28"/>
          <w:rtl w:val="true"/>
          <w:lang w:bidi="ar-SA"/>
        </w:rPr>
        <w:t xml:space="preserve">و موساى كليم </w:t>
      </w:r>
      <w:r>
        <w:rPr>
          <w:rStyle w:val="FootnoteAnchor"/>
          <w:rtl w:val="true"/>
        </w:rPr>
        <w:footnoteReference w:id="1493"/>
      </w:r>
      <w:r>
        <w:rPr>
          <w:rFonts w:ascii="IRNazanin" w:hAnsi="IRNazanin" w:eastAsia="IRNazanin"/>
          <w:color w:val="111111"/>
          <w:sz w:val="28"/>
          <w:sz w:val="28"/>
          <w:szCs w:val="28"/>
          <w:rtl w:val="true"/>
          <w:lang w:bidi="fa-IR"/>
        </w:rPr>
        <w:t xml:space="preserve">استفاده مى‌شود، عناصر تدين، صلابت در دين، پيروى برمعيار تدين و ولاء در اصول‌دين و تسليم بودن، در آن نهفته است </w:t>
      </w:r>
      <w:r>
        <w:rPr>
          <w:rStyle w:val="FootnoteAnchor"/>
          <w:rtl w:val="true"/>
        </w:rPr>
        <w:footnoteReference w:id="1494"/>
      </w:r>
      <w:r>
        <w:rPr>
          <w:rFonts w:ascii="IRNazanin" w:hAnsi="IRNazanin" w:eastAsia="IRNazanin"/>
          <w:color w:val="111111"/>
          <w:sz w:val="28"/>
          <w:sz w:val="28"/>
          <w:szCs w:val="28"/>
          <w:rtl w:val="true"/>
          <w:lang w:bidi="fa-IR"/>
        </w:rPr>
        <w:t xml:space="preserve">ولى متأسفانه ناصر القفارى </w:t>
      </w:r>
      <w:r>
        <w:rPr>
          <w:rStyle w:val="FootnoteAnchor"/>
          <w:rtl w:val="true"/>
        </w:rPr>
        <w:footnoteReference w:id="1495"/>
      </w:r>
      <w:r>
        <w:rPr>
          <w:rFonts w:ascii="IRNazanin" w:hAnsi="IRNazanin" w:eastAsia="IRNazanin"/>
          <w:color w:val="111111"/>
          <w:sz w:val="28"/>
          <w:sz w:val="28"/>
          <w:szCs w:val="28"/>
          <w:rtl w:val="true"/>
          <w:lang w:bidi="fa-IR"/>
        </w:rPr>
        <w:t>بر خلاف اكثر مفسران نامى اهل‌سنت، ريشه اصطلاح شيعه در قرآن را به‌چهار مفهومِ ضد ائتلاف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Style w:val="FootnoteAnchor"/>
          <w:rtl w:val="true"/>
        </w:rPr>
        <w:footnoteReference w:id="14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والنَّسب</w:t>
      </w:r>
      <w:r>
        <w:rPr>
          <w:rFonts w:eastAsia="Amiri" w:cs="Amiri" w:ascii="Amiri" w:hAnsi="Amiri"/>
          <w:color w:val="111111"/>
          <w:sz w:val="28"/>
          <w:szCs w:val="28"/>
          <w:rtl w:val="true"/>
          <w:lang w:bidi="ar-SA"/>
        </w:rPr>
        <w:t xml:space="preserve">» </w:t>
      </w:r>
      <w:r>
        <w:rPr>
          <w:rStyle w:val="FootnoteAnchor"/>
          <w:rtl w:val="true"/>
        </w:rPr>
        <w:footnoteReference w:id="14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أهل‌الملّه،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الأهواءالمختلفه</w:t>
      </w:r>
      <w:r>
        <w:rPr>
          <w:rFonts w:eastAsia="IRNazanin" w:cs="IRNazanin"/>
          <w:color w:val="111111"/>
          <w:sz w:val="28"/>
          <w:szCs w:val="28"/>
          <w:rtl w:val="true"/>
          <w:lang w:bidi="fa-IR"/>
        </w:rPr>
        <w:t xml:space="preserve">» </w:t>
      </w:r>
      <w:r>
        <w:rPr>
          <w:rStyle w:val="FootnoteAnchor"/>
          <w:rtl w:val="true"/>
        </w:rPr>
        <w:footnoteReference w:id="1498"/>
      </w:r>
      <w:r>
        <w:rPr>
          <w:rFonts w:ascii="Amiri" w:hAnsi="Amiri" w:eastAsia="Amiri" w:cs="Amiri"/>
          <w:color w:val="111111"/>
          <w:sz w:val="28"/>
          <w:sz w:val="28"/>
          <w:szCs w:val="28"/>
          <w:rtl w:val="true"/>
          <w:lang w:bidi="ar-SA"/>
        </w:rPr>
        <w:t xml:space="preserve">، با استفاده از تفسير غير مشهور </w:t>
      </w:r>
    </w:p>
    <w:p>
      <w:pPr>
        <w:pStyle w:val="BookText"/>
        <w:rPr/>
      </w:pPr>
      <w:r>
        <w:rPr>
          <w:rFonts w:ascii="IRNazanin" w:hAnsi="IRNazanin" w:eastAsia="IRNazanin"/>
          <w:color w:val="111111"/>
          <w:sz w:val="28"/>
          <w:sz w:val="28"/>
          <w:szCs w:val="28"/>
          <w:rtl w:val="true"/>
          <w:lang w:bidi="fa-IR"/>
        </w:rPr>
        <w:t xml:space="preserve">ابن‌جوزى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499"/>
      </w:r>
      <w:r>
        <w:rPr>
          <w:rFonts w:ascii="IRNazanin" w:hAnsi="IRNazanin" w:eastAsia="IRNazanin"/>
          <w:color w:val="111111"/>
          <w:sz w:val="28"/>
          <w:sz w:val="28"/>
          <w:szCs w:val="28"/>
          <w:rtl w:val="true"/>
          <w:lang w:bidi="fa-IR"/>
        </w:rPr>
        <w:t>كه برخى از آنها انحرافى ومذموم است، مى‌گيرد</w:t>
      </w:r>
      <w:r>
        <w:rPr>
          <w:rFonts w:eastAsia="IRNazanin" w:cs="IRNazanin"/>
          <w:color w:val="111111"/>
          <w:sz w:val="28"/>
          <w:szCs w:val="28"/>
          <w:rtl w:val="true"/>
          <w:lang w:bidi="fa-IR"/>
        </w:rPr>
        <w:t xml:space="preserve">. </w:t>
      </w:r>
      <w:r>
        <w:rPr>
          <w:rStyle w:val="FootnoteAnchor"/>
          <w:rtl w:val="true"/>
        </w:rPr>
        <w:footnoteReference w:id="150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تتبّعى كه در مهم‌ترين تفاسير اهل‌سنت صورت گرفت، بيشترين شرح و تفسير براى مصدر اين واژه،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شده است كه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و تابع از</w:t>
      </w:r>
      <w:r>
        <w:rPr>
          <w:rFonts w:eastAsia="IRNazanin" w:cs="IRNazanin"/>
          <w:color w:val="111111"/>
          <w:sz w:val="28"/>
          <w:szCs w:val="28"/>
          <w:rtl w:val="true"/>
          <w:lang w:bidi="fa-IR"/>
        </w:rPr>
        <w:t xml:space="preserve">. . .» </w:t>
      </w:r>
      <w:r>
        <w:rPr>
          <w:rStyle w:val="FootnoteAnchor"/>
          <w:rtl w:val="true"/>
        </w:rPr>
        <w:footnoteReference w:id="15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المتعاونون على </w:t>
      </w:r>
      <w:r>
        <w:rPr>
          <w:rFonts w:eastAsia="Amiri" w:cs="Amiri" w:ascii="Amiri" w:hAnsi="Amiri"/>
          <w:color w:val="111111"/>
          <w:sz w:val="28"/>
          <w:szCs w:val="28"/>
          <w:rtl w:val="true"/>
          <w:lang w:bidi="ar-SA"/>
        </w:rPr>
        <w:t xml:space="preserve">. . .» </w:t>
      </w:r>
      <w:r>
        <w:rPr>
          <w:rStyle w:val="FootnoteAnchor"/>
          <w:rtl w:val="true"/>
        </w:rPr>
        <w:footnoteReference w:id="15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و دين</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اشباه ونظائر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اشياع</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تفسير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تفاسير آمده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به‌سياق و شأن نزول آيات، در حقيقت به‌كار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به‌فِرق و احزاب، مجازى است، و متن و چينش كلمات كاملاً گواه بر اين معنا است؛ طبرى در تفسير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Style w:val="FootnoteAnchor"/>
          <w:rtl w:val="true"/>
        </w:rPr>
        <w:footnoteReference w:id="1506"/>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به‌فِرق،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يلبسكم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به‌خلط،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تعالى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أويخلتكم،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 واحدتها،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همين كلمه، دررواياتى كه وى مى‌آورد به‌اهواء مختلفه، اهواء متفرّقه، الاهواء والاختلاف الفتن، آمده است، اما اينكه آيه در شأن چه كسانى نازل شده، مى‌گويد ميان اهل‌تفسير اختلاف است، بعضى آن را در مورد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w:t>
      </w:r>
      <w:r>
        <w:rPr>
          <w:rStyle w:val="FootnoteAnchor"/>
          <w:rtl w:val="true"/>
        </w:rPr>
        <w:footnoteReference w:id="1507"/>
      </w:r>
      <w:r>
        <w:rPr>
          <w:rFonts w:ascii="Amiri" w:hAnsi="Amiri" w:eastAsia="Amiri" w:cs="Amiri"/>
          <w:color w:val="111111"/>
          <w:sz w:val="28"/>
          <w:sz w:val="28"/>
          <w:szCs w:val="28"/>
          <w:rtl w:val="true"/>
          <w:lang w:bidi="ar-SA"/>
        </w:rPr>
        <w:t>و در حديثى از آن حضرت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لاأخافُ على اُمتّى إلاّ الأئمّة المضلِّين</w:t>
      </w:r>
      <w:r>
        <w:rPr>
          <w:rFonts w:eastAsia="Amiri" w:cs="Amiri" w:ascii="Amiri" w:hAnsi="Amiri"/>
          <w:color w:val="111111"/>
          <w:sz w:val="28"/>
          <w:szCs w:val="28"/>
          <w:rtl w:val="true"/>
          <w:lang w:bidi="ar-SA"/>
        </w:rPr>
        <w:t xml:space="preserve">» </w:t>
      </w:r>
      <w:r>
        <w:rPr>
          <w:rStyle w:val="FootnoteAnchor"/>
          <w:rtl w:val="true"/>
        </w:rPr>
        <w:footnoteReference w:id="1508"/>
      </w:r>
      <w:r>
        <w:rPr>
          <w:rFonts w:ascii="IRNazanin" w:hAnsi="IRNazanin" w:eastAsia="IRNazanin"/>
          <w:color w:val="111111"/>
          <w:sz w:val="28"/>
          <w:sz w:val="28"/>
          <w:szCs w:val="28"/>
          <w:rtl w:val="true"/>
          <w:lang w:bidi="fa-IR"/>
        </w:rPr>
        <w:t>گويا سبب مشكلات امت اسلامى را رهبران و امامان گمراه مى‌داند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شوكانى قريب، همين معنا را براى آيه ارائه مى‌دهد </w:t>
      </w:r>
      <w:r>
        <w:rPr>
          <w:rStyle w:val="FootnoteAnchor"/>
          <w:rtl w:val="true"/>
        </w:rPr>
        <w:footnoteReference w:id="1509"/>
      </w:r>
      <w:r>
        <w:rPr>
          <w:rFonts w:ascii="IRNazanin" w:hAnsi="IRNazanin" w:eastAsia="IRNazanin"/>
          <w:color w:val="111111"/>
          <w:sz w:val="28"/>
          <w:sz w:val="28"/>
          <w:szCs w:val="28"/>
          <w:rtl w:val="true"/>
          <w:lang w:bidi="fa-IR"/>
        </w:rPr>
        <w:t>، با اين تفاوت كه مقصود آيه را عام مى‌داند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قيلَ والآيةُ عامّة في جميع الكفّار و كُلّ مَن إبتدع و جاء بما لم يأمربه‌الله، وهذا هُو الصّواب، لأنَّ اللّفظ يُفيدُ العموم؛ فيدخل فيه طوائف أهل الكتاب و طوائف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ركين و غيرهم لمن إبتدع من أهل‌الإسلام</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 xml:space="preserve">، ولى 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آيه را پيرو و تابع بودن،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معني شِيَعاً، فِرَقاً وأحزاباً، فتصّدق عَلَى كُلِّ قومٍ كانَ أمرهم في الدِّين واحداً مُجتمعاً، ثُمَّ اتَّبَعَ كُلُّ جَماعَةٍ منهم رَأي كبير من كبرائهم</w:t>
      </w:r>
      <w:r>
        <w:rPr>
          <w:rFonts w:eastAsia="IRNazanin" w:cs="IRNazanin"/>
          <w:color w:val="111111"/>
          <w:sz w:val="28"/>
          <w:szCs w:val="28"/>
          <w:rtl w:val="true"/>
          <w:lang w:bidi="fa-IR"/>
        </w:rPr>
        <w:t xml:space="preserve">. . . .» </w:t>
      </w:r>
      <w:r>
        <w:rPr>
          <w:rStyle w:val="FootnoteAnchor"/>
          <w:rtl w:val="true"/>
        </w:rPr>
        <w:footnoteReference w:id="1511"/>
      </w:r>
      <w:r>
        <w:rPr>
          <w:rFonts w:ascii="Amiri" w:hAnsi="Amiri" w:eastAsia="Amiri" w:cs="Amiri"/>
          <w:color w:val="111111"/>
          <w:sz w:val="28"/>
          <w:sz w:val="28"/>
          <w:szCs w:val="28"/>
          <w:rtl w:val="true"/>
          <w:lang w:bidi="ar-SA"/>
        </w:rPr>
        <w:t xml:space="preserve">، زمخشرى آيه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p>
    <w:p>
      <w:pPr>
        <w:pStyle w:val="BookText"/>
        <w:rPr/>
      </w:pPr>
      <w:r>
        <w:rPr>
          <w:rFonts w:ascii="Amiri" w:hAnsi="Amiri" w:eastAsia="Amiri" w:cs="Amiri"/>
          <w:color w:val="111111"/>
          <w:sz w:val="28"/>
          <w:sz w:val="28"/>
          <w:szCs w:val="28"/>
          <w:rtl w:val="true"/>
          <w:lang w:bidi="ar-SA"/>
        </w:rPr>
        <w:t xml:space="preserve">را همانند طبرى تفسير مى‌كند </w:t>
      </w:r>
      <w:r>
        <w:rPr>
          <w:rStyle w:val="FootnoteAnchor"/>
          <w:rtl w:val="true"/>
        </w:rPr>
        <w:footnoteReference w:id="1512"/>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را در شأن يهود دانسته و حديث</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شدن سه امّت يهود و نصارى و اسلام را از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مستند قفارى تنها گفته‌هاى اين عالم اهل‌سنت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حجر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مى‌كند ولى بلافاصله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ألشيعة، ألاُمّة المتابعة بعضها بعضاً فيما يجتمعون عليه في أمر </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 xml:space="preserve">، در تفسير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به‌فرق و احزاب معنا و چهارديدگاه را در آن مطرح مى‌كند و معناى اصلى شيعه را پيرو، مى‌گيرد </w:t>
      </w:r>
      <w:r>
        <w:rPr>
          <w:rStyle w:val="FootnoteAnchor"/>
          <w:rtl w:val="true"/>
        </w:rPr>
        <w:footnoteReference w:id="151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اينكه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به‌مفهوم فرق و احزاب باشد، مدعاى او را مبنى بر اينكه لفظ شيعه و اشياع غالباً در قرآن در امر مذموم استعمال مى‌شود و اين لفظ ضد ائتلاف و اجتماع است </w:t>
      </w:r>
      <w:r>
        <w:rPr>
          <w:rStyle w:val="FootnoteAnchor"/>
          <w:rtl w:val="true"/>
        </w:rPr>
        <w:footnoteReference w:id="1516"/>
      </w:r>
      <w:r>
        <w:rPr>
          <w:rFonts w:ascii="IRNazanin" w:hAnsi="IRNazanin" w:eastAsia="IRNazanin"/>
          <w:color w:val="111111"/>
          <w:sz w:val="28"/>
          <w:sz w:val="28"/>
          <w:szCs w:val="28"/>
          <w:rtl w:val="true"/>
          <w:lang w:bidi="fa-IR"/>
        </w:rPr>
        <w:t xml:space="preserve">ثابت نمى‌كند؛ زيرا همان‌گونه كه از مهم‌ترين تفاسير اهل‌سنت ملاحظه شد، اين واژه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بود و اگر در برخى موارد به‌فِرق و احزاب معنا شد، از باب به‌كار رفتن لفظ در معناى مجازى آن بود نه حقيقى و اين معنا شامل مذاهب پيروان خلفا هم مى‌شود و اگر در آيات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در تفسير طبرى و فتح‌القدير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و اختلاف به‌كار رفت، به‌اعتبار نتيجه اختلاف است، يعنى هرفرقه از فِرق مختلف، شيعه و پيروى مستقل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517"/>
      </w:r>
      <w:r>
        <w:rPr>
          <w:rFonts w:ascii="Amiri" w:hAnsi="Amiri" w:eastAsia="Amiri" w:cs="Amiri"/>
          <w:color w:val="111111"/>
          <w:sz w:val="28"/>
          <w:sz w:val="28"/>
          <w:szCs w:val="28"/>
          <w:rtl w:val="true"/>
          <w:lang w:bidi="ar-SA"/>
        </w:rPr>
        <w:t xml:space="preserve">و يا اينكه مفهوم منفى آن مراد است، يعنى شما را شيعه واحده قرار نداد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لفظ شيعه و شِيع، براى امر مذموم و ضد اتحاد وضع نشده است بلكه اگر مضاف‌اليه آن، غيرصالحان بود اوصاف مذموم به‌خود مى‌گيرد و اگر مضاف‌اليه آن، صالحان بود اوصاف ممدوح و عيناً اين لفظ، همانند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Style w:val="FootnoteAnchor"/>
          <w:rtl w:val="true"/>
        </w:rPr>
        <w:footnoteReference w:id="1519"/>
      </w:r>
      <w:r>
        <w:rPr>
          <w:rFonts w:ascii="Amiri" w:hAnsi="Amiri" w:eastAsia="Amiri" w:cs="Amiri"/>
          <w:color w:val="111111"/>
          <w:sz w:val="28"/>
          <w:sz w:val="28"/>
          <w:szCs w:val="28"/>
          <w:rtl w:val="true"/>
          <w:lang w:bidi="ar-SA"/>
        </w:rPr>
        <w:t xml:space="preserve">است كه با اضافه شدن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مدح را مى‌رساند و با اضافه شدن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ذمّ را؛ ولى ذاتاً اين الفاظ براى مدح و ذم وضع نشده است </w:t>
      </w:r>
      <w:r>
        <w:rPr>
          <w:rStyle w:val="FootnoteAnchor"/>
          <w:rtl w:val="true"/>
        </w:rPr>
        <w:footnoteReference w:id="1520"/>
      </w:r>
      <w:r>
        <w:rPr>
          <w:rFonts w:ascii="IRNazanin" w:hAnsi="IRNazanin" w:eastAsia="IRNazanin"/>
          <w:color w:val="111111"/>
          <w:sz w:val="28"/>
          <w:sz w:val="28"/>
          <w:szCs w:val="28"/>
          <w:rtl w:val="true"/>
          <w:lang w:bidi="fa-IR"/>
        </w:rPr>
        <w:t xml:space="preserve">، گذشته از آن، خداوند در آيات متعدد و الفاظ گوناگون امت اسلام را مورد تهديد قرار داده است </w:t>
      </w:r>
      <w:r>
        <w:rPr>
          <w:rStyle w:val="FootnoteAnchor"/>
          <w:rtl w:val="true"/>
        </w:rPr>
        <w:footnoteReference w:id="1521"/>
      </w:r>
      <w:r>
        <w:rPr>
          <w:rFonts w:ascii="Amiri" w:hAnsi="Amiri" w:eastAsia="Amiri" w:cs="Amiri"/>
          <w:color w:val="111111"/>
          <w:sz w:val="28"/>
          <w:sz w:val="28"/>
          <w:szCs w:val="28"/>
          <w:rtl w:val="true"/>
          <w:lang w:bidi="ar-SA"/>
        </w:rPr>
        <w:t xml:space="preserve">، و آيا مى‌شود ادعا كرد كه اين الفاظ براى امر مذموم كاربرد دارد؟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مباحث قبلى، 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الأهل‌والنّسب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قفارى مدعى آن شد و او همواره در كتابش از حقائق چشم‌پوشى مى‌كند، نادرست و انحرافى است و حتى ابن‌جوزى كه مستمسك اوست، آيه هذا مِنْ شِيعَتِهِ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من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مى‌كند </w:t>
      </w:r>
      <w:r>
        <w:rPr>
          <w:rStyle w:val="FootnoteAnchor"/>
          <w:rtl w:val="true"/>
        </w:rPr>
        <w:footnoteReference w:id="1522"/>
      </w:r>
      <w:r>
        <w:rPr>
          <w:rFonts w:ascii="IRNazanin" w:hAnsi="IRNazanin" w:eastAsia="IRNazanin"/>
          <w:color w:val="111111"/>
          <w:sz w:val="28"/>
          <w:sz w:val="28"/>
          <w:szCs w:val="28"/>
          <w:rtl w:val="true"/>
          <w:lang w:bidi="fa-IR"/>
        </w:rPr>
        <w:t xml:space="preserve">و ديگران چنان‌كه ديديد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من‌أهل دين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برگردانده‌اند و در برخى روايات حتى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شيعته مُسلمٌ و هَذا من أهل </w:t>
      </w:r>
      <w:bookmarkStart w:id="524" w:name="pg1976_28207"/>
    </w:p>
    <w:p>
      <w:pPr>
        <w:pStyle w:val="BookText"/>
        <w:rPr/>
      </w:pPr>
      <w:bookmarkEnd w:id="524"/>
      <w:r>
        <w:rPr>
          <w:rFonts w:ascii="Amiri" w:hAnsi="Amiri" w:eastAsia="Amiri" w:cs="Amiri"/>
          <w:color w:val="111111"/>
          <w:sz w:val="28"/>
          <w:sz w:val="28"/>
          <w:szCs w:val="28"/>
          <w:rtl w:val="true"/>
          <w:lang w:bidi="ar-SA"/>
        </w:rPr>
        <w:t xml:space="preserve">دين فرعون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مى‌آورد </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معناى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الاهواءالمختلفه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شيعه حتى براساس نظر ابن‌جوزى اشتباه است، زيرا وى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يَلبسكم شيعاً، 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يبثُّ فيكم الأهواء المختلفة، فتصيرون فرقاً </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 كجاى اين تعبير مى‌رساند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به‌معناى الاهواءالمختلفه و دالّ بر مذمّت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سخن ناصرقفارى در اين خصوص نه تنها با لغت سازگارى ندارد كه با ديدگاه مفسران اهل‌سنّت نيز مخالف است</w:t>
      </w:r>
      <w:r>
        <w:rPr>
          <w:rFonts w:eastAsia="IRNazanin" w:cs="IRNazanin"/>
          <w:color w:val="111111"/>
          <w:sz w:val="28"/>
          <w:szCs w:val="28"/>
          <w:rtl w:val="true"/>
          <w:lang w:bidi="fa-IR"/>
        </w:rPr>
        <w:t>.</w:t>
      </w:r>
    </w:p>
    <w:p>
      <w:pPr>
        <w:pStyle w:val="Heading6"/>
        <w:numPr>
          <w:ilvl w:val="5"/>
          <w:numId w:val="1"/>
        </w:numPr>
        <w:rPr/>
      </w:pPr>
      <w:bookmarkStart w:id="525" w:name="__RefHeading___Toc3767225_3650668749"/>
      <w:bookmarkStart w:id="526" w:name="_Toc191"/>
      <w:bookmarkEnd w:id="525"/>
      <w:r>
        <w:rPr>
          <w:rtl w:val="true"/>
        </w:rPr>
        <w:t xml:space="preserve">دو </w:t>
      </w:r>
      <w:r>
        <w:rPr>
          <w:rtl w:val="true"/>
        </w:rPr>
        <w:t xml:space="preserve">- </w:t>
      </w:r>
      <w:r>
        <w:rPr>
          <w:rtl w:val="true"/>
        </w:rPr>
        <w:t xml:space="preserve">جلوه‌گاه عينى شيعه در عصر رسول‌الله </w:t>
      </w:r>
      <w:r>
        <w:rPr>
          <w:rtl w:val="true"/>
        </w:rPr>
        <w:t>(</w:t>
      </w:r>
      <w:r>
        <w:rPr>
          <w:rtl w:val="true"/>
        </w:rPr>
        <w:t>ص</w:t>
      </w:r>
      <w:r>
        <w:rPr>
          <w:rtl w:val="true"/>
        </w:rPr>
        <w:t>)</w:t>
      </w:r>
      <w:bookmarkEnd w:id="526"/>
    </w:p>
    <w:p>
      <w:pPr>
        <w:pStyle w:val="Heading6"/>
        <w:numPr>
          <w:ilvl w:val="5"/>
          <w:numId w:val="1"/>
        </w:numPr>
        <w:rPr/>
      </w:pPr>
      <w:bookmarkStart w:id="527" w:name="__RefHeading___Toc3767227_3650668749"/>
      <w:bookmarkStart w:id="528" w:name="_Toc192"/>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 xml:space="preserve">هرچند ديدگاه‌هاى متفاوتى وگاه غيرمنصفانه و غرض‌آلود، نسبت به‌پيدايش شيعه به‌مفهوم واقعى آن ارائه شده است </w:t>
      </w:r>
      <w:r>
        <w:rPr>
          <w:rStyle w:val="FootnoteAnchor"/>
          <w:rtl w:val="true"/>
        </w:rPr>
        <w:footnoteReference w:id="1525"/>
      </w:r>
      <w:r>
        <w:rPr>
          <w:rFonts w:ascii="Amiri" w:hAnsi="Amiri" w:eastAsia="Amiri" w:cs="Amiri"/>
          <w:color w:val="111111"/>
          <w:sz w:val="28"/>
          <w:sz w:val="28"/>
          <w:szCs w:val="28"/>
          <w:rtl w:val="true"/>
          <w:lang w:bidi="ar-SA"/>
        </w:rPr>
        <w:t xml:space="preserve">، ولى شيعه اماميه، معتقداند اصل تكوّن شيعه در زمان حيات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526"/>
      </w:r>
      <w:r>
        <w:rPr>
          <w:rFonts w:ascii="Amiri" w:hAnsi="Amiri" w:eastAsia="Amiri" w:cs="Amiri"/>
          <w:color w:val="111111"/>
          <w:sz w:val="28"/>
          <w:sz w:val="28"/>
          <w:szCs w:val="28"/>
          <w:rtl w:val="true"/>
          <w:lang w:bidi="ar-SA"/>
        </w:rPr>
        <w:t xml:space="preserve">و مستندات اين‌مدعا نه تنها روايات اماميه </w:t>
      </w:r>
      <w:r>
        <w:rPr>
          <w:rStyle w:val="FootnoteAnchor"/>
          <w:rtl w:val="true"/>
        </w:rPr>
        <w:footnoteReference w:id="1527"/>
      </w:r>
      <w:r>
        <w:rPr>
          <w:rFonts w:ascii="IRNazanin" w:hAnsi="IRNazanin" w:eastAsia="IRNazanin"/>
          <w:color w:val="111111"/>
          <w:sz w:val="28"/>
          <w:sz w:val="28"/>
          <w:szCs w:val="28"/>
          <w:rtl w:val="true"/>
          <w:lang w:bidi="fa-IR"/>
        </w:rPr>
        <w:t>است، كه چندين روايت در منابع مورد اعتماد وهابيان به‌چشم مى‌خورد كه به چند نمونه از روايات آنها بسنده مى‌شود</w:t>
      </w:r>
      <w:r>
        <w:rPr>
          <w:rFonts w:eastAsia="IRNazanin" w:cs="IRNazanin"/>
          <w:color w:val="111111"/>
          <w:sz w:val="28"/>
          <w:szCs w:val="28"/>
          <w:rtl w:val="true"/>
          <w:lang w:bidi="fa-IR"/>
        </w:rPr>
        <w:t>:</w:t>
      </w:r>
    </w:p>
    <w:p>
      <w:pPr>
        <w:pStyle w:val="Heading6"/>
        <w:numPr>
          <w:ilvl w:val="5"/>
          <w:numId w:val="1"/>
        </w:numPr>
        <w:rPr/>
      </w:pPr>
      <w:bookmarkStart w:id="529" w:name="__RefHeading___Toc3767229_3650668749"/>
      <w:bookmarkStart w:id="530" w:name="_Toc193"/>
      <w:bookmarkEnd w:id="529"/>
      <w:r>
        <w:rPr>
          <w:rtl w:val="true"/>
        </w:rPr>
        <w:t xml:space="preserve">اول </w:t>
      </w:r>
      <w:r>
        <w:rPr>
          <w:rtl w:val="true"/>
        </w:rPr>
        <w:t xml:space="preserve">- </w:t>
      </w:r>
      <w:r>
        <w:rPr>
          <w:rtl w:val="true"/>
        </w:rPr>
        <w:t xml:space="preserve">على </w:t>
      </w:r>
      <w:r>
        <w:rPr>
          <w:rtl w:val="true"/>
        </w:rPr>
        <w:t>(</w:t>
      </w:r>
      <w:r>
        <w:rPr>
          <w:rtl w:val="true"/>
        </w:rPr>
        <w:t>ع</w:t>
      </w:r>
      <w:r>
        <w:rPr>
          <w:rtl w:val="true"/>
        </w:rPr>
        <w:t xml:space="preserve">) </w:t>
      </w:r>
      <w:r>
        <w:rPr>
          <w:rtl w:val="true"/>
        </w:rPr>
        <w:t>و شيعيانش در بهشت</w:t>
      </w:r>
      <w:bookmarkEnd w:id="53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شعبى از على‌بن‌ابى‌طالب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w:t>
      </w:r>
      <w:bookmarkStart w:id="531" w:name="pg1976_28209"/>
    </w:p>
    <w:p>
      <w:pPr>
        <w:pStyle w:val="BookText"/>
        <w:rPr/>
      </w:pPr>
      <w:bookmarkEnd w:id="531"/>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 </w:t>
      </w:r>
      <w:r>
        <w:rPr>
          <w:rStyle w:val="FootnoteAnchor"/>
          <w:rtl w:val="true"/>
        </w:rPr>
        <w:footnoteReference w:id="1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ابى‌سليمان يعنى الهمدانى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أنتَ وشِيعَتكَ في الجنة</w:t>
      </w:r>
      <w:r>
        <w:rPr>
          <w:rFonts w:eastAsia="Amiri" w:cs="Amiri" w:ascii="Amiri" w:hAnsi="Amiri"/>
          <w:color w:val="111111"/>
          <w:sz w:val="28"/>
          <w:szCs w:val="28"/>
          <w:rtl w:val="true"/>
          <w:lang w:bidi="ar-SA"/>
        </w:rPr>
        <w:t>. .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32" w:name="__RefHeading___Toc3767231_3650668749"/>
      <w:bookmarkStart w:id="533" w:name="_Toc194"/>
      <w:bookmarkEnd w:id="532"/>
      <w:r>
        <w:rPr>
          <w:rtl w:val="true"/>
        </w:rPr>
        <w:t xml:space="preserve">دوم </w:t>
      </w:r>
      <w:r>
        <w:rPr>
          <w:rtl w:val="true"/>
        </w:rPr>
        <w:t xml:space="preserve">- </w:t>
      </w:r>
      <w:r>
        <w:rPr>
          <w:rtl w:val="true"/>
        </w:rPr>
        <w:t xml:space="preserve">على </w:t>
      </w:r>
      <w:r>
        <w:rPr>
          <w:rtl w:val="true"/>
        </w:rPr>
        <w:t>(</w:t>
      </w:r>
      <w:r>
        <w:rPr>
          <w:rtl w:val="true"/>
        </w:rPr>
        <w:t>ع</w:t>
      </w:r>
      <w:r>
        <w:rPr>
          <w:rtl w:val="true"/>
        </w:rPr>
        <w:t xml:space="preserve">) </w:t>
      </w:r>
      <w:r>
        <w:rPr>
          <w:rtl w:val="true"/>
        </w:rPr>
        <w:t>و شيعيانش رستگارانند</w:t>
      </w:r>
      <w:bookmarkEnd w:id="53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سيوطى در تفسير آيه إِنَّ الَّذِينَ كَفَرُوا مِنْ أَهْلِ الْكِتَابِ وَالْمُشْرِكِينَ فِي نَارِ جَهَنَّمَ خَالِدِينَ فِيهَا أُولَئِكَ هُمْ شَرُّ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عايشه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w:t>
      </w:r>
      <w:bookmarkStart w:id="534" w:name="pg1976_28211"/>
    </w:p>
    <w:p>
      <w:pPr>
        <w:pStyle w:val="BookText"/>
        <w:rPr/>
      </w:pPr>
      <w:bookmarkEnd w:id="534"/>
      <w:r>
        <w:rPr>
          <w:rFonts w:ascii="IRNazanin" w:hAnsi="IRNazanin" w:eastAsia="IRNazanin"/>
          <w:color w:val="111111"/>
          <w:sz w:val="28"/>
          <w:sz w:val="28"/>
          <w:szCs w:val="28"/>
          <w:rtl w:val="true"/>
          <w:lang w:bidi="fa-IR"/>
        </w:rPr>
        <w:t>عَلَى‌الله؟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ياعائشة أماتقرئين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إنّ‌الذين كَفَرُوا مِنْ أَهْلِ الْكِتَابِ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از جابر بن عبدالله انصارى مى‌آورد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عندالنبي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أنّ هَذا و شيعته لَهُمُ الفائزون يوم‌القيامة، و نزلت إنّ الذين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آن پس اصحاب پيامبرخدا هرگاه على را مى‌ديدند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خيرُ البريّة </w:t>
      </w:r>
      <w:r>
        <w:rPr>
          <w:rFonts w:eastAsia="IRNazanin" w:cs="IRNazanin"/>
          <w:color w:val="111111"/>
          <w:sz w:val="28"/>
          <w:szCs w:val="28"/>
          <w:rtl w:val="true"/>
          <w:lang w:bidi="fa-IR"/>
        </w:rPr>
        <w:t xml:space="preserve">» </w:t>
      </w:r>
      <w:r>
        <w:rPr>
          <w:rStyle w:val="FootnoteAnchor"/>
          <w:rtl w:val="true"/>
        </w:rPr>
        <w:footnoteReference w:id="1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ابى‌هارون، عن ابى‌سعيد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وشيعته هم الفائزون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أُمّ‌سلمة زوجة النبي،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 شيعته 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Heading6"/>
        <w:numPr>
          <w:ilvl w:val="5"/>
          <w:numId w:val="1"/>
        </w:numPr>
        <w:rPr/>
      </w:pPr>
      <w:bookmarkStart w:id="535" w:name="__RefHeading___Toc3767233_3650668749"/>
      <w:bookmarkStart w:id="536" w:name="_Toc195"/>
      <w:bookmarkEnd w:id="535"/>
      <w:r>
        <w:rPr>
          <w:rtl w:val="true"/>
        </w:rPr>
        <w:t>سوم</w:t>
      </w:r>
      <w:r>
        <w:rPr>
          <w:rtl w:val="true"/>
        </w:rPr>
        <w:t xml:space="preserve">: </w:t>
      </w:r>
      <w:r>
        <w:rPr>
          <w:rtl w:val="true"/>
        </w:rPr>
        <w:t xml:space="preserve">على </w:t>
      </w:r>
      <w:r>
        <w:rPr>
          <w:rtl w:val="true"/>
        </w:rPr>
        <w:t>(</w:t>
      </w:r>
      <w:r>
        <w:rPr>
          <w:rtl w:val="true"/>
        </w:rPr>
        <w:t>ع</w:t>
      </w:r>
      <w:r>
        <w:rPr>
          <w:rtl w:val="true"/>
        </w:rPr>
        <w:t xml:space="preserve">) </w:t>
      </w:r>
      <w:r>
        <w:rPr>
          <w:rtl w:val="true"/>
        </w:rPr>
        <w:t>و شيعيانش روز قيامت راضى‌اند</w:t>
      </w:r>
      <w:bookmarkEnd w:id="5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ابن‌عدى از طريق ابن‌عبّاس نقل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لمّانَزَلت إنّ الَّذِينَ آمَنُوا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أنتَ وشيعتكَ يَومَ القيامة راضين مرضيين </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 ابن‌حجرالهيتمى، همين روايت را با اضافه اين‌تعبير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ويأتي عَدوّك غضباناً مُقمحين،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عَدوّي؟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تَبَرّأ مِنكَ ولَعَنَكَ </w:t>
      </w:r>
      <w:r>
        <w:rPr>
          <w:rFonts w:eastAsia="Amiri" w:cs="Amiri" w:ascii="Amiri" w:hAnsi="Amiri"/>
          <w:color w:val="111111"/>
          <w:sz w:val="28"/>
          <w:szCs w:val="28"/>
          <w:rtl w:val="true"/>
          <w:lang w:bidi="ar-SA"/>
        </w:rPr>
        <w:t xml:space="preserve">» </w:t>
      </w:r>
      <w:r>
        <w:rPr>
          <w:rStyle w:val="FootnoteAnchor"/>
          <w:rtl w:val="true"/>
        </w:rPr>
        <w:footnoteReference w:id="1532"/>
      </w:r>
      <w:r>
        <w:rPr>
          <w:rFonts w:ascii="IRNazanin" w:hAnsi="IRNazanin" w:eastAsia="IRNazanin"/>
          <w:color w:val="111111"/>
          <w:sz w:val="28"/>
          <w:sz w:val="28"/>
          <w:szCs w:val="28"/>
          <w:rtl w:val="true"/>
          <w:lang w:bidi="fa-IR"/>
        </w:rPr>
        <w:t>، گزارش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على‌بن الحسين، عن‌أبيه الحسين‌بن على، عن‌أبيه أميرالمؤمنين على‌بن ابى‌طالب،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عَلِيُّ إذا كان يوم القيامة يخرج قَومٌ من قبورهم لباسهم النُّور، عَلَى نجائب من نور، أزمّتها يواقيت حمر، تزفّهم الملائكة الى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الله مَا أكرم هؤلاء على الله، </w:t>
      </w:r>
      <w:bookmarkStart w:id="537" w:name="pg1976_28213"/>
    </w:p>
    <w:p>
      <w:pPr>
        <w:pStyle w:val="BookText"/>
        <w:rPr/>
      </w:pPr>
      <w:bookmarkEnd w:id="537"/>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عَلِيُّ، هُم أهلُ ولايَتِكَ وشِيعَتِكَ، ومحبّوك، يحبّونَكَ بِحُبّي و يحبّوني بِحُبِّ الله، هُمُ الفائزون يوم القيامة </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8" w:name="__RefHeading___Toc3767235_3650668749"/>
      <w:bookmarkStart w:id="539" w:name="_Toc196"/>
      <w:bookmarkEnd w:id="538"/>
      <w:r>
        <w:rPr>
          <w:rtl w:val="true"/>
        </w:rPr>
        <w:t>چهارم</w:t>
      </w:r>
      <w:r>
        <w:rPr>
          <w:rtl w:val="true"/>
        </w:rPr>
        <w:t xml:space="preserve">: </w:t>
      </w:r>
      <w:r>
        <w:rPr>
          <w:rtl w:val="true"/>
        </w:rPr>
        <w:t xml:space="preserve">وعده‌گاه على </w:t>
      </w:r>
      <w:r>
        <w:rPr>
          <w:rtl w:val="true"/>
        </w:rPr>
        <w:t>(</w:t>
      </w:r>
      <w:r>
        <w:rPr>
          <w:rtl w:val="true"/>
        </w:rPr>
        <w:t>ع</w:t>
      </w:r>
      <w:r>
        <w:rPr>
          <w:rtl w:val="true"/>
        </w:rPr>
        <w:t xml:space="preserve">) </w:t>
      </w:r>
      <w:r>
        <w:rPr>
          <w:rtl w:val="true"/>
        </w:rPr>
        <w:t>و شيعيانش برحوض</w:t>
      </w:r>
      <w:r>
        <w:rPr>
          <w:rtl w:val="true"/>
        </w:rPr>
        <w:t>. . .</w:t>
      </w:r>
      <w:bookmarkEnd w:id="539"/>
    </w:p>
    <w:p>
      <w:pPr>
        <w:pStyle w:val="BookText"/>
        <w:rPr/>
      </w:pPr>
      <w:r>
        <w:rPr>
          <w:rFonts w:ascii="Amiri" w:hAnsi="Amiri" w:eastAsia="Amiri" w:cs="Amiri"/>
          <w:color w:val="111111"/>
          <w:sz w:val="28"/>
          <w:sz w:val="28"/>
          <w:szCs w:val="28"/>
          <w:rtl w:val="true"/>
          <w:lang w:bidi="ar-SA"/>
        </w:rPr>
        <w:t xml:space="preserve">ابن مردَوَيه، ازعلى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اُوْلَئِكَ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وموعدي وموعدكم الحوض إذا جئت الأمَم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0" w:name="__RefHeading___Toc3767237_3650668749"/>
      <w:bookmarkStart w:id="541" w:name="_Toc197"/>
      <w:bookmarkEnd w:id="540"/>
      <w:r>
        <w:rPr>
          <w:rtl w:val="true"/>
        </w:rPr>
        <w:t>پنجم</w:t>
      </w:r>
      <w:r>
        <w:rPr>
          <w:rtl w:val="true"/>
        </w:rPr>
        <w:t xml:space="preserve">: </w:t>
      </w:r>
      <w:r>
        <w:rPr>
          <w:rtl w:val="true"/>
        </w:rPr>
        <w:t>شيعيان درحالى‌كه طرف راست و چپ اهل بيت هستند وارد بهشت مى‌شوند</w:t>
      </w:r>
      <w:bookmarkEnd w:id="541"/>
    </w:p>
    <w:p>
      <w:pPr>
        <w:pStyle w:val="BookText"/>
        <w:rPr/>
      </w:pPr>
      <w:r>
        <w:rPr>
          <w:rFonts w:ascii="Amiri" w:hAnsi="Amiri" w:eastAsia="Amiri" w:cs="Amiri"/>
          <w:color w:val="111111"/>
          <w:sz w:val="28"/>
          <w:sz w:val="28"/>
          <w:szCs w:val="28"/>
          <w:rtl w:val="true"/>
          <w:lang w:bidi="ar-SA"/>
        </w:rPr>
        <w:t>احمدبن‌حنبل درالمناقب خود، مى‌آورد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تَرضَى أنّكَ معي في الجنة، والحسن والحسين وذرّيتنا خلف ظهورنا وأزواجنا خلف ذرِّيتنا وشيعتنا عن أيماننا وشمائلنا </w:t>
      </w:r>
      <w:r>
        <w:rPr>
          <w:rFonts w:eastAsia="Amiri" w:cs="Amiri" w:ascii="Amiri" w:hAnsi="Amiri"/>
          <w:color w:val="111111"/>
          <w:sz w:val="28"/>
          <w:szCs w:val="28"/>
          <w:rtl w:val="true"/>
          <w:lang w:bidi="ar-SA"/>
        </w:rPr>
        <w:t xml:space="preserve">» </w:t>
      </w:r>
      <w:r>
        <w:rPr>
          <w:rStyle w:val="FootnoteAnchor"/>
          <w:rtl w:val="true"/>
        </w:rPr>
        <w:footnoteReference w:id="1535"/>
      </w:r>
      <w:r>
        <w:rPr>
          <w:rFonts w:ascii="IRNazanin" w:hAnsi="IRNazanin" w:eastAsia="IRNazanin"/>
          <w:color w:val="111111"/>
          <w:sz w:val="28"/>
          <w:sz w:val="28"/>
          <w:szCs w:val="28"/>
          <w:rtl w:val="true"/>
          <w:lang w:bidi="fa-IR"/>
        </w:rPr>
        <w:t>، واز طبرانى همين حديث را نقل وسند طبرانى را ضعيف مى‌شمارد ولى شهادت ابن‌عبّاس را گواه برصحت آن مى‌داند</w:t>
      </w:r>
      <w:r>
        <w:rPr>
          <w:rFonts w:eastAsia="IRNazanin" w:cs="IRNazanin"/>
          <w:color w:val="111111"/>
          <w:sz w:val="28"/>
          <w:szCs w:val="28"/>
          <w:rtl w:val="true"/>
          <w:lang w:bidi="fa-IR"/>
        </w:rPr>
        <w:t>.</w:t>
      </w:r>
    </w:p>
    <w:p>
      <w:pPr>
        <w:pStyle w:val="Heading6"/>
        <w:numPr>
          <w:ilvl w:val="5"/>
          <w:numId w:val="1"/>
        </w:numPr>
        <w:rPr/>
      </w:pPr>
      <w:bookmarkStart w:id="542" w:name="__RefHeading___Toc3767239_3650668749"/>
      <w:bookmarkStart w:id="543" w:name="_Toc198"/>
      <w:bookmarkEnd w:id="542"/>
      <w:r>
        <w:rPr>
          <w:rtl w:val="true"/>
        </w:rPr>
        <w:t>ششم</w:t>
      </w:r>
      <w:r>
        <w:rPr>
          <w:rtl w:val="true"/>
        </w:rPr>
        <w:t xml:space="preserve">: </w:t>
      </w:r>
      <w:r>
        <w:rPr>
          <w:rtl w:val="true"/>
        </w:rPr>
        <w:t xml:space="preserve">شيعيان، دست به‌دامن على </w:t>
      </w:r>
      <w:r>
        <w:rPr>
          <w:rtl w:val="true"/>
        </w:rPr>
        <w:t>(</w:t>
      </w:r>
      <w:r>
        <w:rPr>
          <w:rtl w:val="true"/>
        </w:rPr>
        <w:t>ع</w:t>
      </w:r>
      <w:r>
        <w:rPr>
          <w:rtl w:val="true"/>
        </w:rPr>
        <w:t>)</w:t>
      </w:r>
      <w:bookmarkEnd w:id="54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نقل اين روايتِ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يوم القيامة نُودِيت من بَطنان العرش، نِعم الأب، أبُوكَ إبراهيم و نعم الأخ، أخوك علي‌بن‌أبي‌طالب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مى‌آورد كه حضرت خطاب به‌على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أخذتُ ِبحُجزةالله، و أخذتَ أنتَ بحجزتي، وأخَذَ وُلدُك بِحُجزتك، وأخَذَ شيعةُ وُلدِكَ بِحُجزتهم، فترى أين يأمر بنا؟ </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روايات ديگر كه ساير بزرگان اهل‌سنت هم‌چون حسكانى درشواهدالتّنزيل، سمهودى در جواهرالعقدين، ابن مغازلى در مناقب‌الامام على‌بن‌ابى‌طالب، محمدبن سليمان الكوفى در مناقب الامام أمير المؤمنين على‌بن أبى‌طالب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به‌اينكه در كلام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 رفته است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راضين‌ومرضيين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به‌دامن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هيچ‌ترديدى را در اينكه ظهور شيعه در زمان حيات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باقى‌نمى‌گذارد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كسانى‌كه معتقد به‌نبوت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او را تصديق مى‌كنندكه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وَمَايَنطِقُ عَنِ الْهَوَى إِنْ هُوَ إِلاَّ وَحْيٌ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نخواهد كرد؛ چنان‌كه عالمان اهل‌سنت تصريح مى‌كنند كه اصطلاح شيعه، اسم خاص براى پيروان على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دوستى يا بغض نداشتن آنان نسبت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او به‌گونه‌اى كه بر اكثر مسلمانان منطبق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برخى مدعى شده‌اند </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نيست؛ زيرا محبتِ تنها و يا نداشتن بغض </w:t>
      </w:r>
      <w:r>
        <w:rPr>
          <w:rStyle w:val="FootnoteAnchor"/>
          <w:rtl w:val="true"/>
        </w:rPr>
        <w:footnoteReference w:id="1539"/>
      </w:r>
      <w:r>
        <w:rPr>
          <w:rFonts w:ascii="IRNazanin" w:hAnsi="IRNazanin" w:eastAsia="IRNazanin"/>
          <w:color w:val="111111"/>
          <w:sz w:val="28"/>
          <w:sz w:val="28"/>
          <w:szCs w:val="28"/>
          <w:rtl w:val="true"/>
          <w:lang w:bidi="fa-IR"/>
        </w:rPr>
        <w:t xml:space="preserve">، ملاك شيعه‌بودن نيست بلكه اقتدا و پيروى از آنها با اعتقاد به‌قائد بودن آنها و ملزم‌بودن به‌پيروى از آنها هم، لازم است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ناصرقفارى در بحثى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الشيعة في‌السنّة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ميان آن همه رواياتى كه به‌عمد متن آنها از منابع خود آنان نقل شد، به‌دو حديث استناد و هر دو را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ناقص وگزينشى نقل مى‌كند يكى روايت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سيكون له شيعة يتَعَمّقُون في‌الدّين حتى يخرجوا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شيعة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541"/>
      </w:r>
      <w:r>
        <w:rPr>
          <w:rFonts w:ascii="Amiri" w:hAnsi="Amiri" w:eastAsia="Amiri" w:cs="Amiri"/>
          <w:color w:val="111111"/>
          <w:sz w:val="28"/>
          <w:sz w:val="28"/>
          <w:szCs w:val="28"/>
          <w:rtl w:val="true"/>
          <w:lang w:bidi="ar-SA"/>
        </w:rPr>
        <w:t xml:space="preserve">حديث نخست را كه از مسند احمدبن‌حنبل مى‌آورد </w:t>
      </w:r>
      <w:r>
        <w:rPr>
          <w:rStyle w:val="FootnoteAnchor"/>
          <w:rtl w:val="true"/>
        </w:rPr>
        <w:footnoteReference w:id="1542"/>
      </w:r>
      <w:r>
        <w:rPr>
          <w:rFonts w:ascii="Amiri" w:hAnsi="Amiri" w:eastAsia="Amiri" w:cs="Amiri"/>
          <w:color w:val="111111"/>
          <w:sz w:val="28"/>
          <w:sz w:val="28"/>
          <w:szCs w:val="28"/>
          <w:rtl w:val="true"/>
          <w:lang w:bidi="ar-SA"/>
        </w:rPr>
        <w:t xml:space="preserve">، ضحاك </w:t>
      </w:r>
      <w:r>
        <w:rPr>
          <w:rStyle w:val="FootnoteAnchor"/>
          <w:rtl w:val="true"/>
        </w:rPr>
        <w:footnoteReference w:id="1543"/>
      </w:r>
      <w:r>
        <w:rPr>
          <w:rFonts w:ascii="IRNazanin" w:hAnsi="IRNazanin" w:eastAsia="IRNazanin"/>
          <w:color w:val="111111"/>
          <w:sz w:val="28"/>
          <w:sz w:val="28"/>
          <w:szCs w:val="28"/>
          <w:rtl w:val="true"/>
          <w:lang w:bidi="fa-IR"/>
        </w:rPr>
        <w:t xml:space="preserve">، طبرى </w:t>
      </w:r>
      <w:r>
        <w:rPr>
          <w:rStyle w:val="FootnoteAnchor"/>
          <w:rtl w:val="true"/>
        </w:rPr>
        <w:footnoteReference w:id="1544"/>
      </w:r>
      <w:r>
        <w:rPr>
          <w:rFonts w:ascii="Amiri" w:hAnsi="Amiri" w:eastAsia="Amiri" w:cs="Amiri"/>
          <w:color w:val="111111"/>
          <w:sz w:val="28"/>
          <w:sz w:val="28"/>
          <w:szCs w:val="28"/>
          <w:rtl w:val="true"/>
          <w:lang w:bidi="ar-SA"/>
        </w:rPr>
        <w:t xml:space="preserve">ابن‌كثير </w:t>
      </w:r>
      <w:r>
        <w:rPr>
          <w:rStyle w:val="FootnoteAnchor"/>
          <w:rtl w:val="true"/>
        </w:rPr>
        <w:footnoteReference w:id="1545"/>
      </w:r>
      <w:r>
        <w:rPr>
          <w:rFonts w:ascii="Amiri" w:hAnsi="Amiri" w:eastAsia="Amiri" w:cs="Amiri"/>
          <w:color w:val="111111"/>
          <w:sz w:val="28"/>
          <w:sz w:val="28"/>
          <w:szCs w:val="28"/>
          <w:rtl w:val="true"/>
          <w:lang w:bidi="ar-SA"/>
        </w:rPr>
        <w:t xml:space="preserve">نيز نقل كرده‌اند، شأن صدورش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ذوالخويصرة التميمى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سران خوارج است </w:t>
      </w:r>
      <w:r>
        <w:rPr>
          <w:rStyle w:val="FootnoteAnchor"/>
          <w:rtl w:val="true"/>
        </w:rPr>
        <w:footnoteReference w:id="1546"/>
      </w:r>
      <w:r>
        <w:rPr>
          <w:rFonts w:ascii="Amiri" w:hAnsi="Amiri" w:eastAsia="Amiri" w:cs="Amiri"/>
          <w:color w:val="111111"/>
          <w:sz w:val="28"/>
          <w:sz w:val="28"/>
          <w:szCs w:val="28"/>
          <w:rtl w:val="true"/>
          <w:lang w:bidi="ar-SA"/>
        </w:rPr>
        <w:t>، كه در روز حنين به‌رسول‌الله به‌خاطر تقسيم غنائم اعتراض كرد، عمر بن‌الخطاب اجازه خواست او را به‌قتل رساند ولى حضرت مانع شد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سيكون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ذوالخويص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w:t>
      </w:r>
      <w:r>
        <w:rPr>
          <w:rFonts w:eastAsia="Amiri" w:cs="Amiri" w:ascii="Amiri" w:hAnsi="Amiri"/>
          <w:color w:val="111111"/>
          <w:sz w:val="28"/>
          <w:szCs w:val="28"/>
          <w:rtl w:val="true"/>
          <w:lang w:bidi="ar-SA"/>
        </w:rPr>
        <w:t xml:space="preserve">. . .» </w:t>
      </w:r>
      <w:r>
        <w:rPr>
          <w:rStyle w:val="FootnoteAnchor"/>
          <w:rtl w:val="true"/>
        </w:rPr>
        <w:footnoteReference w:id="1547"/>
      </w:r>
      <w:r>
        <w:rPr>
          <w:rFonts w:ascii="IRNazanin" w:hAnsi="IRNazanin" w:eastAsia="IRNazanin"/>
          <w:color w:val="111111"/>
          <w:sz w:val="28"/>
          <w:sz w:val="28"/>
          <w:szCs w:val="28"/>
          <w:rtl w:val="true"/>
          <w:lang w:bidi="fa-IR"/>
        </w:rPr>
        <w:t xml:space="preserve">اين روايت، از يك‌سو، با يك نگاه سطحى روشن است كه هيچ ارتباطى به‌شيعه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ديگرسو، همين حديث طبق نقل ابن‌اثير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bookmarkStart w:id="544" w:name="pg1976_28220"/>
    </w:p>
    <w:p>
      <w:pPr>
        <w:pStyle w:val="BookText"/>
        <w:rPr/>
      </w:pPr>
      <w:bookmarkEnd w:id="544"/>
      <w:r>
        <w:rPr>
          <w:rFonts w:ascii="Amiri" w:hAnsi="Amiri" w:eastAsia="Amiri" w:cs="Amiri"/>
          <w:color w:val="111111"/>
          <w:sz w:val="28"/>
          <w:sz w:val="28"/>
          <w:szCs w:val="28"/>
          <w:rtl w:val="true"/>
          <w:lang w:bidi="ar-SA"/>
        </w:rPr>
        <w:t xml:space="preserve">امّا حديث دوم در مورد جبريه و نافى اختيار از انسان است </w:t>
      </w:r>
      <w:r>
        <w:rPr>
          <w:rStyle w:val="FootnoteAnchor"/>
          <w:rtl w:val="true"/>
        </w:rPr>
        <w:footnoteReference w:id="15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اُمَّةٍ مَجُوسٌ، ومجوسُ هذه الأُمةِ الَّذينَ يَقولون لاقدَرَ، مَن‌مَاتَ مِنهُم فلاتَشهُدُواجِنَازَتَهُ، ومَن مَرِضَ مِنهُم فلاتعُودُوهُم، و هُم شيعةُ الدَّجّال، وحقٌ على الله أن يُلحِقَهُم بالدَّجّال </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خود قفارى اعتراف به‌ضعف سند اين روايت مى‌كند </w:t>
      </w:r>
      <w:r>
        <w:rPr>
          <w:rStyle w:val="FootnoteAnchor"/>
          <w:rtl w:val="true"/>
        </w:rPr>
        <w:footnoteReference w:id="1551"/>
      </w:r>
      <w:r>
        <w:rPr>
          <w:rFonts w:ascii="IRNazanin" w:hAnsi="IRNazanin" w:eastAsia="IRNazanin"/>
          <w:color w:val="111111"/>
          <w:sz w:val="28"/>
          <w:sz w:val="28"/>
          <w:szCs w:val="28"/>
          <w:rtl w:val="true"/>
          <w:lang w:bidi="fa-IR"/>
        </w:rPr>
        <w:t xml:space="preserve">، هيچ ارتباط به‌شيعه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اين‌نويسنده با چنين رويه‌اى تنها خيانت در امانت و ضعف علمى خود را به‌نمايش گذارده است</w:t>
      </w:r>
      <w:r>
        <w:rPr>
          <w:rFonts w:eastAsia="IRNazanin" w:cs="IRNazanin"/>
          <w:color w:val="111111"/>
          <w:sz w:val="28"/>
          <w:szCs w:val="28"/>
          <w:rtl w:val="true"/>
          <w:lang w:bidi="fa-IR"/>
        </w:rPr>
        <w:t>.</w:t>
      </w:r>
    </w:p>
    <w:p>
      <w:pPr>
        <w:pStyle w:val="Heading6"/>
        <w:numPr>
          <w:ilvl w:val="5"/>
          <w:numId w:val="1"/>
        </w:numPr>
        <w:rPr/>
      </w:pPr>
      <w:bookmarkStart w:id="545" w:name="__RefHeading___Toc3767241_3650668749"/>
      <w:bookmarkStart w:id="546" w:name="_Toc199"/>
      <w:bookmarkEnd w:id="545"/>
      <w:r>
        <w:rPr>
          <w:rtl w:val="true"/>
        </w:rPr>
        <w:t xml:space="preserve">سه </w:t>
      </w:r>
      <w:r>
        <w:rPr>
          <w:rtl w:val="true"/>
        </w:rPr>
        <w:t xml:space="preserve">- </w:t>
      </w:r>
      <w:r>
        <w:rPr>
          <w:rtl w:val="true"/>
        </w:rPr>
        <w:t xml:space="preserve">نمادها و شخصيت‌هاى شيعه در زمان رسول‌الله </w:t>
      </w:r>
      <w:r>
        <w:rPr>
          <w:rtl w:val="true"/>
        </w:rPr>
        <w:t>(</w:t>
      </w:r>
      <w:r>
        <w:rPr>
          <w:rtl w:val="true"/>
        </w:rPr>
        <w:t>ص</w:t>
      </w:r>
      <w:r>
        <w:rPr>
          <w:rtl w:val="true"/>
        </w:rPr>
        <w:t>)</w:t>
      </w:r>
      <w:bookmarkEnd w:id="546"/>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از شيعه و ويژگى‌هاى آن نام‌بردكه نمادها و شخصيت‌هاى آنان را براى اصحاب معرفى و در مورد آنان سفارش ويژه نمود؛ ابن‌حجرهيتمى حديثى را كه ترمذى و حاكم آن را صحيح شمرده‌اند از بريده به‌اين‌صورت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بِحُبّ أربعةٍ و أخبرني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يُحِبُّهم، قيل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منهم، يقول ذلك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أبوذر، والمقداد و سلمان </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ديگر اهل‌سنت با اشاره به‌اينكه شيعيانِ نخستين، افراد زيادى از ميان اصحاب بودند، آنان را خالص‌ترين و صادق‌ترين مردم نسبت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و تعداد آنان را غير از هاشميين و فرزندان خود على، سلمان فارسى، ابوذرغفارى، عمار </w:t>
      </w:r>
      <w:bookmarkStart w:id="547" w:name="pg1976_28222"/>
    </w:p>
    <w:p>
      <w:pPr>
        <w:pStyle w:val="BookText"/>
        <w:rPr/>
      </w:pPr>
      <w:bookmarkEnd w:id="547"/>
      <w:r>
        <w:rPr>
          <w:rFonts w:ascii="IRNazanin" w:hAnsi="IRNazanin" w:eastAsia="IRNazanin"/>
          <w:color w:val="111111"/>
          <w:sz w:val="28"/>
          <w:sz w:val="28"/>
          <w:szCs w:val="28"/>
          <w:rtl w:val="true"/>
          <w:lang w:bidi="fa-IR"/>
        </w:rPr>
        <w:t>ابن‌ياسر، مقدادبن أسود و حذيفةبن يمان كه همه از مستضعفان و بردگان بودند، مى‌شمارند و به‌ويژگى‌هاى آنان تصريح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والَوا عَلِيّاً لا لِطَمَعٍ في‌مادةٍ أوجَاهٍ و إنّما إتِّباعاً لوصَايا النَّبي و تَوَسّماً للخير و الإيمان في عَلِيٍّ </w:t>
      </w:r>
      <w:r>
        <w:rPr>
          <w:rFonts w:eastAsia="IRNazanin" w:cs="IRNazanin"/>
          <w:color w:val="111111"/>
          <w:sz w:val="28"/>
          <w:szCs w:val="28"/>
          <w:rtl w:val="true"/>
          <w:lang w:bidi="fa-IR"/>
        </w:rPr>
        <w:t xml:space="preserve">. . .»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اوليه شيعيان را نيز معرفى كرد و آنان همان‌هايى بودند كه جز به‌رضايت خدا و اعتلاى قرآن و اسلام نمى‌انديشيدند</w:t>
      </w:r>
      <w:r>
        <w:rPr>
          <w:rFonts w:eastAsia="IRNazanin" w:cs="IRNazanin"/>
          <w:color w:val="111111"/>
          <w:sz w:val="28"/>
          <w:szCs w:val="28"/>
          <w:rtl w:val="true"/>
          <w:lang w:bidi="fa-IR"/>
        </w:rPr>
        <w:t>!</w:t>
      </w:r>
    </w:p>
    <w:p>
      <w:pPr>
        <w:pStyle w:val="Heading5"/>
        <w:numPr>
          <w:ilvl w:val="4"/>
          <w:numId w:val="1"/>
        </w:numPr>
        <w:rPr/>
      </w:pPr>
      <w:bookmarkStart w:id="548" w:name="__RefHeading___Toc3767243_3650668749"/>
      <w:bookmarkStart w:id="549" w:name="_Toc200"/>
      <w:bookmarkEnd w:id="548"/>
      <w:r>
        <w:rPr>
          <w:rtl w:val="true"/>
        </w:rPr>
        <w:t>ج</w:t>
      </w:r>
      <w:r>
        <w:rPr>
          <w:rtl w:val="true"/>
        </w:rPr>
        <w:t xml:space="preserve">) </w:t>
      </w:r>
      <w:r>
        <w:rPr>
          <w:rtl w:val="true"/>
        </w:rPr>
        <w:t>ابن‌سبأ، طرّاح امامت</w:t>
      </w:r>
      <w:r>
        <w:rPr>
          <w:rtl w:val="true"/>
        </w:rPr>
        <w:t>!</w:t>
      </w:r>
      <w:bookmarkEnd w:id="549"/>
    </w:p>
    <w:p>
      <w:pPr>
        <w:pStyle w:val="BookText"/>
        <w:rPr/>
      </w:pPr>
      <w:r>
        <w:rPr>
          <w:rFonts w:ascii="IRNazanin" w:hAnsi="IRNazanin" w:eastAsia="IRNazanin"/>
          <w:color w:val="111111"/>
          <w:sz w:val="28"/>
          <w:sz w:val="28"/>
          <w:szCs w:val="28"/>
          <w:rtl w:val="true"/>
          <w:lang w:bidi="fa-IR"/>
        </w:rPr>
        <w:t xml:space="preserve">از مباحث گذشته اين نتيجه به‌دست آمد كه شيعه و تشيع در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همزاد با اسلام پايه‌ريزى شد و مورد تأييد آن‌حضرت بود و اينكه گروهى پنداشته‌اند شيعه توسط ابن‌سبأ يهودى الاصل بنيان‌گذارى شد، مردود و دور از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گروهِ از نويسندگان افراطى، مدعى‌اند كه نخستين طراح ديدگاه امامت و وصايت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 يعنى عبدالله‌بن‌سبأ يا ابن‌السّوداء است </w:t>
      </w:r>
      <w:r>
        <w:rPr>
          <w:rStyle w:val="FootnoteAnchor"/>
          <w:rtl w:val="true"/>
        </w:rPr>
        <w:footnoteReference w:id="1554"/>
      </w:r>
      <w:r>
        <w:rPr>
          <w:rFonts w:ascii="IRNazanin" w:hAnsi="IRNazanin" w:eastAsia="IRNazanin"/>
          <w:color w:val="111111"/>
          <w:sz w:val="28"/>
          <w:sz w:val="28"/>
          <w:szCs w:val="28"/>
          <w:rtl w:val="true"/>
          <w:lang w:bidi="fa-IR"/>
        </w:rPr>
        <w:t>و او را آن چنان تأثيرگذار وانمود مى‌كنند كه گويا همه مشكلات آن روز و امروز و حتى قيام مسلمانان عليه ظلم‌هاى عثمان‌بن‌عفان و جنگ جمل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دسيسه و طرح او بوده است؛ اما اينكه چنين شخصيت اسطوره‌اى وجود داشته يا نه، او چه كسى بوده است و چگونه و از كجا وارد تاريخ اسلام شد، به‌زودى بررسى خواهد شد، ولى در اين قسمت به‌اين سؤال پاسخ داده خواهد شد كه آيا به‌راستى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طرح ابن‌سبأ بوده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امامت و ولايت على‌بن‌ابى‌طالب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امت اسلامى آن قدر روشن و واضح است، كه هيچ حادثۀ تاريخى اسلام همانند آن، هَم از نظر عقلى و </w:t>
      </w:r>
      <w:bookmarkStart w:id="550" w:name="pg1976_28224"/>
    </w:p>
    <w:p>
      <w:pPr>
        <w:pStyle w:val="BookText"/>
        <w:rPr/>
      </w:pPr>
      <w:bookmarkEnd w:id="550"/>
      <w:r>
        <w:rPr>
          <w:rFonts w:ascii="IRNazanin" w:hAnsi="IRNazanin" w:eastAsia="IRNazanin"/>
          <w:color w:val="111111"/>
          <w:sz w:val="28"/>
          <w:sz w:val="28"/>
          <w:szCs w:val="28"/>
          <w:rtl w:val="true"/>
          <w:lang w:bidi="fa-IR"/>
        </w:rPr>
        <w:t xml:space="preserve">خرد انسانى </w:t>
      </w:r>
      <w:r>
        <w:rPr>
          <w:rStyle w:val="FootnoteAnchor"/>
          <w:rtl w:val="true"/>
        </w:rPr>
        <w:footnoteReference w:id="1555"/>
      </w:r>
      <w:r>
        <w:rPr>
          <w:rFonts w:ascii="IRNazanin" w:hAnsi="IRNazanin" w:eastAsia="IRNazanin"/>
          <w:color w:val="111111"/>
          <w:sz w:val="28"/>
          <w:sz w:val="28"/>
          <w:szCs w:val="28"/>
          <w:rtl w:val="true"/>
          <w:lang w:bidi="fa-IR"/>
        </w:rPr>
        <w:t>و هم از نگاه تاريخى و هم از لحاظ قرآنى و حديثى بسان امامت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بخش عظيمى از مسلمانان بر خلاف باورهاى خود در برابر اين حادثه تاريخى كه به‌حق سرچشمه همه اختلافات در اصول و فروع دينى و اجتماعى گرديده است، مقاومت به‌خرج مى‌دهند تا حدّى كه بخش اعظم از منابع و مكتوبات اسلامى را همين مسأله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گروهى آن‌چنان بى‌باكانه و نابخردانه قلم مى‌زنند كه گويا هيچ مدارك و شواهد تاريخى و روايى در اين خصوص وجود ندارد، و علت آن را جز اين نمى‌توان يافت كه مشروعيت خلافت ابابكر خليفه اوّل و پس از او جانشينى تعيينى عمربن‌الخطاب و سرانجام شوراى سفارشى عُمَر، براى گزينش عثمان‌بن‌عفان، براى پيروان خلفا، بنيادى‌ترين اصل قلمداد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اين اصل خود ساخته كه با هيچ معيارى همخوانى ندارد، وحى و روايت و برهان‌هاى عقلى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را برنمى‌تابند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اعتقادات و باورهاى مخالفان اين اصل به‌شكل‌هاى گوناگون مورد تهاجم قرار مى‌گيرد، و با ركيك‌ترين تعبيرات </w:t>
      </w:r>
      <w:r>
        <w:rPr>
          <w:rStyle w:val="FootnoteAnchor"/>
          <w:rtl w:val="true"/>
        </w:rPr>
        <w:footnoteReference w:id="1556"/>
      </w:r>
      <w:r>
        <w:rPr>
          <w:rFonts w:ascii="IRNazanin" w:hAnsi="IRNazanin" w:eastAsia="IRNazanin"/>
          <w:color w:val="111111"/>
          <w:sz w:val="28"/>
          <w:sz w:val="28"/>
          <w:szCs w:val="28"/>
          <w:rtl w:val="true"/>
          <w:lang w:bidi="fa-IR"/>
        </w:rPr>
        <w:t xml:space="preserve">و شرم‌آورترين واژگان، از انديشه‌هاى مخالفان خود ياد مى‌كنند و بخش بزرگى از مسلمانان را به‌خاطر پيروى از دستورات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به‌تهمت‌هاى ناروا مى‌سازند؛ طراحى امامت توسط ابن‌سبأ يكى از آن تهمت‌هاست كه در ابتداى فصل به آن اشاره شد</w:t>
      </w:r>
      <w:r>
        <w:rPr>
          <w:rFonts w:eastAsia="IRNazanin" w:cs="IRNazanin"/>
          <w:color w:val="111111"/>
          <w:sz w:val="28"/>
          <w:szCs w:val="28"/>
          <w:rtl w:val="true"/>
          <w:lang w:bidi="fa-IR"/>
        </w:rPr>
        <w:t>.</w:t>
      </w:r>
    </w:p>
    <w:p>
      <w:pPr>
        <w:pStyle w:val="Heading5"/>
        <w:numPr>
          <w:ilvl w:val="4"/>
          <w:numId w:val="1"/>
        </w:numPr>
        <w:rPr/>
      </w:pPr>
      <w:bookmarkStart w:id="551" w:name="__RefHeading___Toc3767245_3650668749"/>
      <w:bookmarkStart w:id="552" w:name="_Toc201"/>
      <w:bookmarkEnd w:id="551"/>
      <w:r>
        <w:rPr>
          <w:rtl w:val="true"/>
        </w:rPr>
        <w:t>د</w:t>
      </w:r>
      <w:r>
        <w:rPr>
          <w:rtl w:val="true"/>
        </w:rPr>
        <w:t xml:space="preserve">) </w:t>
      </w:r>
      <w:r>
        <w:rPr>
          <w:rtl w:val="true"/>
        </w:rPr>
        <w:t>نقد اتّهام طرّاحى امامت، از سوى ابن‌سبأ</w:t>
      </w:r>
      <w:bookmarkEnd w:id="552"/>
    </w:p>
    <w:p>
      <w:pPr>
        <w:pStyle w:val="Heading6"/>
        <w:numPr>
          <w:ilvl w:val="5"/>
          <w:numId w:val="1"/>
        </w:numPr>
        <w:rPr/>
      </w:pPr>
      <w:bookmarkStart w:id="553" w:name="__RefHeading___Toc3767247_3650668749"/>
      <w:bookmarkStart w:id="554" w:name="_Toc202"/>
      <w:bookmarkEnd w:id="553"/>
      <w:r>
        <w:rPr>
          <w:rtl w:val="true"/>
        </w:rPr>
        <w:t>اشاره</w:t>
      </w:r>
      <w:bookmarkEnd w:id="55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اشاره شد كه برخى طرح امامت و جانشينى رسول خدا را به عبدالله ابن سبأ نسبت مى‌دهند و عده‌اى پا فراتر گذاشته، ظهور شيعه و تأسيس آن را به وى </w:t>
      </w:r>
      <w:bookmarkStart w:id="555" w:name="pg1976_28226"/>
    </w:p>
    <w:p>
      <w:pPr>
        <w:pStyle w:val="BookText"/>
        <w:rPr/>
      </w:pPr>
      <w:bookmarkEnd w:id="555"/>
      <w:r>
        <w:rPr>
          <w:rFonts w:ascii="IRNazanin" w:hAnsi="IRNazanin" w:eastAsia="IRNazanin"/>
          <w:color w:val="111111"/>
          <w:sz w:val="28"/>
          <w:sz w:val="28"/>
          <w:szCs w:val="28"/>
          <w:rtl w:val="true"/>
          <w:lang w:bidi="fa-IR"/>
        </w:rPr>
        <w:t>منسوب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نگاهى به‌واقعيت‌هاى عينى سنت‌پيامبر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مباحث تاريخى و قرآنى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بيندازيم، خواهيم ديد اعتقادات و باورهاى پيروان آن حضرت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روايات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تنها به‌چند نمونه از ميان صدها حديث از منابع قابل اعتماد خود آن‌ها، بسنده مى‌شود، و حق داورى به‌خوانندگان فرزانه واگذار مى‌گردد كه آيا طرح امامت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دسيسه است يا سنّت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خلافت خلفاى سه‌گانه بدعت بود يا سنّت؟</w:t>
      </w:r>
    </w:p>
    <w:p>
      <w:pPr>
        <w:pStyle w:val="Heading6"/>
        <w:numPr>
          <w:ilvl w:val="5"/>
          <w:numId w:val="1"/>
        </w:numPr>
        <w:rPr/>
      </w:pPr>
      <w:bookmarkStart w:id="556" w:name="__RefHeading___Toc3767249_3650668749"/>
      <w:bookmarkStart w:id="557" w:name="_Toc203"/>
      <w:bookmarkEnd w:id="556"/>
      <w:r>
        <w:rPr>
          <w:rtl w:val="true"/>
        </w:rPr>
        <w:t xml:space="preserve">يك </w:t>
      </w:r>
      <w:r>
        <w:rPr>
          <w:rtl w:val="true"/>
        </w:rPr>
        <w:t xml:space="preserve">- </w:t>
      </w:r>
      <w:r>
        <w:rPr>
          <w:rtl w:val="true"/>
        </w:rPr>
        <w:t xml:space="preserve">على </w:t>
      </w:r>
      <w:r>
        <w:rPr>
          <w:rtl w:val="true"/>
        </w:rPr>
        <w:t>(</w:t>
      </w:r>
      <w:r>
        <w:rPr>
          <w:rtl w:val="true"/>
        </w:rPr>
        <w:t>ع</w:t>
      </w:r>
      <w:r>
        <w:rPr>
          <w:rtl w:val="true"/>
        </w:rPr>
        <w:t xml:space="preserve">) </w:t>
      </w:r>
      <w:r>
        <w:rPr>
          <w:rtl w:val="true"/>
        </w:rPr>
        <w:t>، وزير و وصى و جانشين پيامبر</w:t>
      </w:r>
      <w:bookmarkEnd w:id="55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فرمان علنى كردن بعثت، با آيه وَأَنْذِرْ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طعامى تهيه نمايد و سران بنى‌هاشم را كه چهل‌نفر بودند، فراخواند؛ دو بار مجلس بعد از صرف طعام توسط ابى‌لهب بهم ريخت، مرتبه سوم پس از اِطعام،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بَني‌عبدالمطلب، إنّي وَاللهِ مَا أعلمُ شاباً في العَربِ جاءَ قَومَهُ بأفضَلَ مِمّا جِئتُكُم به، إنّي قد جئتُكُم بِخَيرِالدُّنيا و الآخرة، و قد أمَرني اللهُ أن أدعوكم إليه، فأيُّكم يُؤَازِرُني عَلَى هَذا الامرِ، عَلَى أن يَكُونَ أخي، وكذا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جمعيت ساكت بودند، تنها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يا نَبِيَّ‌اللهِ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وَزِيرك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او را مى‌گيرد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أخي ووصيّي و خليفتي فيكم، فاسمَعُوا له وأطيعُوا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حاضران با لبخند به‌ابى‌طالب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أمَرَكَ أن تَسمعَ لِإبنكَ وتُطيع</w:t>
      </w:r>
      <w:r>
        <w:rPr>
          <w:rFonts w:eastAsia="IRNazanin" w:cs="IRNazanin"/>
          <w:color w:val="111111"/>
          <w:sz w:val="28"/>
          <w:szCs w:val="28"/>
          <w:rtl w:val="true"/>
          <w:lang w:bidi="fa-IR"/>
        </w:rPr>
        <w:t xml:space="preserve">» </w:t>
      </w:r>
      <w:r>
        <w:rPr>
          <w:rStyle w:val="FootnoteAnchor"/>
          <w:rtl w:val="true"/>
        </w:rPr>
        <w:footnoteReference w:id="1557"/>
      </w:r>
      <w:r>
        <w:rPr>
          <w:rFonts w:ascii="Amiri" w:hAnsi="Amiri" w:eastAsia="Amiri" w:cs="Amiri"/>
          <w:color w:val="111111"/>
          <w:sz w:val="28"/>
          <w:sz w:val="28"/>
          <w:szCs w:val="28"/>
          <w:rtl w:val="true"/>
          <w:lang w:bidi="ar-SA"/>
        </w:rPr>
        <w:t xml:space="preserve">، طبرى با تصرّف ظالمانه و خيانت‌كارانه در حديث، به‌جاى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أخي و وصيّي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bookmarkStart w:id="558" w:name="pg1976_28229"/>
    </w:p>
    <w:p>
      <w:pPr>
        <w:pStyle w:val="BookText"/>
        <w:rPr/>
      </w:pPr>
      <w:bookmarkEnd w:id="558"/>
      <w:r>
        <w:rPr>
          <w:rFonts w:ascii="Amiri" w:hAnsi="Amiri" w:eastAsia="Amiri" w:cs="Amiri"/>
          <w:color w:val="111111"/>
          <w:sz w:val="28"/>
          <w:sz w:val="28"/>
          <w:szCs w:val="28"/>
          <w:rtl w:val="true"/>
          <w:lang w:bidi="ar-SA"/>
        </w:rPr>
        <w:t xml:space="preserve">تفسيرش </w:t>
      </w:r>
      <w:r>
        <w:rPr>
          <w:rStyle w:val="FootnoteAnchor"/>
          <w:rtl w:val="true"/>
        </w:rPr>
        <w:footnoteReference w:id="1558"/>
      </w:r>
      <w:r>
        <w:rPr>
          <w:rFonts w:ascii="IRNazanin" w:hAnsi="IRNazanin" w:eastAsia="IRNazanin"/>
          <w:color w:val="111111"/>
          <w:sz w:val="28"/>
          <w:sz w:val="28"/>
          <w:szCs w:val="28"/>
          <w:rtl w:val="true"/>
          <w:lang w:bidi="fa-IR"/>
        </w:rPr>
        <w:t xml:space="preserve">جمله نامفهوم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آلوسى طبق عادت هميشگى‌اش رواياتى را كه در شأن نزول آيه نقل شده و مورد استناد شيعه در امر خلافت قرار گرفته، مُؤوّل يا ضعيف يا جعلى مى‌داند </w:t>
      </w:r>
      <w:r>
        <w:rPr>
          <w:rStyle w:val="FootnoteAnchor"/>
          <w:rtl w:val="true"/>
        </w:rPr>
        <w:footnoteReference w:id="1559"/>
      </w:r>
      <w:r>
        <w:rPr>
          <w:rFonts w:ascii="Amiri" w:hAnsi="Amiri" w:eastAsia="Amiri" w:cs="Amiri"/>
          <w:color w:val="111111"/>
          <w:sz w:val="28"/>
          <w:sz w:val="28"/>
          <w:szCs w:val="28"/>
          <w:rtl w:val="true"/>
          <w:lang w:bidi="ar-SA"/>
        </w:rPr>
        <w:t>و حلبى نيز ذيل روايت را دروغ مى‌شمارد</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را با عبارت‌هاى متفاوت و بيش از دَه طريق گزارش مى‌كند و تصريح مى‌كند كه سه‌بار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فأيُّكم يُؤازِرُني على هذا الامرِ، على أن يكون أخي و وصيي و خليفتي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هرسه بار، جز على جواب مثبت نداد، بار سوم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أخي، و وصيّي و خليفتي فاسمَعُوا له و أطيعوا له </w:t>
      </w:r>
      <w:r>
        <w:rPr>
          <w:rFonts w:eastAsia="IRNazanin" w:cs="IRNazanin"/>
          <w:color w:val="111111"/>
          <w:sz w:val="28"/>
          <w:szCs w:val="28"/>
          <w:rtl w:val="true"/>
          <w:lang w:bidi="fa-IR"/>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9" w:name="__RefHeading___Toc3767251_3650668749"/>
      <w:bookmarkStart w:id="560" w:name="_Toc204"/>
      <w:bookmarkEnd w:id="559"/>
      <w:r>
        <w:rPr>
          <w:rtl w:val="true"/>
        </w:rPr>
        <w:t xml:space="preserve">دو </w:t>
      </w:r>
      <w:r>
        <w:rPr>
          <w:rtl w:val="true"/>
        </w:rPr>
        <w:t xml:space="preserve">- </w:t>
      </w:r>
      <w:r>
        <w:rPr>
          <w:rtl w:val="true"/>
        </w:rPr>
        <w:t xml:space="preserve">على </w:t>
      </w:r>
      <w:r>
        <w:rPr>
          <w:rtl w:val="true"/>
        </w:rPr>
        <w:t>(</w:t>
      </w:r>
      <w:r>
        <w:rPr>
          <w:rtl w:val="true"/>
        </w:rPr>
        <w:t>ع</w:t>
      </w:r>
      <w:r>
        <w:rPr>
          <w:rtl w:val="true"/>
        </w:rPr>
        <w:t xml:space="preserve">) </w:t>
      </w:r>
      <w:r>
        <w:rPr>
          <w:rtl w:val="true"/>
        </w:rPr>
        <w:t>ولى هرمؤمن</w:t>
      </w:r>
      <w:bookmarkEnd w:id="560"/>
    </w:p>
    <w:p>
      <w:pPr>
        <w:pStyle w:val="BookText"/>
        <w:rPr/>
      </w:pPr>
      <w:r>
        <w:rPr>
          <w:rFonts w:ascii="IRNazanin" w:hAnsi="IRNazanin" w:eastAsia="IRNazanin"/>
          <w:color w:val="111111"/>
          <w:sz w:val="28"/>
          <w:sz w:val="28"/>
          <w:szCs w:val="28"/>
          <w:rtl w:val="true"/>
          <w:lang w:bidi="fa-IR"/>
        </w:rPr>
        <w:t xml:space="preserve">در يكى از سَرِيه‌ها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فرمانده آن قرار داده بود، چهارنفر از اصحاب تصميم گرفتند هنگام بازگشت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نمايند، پس از مراجعت، هركدام آنها به‌نوبت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رسول‌الله ألم تَرَأنّ عَلِيّاً صَنَع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ناشنيده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چهارمين نفر آن را تكرار كرد، حضرت رو به آنها كرد درحالى‌كه خشم در چهره‌اش نمايان بود،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إنّ عَلِيّاً منّي و أنَا مِنهُ و وَلِيُّ كُلِّ مؤمنٍ </w:t>
      </w:r>
      <w:r>
        <w:rPr>
          <w:rFonts w:eastAsia="Amiri" w:cs="Amiri" w:ascii="Amiri" w:hAnsi="Amiri"/>
          <w:color w:val="111111"/>
          <w:sz w:val="28"/>
          <w:szCs w:val="28"/>
          <w:rtl w:val="true"/>
          <w:lang w:bidi="ar-SA"/>
        </w:rPr>
        <w:t xml:space="preserve">» </w:t>
      </w:r>
      <w:r>
        <w:rPr>
          <w:rStyle w:val="FootnoteAnchor"/>
          <w:rtl w:val="true"/>
        </w:rPr>
        <w:footnoteReference w:id="1562"/>
      </w:r>
      <w:r>
        <w:rPr>
          <w:rFonts w:ascii="IRNazanin" w:hAnsi="IRNazanin" w:eastAsia="IRNazanin"/>
          <w:color w:val="111111"/>
          <w:sz w:val="28"/>
          <w:sz w:val="28"/>
          <w:szCs w:val="28"/>
          <w:rtl w:val="true"/>
          <w:lang w:bidi="fa-IR"/>
        </w:rPr>
        <w:t xml:space="preserve">در چندين مورد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61" w:name="pg1976_28231"/>
    </w:p>
    <w:p>
      <w:pPr>
        <w:pStyle w:val="BookText"/>
        <w:rPr/>
      </w:pPr>
      <w:bookmarkEnd w:id="561"/>
      <w:r>
        <w:rPr>
          <w:rFonts w:ascii="IRNazanin" w:hAnsi="IRNazanin" w:eastAsia="IRNazanin"/>
          <w:color w:val="111111"/>
          <w:sz w:val="28"/>
          <w:sz w:val="28"/>
          <w:szCs w:val="28"/>
          <w:rtl w:val="true"/>
          <w:lang w:bidi="fa-IR"/>
        </w:rPr>
        <w:t xml:space="preserve">به عبارت‌هاى مختلف كه در اين جمله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وليُّكم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Style w:val="FootnoteAnchor"/>
          <w:rtl w:val="true"/>
        </w:rPr>
        <w:footnoteReference w:id="1563"/>
      </w:r>
    </w:p>
    <w:p>
      <w:pPr>
        <w:pStyle w:val="Heading6"/>
        <w:numPr>
          <w:ilvl w:val="5"/>
          <w:numId w:val="1"/>
        </w:numPr>
        <w:rPr/>
      </w:pPr>
      <w:bookmarkStart w:id="562" w:name="__RefHeading___Toc3767253_3650668749"/>
      <w:bookmarkStart w:id="563" w:name="_Toc205"/>
      <w:bookmarkEnd w:id="562"/>
      <w:r>
        <w:rPr>
          <w:rtl w:val="true"/>
        </w:rPr>
        <w:t xml:space="preserve">سه </w:t>
      </w:r>
      <w:r>
        <w:rPr>
          <w:rtl w:val="true"/>
        </w:rPr>
        <w:t xml:space="preserve">- </w:t>
      </w:r>
      <w:r>
        <w:rPr>
          <w:rtl w:val="true"/>
        </w:rPr>
        <w:t xml:space="preserve">اطاعت على </w:t>
      </w:r>
      <w:r>
        <w:rPr>
          <w:rtl w:val="true"/>
        </w:rPr>
        <w:t>(</w:t>
      </w:r>
      <w:r>
        <w:rPr>
          <w:rtl w:val="true"/>
        </w:rPr>
        <w:t>ع</w:t>
      </w:r>
      <w:r>
        <w:rPr>
          <w:rtl w:val="true"/>
        </w:rPr>
        <w:t xml:space="preserve">) </w:t>
      </w:r>
      <w:r>
        <w:rPr>
          <w:rtl w:val="true"/>
        </w:rPr>
        <w:t xml:space="preserve">، اطاعت رسول‌الله </w:t>
      </w:r>
      <w:r>
        <w:rPr>
          <w:rtl w:val="true"/>
        </w:rPr>
        <w:t>(</w:t>
      </w:r>
      <w:r>
        <w:rPr>
          <w:rtl w:val="true"/>
        </w:rPr>
        <w:t>ص</w:t>
      </w:r>
      <w:r>
        <w:rPr>
          <w:rtl w:val="true"/>
        </w:rPr>
        <w:t>)</w:t>
      </w:r>
      <w:bookmarkEnd w:id="563"/>
    </w:p>
    <w:p>
      <w:pPr>
        <w:pStyle w:val="BookText"/>
        <w:rPr/>
      </w:pPr>
      <w:r>
        <w:rPr>
          <w:rFonts w:ascii="Amiri" w:hAnsi="Amiri" w:eastAsia="Amiri" w:cs="Amiri"/>
          <w:color w:val="111111"/>
          <w:sz w:val="28"/>
          <w:sz w:val="28"/>
          <w:szCs w:val="28"/>
          <w:rtl w:val="true"/>
          <w:lang w:bidi="ar-SA"/>
        </w:rPr>
        <w:t xml:space="preserve">عن ابي‌ذر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لعلّي‌بن‌أبي‌طالب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مَن‌أطاعَنِي فقد أطَاع َالله ومَن عَصاني فقد عصَى‌الله، ومَن أطاعَكَ فقد أطاعني و مَن عصاكَ فقدعصاني </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4" w:name="__RefHeading___Toc3767255_3650668749"/>
      <w:bookmarkStart w:id="565" w:name="_Toc206"/>
      <w:bookmarkEnd w:id="564"/>
      <w:r>
        <w:rPr>
          <w:rtl w:val="true"/>
        </w:rPr>
        <w:t xml:space="preserve">چهار </w:t>
      </w:r>
      <w:r>
        <w:rPr>
          <w:rtl w:val="true"/>
        </w:rPr>
        <w:t xml:space="preserve">- </w:t>
      </w:r>
      <w:r>
        <w:rPr>
          <w:rtl w:val="true"/>
        </w:rPr>
        <w:t>سفارش آسمانى ويژه</w:t>
      </w:r>
      <w:bookmarkEnd w:id="5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 اسعدبن زراره از پدرش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أوحَى إليَّ في عَلِيٍّ ثلاث أنّه سيّدُ المسلمين وإمامُ المتّقين و قائدُ الغُرّالمحجّلين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سيوطى،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اضافه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مناوى در شرح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مى‌كند و مى‌گويد ابتدا به‌اميرالنَّحل يعسوب گفته مى‌شد بعدها بر اثر كثرت استعمال هر رئيس را يعسوب نام مى‌نهادند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976_28233"/>
    </w:p>
    <w:p>
      <w:pPr>
        <w:pStyle w:val="Heading6"/>
        <w:numPr>
          <w:ilvl w:val="5"/>
          <w:numId w:val="1"/>
        </w:numPr>
        <w:rPr/>
      </w:pPr>
      <w:bookmarkStart w:id="567" w:name="__RefHeading___Toc3767257_3650668749"/>
      <w:bookmarkStart w:id="568" w:name="_Toc207"/>
      <w:bookmarkEnd w:id="566"/>
      <w:bookmarkEnd w:id="567"/>
      <w:r>
        <w:rPr>
          <w:rtl w:val="true"/>
        </w:rPr>
        <w:t xml:space="preserve">پنج </w:t>
      </w:r>
      <w:r>
        <w:rPr>
          <w:rtl w:val="true"/>
        </w:rPr>
        <w:t xml:space="preserve">- </w:t>
      </w:r>
      <w:r>
        <w:rPr>
          <w:rtl w:val="true"/>
        </w:rPr>
        <w:t xml:space="preserve">على </w:t>
      </w:r>
      <w:r>
        <w:rPr>
          <w:rtl w:val="true"/>
        </w:rPr>
        <w:t>(</w:t>
      </w:r>
      <w:r>
        <w:rPr>
          <w:rtl w:val="true"/>
        </w:rPr>
        <w:t>ع</w:t>
      </w:r>
      <w:r>
        <w:rPr>
          <w:rtl w:val="true"/>
        </w:rPr>
        <w:t xml:space="preserve">) </w:t>
      </w:r>
      <w:r>
        <w:rPr>
          <w:rtl w:val="true"/>
        </w:rPr>
        <w:t>، سيد عرب</w:t>
      </w:r>
      <w:bookmarkEnd w:id="568"/>
    </w:p>
    <w:p>
      <w:pPr>
        <w:pStyle w:val="BookText"/>
        <w:rPr/>
      </w:pPr>
      <w:r>
        <w:rPr>
          <w:rFonts w:ascii="Amiri" w:hAnsi="Amiri" w:eastAsia="Amiri" w:cs="Amiri"/>
          <w:color w:val="111111"/>
          <w:sz w:val="28"/>
          <w:sz w:val="28"/>
          <w:szCs w:val="28"/>
          <w:rtl w:val="true"/>
          <w:lang w:bidi="ar-SA"/>
        </w:rPr>
        <w:t xml:space="preserve">به طريق‌هاى صحيح، از عايشه نقل شده كه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وُلدِ آدم و عَلِيٌّ سيّدُ العرب </w:t>
      </w:r>
      <w:r>
        <w:rPr>
          <w:rFonts w:eastAsia="Amiri" w:cs="Amiri" w:ascii="Amiri" w:hAnsi="Amiri"/>
          <w:color w:val="111111"/>
          <w:sz w:val="28"/>
          <w:szCs w:val="28"/>
          <w:rtl w:val="true"/>
          <w:lang w:bidi="ar-SA"/>
        </w:rPr>
        <w:t xml:space="preserve">» </w:t>
      </w:r>
      <w:r>
        <w:rPr>
          <w:rStyle w:val="FootnoteAnchor"/>
          <w:rtl w:val="true"/>
        </w:rPr>
        <w:footnoteReference w:id="1565"/>
      </w:r>
      <w:r>
        <w:rPr>
          <w:rFonts w:ascii="IRNazanin" w:hAnsi="IRNazanin" w:eastAsia="IRNazanin"/>
          <w:color w:val="111111"/>
          <w:sz w:val="28"/>
          <w:sz w:val="28"/>
          <w:szCs w:val="28"/>
          <w:rtl w:val="true"/>
          <w:lang w:bidi="fa-IR"/>
        </w:rPr>
        <w:t>، در گزارش ديگر از ابن‌عبّاس آمده كه رسول‌الله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أنتَ سَيّدٌ في الدُّنيا، سَيّدٌ في الآخرةِ، حَبِيبُكَ حَبِيبي، وحبيبي حبيب‌الله، و عَدُوّك عَدُوّي وعَدوّي عَدوّالله، والوَيلُ لمن أبغضك بَعدي </w:t>
      </w:r>
      <w:r>
        <w:rPr>
          <w:rFonts w:eastAsia="IRNazanin" w:cs="IRNazanin"/>
          <w:color w:val="111111"/>
          <w:sz w:val="28"/>
          <w:szCs w:val="28"/>
          <w:rtl w:val="true"/>
          <w:lang w:bidi="fa-IR"/>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9" w:name="__RefHeading___Toc3767259_3650668749"/>
      <w:bookmarkStart w:id="570" w:name="_Toc208"/>
      <w:bookmarkEnd w:id="569"/>
      <w:r>
        <w:rPr>
          <w:rtl w:val="true"/>
        </w:rPr>
        <w:t xml:space="preserve">شش </w:t>
      </w:r>
      <w:r>
        <w:rPr>
          <w:rtl w:val="true"/>
        </w:rPr>
        <w:t xml:space="preserve">- </w:t>
      </w:r>
      <w:r>
        <w:rPr>
          <w:rtl w:val="true"/>
        </w:rPr>
        <w:t xml:space="preserve">على </w:t>
      </w:r>
      <w:r>
        <w:rPr>
          <w:rtl w:val="true"/>
        </w:rPr>
        <w:t>(</w:t>
      </w:r>
      <w:r>
        <w:rPr>
          <w:rtl w:val="true"/>
        </w:rPr>
        <w:t>ع</w:t>
      </w:r>
      <w:r>
        <w:rPr>
          <w:rtl w:val="true"/>
        </w:rPr>
        <w:t xml:space="preserve">) </w:t>
      </w:r>
      <w:r>
        <w:rPr>
          <w:rtl w:val="true"/>
        </w:rPr>
        <w:t>، روشنگر موارد اختلاف ميان امت</w:t>
      </w:r>
      <w:bookmarkEnd w:id="570"/>
    </w:p>
    <w:p>
      <w:pPr>
        <w:pStyle w:val="BookText"/>
        <w:rPr/>
      </w:pPr>
      <w:r>
        <w:rPr>
          <w:rFonts w:ascii="IRNazanin" w:hAnsi="IRNazanin" w:eastAsia="IRNazanin"/>
          <w:color w:val="111111"/>
          <w:sz w:val="28"/>
          <w:sz w:val="28"/>
          <w:szCs w:val="28"/>
          <w:rtl w:val="true"/>
          <w:lang w:bidi="fa-IR"/>
        </w:rPr>
        <w:t xml:space="preserve">مالك‌بن‌انس مى‌گويد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تبيّن لِأُمّتي مَا اختلفوا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1" w:name="__RefHeading___Toc3767261_3650668749"/>
      <w:bookmarkStart w:id="572" w:name="_Toc209"/>
      <w:bookmarkEnd w:id="571"/>
      <w:r>
        <w:rPr>
          <w:rtl w:val="true"/>
        </w:rPr>
        <w:t xml:space="preserve">هفت </w:t>
      </w:r>
      <w:r>
        <w:rPr>
          <w:rtl w:val="true"/>
        </w:rPr>
        <w:t xml:space="preserve">- </w:t>
      </w:r>
      <w:r>
        <w:rPr>
          <w:rtl w:val="true"/>
        </w:rPr>
        <w:t xml:space="preserve">على </w:t>
      </w:r>
      <w:r>
        <w:rPr>
          <w:rtl w:val="true"/>
        </w:rPr>
        <w:t>(</w:t>
      </w:r>
      <w:r>
        <w:rPr>
          <w:rtl w:val="true"/>
        </w:rPr>
        <w:t>ع</w:t>
      </w:r>
      <w:r>
        <w:rPr>
          <w:rtl w:val="true"/>
        </w:rPr>
        <w:t xml:space="preserve">) </w:t>
      </w:r>
      <w:r>
        <w:rPr>
          <w:rtl w:val="true"/>
        </w:rPr>
        <w:t xml:space="preserve">، هارون رسول‌الله </w:t>
      </w:r>
      <w:r>
        <w:rPr>
          <w:rtl w:val="true"/>
        </w:rPr>
        <w:t>(</w:t>
      </w:r>
      <w:r>
        <w:rPr>
          <w:rtl w:val="true"/>
        </w:rPr>
        <w:t>ص</w:t>
      </w:r>
      <w:r>
        <w:rPr>
          <w:rtl w:val="true"/>
        </w:rPr>
        <w:t>)</w:t>
      </w:r>
      <w:bookmarkEnd w:id="57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ابراهيم‌بن‌سعد از پدرش و او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ترضى أن تَكون منّي بمنزلة هارون من موسى </w:t>
      </w:r>
      <w:r>
        <w:rPr>
          <w:rFonts w:eastAsia="IRNazanin" w:cs="IRNazanin"/>
          <w:color w:val="111111"/>
          <w:sz w:val="28"/>
          <w:szCs w:val="28"/>
          <w:rtl w:val="true"/>
          <w:lang w:bidi="fa-IR"/>
        </w:rPr>
        <w:t xml:space="preserve">» </w:t>
      </w:r>
      <w:r>
        <w:rPr>
          <w:rStyle w:val="FootnoteAnchor"/>
          <w:rtl w:val="true"/>
        </w:rPr>
        <w:footnoteReference w:id="1568"/>
      </w:r>
      <w:r>
        <w:rPr>
          <w:rFonts w:ascii="Amiri" w:hAnsi="Amiri" w:eastAsia="Amiri" w:cs="Amiri"/>
          <w:color w:val="111111"/>
          <w:sz w:val="28"/>
          <w:sz w:val="28"/>
          <w:szCs w:val="28"/>
          <w:rtl w:val="true"/>
          <w:lang w:bidi="ar-SA"/>
        </w:rPr>
        <w:t xml:space="preserve">، ابن‌عساكر اين حديث را حداقل با يك‌صد سند به‌يك عبارت نقل مى‌كند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 xml:space="preserve">. </w:t>
      </w:r>
      <w:bookmarkStart w:id="573" w:name="pg1976_28235"/>
    </w:p>
    <w:p>
      <w:pPr>
        <w:pStyle w:val="Heading6"/>
        <w:numPr>
          <w:ilvl w:val="5"/>
          <w:numId w:val="1"/>
        </w:numPr>
        <w:rPr/>
      </w:pPr>
      <w:bookmarkStart w:id="574" w:name="__RefHeading___Toc3767263_3650668749"/>
      <w:bookmarkStart w:id="575" w:name="_Toc210"/>
      <w:bookmarkEnd w:id="573"/>
      <w:bookmarkEnd w:id="574"/>
      <w:r>
        <w:rPr>
          <w:rtl w:val="true"/>
        </w:rPr>
        <w:t xml:space="preserve">هشت </w:t>
      </w:r>
      <w:r>
        <w:rPr>
          <w:rtl w:val="true"/>
        </w:rPr>
        <w:t xml:space="preserve">- </w:t>
      </w:r>
      <w:r>
        <w:rPr>
          <w:rtl w:val="true"/>
        </w:rPr>
        <w:t>دو امانت گرانسنگ و جداناپذير</w:t>
      </w:r>
      <w:bookmarkEnd w:id="575"/>
    </w:p>
    <w:p>
      <w:pPr>
        <w:pStyle w:val="BookText"/>
        <w:rPr/>
      </w:pPr>
      <w:r>
        <w:rPr>
          <w:rFonts w:ascii="IRNazanin" w:hAnsi="IRNazanin" w:eastAsia="IRNazanin"/>
          <w:color w:val="111111"/>
          <w:sz w:val="28"/>
          <w:sz w:val="28"/>
          <w:szCs w:val="28"/>
          <w:rtl w:val="true"/>
          <w:lang w:bidi="fa-IR"/>
        </w:rPr>
        <w:t xml:space="preserve">در ميان انبوه روايات در اين خصوص، 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ستاره‌اى درخشان،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عذر امت اسلامى را تمام و مسير حركت فرهنگى وسياسى امت را معين كرد، و با احساس اينكه عمرش به پايان رسيده از دو امانت گران‌بها و جداناپذير سخن گفت و نسبت به‌آن دو تأكيد جدى و هشدار مضاعف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شريف در منابع مختلف با عبارت‌هاى گوناگون بازتاب يافته ولى از جهت محتوى يك‌چيز را اثبات مى‌كند و آن اينكه قرآن متن دين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مجرى احكام دين‌اند؛ به‌عنوان نمونه به‌برخى از متن‌ها اشاره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سه‌طريق از زيدبن‌ثابت نقل مى‌كند كه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تَرَكتُ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كتابَ‌الله وأهلَ‌بَيتي، وأنّهُمَا 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يك مورد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دو حديث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نيشابورى از زيدبن‌ارقم گزارش مى‌كند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ميان مكه و مدينه مردم را زير چند درخت عظيم فراخواند پس از نماز جماعت خطبۀ خواند و بعد از حمد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أمرَين لن‌تضلّوا إن إتبّعتموهما وهماكتاب‌الله وأهل بيتي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أنّي أولى بالمؤمنين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نقلى ديگر تصريح مى‌كند كه رسول‌الله در حجةالوداع در غديرخُمّ مردم را به‌اجتماع فراخواند و درجمع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دُعيتُ فأجبتُ إنّي تاركٌ فيكم الثَّقلين</w:t>
      </w:r>
      <w:r>
        <w:rPr>
          <w:rFonts w:eastAsia="IRNazanin" w:cs="IRNazanin"/>
          <w:color w:val="111111"/>
          <w:sz w:val="28"/>
          <w:szCs w:val="28"/>
          <w:rtl w:val="true"/>
          <w:lang w:bidi="fa-IR"/>
        </w:rPr>
        <w:t xml:space="preserve">. . .»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را به‌اين عبارت از زيدبن‌ارقم بازگو مى‌كند كه </w:t>
      </w:r>
      <w:bookmarkStart w:id="576" w:name="pg1976_28237"/>
    </w:p>
    <w:p>
      <w:pPr>
        <w:pStyle w:val="BookText"/>
        <w:rPr/>
      </w:pPr>
      <w:bookmarkEnd w:id="576"/>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حمدخدا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أيُّها النَّاسُ، فأنا بَشَرٌ يُوشِكُ أن يأتي رسولُ رَبّي فأُحبيب، وأنا تاركٌ فيكم ثقلين، أوّلهما كتاب الله، فيه الهدى و النّور، فَخُذُوا بكتابِ الله، واستَمسِكُوا به، فَحَثّ على كتابِ الله و 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أُذكرّكم‌الله في أهلِ‌بيتي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سه‌بار</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حديث را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اينكه آن را صحيح مى‌شمارد به‌اضافه اين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استَمسَكَ به‌وأخَذَ به‌كانَ عَلَى‌الهُدَى، ومن أخطَأهُ ضَلَّ، فخُذُوا بكتَابِ الله تعالى، واستَمسِكُوا بِهِ، وأهلُ‌بيتي أذكّركُمُ اللهُ في أهلِ‌بيتي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از زيدبن ارقم </w:t>
      </w:r>
      <w:r>
        <w:rPr>
          <w:rStyle w:val="FootnoteAnchor"/>
          <w:rtl w:val="true"/>
        </w:rPr>
        <w:footnoteReference w:id="1573"/>
      </w:r>
      <w:r>
        <w:rPr>
          <w:rFonts w:ascii="IRNazanin" w:hAnsi="IRNazanin" w:eastAsia="IRNazanin"/>
          <w:color w:val="111111"/>
          <w:sz w:val="28"/>
          <w:sz w:val="28"/>
          <w:szCs w:val="28"/>
          <w:rtl w:val="true"/>
          <w:lang w:bidi="fa-IR"/>
        </w:rPr>
        <w:t xml:space="preserve">و در جاى ديگر از زيدبن‌ثابت نقل مى‌كند </w:t>
      </w:r>
      <w:r>
        <w:rPr>
          <w:rStyle w:val="FootnoteAnchor"/>
          <w:rtl w:val="true"/>
        </w:rPr>
        <w:footnoteReference w:id="1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متقى‌هندى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به‌سندهاى متعدد و عباراتى گاه، متفاوت گزارش مى‌كند </w:t>
      </w:r>
      <w:r>
        <w:rPr>
          <w:rStyle w:val="FootnoteAnchor"/>
          <w:rtl w:val="true"/>
        </w:rPr>
        <w:footnoteReference w:id="1575"/>
      </w:r>
      <w:r>
        <w:rPr>
          <w:rFonts w:ascii="Amiri" w:hAnsi="Amiri" w:eastAsia="Amiri" w:cs="Amiri"/>
          <w:color w:val="111111"/>
          <w:sz w:val="28"/>
          <w:sz w:val="28"/>
          <w:szCs w:val="28"/>
          <w:rtl w:val="true"/>
          <w:lang w:bidi="ar-SA"/>
        </w:rPr>
        <w:t>وى در بعضى از نقل‌ها اين عبارت 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 لهما ذلك رَبّي ولا تقدّموهما فتهلكوا ولاتعلّموهما فإنّهُما أعلم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نيز مى‌آورد</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Heading6"/>
        <w:numPr>
          <w:ilvl w:val="5"/>
          <w:numId w:val="1"/>
        </w:numPr>
        <w:rPr/>
      </w:pPr>
      <w:bookmarkStart w:id="577" w:name="__RefHeading___Toc3767265_3650668749"/>
      <w:bookmarkStart w:id="578" w:name="_Toc211"/>
      <w:bookmarkEnd w:id="577"/>
      <w:r>
        <w:rPr>
          <w:rtl w:val="true"/>
        </w:rPr>
        <w:t xml:space="preserve">نُه </w:t>
      </w:r>
      <w:r>
        <w:rPr>
          <w:rtl w:val="true"/>
        </w:rPr>
        <w:t xml:space="preserve">- </w:t>
      </w:r>
      <w:r>
        <w:rPr>
          <w:rtl w:val="true"/>
        </w:rPr>
        <w:t>حديث غدير، ماندگارترين</w:t>
      </w:r>
      <w:bookmarkEnd w:id="57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هيچ حديثى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حديث غديرخُمّ درباره امامت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اهل‌سنت نقل نمى‌شد؛ ترديدى در امامت آن حضرت باقى نمى‌گذاشت؛ حديثى كه در شهرت و اتقان و صراحت در محتوا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بى‌نظير و از شاهكارهاى تاريخ اسلام است؛ روايتى كه تنها بررسى مدارك و اسناد و موضوعات </w:t>
      </w:r>
    </w:p>
    <w:p>
      <w:pPr>
        <w:pStyle w:val="BookText"/>
        <w:rPr/>
      </w:pPr>
      <w:r>
        <w:rPr>
          <w:rFonts w:ascii="IRNazanin" w:hAnsi="IRNazanin" w:eastAsia="IRNazanin"/>
          <w:color w:val="111111"/>
          <w:sz w:val="28"/>
          <w:sz w:val="28"/>
          <w:szCs w:val="28"/>
          <w:rtl w:val="true"/>
          <w:lang w:bidi="fa-IR"/>
        </w:rPr>
        <w:t xml:space="preserve">پيرامون آن، بيش از پنج‌هزار و پانصد صفحه كتاب در قالب يازده‌مجلد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 xml:space="preserve">را به‌خود اختصاص داده است، و مؤلف آن با پژوهش وسيع خويش ضمن يادآورى آيات قرآن كريم، راويان اين حديث را از قرن نخست تا چهاردهم به‌طور مستقل و با ذكر تمام ويژگى‌هايشان از منابع اهل‌سنت استخراج نموده است كه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صحابى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تابعى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ائمّه اخبار، از اين حديث شريف گزارش نموده‌اند، چه اينكه با اشاره به‌اسامى و نمونه‌هايى از سروده‌هاى شعراى قرن‌هاى يك تا چهاردهم و كتاب‌هايى كه در اين خصوص تدوين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غديريه‌ها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غدير بحث به‌ميان آورده و بررسى ديدگاه‌هاى موافق و مخالف، همت بلند و خدمت شايسته‌اى از خود به‌نمايش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وجود كتاب‌الغدير، بحث از غدير و حديث آن، اضافى خواهد بود، ولى براى اينكه هيچ ترديدى براى اهل انصاف و تحقيق باقى نماند، حديث غدير را از برخى منابع اهل‌سنت نقل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روايت را مفصل‌ترمى‌آورد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عن‌عدي‌بن‌ثابت، عن‌البراء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بغديرخم،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الجامعة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كَسَحَ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شجرة فصلّى الظهر فأخذ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ابن‌أبي‌طالب، أصبحتَ و أمسيتَ مولى كُلّ مُؤمن و 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همين</w:t>
      </w:r>
    </w:p>
    <w:p>
      <w:pPr>
        <w:pStyle w:val="BookText"/>
        <w:rPr/>
      </w:pPr>
      <w:r>
        <w:rPr>
          <w:rFonts w:ascii="IRNazanin" w:hAnsi="IRNazanin" w:eastAsia="IRNazanin"/>
          <w:color w:val="111111"/>
          <w:sz w:val="28"/>
          <w:sz w:val="28"/>
          <w:szCs w:val="28"/>
          <w:rtl w:val="true"/>
          <w:lang w:bidi="fa-IR"/>
        </w:rPr>
        <w:t xml:space="preserve">تعبير از سعدبن أبى‌وقاص نسبت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ده‌نفربَدرى؛ ابى‌يعلى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به‌سند خود از عبدالرحمان أبى‌ليلى نقل مى‌كند كه من شاهد بودم على، مردم را سوگند مى‌داد كه آنچه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شنيده بازگو كنند، دوازده‌نفر از اصحاب بدر به‌پا خاستند وگفتند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نَشهَدُ أنّا سمعنا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فعَلِيّ مولاهُ، أللّهم والِ مَن والاه وعاد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ابن حجرالهيتمى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من‌كنتُ مولاه فعَلِيٌّ‌مولاه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روايت و چندين نقل ديگر كه اسناد آنها را مورد اطمينان مى‌داند، گزارش مى‌كند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كه گروهى از صحابه نقل كرده‌اند و درنهايت صحيح مى‌داند، و آن را در جمع سلسله احاديث صحيح مى‌آورد </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را كه زيدبن‌أرقم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نفر از اصحاب به‌لفظ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من‌والاهُ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نقل نموده‌اند، متواتر يا مشهور مى‌شمارد</w:t>
      </w:r>
      <w:r>
        <w:rPr>
          <w:rFonts w:eastAsia="Amiri" w:cs="Amiri" w:ascii="Amiri" w:hAnsi="Amiri"/>
          <w:color w:val="111111"/>
          <w:sz w:val="28"/>
          <w:szCs w:val="28"/>
          <w:rtl w:val="true"/>
          <w:lang w:bidi="ar-SA"/>
        </w:rPr>
        <w:t xml:space="preserve">. </w:t>
      </w:r>
      <w:r>
        <w:rPr>
          <w:rStyle w:val="FootnoteAnchor"/>
          <w:rtl w:val="true"/>
        </w:rPr>
        <w:footnoteReference w:id="1580"/>
      </w:r>
      <w:r>
        <w:rPr>
          <w:rFonts w:ascii="IRNazanin" w:hAnsi="IRNazanin" w:eastAsia="IRNazanin"/>
          <w:color w:val="111111"/>
          <w:sz w:val="28"/>
          <w:sz w:val="28"/>
          <w:szCs w:val="28"/>
          <w:rtl w:val="true"/>
          <w:lang w:bidi="fa-IR"/>
        </w:rPr>
        <w:t xml:space="preserve">دانشمند ديگر نيز با نقد ابن‌تيميه كه چگونه به خود جرئت داده، حديث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كرده، آن را متواتر مى‌داند</w:t>
      </w:r>
      <w:r>
        <w:rPr>
          <w:rFonts w:eastAsia="IRNazanin" w:cs="IRNazanin"/>
          <w:color w:val="111111"/>
          <w:sz w:val="28"/>
          <w:szCs w:val="28"/>
          <w:rtl w:val="true"/>
          <w:lang w:bidi="fa-IR"/>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مى‌كند به‌تواترحديث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حَسَنٌ عالٍ جِدّا، ومَتنه متواتر </w:t>
      </w:r>
      <w:r>
        <w:rPr>
          <w:rFonts w:eastAsia="Amiri" w:cs="Amiri" w:ascii="Amiri" w:hAnsi="Amiri"/>
          <w:color w:val="111111"/>
          <w:sz w:val="28"/>
          <w:szCs w:val="28"/>
          <w:rtl w:val="true"/>
          <w:lang w:bidi="ar-SA"/>
        </w:rPr>
        <w:t xml:space="preserve">» </w:t>
      </w:r>
      <w:r>
        <w:rPr>
          <w:rStyle w:val="FootnoteAnchor"/>
          <w:rtl w:val="true"/>
        </w:rPr>
        <w:footnoteReference w:id="1582"/>
      </w:r>
      <w:r>
        <w:rPr>
          <w:rFonts w:ascii="IRNazanin" w:hAnsi="IRNazanin" w:eastAsia="IRNazanin"/>
          <w:color w:val="111111"/>
          <w:sz w:val="28"/>
          <w:sz w:val="28"/>
          <w:szCs w:val="28"/>
          <w:rtl w:val="true"/>
          <w:lang w:bidi="fa-IR"/>
        </w:rPr>
        <w:t xml:space="preserve">ابن‌عساكر حديث غدير را با قريب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از جمله انشاد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 ده‌نفر از حاضران در غدير را مبنى بر اينكه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أتعلمون أنّي أولى 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علي مولاه</w:t>
      </w:r>
      <w:r>
        <w:rPr>
          <w:rFonts w:eastAsia="IRNazanin" w:cs="IRNazanin"/>
          <w:color w:val="111111"/>
          <w:sz w:val="28"/>
          <w:szCs w:val="28"/>
          <w:rtl w:val="true"/>
          <w:lang w:bidi="fa-IR"/>
        </w:rPr>
        <w:t xml:space="preserve">. . . » </w:t>
      </w:r>
      <w:r>
        <w:rPr>
          <w:rStyle w:val="FootnoteAnchor"/>
          <w:rtl w:val="true"/>
        </w:rPr>
        <w:footnoteReference w:id="1583"/>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طلحه پرسيد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را شنيدى؟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تُقاتلُني؟ </w:t>
      </w:r>
      <w:r>
        <w:rPr>
          <w:rFonts w:eastAsia="IRNazanin" w:cs="IRNazanin"/>
          <w:color w:val="111111"/>
          <w:sz w:val="28"/>
          <w:szCs w:val="28"/>
          <w:rtl w:val="true"/>
          <w:lang w:bidi="fa-IR"/>
        </w:rPr>
        <w:t xml:space="preserve">! » </w:t>
      </w:r>
      <w:r>
        <w:rPr>
          <w:rStyle w:val="FootnoteAnchor"/>
          <w:rtl w:val="true"/>
        </w:rPr>
        <w:footnoteReference w:id="1584"/>
      </w:r>
      <w:r>
        <w:rPr>
          <w:rFonts w:ascii="IRNazanin" w:hAnsi="IRNazanin" w:eastAsia="IRNazanin"/>
          <w:color w:val="111111"/>
          <w:sz w:val="28"/>
          <w:sz w:val="28"/>
          <w:szCs w:val="28"/>
          <w:rtl w:val="true"/>
          <w:lang w:bidi="fa-IR"/>
        </w:rPr>
        <w:t xml:space="preserve">از جنگ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شد </w:t>
      </w:r>
      <w:r>
        <w:rPr>
          <w:rStyle w:val="FootnoteAnchor"/>
          <w:rtl w:val="true"/>
        </w:rPr>
        <w:footnoteReference w:id="1585"/>
      </w:r>
      <w:r>
        <w:rPr>
          <w:rFonts w:ascii="IRNazanin" w:hAnsi="IRNazanin" w:eastAsia="IRNazanin"/>
          <w:color w:val="111111"/>
          <w:sz w:val="28"/>
          <w:sz w:val="28"/>
          <w:szCs w:val="28"/>
          <w:rtl w:val="true"/>
          <w:lang w:bidi="fa-IR"/>
        </w:rPr>
        <w:t xml:space="preserve">، على بن‌الحسين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مورد حديث غدير انشاد كرد و اعتراف گرفت</w:t>
      </w:r>
      <w:r>
        <w:rPr>
          <w:rFonts w:eastAsia="IRNazanin" w:cs="IRNazanin"/>
          <w:color w:val="111111"/>
          <w:sz w:val="28"/>
          <w:szCs w:val="28"/>
          <w:rtl w:val="true"/>
          <w:lang w:bidi="fa-IR"/>
        </w:rPr>
        <w:t xml:space="preserve">. </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 xml:space="preserve">جالب اينكه در برخى از گزارش‌ها آمده كه پس از خطبه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جانشين پس از خودش، عمربن‌الخطاب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لكَ يابن‌أبي‌طالب، أصبحتَ مولاي و مولى‌كُلّ مسلم </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 xml:space="preserve">سپس آيه شريفه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الْيَوْمَ أَكْمَلْتُ لَكُمْ دِينَكُمْ وَأَتْمَمْتُ عَلَيْكُمْ نِعْمَتِي وَرَضِيتُ لَكُمُ الاسْلامَ دِينًا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1588"/>
      </w:r>
      <w:r>
        <w:rPr>
          <w:rFonts w:ascii="IRNazanin" w:hAnsi="IRNazanin" w:eastAsia="IRNazanin"/>
          <w:color w:val="111111"/>
          <w:sz w:val="28"/>
          <w:sz w:val="28"/>
          <w:szCs w:val="28"/>
          <w:rtl w:val="true"/>
          <w:lang w:bidi="fa-IR"/>
        </w:rPr>
        <w:t>چه اينكه شأن نزول آيه يَا أَيُّهَا الرَّسُولُ بَلِّغْ مَا أُنْزِلَ إِلَيْكَ مِنْ رَبِّكَ وَإِنْ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غدير در مورد على بن ابى‌طالب مى‌داند</w:t>
      </w:r>
      <w:r>
        <w:rPr>
          <w:rFonts w:eastAsia="IRNazanin" w:cs="IRNazanin"/>
          <w:color w:val="111111"/>
          <w:sz w:val="28"/>
          <w:szCs w:val="28"/>
          <w:rtl w:val="true"/>
          <w:lang w:bidi="fa-IR"/>
        </w:rPr>
        <w:t xml:space="preserve">. </w:t>
      </w:r>
      <w:r>
        <w:rPr>
          <w:rStyle w:val="FootnoteAnchor"/>
          <w:rtl w:val="true"/>
        </w:rPr>
        <w:footnoteReference w:id="158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ابن‌جوزى و او توسط برخى عدول اهل‌بغداد، از اسفنديار بن 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شيعه متواضع، عابد، و كثيرالتلاوه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 مى‌كند كه وقتى </w:t>
      </w:r>
    </w:p>
    <w:p>
      <w:pPr>
        <w:pStyle w:val="BookText"/>
        <w:rPr/>
      </w:pPr>
      <w:r>
        <w:rPr>
          <w:rFonts w:ascii="IRNazanin" w:hAnsi="IRNazanin" w:eastAsia="IRNazanin"/>
          <w:color w:val="111111"/>
          <w:sz w:val="28"/>
          <w:sz w:val="28"/>
          <w:szCs w:val="28"/>
          <w:rtl w:val="true"/>
          <w:lang w:bidi="fa-IR"/>
        </w:rPr>
        <w:t xml:space="preserve">ابوبكر و عمر فرمايش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مَن‌كنت‌مولاهُ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را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 وجهُ أبي‌بكروعمر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آيه فَلَمَّا رَأَوْهُ زُلْفَةً سِيئَتْ وُجُوهُ الَّذِينَ كَفَرُو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با اينكه اسفنديار را متواضع و عابد، و كثيرالتّلاوه معرفى مى‌كند، ولى در اين مورد چون از واقعيت سخن به‌ميان آورده،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غلوٌّمنه في‌شيعته </w:t>
      </w:r>
      <w:r>
        <w:rPr>
          <w:rFonts w:eastAsia="IRNazanin" w:cs="IRNazanin"/>
          <w:color w:val="111111"/>
          <w:sz w:val="28"/>
          <w:szCs w:val="28"/>
          <w:rtl w:val="true"/>
          <w:lang w:bidi="fa-IR"/>
        </w:rPr>
        <w:t xml:space="preserve">» </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مناوى به‌نقل از ابن حجر طرق حديث غدير را جدّاً فراوان مى‌داند و ابن‌عقده در كتاب مستقل، اسناد حديث غدير را صحيح و حسن دانسته است </w:t>
      </w:r>
      <w:r>
        <w:rPr>
          <w:rStyle w:val="FootnoteAnchor"/>
          <w:rtl w:val="true"/>
        </w:rPr>
        <w:footnoteReference w:id="1591"/>
      </w:r>
      <w:r>
        <w:rPr>
          <w:rFonts w:ascii="IRNazanin" w:hAnsi="IRNazanin" w:eastAsia="IRNazanin"/>
          <w:color w:val="111111"/>
          <w:sz w:val="28"/>
          <w:sz w:val="28"/>
          <w:szCs w:val="28"/>
          <w:rtl w:val="true"/>
          <w:lang w:bidi="fa-IR"/>
        </w:rPr>
        <w:t xml:space="preserve">چه اينكه از تفسير ثعلبى از ابن‌عيينه نقل شده كه وقتى سخن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من‌كنت‌مولاه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اطراف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 حرث‌بن‌نعمان آن را شنيد، نزد پيامبرآمد وگفت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أمَرتَنا عَنِ‌اللهِ بالشّهادَتَين فقَبِلِنا، وبالصّلاة والزّكاة و الصّيام و الحجّ، فقَبلنا؛ ثُمَّ لم ترضِ حتّى رفعتَ بضبعي إبن‌عمّك، تفضّله علينا، فهذا شيءٌ منك أم مِنَ‌اللهِ؟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لاإله إلّاهو إنّه مِن‌الله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 كان يقوله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فَأمطِر علينا حجارة من‌السَّماء، أوائتِنا بعذاب أليم، فمَا وَصَلَ لراحلته حتّى رماهُ اللهُ بحجرٍ فسقط على‌هامّته فخرج من دُبُره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سَائِلٌ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592"/>
      </w:r>
      <w:r>
        <w:rPr>
          <w:rFonts w:ascii="IRNazanin" w:hAnsi="IRNazanin" w:eastAsia="IRNazanin"/>
          <w:color w:val="111111"/>
          <w:sz w:val="28"/>
          <w:sz w:val="28"/>
          <w:szCs w:val="28"/>
          <w:rtl w:val="true"/>
          <w:lang w:bidi="fa-IR"/>
        </w:rPr>
        <w:t>، نازل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اشاره شد، بخشى از رواياتى است كه در خصوص امامت و جايگاه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مختلف و معتبر اهل‌سنت ثبت شده است </w:t>
      </w:r>
      <w:r>
        <w:rPr>
          <w:rStyle w:val="FootnoteAnchor"/>
          <w:rtl w:val="true"/>
        </w:rPr>
        <w:footnoteReference w:id="1593"/>
      </w:r>
      <w:r>
        <w:rPr>
          <w:rFonts w:ascii="Amiri" w:hAnsi="Amiri" w:eastAsia="Amiri" w:cs="Amiri"/>
          <w:color w:val="111111"/>
          <w:sz w:val="28"/>
          <w:sz w:val="28"/>
          <w:szCs w:val="28"/>
          <w:rtl w:val="true"/>
          <w:lang w:bidi="ar-SA"/>
        </w:rPr>
        <w:t>، كه نتايج زير را دست مى‌دهد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اكثر بلكه همه روايات صحيح و مورد اطمينان است و اگر برخى از طرق از نگاه برخى دچار ضعف باشد، همان مضمون به‌طريق ديگر موثق 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حديث‌هاى ثقلين و غدير و منزلت، همان‌گونه كه ملاحظه نموديد متواتراند؛ بيومى يكى از نويسندگان معاصراهل‌سنت و استاد جامعه اسكندريه مصر، حديث غدير را در أعلا مرتبه صحت و قوت دانسته و آن را متواتر مى‌شمارد كه جمع كثيرى از اكابر صحابه 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 عمار و زيدبن‌ارقم كه وى</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 مى‌برد، آن را نقل كرده‌اند</w:t>
      </w:r>
      <w:r>
        <w:rPr>
          <w:rFonts w:eastAsia="IRNazanin" w:cs="IRNazanin"/>
          <w:color w:val="111111"/>
          <w:sz w:val="28"/>
          <w:szCs w:val="28"/>
          <w:rtl w:val="true"/>
          <w:lang w:bidi="fa-IR"/>
        </w:rPr>
        <w:t xml:space="preserve">. </w:t>
      </w:r>
      <w:r>
        <w:rPr>
          <w:rStyle w:val="FootnoteAnchor"/>
          <w:rtl w:val="true"/>
        </w:rPr>
        <w:footnoteReference w:id="159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روايات بدون هيچ‌ترديدى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قطع نظر از دلايل عقلى و قرآنى، به‌اثبات مى‌رساند، و برخى از پژوهشگران معاصر، تصريح مى‌كنند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أيضاً في أعلى مراتب الظّهور </w:t>
      </w:r>
      <w:r>
        <w:rPr>
          <w:rFonts w:eastAsia="IRNazanin" w:cs="IRNazanin"/>
          <w:color w:val="111111"/>
          <w:sz w:val="28"/>
          <w:szCs w:val="28"/>
          <w:rtl w:val="true"/>
          <w:lang w:bidi="fa-IR"/>
        </w:rPr>
        <w:t xml:space="preserve">» </w:t>
      </w:r>
      <w:r>
        <w:rPr>
          <w:rStyle w:val="FootnoteAnchor"/>
          <w:rtl w:val="true"/>
        </w:rPr>
        <w:footnoteReference w:id="1595"/>
      </w:r>
      <w:r>
        <w:rPr>
          <w:rFonts w:ascii="IRNazanin" w:hAnsi="IRNazanin" w:eastAsia="IRNazanin"/>
          <w:color w:val="111111"/>
          <w:sz w:val="28"/>
          <w:sz w:val="28"/>
          <w:szCs w:val="28"/>
          <w:rtl w:val="true"/>
          <w:lang w:bidi="fa-IR"/>
        </w:rPr>
        <w:t xml:space="preserve">پس با وجود اين همه روايت و اعتراف بزرگان اهل‌سنت اگر كسى در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نمايد، نمى‌توان آن را جز عناد و لجبازى دانست چه اينكه توجيه و تأويل واژگان احاديث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ازسوى برخى صورت گرفته </w:t>
      </w:r>
      <w:r>
        <w:rPr>
          <w:rStyle w:val="FootnoteAnchor"/>
          <w:rtl w:val="true"/>
        </w:rPr>
        <w:footnoteReference w:id="1596"/>
      </w:r>
      <w:r>
        <w:rPr>
          <w:rFonts w:ascii="IRNazanin" w:hAnsi="IRNazanin" w:eastAsia="IRNazanin"/>
          <w:color w:val="111111"/>
          <w:sz w:val="28"/>
          <w:sz w:val="28"/>
          <w:szCs w:val="28"/>
          <w:rtl w:val="true"/>
          <w:lang w:bidi="fa-IR"/>
        </w:rPr>
        <w:t xml:space="preserve">خارج از فهم عرف و خلاف ظاهر است و به آن‌ها عنوانى جز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مالايرضى‌صاحبها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داد،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أولى به تصّرف و متولّى امور نباشد، بلكه به‌مفهوم نُصرت و يا دوست داشتن باشد آن‌گونه كه فخر رازى و ديگران اصرار دارند؛ اوّلاً ، با نصّ كلام رسول‌الله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به‌كاربرده سازگارى ندارد، چون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برپايه برخى‌گزارش‌ها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سه‌بار از جمعيت اقرار گرفت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أنّي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تفريع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فمن‌كنت مولاهُ فعلي مولاهَ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اين خود واضح‌ترين شاهد است كه مقصود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به‌نفس است و </w:t>
      </w:r>
    </w:p>
    <w:p>
      <w:pPr>
        <w:pStyle w:val="BookText"/>
        <w:rPr/>
      </w:pPr>
      <w:r>
        <w:rPr>
          <w:rFonts w:ascii="IRNazanin" w:hAnsi="IRNazanin" w:eastAsia="IRNazanin"/>
          <w:color w:val="111111"/>
          <w:sz w:val="28"/>
          <w:sz w:val="28"/>
          <w:szCs w:val="28"/>
          <w:rtl w:val="true"/>
          <w:lang w:bidi="fa-IR"/>
        </w:rPr>
        <w:t>اين تعبير عبارت ديگر امام و امير است</w:t>
      </w:r>
      <w:r>
        <w:rPr>
          <w:rFonts w:eastAsia="IRNazanin" w:cs="IRNazanin"/>
          <w:color w:val="111111"/>
          <w:sz w:val="28"/>
          <w:szCs w:val="28"/>
          <w:rtl w:val="true"/>
          <w:lang w:bidi="fa-IR"/>
        </w:rPr>
        <w:t xml:space="preserve">. </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به‌معناى أولى به‌تصّرف و متولّى امور نباشد، كار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لغو و بيهوده خواهد بود و اين‌كار به‌شوخى شبيه‌تر است كه حضرت آن همه جمعيت را معطل نمايد و آن‌گاه با مقدمات آن‌چنانى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دوست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او، ياور شماست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قرائن و مجموعه آنچه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روزغدير انجام داده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فراخواندن به‌صلاةالجامعه، توقف دادن حاجيان تا رسيدن عقب‌ماندگان در آفتاب سوزان، خواندن خطبه مفصّل، خبر دادن از پايان رسيدن عمرش </w:t>
      </w:r>
      <w:r>
        <w:rPr>
          <w:rStyle w:val="FootnoteAnchor"/>
          <w:rtl w:val="true"/>
        </w:rPr>
        <w:footnoteReference w:id="1598"/>
      </w:r>
      <w:r>
        <w:rPr>
          <w:rFonts w:ascii="IRNazanin" w:hAnsi="IRNazanin" w:eastAsia="IRNazanin"/>
          <w:color w:val="111111"/>
          <w:sz w:val="28"/>
          <w:sz w:val="28"/>
          <w:szCs w:val="28"/>
          <w:rtl w:val="true"/>
          <w:lang w:bidi="fa-IR"/>
        </w:rPr>
        <w:t xml:space="preserve">و اقرار گرفتن از مردم مبنى بر وحدانيت‌خدا و روز قيامت و معاد و حقانيت مرگ، و رسالت خودش و هشدار به‌جدايى‌ناپذير بودن كتاب‌خدا و اهل‌بيت، اعتراف جمعيت به‌أولويت رسول‌الله بر جانشان، دعا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أللَّهم والِ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نزول آيه اكمال </w:t>
      </w:r>
      <w:r>
        <w:rPr>
          <w:rStyle w:val="FootnoteAnchor"/>
          <w:rtl w:val="true"/>
        </w:rPr>
        <w:footnoteReference w:id="1599"/>
      </w:r>
      <w:r>
        <w:rPr>
          <w:rFonts w:ascii="IRNazanin" w:hAnsi="IRNazanin" w:eastAsia="IRNazanin"/>
          <w:color w:val="111111"/>
          <w:sz w:val="28"/>
          <w:sz w:val="28"/>
          <w:szCs w:val="28"/>
          <w:rtl w:val="true"/>
          <w:lang w:bidi="fa-IR"/>
        </w:rPr>
        <w:t xml:space="preserve">، تبريك و تهنيت ابابكر و عمر و ديگران و انشاء شعر از سوى شاعر نامدار حسّان‌بن ثابت در حضور رسول‌خدا </w:t>
      </w:r>
      <w:r>
        <w:rPr>
          <w:rStyle w:val="FootnoteAnchor"/>
          <w:rtl w:val="true"/>
        </w:rPr>
        <w:footnoteReference w:id="1600"/>
      </w:r>
      <w:r>
        <w:rPr>
          <w:rFonts w:ascii="IRNazanin" w:hAnsi="IRNazanin" w:eastAsia="IRNazanin"/>
          <w:color w:val="111111"/>
          <w:sz w:val="28"/>
          <w:sz w:val="28"/>
          <w:szCs w:val="28"/>
          <w:rtl w:val="true"/>
          <w:lang w:bidi="fa-IR"/>
        </w:rPr>
        <w:t xml:space="preserve">و جمعيت، همه شواهد قوى و انكارناپذيرى است بر اينكه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نصب خلافت و امامت بوده است و در غير اين صورت كار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بيهوده خواهد شد</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به‌اين روايات كه يكى از دلايل شيعيان را تشكيل مى‌دهد، پيروان واقعى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يازده‌نفر از فرزندان و ذريه او، امام و جانشين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طبعاً اين سؤال به وجود خواهد آمد كه اگر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ابن‌سبأ موهوم است، اين احاديث كه با سندهاى معتبر از سوى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چه چيزى را ثابت مى‌كند؟ و آيا اين روايات همه، دسيسه و جعل عبدالله بن‌سبأ است؟ اگر چنين است سرانجام دردناك آن اين خواهد شد كه همۀ منابع اهل‌سنت دسيسه چنين شخصى و ابوهريره و كعب‌الاحبارها خواهد بود </w:t>
      </w:r>
      <w:r>
        <w:rPr>
          <w:rStyle w:val="FootnoteAnchor"/>
          <w:rtl w:val="true"/>
        </w:rPr>
        <w:footnoteReference w:id="1601"/>
      </w:r>
      <w:r>
        <w:rPr>
          <w:rFonts w:ascii="IRNazanin" w:hAnsi="IRNazanin" w:eastAsia="IRNazanin"/>
          <w:color w:val="111111"/>
          <w:sz w:val="28"/>
          <w:sz w:val="28"/>
          <w:szCs w:val="28"/>
          <w:rtl w:val="true"/>
          <w:lang w:bidi="fa-IR"/>
        </w:rPr>
        <w:t xml:space="preserve">و در غير اين فرض، برپايه نصّ اين احاديث، خلافت و امامت از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مأموريت الهى خويش آن را ابلاغ نموده است</w:t>
      </w:r>
      <w:r>
        <w:rPr>
          <w:rFonts w:eastAsia="IRNazanin" w:cs="IRNazanin"/>
          <w:color w:val="111111"/>
          <w:sz w:val="28"/>
          <w:szCs w:val="28"/>
          <w:rtl w:val="true"/>
          <w:lang w:bidi="fa-IR"/>
        </w:rPr>
        <w:t xml:space="preserve">. </w:t>
      </w:r>
      <w:bookmarkStart w:id="579" w:name="pg1976_28254"/>
    </w:p>
    <w:p>
      <w:pPr>
        <w:pStyle w:val="Heading3"/>
        <w:numPr>
          <w:ilvl w:val="2"/>
          <w:numId w:val="1"/>
        </w:numPr>
        <w:rPr/>
      </w:pPr>
      <w:bookmarkStart w:id="580" w:name="__RefHeading___Toc3767267_3650668749"/>
      <w:bookmarkStart w:id="581" w:name="_Toc212"/>
      <w:bookmarkEnd w:id="579"/>
      <w:bookmarkEnd w:id="580"/>
      <w:r>
        <w:rPr>
          <w:rtl w:val="true"/>
        </w:rPr>
        <w:t>فصل دوم</w:t>
      </w:r>
      <w:r>
        <w:rPr>
          <w:rtl w:val="true"/>
        </w:rPr>
        <w:t xml:space="preserve">: </w:t>
      </w:r>
      <w:r>
        <w:rPr>
          <w:rtl w:val="true"/>
        </w:rPr>
        <w:t>غُلُوّ در امامت و ريشه‌هاى آن</w:t>
      </w:r>
      <w:bookmarkEnd w:id="581"/>
    </w:p>
    <w:p>
      <w:pPr>
        <w:pStyle w:val="Heading4"/>
        <w:numPr>
          <w:ilvl w:val="3"/>
          <w:numId w:val="1"/>
        </w:numPr>
        <w:rPr/>
      </w:pPr>
      <w:bookmarkStart w:id="582" w:name="__RefHeading___Toc3767269_3650668749"/>
      <w:bookmarkStart w:id="583" w:name="_Toc213"/>
      <w:bookmarkEnd w:id="582"/>
      <w:r>
        <w:rPr/>
        <w:t>١</w:t>
      </w:r>
      <w:r>
        <w:rPr>
          <w:rtl w:val="true"/>
        </w:rPr>
        <w:t xml:space="preserve">. </w:t>
      </w:r>
      <w:r>
        <w:rPr>
          <w:rtl w:val="true"/>
        </w:rPr>
        <w:t>طرح اصل اتهام</w:t>
      </w:r>
      <w:bookmarkEnd w:id="5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قفارى در چند جاى كتابش اوصاف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علم غيب و منصوص و معصوم بودن امام را به ابن‌سبأ نسبت مى‌دهد </w:t>
      </w:r>
      <w:r>
        <w:rPr>
          <w:rStyle w:val="FootnoteAnchor"/>
          <w:rtl w:val="true"/>
        </w:rPr>
        <w:footnoteReference w:id="1602"/>
      </w:r>
      <w:r>
        <w:rPr>
          <w:rFonts w:ascii="IRNazanin" w:hAnsi="IRNazanin" w:eastAsia="IRNazanin"/>
          <w:color w:val="111111"/>
          <w:sz w:val="28"/>
          <w:sz w:val="28"/>
          <w:szCs w:val="28"/>
          <w:rtl w:val="true"/>
          <w:lang w:bidi="fa-IR"/>
        </w:rPr>
        <w:t>، وى با پيروى از شيخ خود ابن تيميه كه مدعى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والعلماءُ دائماً يذكرون أنّ الّذي إبتدع الرفض كان زنديقاً مُلحِداً مقصوده افساد دين الاِسلام و لهذا صار الرّفض مأوى الزنادقة الملحدين من الغاية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هذا معروف عن ابن سبأ و أتباعه و هوالذي إبتدع النّص في عليٍّ و إبتدع أنّه معصوم، فالرافضةُ الاِماميّةُ هم أتباع المرتدّين و غلمان المُلحِدين</w:t>
      </w:r>
      <w:r>
        <w:rPr>
          <w:rFonts w:eastAsia="IRNazanin" w:cs="IRNazanin"/>
          <w:color w:val="111111"/>
          <w:sz w:val="28"/>
          <w:szCs w:val="28"/>
          <w:rtl w:val="true"/>
          <w:lang w:bidi="fa-IR"/>
        </w:rPr>
        <w:t xml:space="preserve">. . . » </w:t>
      </w:r>
      <w:r>
        <w:rPr>
          <w:rStyle w:val="FootnoteAnchor"/>
          <w:rtl w:val="true"/>
        </w:rPr>
        <w:footnoteReference w:id="1603"/>
      </w:r>
      <w:r>
        <w:rPr>
          <w:rFonts w:ascii="Amiri" w:hAnsi="Amiri" w:eastAsia="Amiri" w:cs="Amiri"/>
          <w:color w:val="111111"/>
          <w:sz w:val="28"/>
          <w:sz w:val="28"/>
          <w:szCs w:val="28"/>
          <w:rtl w:val="true"/>
          <w:lang w:bidi="ar-SA"/>
        </w:rPr>
        <w:t xml:space="preserve">فضيلت ائمه بر انبياء، عدم سهو و غافل نبودن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مصاديق غلو، در عصر حاضر و امام خمينى را مروج آن مى‌شمارد</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ديگر آغاز غلو در شيعه را از سبائيان مى‌داند كه از ياران حجربن‌عدى بودند و به‌خاطر تكفير خليفه و سَبّ عثمان، كشته شدند</w:t>
      </w:r>
      <w:r>
        <w:rPr>
          <w:rFonts w:eastAsia="IRNazanin" w:cs="IRNazanin"/>
          <w:color w:val="111111"/>
          <w:sz w:val="28"/>
          <w:szCs w:val="28"/>
          <w:rtl w:val="true"/>
          <w:lang w:bidi="fa-IR"/>
        </w:rPr>
        <w:t xml:space="preserve">. </w:t>
      </w:r>
      <w:r>
        <w:rPr>
          <w:rStyle w:val="FootnoteAnchor"/>
          <w:rtl w:val="true"/>
        </w:rPr>
        <w:footnoteReference w:id="1605"/>
      </w: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كسانى‌كه در مورد على غلو كردند و از آن گروه‌هاى غالى انشعاب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و اعتقاد به‌زنده بودن عَلِى، غيبت و رجعت دارند</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ديگرى شيعه را به‌خاطر غلو در إمامت گمراه خوانده و ريشه آن را ابن‌سبأ مى‌داند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 مَن أسّس مذهبهم الضالّ هو عبدالله بن‌سبأ اليهودي الَّذي أظهرالاسلام وأبطَن الكفر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أظهرالغلو في موالاته و التشيّع له وكان هذا الشيطان أوّل من ادّعى‌النَّص بامامةِ عَلِيّ، و أوّل مَن أشهرالقول بغرض امامته، وأوّل مَن أظهرالبرائة من ابي‌بكر و عمر </w:t>
      </w:r>
      <w:r>
        <w:rPr>
          <w:rFonts w:eastAsia="IRNazanin" w:cs="IRNazanin"/>
          <w:color w:val="111111"/>
          <w:sz w:val="28"/>
          <w:szCs w:val="28"/>
          <w:rtl w:val="true"/>
          <w:lang w:bidi="fa-IR"/>
        </w:rPr>
        <w:t xml:space="preserve">» . </w:t>
      </w:r>
      <w:r>
        <w:rPr>
          <w:rStyle w:val="FootnoteAnchor"/>
          <w:rtl w:val="true"/>
        </w:rPr>
        <w:footnoteReference w:id="16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نويسندۀ ديگر، با شمارش تأثيرات عبدالله‌بن‌سبأ بر امت اسلامى، از تأثيرات او غلو در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مى‌داند، و تصريح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إظهار الحُبّ والولاء والموالاة لعلي واولاده، فهذا هوالّذي جعله الشّيعة شعاراً لهم و ما أكثر ما قالوُه في هذا و تقولوا به‌على عَلِي و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كِذبا وزُوراً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جعلوا الدّين كُلَّه موالاة لعلي و اولاده دون الاِيمان بالقرآن و السّنة </w:t>
      </w:r>
      <w:r>
        <w:rPr>
          <w:rFonts w:eastAsia="IRNazanin" w:cs="IRNazanin"/>
          <w:color w:val="111111"/>
          <w:sz w:val="28"/>
          <w:szCs w:val="28"/>
          <w:rtl w:val="true"/>
          <w:lang w:bidi="fa-IR"/>
        </w:rPr>
        <w:t xml:space="preserve">. . .»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با استناد به‌متن تاريخ طبرى غلو ابن‌سبأ را، آغاز فتنه در ميان امت اسلام و انكار دين مى‌شمارد، و يكى از غلو سبئيه را اين مى‌داند كه شخص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نمى‌ميرد، بلكه او به‌سلامت كامل باقى است و روح او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مى‌گردد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خليفه شرعى است بلكه به‌مراتب از خلفاى سه‌گانه افضل و روح الهى و وارث نبوّت است</w:t>
      </w:r>
      <w:r>
        <w:rPr>
          <w:rFonts w:eastAsia="IRNazanin" w:cs="IRNazanin"/>
          <w:color w:val="111111"/>
          <w:sz w:val="28"/>
          <w:szCs w:val="28"/>
          <w:rtl w:val="true"/>
          <w:lang w:bidi="fa-IR"/>
        </w:rPr>
        <w:t xml:space="preserve">. </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 xml:space="preserve">براساس آنچه اين گروه از نويسندگان مدعى‌اند، سرآغاز غلو در باب امامت و وصايت على و فرزندان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ابن‌سبأ و ياران اوست كه با هدف تخريب</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ايجاد فتنه ميان امت اسلامى با طراحى يهود و كارگردانى فردى به‌نام عبدالله </w:t>
      </w:r>
      <w:bookmarkStart w:id="584" w:name="pg1976_28258"/>
    </w:p>
    <w:p>
      <w:pPr>
        <w:pStyle w:val="BookText"/>
        <w:rPr/>
      </w:pPr>
      <w:bookmarkEnd w:id="584"/>
      <w:r>
        <w:rPr>
          <w:rFonts w:ascii="Amiri" w:hAnsi="Amiri" w:eastAsia="Amiri" w:cs="Amiri"/>
          <w:color w:val="111111"/>
          <w:sz w:val="28"/>
          <w:sz w:val="28"/>
          <w:szCs w:val="28"/>
          <w:rtl w:val="true"/>
          <w:lang w:bidi="ar-SA"/>
        </w:rPr>
        <w:t xml:space="preserve">ابن‌سبأ يهودى به‌اجرا درآمد </w:t>
      </w:r>
      <w:r>
        <w:rPr>
          <w:rStyle w:val="FootnoteAnchor"/>
          <w:rtl w:val="true"/>
        </w:rPr>
        <w:footnoteReference w:id="1610"/>
      </w:r>
      <w:r>
        <w:rPr>
          <w:rFonts w:ascii="Amiri" w:hAnsi="Amiri" w:eastAsia="Amiri" w:cs="Amiri"/>
          <w:color w:val="111111"/>
          <w:sz w:val="28"/>
          <w:sz w:val="28"/>
          <w:szCs w:val="28"/>
          <w:rtl w:val="true"/>
          <w:lang w:bidi="ar-SA"/>
        </w:rPr>
        <w:t>، وآراء او مبناى افكار و عقائد شيعه امامى‌اثنا عشرى عصر حاضر، است</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Heading4"/>
        <w:numPr>
          <w:ilvl w:val="3"/>
          <w:numId w:val="1"/>
        </w:numPr>
        <w:rPr/>
      </w:pPr>
      <w:bookmarkStart w:id="585" w:name="__RefHeading___Toc3767271_3650668749"/>
      <w:bookmarkStart w:id="586" w:name="_Toc214"/>
      <w:bookmarkEnd w:id="585"/>
      <w:r>
        <w:rPr/>
        <w:t>٢</w:t>
      </w:r>
      <w:r>
        <w:rPr>
          <w:rtl w:val="true"/>
        </w:rPr>
        <w:t xml:space="preserve">. </w:t>
      </w:r>
      <w:r>
        <w:rPr>
          <w:rtl w:val="true"/>
        </w:rPr>
        <w:t>بررسى و نقد يهودى بودن امامت</w:t>
      </w:r>
      <w:r>
        <w:rPr>
          <w:rtl w:val="true"/>
        </w:rPr>
        <w:t xml:space="preserve">! </w:t>
      </w:r>
      <w:r>
        <w:rPr>
          <w:rtl w:val="true"/>
        </w:rPr>
        <w:t>وغلوّ درآن</w:t>
      </w:r>
      <w:bookmarkEnd w:id="586"/>
    </w:p>
    <w:p>
      <w:pPr>
        <w:pStyle w:val="Heading5"/>
        <w:numPr>
          <w:ilvl w:val="4"/>
          <w:numId w:val="1"/>
        </w:numPr>
        <w:rPr/>
      </w:pPr>
      <w:bookmarkStart w:id="587" w:name="__RefHeading___Toc3767273_3650668749"/>
      <w:bookmarkStart w:id="588" w:name="_Toc215"/>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 xml:space="preserve">با توجه به‌اينكه منتقدان كافى، امامت به‌باور شيعه و غلو در امامت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به‌فردى به‌نام عبدالله بن‌سبأ يهودى و اصحاب او مرتبط مى‌سازند، لازم است نخست اتهام طراحى شده و توطئه بودن امامت و سپس مبحث غلو، مورد بررسى قرار گيرد</w:t>
      </w:r>
      <w:r>
        <w:rPr>
          <w:rFonts w:eastAsia="IRNazanin" w:cs="IRNazanin"/>
          <w:color w:val="111111"/>
          <w:sz w:val="28"/>
          <w:szCs w:val="28"/>
          <w:rtl w:val="true"/>
          <w:lang w:bidi="fa-IR"/>
        </w:rPr>
        <w:t>.</w:t>
      </w:r>
    </w:p>
    <w:p>
      <w:pPr>
        <w:pStyle w:val="Heading5"/>
        <w:numPr>
          <w:ilvl w:val="4"/>
          <w:numId w:val="1"/>
        </w:numPr>
        <w:rPr/>
      </w:pPr>
      <w:bookmarkStart w:id="589" w:name="__RefHeading___Toc3767275_3650668749"/>
      <w:bookmarkStart w:id="590" w:name="_Toc216"/>
      <w:bookmarkEnd w:id="589"/>
      <w:r>
        <w:rPr>
          <w:rtl w:val="true"/>
        </w:rPr>
        <w:t>الف</w:t>
      </w:r>
      <w:r>
        <w:rPr>
          <w:rtl w:val="true"/>
        </w:rPr>
        <w:t xml:space="preserve">) </w:t>
      </w:r>
      <w:r>
        <w:rPr>
          <w:rtl w:val="true"/>
        </w:rPr>
        <w:t>هويتِ موهوم و ساختگى بودن ابن‌سبأ</w:t>
      </w:r>
      <w:bookmarkEnd w:id="590"/>
    </w:p>
    <w:p>
      <w:pPr>
        <w:pStyle w:val="Heading6"/>
        <w:numPr>
          <w:ilvl w:val="5"/>
          <w:numId w:val="1"/>
        </w:numPr>
        <w:rPr/>
      </w:pPr>
      <w:bookmarkStart w:id="591" w:name="__RefHeading___Toc3767277_3650668749"/>
      <w:bookmarkStart w:id="592" w:name="_Toc217"/>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موهوم و ساختگى بودن ابن‌سبأ </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هرچند بررسى مفصّل وجامع اين مقوله، از ظرفيت كتاب خارج است، ولى از آن جايى‌كه اين بحث از يك‌سو، بيش ازحدِّ تصور، نزد وهابيان مهم و مرتبط بلكه ريشه مباحث پيشين و پسين است، ناگزيريم به صورت فشرده به آن اشاره كنيم</w:t>
      </w:r>
      <w:r>
        <w:rPr>
          <w:rFonts w:eastAsia="IRNazanin" w:cs="IRNazanin"/>
          <w:color w:val="111111"/>
          <w:sz w:val="28"/>
          <w:szCs w:val="28"/>
          <w:rtl w:val="true"/>
          <w:lang w:bidi="fa-IR"/>
        </w:rPr>
        <w:t xml:space="preserve">. </w:t>
      </w:r>
      <w:r>
        <w:rPr>
          <w:rStyle w:val="FootnoteAnchor"/>
          <w:rtl w:val="true"/>
        </w:rPr>
        <w:footnoteReference w:id="1613"/>
      </w:r>
    </w:p>
    <w:p>
      <w:pPr>
        <w:pStyle w:val="Heading6"/>
        <w:numPr>
          <w:ilvl w:val="5"/>
          <w:numId w:val="1"/>
        </w:numPr>
        <w:rPr/>
      </w:pPr>
      <w:bookmarkStart w:id="593" w:name="__RefHeading___Toc3767279_3650668749"/>
      <w:bookmarkStart w:id="594" w:name="_Toc218"/>
      <w:bookmarkEnd w:id="593"/>
      <w:r>
        <w:rPr>
          <w:rtl w:val="true"/>
        </w:rPr>
        <w:t xml:space="preserve">يك </w:t>
      </w:r>
      <w:r>
        <w:rPr>
          <w:rtl w:val="true"/>
        </w:rPr>
        <w:t xml:space="preserve">- </w:t>
      </w:r>
      <w:r>
        <w:rPr>
          <w:rtl w:val="true"/>
        </w:rPr>
        <w:t>ترديد در هويت ابن‌سبأ</w:t>
      </w:r>
      <w:bookmarkEnd w:id="59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اين شخص اسطوره‌اى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ابن‌سبأ</w:t>
      </w:r>
      <w:r>
        <w:rPr>
          <w:rFonts w:eastAsia="IRNazanin" w:cs="IRNazanin"/>
          <w:color w:val="111111"/>
          <w:sz w:val="28"/>
          <w:szCs w:val="28"/>
          <w:rtl w:val="true"/>
          <w:lang w:bidi="fa-IR"/>
        </w:rPr>
        <w:t xml:space="preserve">» </w:t>
      </w:r>
      <w:r>
        <w:rPr>
          <w:rStyle w:val="FootnoteAnchor"/>
          <w:rtl w:val="true"/>
        </w:rPr>
        <w:footnoteReference w:id="1614"/>
      </w:r>
      <w:r>
        <w:rPr>
          <w:rFonts w:ascii="IRNazanin" w:hAnsi="IRNazanin" w:eastAsia="IRNazanin"/>
          <w:color w:val="111111"/>
          <w:sz w:val="28"/>
          <w:sz w:val="28"/>
          <w:szCs w:val="28"/>
          <w:rtl w:val="true"/>
          <w:lang w:bidi="fa-IR"/>
        </w:rPr>
        <w:t xml:space="preserve">معرفى مى‌كنند وگاهى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سبابيه</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 xml:space="preserve">اهل صنعاءِ يمَن از مادرى به‌نام </w:t>
      </w:r>
    </w:p>
    <w:p>
      <w:pPr>
        <w:pStyle w:val="BookText"/>
        <w:rPr/>
      </w:pPr>
      <w:r>
        <w:rPr>
          <w:rFonts w:ascii="IRNazanin" w:hAnsi="IRNazanin" w:eastAsia="IRNazanin"/>
          <w:color w:val="111111"/>
          <w:sz w:val="28"/>
          <w:sz w:val="28"/>
          <w:szCs w:val="28"/>
          <w:rtl w:val="true"/>
          <w:lang w:bidi="fa-IR"/>
        </w:rPr>
        <w:t xml:space="preserve">سوداء </w:t>
      </w:r>
      <w:r>
        <w:rPr>
          <w:rStyle w:val="FootnoteAnchor"/>
          <w:rtl w:val="true"/>
        </w:rPr>
        <w:footnoteReference w:id="161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حَبَشيه</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 xml:space="preserve">يهودى مسلمان شده، رهبر و طرّاح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سبئيه</w:t>
      </w:r>
      <w:r>
        <w:rPr>
          <w:rFonts w:eastAsia="Amiri" w:cs="Amiri" w:ascii="Amiri" w:hAnsi="Amiri"/>
          <w:color w:val="111111"/>
          <w:sz w:val="28"/>
          <w:szCs w:val="28"/>
          <w:rtl w:val="true"/>
          <w:lang w:bidi="ar-SA"/>
        </w:rPr>
        <w:t xml:space="preserve">» </w:t>
      </w:r>
      <w:r>
        <w:rPr>
          <w:rStyle w:val="FootnoteAnchor"/>
          <w:rtl w:val="true"/>
        </w:rPr>
        <w:footnoteReference w:id="1619"/>
      </w:r>
      <w:r>
        <w:rPr>
          <w:rFonts w:ascii="IRNazanin" w:hAnsi="IRNazanin" w:eastAsia="IRNazanin"/>
          <w:color w:val="111111"/>
          <w:sz w:val="28"/>
          <w:sz w:val="28"/>
          <w:szCs w:val="28"/>
          <w:rtl w:val="true"/>
          <w:lang w:bidi="fa-IR"/>
        </w:rPr>
        <w:t xml:space="preserve">، ياد مى‌گردد و از او به‌عنوان شخصيت جدّاً عجيب، داراى نيروى خارق العاده، پيچيده،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 برده مى‌شود </w:t>
      </w:r>
      <w:r>
        <w:rPr>
          <w:rStyle w:val="FootnoteAnchor"/>
          <w:rtl w:val="true"/>
        </w:rPr>
        <w:footnoteReference w:id="1620"/>
      </w:r>
      <w:r>
        <w:rPr>
          <w:rFonts w:ascii="IRNazanin" w:hAnsi="IRNazanin" w:eastAsia="IRNazanin"/>
          <w:color w:val="111111"/>
          <w:sz w:val="28"/>
          <w:sz w:val="28"/>
          <w:szCs w:val="28"/>
          <w:rtl w:val="true"/>
          <w:lang w:bidi="fa-IR"/>
        </w:rPr>
        <w:t xml:space="preserve">، ولى مرجع همه آنچه در منابع شيعه و سنى آمده و از اين داستان سخن‌ها رانده‌اند،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طبرى است؛ وى در حوادث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هجرى همزمان با شورش‌هاى مردمى عليه بى‌عدالتى‌هاى دستگاهِ عثمان بن عفّان، براى اينكه براى قيام مردم، ريشه غير مردمى و غيراسلامى بتراشد، اين اسطوره را از سيف بن عمر نقل مى‌كند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عبدالله‌بن‌سبأ يهوديّاً من أهل صنعاء، اُمُّهُ سَوداء، فأسلَمَ زمان عثمان، ثم تَنَقّل في بلدان المسلمين، يحاول ضلالتهم، فبدأ بالحجاز، ثُمَّ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ثم الكوفة ثم الشّام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سپس به‌مصر رفت و مردم مصر را عليه عثمان شوراند</w:t>
      </w:r>
      <w:r>
        <w:rPr>
          <w:rFonts w:eastAsia="IRNazanin" w:cs="IRNazanin"/>
          <w:color w:val="111111"/>
          <w:sz w:val="28"/>
          <w:szCs w:val="28"/>
          <w:rtl w:val="true"/>
          <w:lang w:bidi="fa-IR"/>
        </w:rPr>
        <w:t xml:space="preserve">. . . . </w:t>
      </w:r>
      <w:r>
        <w:rPr>
          <w:rStyle w:val="FootnoteAnchor"/>
          <w:rtl w:val="true"/>
        </w:rPr>
        <w:footnoteReference w:id="1621"/>
      </w:r>
      <w:r>
        <w:rPr>
          <w:rFonts w:ascii="Amiri" w:hAnsi="Amiri" w:eastAsia="Amiri" w:cs="Amiri"/>
          <w:color w:val="111111"/>
          <w:sz w:val="28"/>
          <w:sz w:val="28"/>
          <w:szCs w:val="28"/>
          <w:rtl w:val="true"/>
          <w:lang w:bidi="ar-SA"/>
        </w:rPr>
        <w:t>ابن عساكر همين متن طبرى را مى‌آورد و او را از غلات رافضه مى‌خواند</w:t>
      </w:r>
      <w:r>
        <w:rPr>
          <w:rFonts w:eastAsia="Amiri" w:cs="Amiri" w:ascii="Amiri" w:hAnsi="Amiri"/>
          <w:color w:val="111111"/>
          <w:sz w:val="28"/>
          <w:szCs w:val="28"/>
          <w:rtl w:val="true"/>
          <w:lang w:bidi="ar-SA"/>
        </w:rPr>
        <w:t xml:space="preserve">. </w:t>
      </w:r>
      <w:r>
        <w:rPr>
          <w:rStyle w:val="FootnoteAnchor"/>
          <w:rtl w:val="true"/>
        </w:rPr>
        <w:footnoteReference w:id="162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ديگر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وهب الراسبى‌الهَمدانى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اهل صنعاء مسلمان شده در ايام عثمان از مادرى به‌نام حَبَشِيه، مى‌شمارد </w:t>
      </w:r>
      <w:r>
        <w:rPr>
          <w:rStyle w:val="FootnoteAnchor"/>
          <w:rtl w:val="true"/>
        </w:rPr>
        <w:footnoteReference w:id="1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او را از زبان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الشيبانى معرفى مى‌كند كه حضرت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سه نفر دروغگو وجود دارد و تو يكى از آنها هستى</w:t>
      </w:r>
      <w:r>
        <w:rPr>
          <w:rFonts w:eastAsia="IRNazanin" w:cs="IRNazanin"/>
          <w:color w:val="111111"/>
          <w:sz w:val="28"/>
          <w:szCs w:val="28"/>
          <w:rtl w:val="true"/>
          <w:lang w:bidi="fa-IR"/>
        </w:rPr>
        <w:t xml:space="preserve">» </w:t>
      </w:r>
      <w:r>
        <w:rPr>
          <w:rStyle w:val="FootnoteAnchor"/>
          <w:rtl w:val="true"/>
        </w:rPr>
        <w:footnoteReference w:id="1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چهارم، عماربن‌ياسر صحابى </w:t>
      </w:r>
      <w:bookmarkStart w:id="595" w:name="pg1976_28262"/>
    </w:p>
    <w:p>
      <w:pPr>
        <w:pStyle w:val="BookText"/>
        <w:rPr/>
      </w:pPr>
      <w:bookmarkEnd w:id="595"/>
      <w:r>
        <w:rPr>
          <w:rFonts w:ascii="IRNazanin" w:hAnsi="IRNazanin" w:eastAsia="IRNazanin"/>
          <w:color w:val="111111"/>
          <w:sz w:val="28"/>
          <w:sz w:val="28"/>
          <w:szCs w:val="28"/>
          <w:rtl w:val="true"/>
          <w:lang w:bidi="fa-IR"/>
        </w:rPr>
        <w:t xml:space="preserve">گرامى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ابن‌سبأ مى‌پندارند، و با ساختن شباهت‌هاى ميان آن دو </w:t>
      </w:r>
      <w:r>
        <w:rPr>
          <w:rStyle w:val="FootnoteAnchor"/>
          <w:rtl w:val="true"/>
        </w:rPr>
        <w:footnoteReference w:id="1625"/>
      </w:r>
      <w:r>
        <w:rPr>
          <w:rFonts w:ascii="IRNazanin" w:hAnsi="IRNazanin" w:eastAsia="IRNazanin"/>
          <w:color w:val="111111"/>
          <w:sz w:val="28"/>
          <w:sz w:val="28"/>
          <w:szCs w:val="28"/>
          <w:rtl w:val="true"/>
          <w:lang w:bidi="fa-IR"/>
        </w:rPr>
        <w:t xml:space="preserve">، نتيجه مى‌گيرند كه عبدالله‌بن‌سبأ جز عمّاربن‌ياسر نيست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اينكه ابن‌سبأ با ابن‌السّوداء يك شخص است يا دو شخص، وحدت نظر وجود ندارد؛ ابن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تعبير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وقدحَرّقهم علي‌بن‌ابي‌طالب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و نفاهم الى البلدان، منهم عبدالله‌بن‌سبأ و نفاه إلى ساباط، عبدالله بن سباب نفاهُ الى‌الجازِر </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 xml:space="preserve">، دو نفر مى‌داند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اسفراينى </w:t>
      </w:r>
      <w:r>
        <w:rPr>
          <w:rStyle w:val="FootnoteAnchor"/>
          <w:rtl w:val="true"/>
        </w:rPr>
        <w:footnoteReference w:id="1628"/>
      </w:r>
      <w:r>
        <w:rPr>
          <w:rFonts w:ascii="IRNazanin" w:hAnsi="IRNazanin" w:eastAsia="IRNazanin"/>
          <w:color w:val="111111"/>
          <w:sz w:val="28"/>
          <w:sz w:val="28"/>
          <w:szCs w:val="28"/>
          <w:rtl w:val="true"/>
          <w:lang w:bidi="fa-IR"/>
        </w:rPr>
        <w:t>همين ديدگاه را ابراز مى‌دارند</w:t>
      </w:r>
      <w:r>
        <w:rPr>
          <w:rFonts w:eastAsia="IRNazanin" w:cs="IRNazanin"/>
          <w:color w:val="111111"/>
          <w:sz w:val="28"/>
          <w:szCs w:val="28"/>
          <w:rtl w:val="true"/>
          <w:lang w:bidi="fa-IR"/>
        </w:rPr>
        <w:t>.</w:t>
      </w:r>
    </w:p>
    <w:p>
      <w:pPr>
        <w:pStyle w:val="Heading6"/>
        <w:numPr>
          <w:ilvl w:val="5"/>
          <w:numId w:val="1"/>
        </w:numPr>
        <w:rPr/>
      </w:pPr>
      <w:bookmarkStart w:id="596" w:name="__RefHeading___Toc3767281_3650668749"/>
      <w:bookmarkStart w:id="597" w:name="_Toc219"/>
      <w:bookmarkEnd w:id="596"/>
      <w:r>
        <w:rPr>
          <w:rtl w:val="true"/>
        </w:rPr>
        <w:t xml:space="preserve">دو </w:t>
      </w:r>
      <w:r>
        <w:rPr>
          <w:rtl w:val="true"/>
        </w:rPr>
        <w:t xml:space="preserve">- </w:t>
      </w:r>
      <w:r>
        <w:rPr>
          <w:rtl w:val="true"/>
        </w:rPr>
        <w:t>ترديد در ملّيت و زادگاه ابن‌سبأ</w:t>
      </w:r>
      <w:bookmarkEnd w:id="59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طبرى، او را يهودى اهل صنعاءِ يمَن </w:t>
      </w:r>
      <w:r>
        <w:rPr>
          <w:rStyle w:val="FootnoteAnchor"/>
          <w:rtl w:val="true"/>
        </w:rPr>
        <w:footnoteReference w:id="1629"/>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يهوديان حيره </w:t>
      </w:r>
      <w:r>
        <w:rPr>
          <w:rStyle w:val="FootnoteAnchor"/>
          <w:rtl w:val="true"/>
        </w:rPr>
        <w:footnoteReference w:id="1630"/>
      </w:r>
      <w:r>
        <w:rPr>
          <w:rFonts w:ascii="Amiri" w:hAnsi="Amiri" w:eastAsia="Amiri" w:cs="Amiri"/>
          <w:color w:val="111111"/>
          <w:sz w:val="28"/>
          <w:sz w:val="28"/>
          <w:szCs w:val="28"/>
          <w:rtl w:val="true"/>
          <w:lang w:bidi="ar-SA"/>
        </w:rPr>
        <w:t xml:space="preserve">و ابن‌كثير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ذمّى </w:t>
      </w:r>
      <w:r>
        <w:rPr>
          <w:rStyle w:val="FootnoteAnchor"/>
          <w:rtl w:val="true"/>
        </w:rPr>
        <w:footnoteReference w:id="1631"/>
      </w:r>
      <w:r>
        <w:rPr>
          <w:rFonts w:ascii="IRNazanin" w:hAnsi="IRNazanin" w:eastAsia="IRNazanin"/>
          <w:color w:val="111111"/>
          <w:sz w:val="28"/>
          <w:sz w:val="28"/>
          <w:szCs w:val="28"/>
          <w:rtl w:val="true"/>
          <w:lang w:bidi="fa-IR"/>
        </w:rPr>
        <w:t>،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او عبدالله‌بن الراسبى باشد، از تبار عرب </w:t>
      </w:r>
      <w:r>
        <w:rPr>
          <w:rStyle w:val="FootnoteAnchor"/>
          <w:rtl w:val="true"/>
        </w:rPr>
        <w:footnoteReference w:id="1632"/>
      </w:r>
      <w:r>
        <w:rPr>
          <w:rFonts w:ascii="IRNazanin" w:hAnsi="IRNazanin" w:eastAsia="IRNazanin"/>
          <w:color w:val="111111"/>
          <w:sz w:val="28"/>
          <w:sz w:val="28"/>
          <w:szCs w:val="28"/>
          <w:rtl w:val="true"/>
          <w:lang w:bidi="fa-IR"/>
        </w:rPr>
        <w:t xml:space="preserve">و </w:t>
      </w:r>
      <w:bookmarkStart w:id="598" w:name="pg1976_28264"/>
    </w:p>
    <w:p>
      <w:pPr>
        <w:pStyle w:val="BookText"/>
        <w:rPr/>
      </w:pPr>
      <w:bookmarkEnd w:id="598"/>
      <w:r>
        <w:rPr>
          <w:rFonts w:ascii="IRNazanin" w:hAnsi="IRNazanin" w:eastAsia="IRNazanin"/>
          <w:color w:val="111111"/>
          <w:sz w:val="28"/>
          <w:sz w:val="28"/>
          <w:szCs w:val="28"/>
          <w:rtl w:val="true"/>
          <w:lang w:bidi="fa-IR"/>
        </w:rPr>
        <w:t xml:space="preserve">از سران خوارج خواهد بود </w:t>
      </w:r>
      <w:r>
        <w:rPr>
          <w:rStyle w:val="FootnoteAnchor"/>
          <w:rtl w:val="true"/>
        </w:rPr>
        <w:footnoteReference w:id="1633"/>
      </w:r>
      <w:r>
        <w:rPr>
          <w:rFonts w:ascii="IRNazanin" w:hAnsi="IRNazanin" w:eastAsia="IRNazanin"/>
          <w:color w:val="111111"/>
          <w:sz w:val="28"/>
          <w:sz w:val="28"/>
          <w:szCs w:val="28"/>
          <w:rtl w:val="true"/>
          <w:lang w:bidi="fa-IR"/>
        </w:rPr>
        <w:t xml:space="preserve">، نَه يهودى، چه اينكه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طائفه‌اى را در مصر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مى‌برد </w:t>
      </w:r>
      <w:r>
        <w:rPr>
          <w:rStyle w:val="FootnoteAnchor"/>
          <w:rtl w:val="true"/>
        </w:rPr>
        <w:footnoteReference w:id="1634"/>
      </w:r>
      <w:r>
        <w:rPr>
          <w:rFonts w:ascii="Amiri" w:hAnsi="Amiri" w:eastAsia="Amiri" w:cs="Amiri"/>
          <w:color w:val="111111"/>
          <w:sz w:val="28"/>
          <w:sz w:val="28"/>
          <w:szCs w:val="28"/>
          <w:rtl w:val="true"/>
          <w:lang w:bidi="ar-SA"/>
        </w:rPr>
        <w:t>كه شايد رفتن او به‌مصر، از اين منبع ناشى شده باشد</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3767283_3650668749"/>
      <w:bookmarkStart w:id="600" w:name="_Toc220"/>
      <w:bookmarkEnd w:id="599"/>
      <w:r>
        <w:rPr>
          <w:rtl w:val="true"/>
        </w:rPr>
        <w:t xml:space="preserve">سه </w:t>
      </w:r>
      <w:r>
        <w:rPr>
          <w:rtl w:val="true"/>
        </w:rPr>
        <w:t xml:space="preserve">- </w:t>
      </w:r>
      <w:r>
        <w:rPr>
          <w:rtl w:val="true"/>
        </w:rPr>
        <w:t>ترديد در نسب ابن‌سبأ</w:t>
      </w:r>
      <w:bookmarkEnd w:id="600"/>
    </w:p>
    <w:p>
      <w:pPr>
        <w:pStyle w:val="BookText"/>
        <w:rPr/>
      </w:pPr>
      <w:r>
        <w:rPr>
          <w:rFonts w:ascii="IRNazanin" w:hAnsi="IRNazanin" w:eastAsia="IRNazanin"/>
          <w:color w:val="111111"/>
          <w:sz w:val="28"/>
          <w:sz w:val="28"/>
          <w:szCs w:val="28"/>
          <w:rtl w:val="true"/>
          <w:lang w:bidi="fa-IR"/>
        </w:rPr>
        <w:t xml:space="preserve">جمع زيادى همان‌گونه كه ملاحظه كرديد، اسم پدر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اما برخى نام پدر او را وَهَب </w:t>
      </w:r>
      <w:r>
        <w:rPr>
          <w:rStyle w:val="FootnoteAnchor"/>
          <w:rtl w:val="true"/>
        </w:rPr>
        <w:footnoteReference w:id="1635"/>
      </w:r>
      <w:r>
        <w:rPr>
          <w:rFonts w:ascii="IRNazanin" w:hAnsi="IRNazanin" w:eastAsia="IRNazanin"/>
          <w:color w:val="111111"/>
          <w:sz w:val="28"/>
          <w:sz w:val="28"/>
          <w:szCs w:val="28"/>
          <w:rtl w:val="true"/>
          <w:lang w:bidi="fa-IR"/>
        </w:rPr>
        <w:t xml:space="preserve">بعضى ديگر حَرب دانسته‌اند </w:t>
      </w:r>
      <w:r>
        <w:rPr>
          <w:rStyle w:val="FootnoteAnchor"/>
          <w:rtl w:val="true"/>
        </w:rPr>
        <w:footnoteReference w:id="1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مادر وى نيز وحدت‌نظر وجود ندارد؛ برخى نام مادر او را سوداء </w:t>
      </w:r>
      <w:r>
        <w:rPr>
          <w:rStyle w:val="FootnoteAnchor"/>
          <w:rtl w:val="true"/>
        </w:rPr>
        <w:footnoteReference w:id="1637"/>
      </w:r>
      <w:r>
        <w:rPr>
          <w:rFonts w:ascii="IRNazanin" w:hAnsi="IRNazanin" w:eastAsia="IRNazanin"/>
          <w:color w:val="111111"/>
          <w:sz w:val="28"/>
          <w:sz w:val="28"/>
          <w:szCs w:val="28"/>
          <w:rtl w:val="true"/>
          <w:lang w:bidi="fa-IR"/>
        </w:rPr>
        <w:t xml:space="preserve">، ديگرى حبشيه </w:t>
      </w:r>
      <w:r>
        <w:rPr>
          <w:rStyle w:val="FootnoteAnchor"/>
          <w:rtl w:val="true"/>
        </w:rPr>
        <w:footnoteReference w:id="1638"/>
      </w:r>
      <w:r>
        <w:rPr>
          <w:rFonts w:ascii="IRNazanin" w:hAnsi="IRNazanin" w:eastAsia="IRNazanin"/>
          <w:color w:val="111111"/>
          <w:sz w:val="28"/>
          <w:sz w:val="28"/>
          <w:szCs w:val="28"/>
          <w:rtl w:val="true"/>
          <w:lang w:bidi="fa-IR"/>
        </w:rPr>
        <w:t xml:space="preserve">و بعضى با پژوهش مفصّلى كه انجام داده به‌اين نتيجه مى‌رسد كه در هيچ منبعى اعم از تاريخ و انساب و تراجم، پدر و اجداد و قبيله او ذكر نشده 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تعداد زيادى از راويانى بوده كه در مغرب و يمَن در قرن دوم معروف بوده‌اند</w:t>
      </w:r>
      <w:r>
        <w:rPr>
          <w:rFonts w:eastAsia="IRNazanin" w:cs="IRNazanin"/>
          <w:color w:val="111111"/>
          <w:sz w:val="28"/>
          <w:szCs w:val="28"/>
          <w:rtl w:val="true"/>
          <w:lang w:bidi="fa-IR"/>
        </w:rPr>
        <w:t xml:space="preserve">. </w:t>
      </w:r>
      <w:r>
        <w:rPr>
          <w:rStyle w:val="FootnoteAnchor"/>
          <w:rtl w:val="true"/>
        </w:rPr>
        <w:footnoteReference w:id="1639"/>
      </w:r>
    </w:p>
    <w:p>
      <w:pPr>
        <w:pStyle w:val="Heading6"/>
        <w:numPr>
          <w:ilvl w:val="5"/>
          <w:numId w:val="1"/>
        </w:numPr>
        <w:rPr/>
      </w:pPr>
      <w:bookmarkStart w:id="601" w:name="__RefHeading___Toc3767285_3650668749"/>
      <w:bookmarkStart w:id="602" w:name="_Toc221"/>
      <w:bookmarkEnd w:id="601"/>
      <w:r>
        <w:rPr>
          <w:rtl w:val="true"/>
        </w:rPr>
        <w:t xml:space="preserve">چهار </w:t>
      </w:r>
      <w:r>
        <w:rPr>
          <w:rtl w:val="true"/>
        </w:rPr>
        <w:t xml:space="preserve">- </w:t>
      </w:r>
      <w:r>
        <w:rPr>
          <w:rtl w:val="true"/>
        </w:rPr>
        <w:t>موهوم بودن سرانجام و اهداف ابن‌سبأ</w:t>
      </w:r>
      <w:bookmarkEnd w:id="60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عبدالله‌بن‌سبأ نقشى در تاريخ اسلام داشته يا نه؟ چنان‌كه اشاره شد گروهى </w:t>
      </w:r>
    </w:p>
    <w:p>
      <w:pPr>
        <w:pStyle w:val="BookText"/>
        <w:rPr/>
      </w:pPr>
      <w:r>
        <w:rPr>
          <w:rFonts w:ascii="IRNazanin" w:hAnsi="IRNazanin" w:eastAsia="IRNazanin"/>
          <w:color w:val="111111"/>
          <w:sz w:val="28"/>
          <w:sz w:val="28"/>
          <w:szCs w:val="28"/>
          <w:rtl w:val="true"/>
          <w:lang w:bidi="fa-IR"/>
        </w:rPr>
        <w:t xml:space="preserve">به پيروى از طبرى به‌روايت سيف بن عمر حوادث بزرگى چون طرح انديشه امامت و وصايت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تحريك مردم عليه عثمان و افروختن جنگ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را به‌اين شخص نسبت مى‌دهند </w:t>
      </w:r>
      <w:r>
        <w:rPr>
          <w:rStyle w:val="FootnoteAnchor"/>
          <w:rtl w:val="true"/>
        </w:rPr>
        <w:footnoteReference w:id="1640"/>
      </w:r>
      <w:r>
        <w:rPr>
          <w:rFonts w:ascii="IRNazanin" w:hAnsi="IRNazanin" w:eastAsia="IRNazanin"/>
          <w:color w:val="111111"/>
          <w:sz w:val="28"/>
          <w:sz w:val="28"/>
          <w:szCs w:val="28"/>
          <w:rtl w:val="true"/>
          <w:lang w:bidi="fa-IR"/>
        </w:rPr>
        <w:t>، اما گروه ديگر به‌روايت غير سيف‌بن‌عمر، براى وى نقشى در حوادث تاريخ متذكر نشده‌اند، فقط او را دروغگو و از غلات نسبت به‌على شمرده‌اند؛ ابن‌عساكر از طريق شعبى نقل مى‌كند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كَذَبَ عبدالله‌بن‌سبأ </w:t>
      </w:r>
      <w:r>
        <w:rPr>
          <w:rFonts w:eastAsia="IRNazanin" w:cs="IRNazanin"/>
          <w:color w:val="111111"/>
          <w:sz w:val="28"/>
          <w:szCs w:val="28"/>
          <w:rtl w:val="true"/>
          <w:lang w:bidi="fa-IR"/>
        </w:rPr>
        <w:t xml:space="preserve">» </w:t>
      </w:r>
      <w:r>
        <w:rPr>
          <w:rStyle w:val="FootnoteAnchor"/>
          <w:rtl w:val="true"/>
        </w:rPr>
        <w:footnoteReference w:id="1641"/>
      </w:r>
      <w:r>
        <w:rPr>
          <w:rFonts w:ascii="IRNazanin" w:hAnsi="IRNazanin" w:eastAsia="IRNazanin"/>
          <w:color w:val="111111"/>
          <w:sz w:val="28"/>
          <w:sz w:val="28"/>
          <w:szCs w:val="28"/>
          <w:rtl w:val="true"/>
          <w:lang w:bidi="fa-IR"/>
        </w:rPr>
        <w:t>از عمار الدهنى مى‌آورد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ابا الطفيل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المسيّب بن‌نجبة أتي به‌ملبّبة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على المنبر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يكذب على‌الله و على رسوله </w:t>
      </w:r>
      <w:r>
        <w:rPr>
          <w:rFonts w:eastAsia="IRNazanin" w:cs="IRNazanin"/>
          <w:color w:val="111111"/>
          <w:sz w:val="28"/>
          <w:szCs w:val="28"/>
          <w:rtl w:val="true"/>
          <w:lang w:bidi="fa-IR"/>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خصوص سرانجام ابن سبأ نيز ترديدهاى جدّى وجود دارد؛ گروهى معتقدند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طعن ابابكر و عمر را شنيد و او را در آتش سوزاند </w:t>
      </w:r>
      <w:r>
        <w:rPr>
          <w:rStyle w:val="FootnoteAnchor"/>
          <w:rtl w:val="true"/>
        </w:rPr>
        <w:footnoteReference w:id="1643"/>
      </w:r>
      <w:r>
        <w:rPr>
          <w:rFonts w:ascii="Amiri" w:hAnsi="Amiri" w:eastAsia="Amiri" w:cs="Amiri"/>
          <w:color w:val="111111"/>
          <w:sz w:val="28"/>
          <w:sz w:val="28"/>
          <w:szCs w:val="28"/>
          <w:rtl w:val="true"/>
          <w:lang w:bidi="ar-SA"/>
        </w:rPr>
        <w:t>، برخى بر اين باورند كه او را به ساباطِ مدائن تبعيد كرد</w:t>
      </w:r>
      <w:r>
        <w:rPr>
          <w:rFonts w:eastAsia="Amiri" w:cs="Amiri" w:ascii="Amiri" w:hAnsi="Amiri"/>
          <w:color w:val="111111"/>
          <w:sz w:val="28"/>
          <w:szCs w:val="28"/>
          <w:rtl w:val="true"/>
          <w:lang w:bidi="ar-SA"/>
        </w:rPr>
        <w:t xml:space="preserve">. </w:t>
      </w:r>
      <w:r>
        <w:rPr>
          <w:rStyle w:val="FootnoteAnchor"/>
          <w:rtl w:val="true"/>
        </w:rPr>
        <w:footnoteReference w:id="1644"/>
      </w:r>
      <w:r>
        <w:rPr>
          <w:rFonts w:ascii="Amiri" w:hAnsi="Amiri" w:eastAsia="Amiri" w:cs="Amiri"/>
          <w:color w:val="111111"/>
          <w:sz w:val="28"/>
          <w:sz w:val="28"/>
          <w:szCs w:val="28"/>
          <w:rtl w:val="true"/>
          <w:lang w:bidi="ar-SA"/>
        </w:rPr>
        <w:t xml:space="preserve">شهرستانى تصريح مى‌كند كه وى بعد از شهادت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بود و افكارش را بعد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داد</w:t>
      </w:r>
      <w:r>
        <w:rPr>
          <w:rFonts w:eastAsia="Amiri" w:cs="Amiri" w:ascii="Amiri" w:hAnsi="Amiri"/>
          <w:color w:val="111111"/>
          <w:sz w:val="28"/>
          <w:szCs w:val="28"/>
          <w:rtl w:val="true"/>
          <w:lang w:bidi="ar-SA"/>
        </w:rPr>
        <w:t xml:space="preserve">! </w:t>
      </w:r>
      <w:r>
        <w:rPr>
          <w:rStyle w:val="FootnoteAnchor"/>
          <w:rtl w:val="true"/>
        </w:rPr>
        <w:footnoteReference w:id="164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اهداف اين شخصيت اسطوره‌اى كه بيش از اندازه نسبت به‌او غلو شده، تناقضات جدى وجود دارد؛ گاهى هدف او را سقوط حكومت عثمان و تسلط بر مدينه و حجاز </w:t>
      </w:r>
    </w:p>
    <w:p>
      <w:pPr>
        <w:pStyle w:val="BookText"/>
        <w:rPr/>
      </w:pPr>
      <w:r>
        <w:rPr>
          <w:rFonts w:ascii="IRNazanin" w:hAnsi="IRNazanin" w:eastAsia="IRNazanin"/>
          <w:color w:val="111111"/>
          <w:sz w:val="28"/>
          <w:sz w:val="28"/>
          <w:szCs w:val="28"/>
          <w:rtl w:val="true"/>
          <w:lang w:bidi="fa-IR"/>
        </w:rPr>
        <w:t xml:space="preserve">و ترويج باورهاى يهود كه يكى از منويات اين قوم محسوب مى‌گردد، مى‌دانند </w:t>
      </w:r>
      <w:r>
        <w:rPr>
          <w:rStyle w:val="FootnoteAnchor"/>
          <w:rtl w:val="true"/>
        </w:rPr>
        <w:footnoteReference w:id="1646"/>
      </w:r>
      <w:r>
        <w:rPr>
          <w:rFonts w:ascii="IRNazanin" w:hAnsi="IRNazanin" w:eastAsia="IRNazanin"/>
          <w:color w:val="111111"/>
          <w:sz w:val="28"/>
          <w:sz w:val="28"/>
          <w:szCs w:val="28"/>
          <w:rtl w:val="true"/>
          <w:lang w:bidi="fa-IR"/>
        </w:rPr>
        <w:t xml:space="preserve">گاهى بر تسلط پيدا كردن او بر بازار كوفه و رياست آن، بزرگنمايى مى‌شود </w:t>
      </w: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 نابودى اسلام كه خواست مشترك يهود و مجوس بوده است </w:t>
      </w:r>
      <w:r>
        <w:rPr>
          <w:rStyle w:val="FootnoteAnchor"/>
          <w:rtl w:val="true"/>
        </w:rPr>
        <w:footnoteReference w:id="1648"/>
      </w:r>
      <w:r>
        <w:rPr>
          <w:rFonts w:ascii="IRNazanin" w:hAnsi="IRNazanin" w:eastAsia="IRNazanin"/>
          <w:color w:val="111111"/>
          <w:sz w:val="28"/>
          <w:sz w:val="28"/>
          <w:szCs w:val="28"/>
          <w:rtl w:val="true"/>
          <w:lang w:bidi="fa-IR"/>
        </w:rPr>
        <w:t xml:space="preserve">، مانور داده مى‌شود وگاهى بر پيامبربودن خود وى </w:t>
      </w:r>
      <w:r>
        <w:rPr>
          <w:rStyle w:val="FootnoteAnchor"/>
          <w:rtl w:val="true"/>
        </w:rPr>
        <w:footnoteReference w:id="1649"/>
      </w:r>
      <w:r>
        <w:rPr>
          <w:rFonts w:ascii="IRNazanin" w:hAnsi="IRNazanin" w:eastAsia="IRNazanin"/>
          <w:color w:val="111111"/>
          <w:sz w:val="28"/>
          <w:sz w:val="28"/>
          <w:szCs w:val="28"/>
          <w:rtl w:val="true"/>
          <w:lang w:bidi="fa-IR"/>
        </w:rPr>
        <w:t xml:space="preserve">تأكيد مى‌گردد، و بيشتر روى امامت و وصايت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 و خدا بودن حضرت، پافشارى مى‌شود </w:t>
      </w:r>
      <w:r>
        <w:rPr>
          <w:rStyle w:val="FootnoteAnchor"/>
          <w:rtl w:val="true"/>
        </w:rPr>
        <w:footnoteReference w:id="1650"/>
      </w:r>
      <w:r>
        <w:rPr>
          <w:rFonts w:ascii="IRNazanin" w:hAnsi="IRNazanin" w:eastAsia="IRNazanin"/>
          <w:color w:val="111111"/>
          <w:sz w:val="28"/>
          <w:sz w:val="28"/>
          <w:szCs w:val="28"/>
          <w:rtl w:val="true"/>
          <w:lang w:bidi="fa-IR"/>
        </w:rPr>
        <w:t>، برخى او را عامل دولت روم مى‌شمارند</w:t>
      </w:r>
      <w:r>
        <w:rPr>
          <w:rFonts w:eastAsia="IRNazanin" w:cs="IRNazanin"/>
          <w:color w:val="111111"/>
          <w:sz w:val="28"/>
          <w:szCs w:val="28"/>
          <w:rtl w:val="true"/>
          <w:lang w:bidi="fa-IR"/>
        </w:rPr>
        <w:t xml:space="preserve">! </w:t>
      </w:r>
      <w:r>
        <w:rPr>
          <w:rStyle w:val="FootnoteAnchor"/>
          <w:rtl w:val="true"/>
        </w:rPr>
        <w:footnoteReference w:id="1651"/>
      </w:r>
      <w:r>
        <w:rPr>
          <w:rFonts w:ascii="IRNazanin" w:hAnsi="IRNazanin" w:eastAsia="IRNazanin"/>
          <w:color w:val="111111"/>
          <w:sz w:val="28"/>
          <w:sz w:val="28"/>
          <w:szCs w:val="28"/>
          <w:rtl w:val="true"/>
          <w:lang w:bidi="fa-IR"/>
        </w:rPr>
        <w:t>جالب اينكه طرفداران اسطوره‌اى ابن‌سبأ متوجّه تناقض گويى‌هاى خود هم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ادعا مى‌كنند كه ابن‌سبأ نخستين كسى بود كه وصايت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كرد،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وصى و خاتم الاوصياء خواند، از ديگرسو، مدعى‌اند، ابن‌سبأ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بشربودن و خدايى او قابل جمع است؟ </w:t>
      </w:r>
      <w:r>
        <w:rPr>
          <w:rFonts w:eastAsia="IRNazanin" w:cs="IRNazanin"/>
          <w:color w:val="111111"/>
          <w:sz w:val="28"/>
          <w:szCs w:val="28"/>
          <w:rtl w:val="true"/>
          <w:lang w:bidi="fa-IR"/>
        </w:rPr>
        <w:t xml:space="preserve">! </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 xml:space="preserve">همچنين اگر وى اهداف يهود را تعقيب مى‌كرد، و عامل يهود بود، يهودى ديگر به‌نام كعب‌الاحبار در كنار عثمان و مشاور او بود </w:t>
      </w:r>
      <w:r>
        <w:rPr>
          <w:rStyle w:val="FootnoteAnchor"/>
          <w:rtl w:val="true"/>
        </w:rPr>
        <w:footnoteReference w:id="1653"/>
      </w:r>
      <w:r>
        <w:rPr>
          <w:rFonts w:ascii="Amiri" w:hAnsi="Amiri" w:eastAsia="Amiri" w:cs="Amiri"/>
          <w:color w:val="111111"/>
          <w:sz w:val="28"/>
          <w:sz w:val="28"/>
          <w:szCs w:val="28"/>
          <w:rtl w:val="true"/>
          <w:lang w:bidi="ar-SA"/>
        </w:rPr>
        <w:t>، در نتيجه يهود از طريق او به‌اهدافش</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مى‌رسيد و چه نيازى به‌ابن‌سبأ بود؟ </w:t>
      </w:r>
      <w:bookmarkStart w:id="603" w:name="pg1976_28271"/>
    </w:p>
    <w:p>
      <w:pPr>
        <w:pStyle w:val="Heading6"/>
        <w:numPr>
          <w:ilvl w:val="5"/>
          <w:numId w:val="1"/>
        </w:numPr>
        <w:rPr/>
      </w:pPr>
      <w:bookmarkStart w:id="604" w:name="__RefHeading___Toc3767287_3650668749"/>
      <w:bookmarkStart w:id="605" w:name="_Toc222"/>
      <w:bookmarkEnd w:id="603"/>
      <w:bookmarkEnd w:id="604"/>
      <w:r>
        <w:rPr>
          <w:rtl w:val="true"/>
        </w:rPr>
        <w:t xml:space="preserve">پنج </w:t>
      </w:r>
      <w:r>
        <w:rPr>
          <w:rtl w:val="true"/>
        </w:rPr>
        <w:t xml:space="preserve">- </w:t>
      </w:r>
      <w:r>
        <w:rPr>
          <w:rtl w:val="true"/>
        </w:rPr>
        <w:t>تأثيرگذارى شگفت‌آميز ابن‌سبأ</w:t>
      </w:r>
      <w:bookmarkEnd w:id="605"/>
    </w:p>
    <w:p>
      <w:pPr>
        <w:pStyle w:val="BookText"/>
        <w:rPr/>
      </w:pPr>
      <w:r>
        <w:rPr>
          <w:rFonts w:ascii="IRNazanin" w:hAnsi="IRNazanin" w:eastAsia="IRNazanin"/>
          <w:color w:val="111111"/>
          <w:sz w:val="28"/>
          <w:sz w:val="28"/>
          <w:szCs w:val="28"/>
          <w:rtl w:val="true"/>
          <w:lang w:bidi="fa-IR"/>
        </w:rPr>
        <w:t>يكى از تاريك‌ترين تقطه‌هاى زندگى شخصيت موهوم ابن‌سبأ، تأثيرگذارى عجيب و سريع او برگروهى از اصحاب و مسلمانان است</w:t>
      </w:r>
      <w:r>
        <w:rPr>
          <w:rFonts w:eastAsia="IRNazanin" w:cs="IRNazanin"/>
          <w:color w:val="111111"/>
          <w:sz w:val="28"/>
          <w:szCs w:val="28"/>
          <w:rtl w:val="true"/>
          <w:lang w:bidi="fa-IR"/>
        </w:rPr>
        <w:t xml:space="preserve">. </w:t>
      </w:r>
      <w:r>
        <w:rPr>
          <w:rStyle w:val="FootnoteAnchor"/>
          <w:rtl w:val="true"/>
        </w:rPr>
        <w:footnoteReference w:id="1654"/>
      </w:r>
      <w:r>
        <w:rPr>
          <w:rFonts w:ascii="IRNazanin" w:hAnsi="IRNazanin" w:eastAsia="IRNazanin"/>
          <w:color w:val="111111"/>
          <w:sz w:val="28"/>
          <w:sz w:val="28"/>
          <w:szCs w:val="28"/>
          <w:rtl w:val="true"/>
          <w:lang w:bidi="fa-IR"/>
        </w:rPr>
        <w:t xml:space="preserve">چگونه او سريع و گسترده به افكارو انديشه‌هايش جامه عمل پوشاند و به‌منويات خويش نايل‌آمد؟ او كه به‌گفته طبرى در زمان عثمان به‌اسلام گرويد </w:t>
      </w:r>
      <w:r>
        <w:rPr>
          <w:rStyle w:val="FootnoteAnchor"/>
          <w:rtl w:val="true"/>
        </w:rPr>
        <w:footnoteReference w:id="1655"/>
      </w:r>
      <w:r>
        <w:rPr>
          <w:rFonts w:ascii="IRNazanin" w:hAnsi="IRNazanin" w:eastAsia="IRNazanin"/>
          <w:color w:val="111111"/>
          <w:sz w:val="28"/>
          <w:sz w:val="28"/>
          <w:szCs w:val="28"/>
          <w:rtl w:val="true"/>
          <w:lang w:bidi="fa-IR"/>
        </w:rPr>
        <w:t xml:space="preserve">، چطور شد كه از همه اصحاب پيشى گرفت و به‌شهرهاى مختلف و مهم آن روز براى تحريك مردم، عليه عثمان مسافرت كرد؟ </w:t>
      </w:r>
      <w:r>
        <w:rPr>
          <w:rStyle w:val="FootnoteAnchor"/>
          <w:rtl w:val="true"/>
        </w:rPr>
        <w:footnoteReference w:id="1656"/>
      </w:r>
      <w:r>
        <w:rPr>
          <w:rFonts w:ascii="IRNazanin" w:hAnsi="IRNazanin" w:eastAsia="IRNazanin"/>
          <w:color w:val="111111"/>
          <w:sz w:val="28"/>
          <w:sz w:val="28"/>
          <w:szCs w:val="28"/>
          <w:rtl w:val="true"/>
          <w:lang w:bidi="fa-IR"/>
        </w:rPr>
        <w:t xml:space="preserve">آيا اعتماد مسلمانان بر او و نفوذ كلام وى از اعتماد نفوذ كلام اباذر، عمار و سلمان و حتى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بود؟ و اينكه مسلمانان فريب او را خورده باشند و به‌نيرنگ و دسيسه‌هاى او، باورانه دل بسته باشند، توهين و تحقير مسلمانان نيست؟ ؛ چگونه جاسوسان و عمّال عثمان‌بن‌عفان دسيسه‌هاى وى را هرچند كه زيركانه صورت گرفته باشد، به‌مركز خلافت گزارش ندادند؛ تا وقتى‌كه زمنيه‌هاى شورش‌ها فراهم شد، عثمان عده‌اى از جمله عماربن‌ياسر را براى بررسى اوضاع به‌شهرها فرستاد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گذشته بر پايه گزارش طبرى، وى بيشترين تأثير را روى اباذرغفارى صحابى گرامى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Style w:val="FootnoteAnchor"/>
          <w:rtl w:val="true"/>
        </w:rPr>
        <w:footnoteReference w:id="1658"/>
      </w:r>
      <w:r>
        <w:rPr>
          <w:rFonts w:ascii="IRNazanin" w:hAnsi="IRNazanin" w:eastAsia="IRNazanin"/>
          <w:color w:val="111111"/>
          <w:sz w:val="28"/>
          <w:sz w:val="28"/>
          <w:szCs w:val="28"/>
          <w:rtl w:val="true"/>
          <w:lang w:bidi="fa-IR"/>
        </w:rPr>
        <w:t>، و در اوّلين ملاقاتش به‌اباذرگفت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إلى معاوية،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ألمالُ مال‌الله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كلَّ شيءٍ لِله كأنّه يريد أن يحتجنه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المسلمين و يمحو اسم المسلمين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اباذر نه تنها نزد معاويه آمد و اعتراض خود را به‌وى رساند، كه فقرا را عليه اغنيا </w:t>
      </w:r>
      <w:r>
        <w:rPr>
          <w:rStyle w:val="FootnoteAnchor"/>
          <w:rtl w:val="true"/>
        </w:rPr>
        <w:footnoteReference w:id="1659"/>
      </w:r>
      <w:r>
        <w:rPr>
          <w:rFonts w:ascii="IRNazanin" w:hAnsi="IRNazanin" w:eastAsia="IRNazanin"/>
          <w:color w:val="111111"/>
          <w:sz w:val="28"/>
          <w:sz w:val="28"/>
          <w:szCs w:val="28"/>
          <w:rtl w:val="true"/>
          <w:lang w:bidi="fa-IR"/>
        </w:rPr>
        <w:t xml:space="preserve">شوراند، </w:t>
      </w:r>
      <w:r>
        <w:rPr>
          <w:rStyle w:val="FootnoteAnchor"/>
          <w:rtl w:val="true"/>
        </w:rPr>
        <w:footnoteReference w:id="1660"/>
      </w:r>
      <w:r>
        <w:rPr>
          <w:rFonts w:ascii="IRNazanin" w:hAnsi="IRNazanin" w:eastAsia="IRNazanin"/>
          <w:color w:val="111111"/>
          <w:sz w:val="28"/>
          <w:sz w:val="28"/>
          <w:szCs w:val="28"/>
          <w:rtl w:val="true"/>
          <w:lang w:bidi="fa-IR"/>
        </w:rPr>
        <w:t>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اباذر كه دست‌پرورده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سال‌ها در كنار حضرت بود، فريب تازه‌مسلمان يهودى‌الاصل را بخورد؟ آيا ممكن است تعاليم ابتدايى اسلام را از يك يهودى‌الاصل فراگيرد، </w:t>
      </w:r>
      <w:r>
        <w:rPr>
          <w:rStyle w:val="FootnoteAnchor"/>
          <w:rtl w:val="true"/>
        </w:rPr>
        <w:footnoteReference w:id="1661"/>
      </w:r>
      <w:r>
        <w:rPr>
          <w:rFonts w:ascii="IRNazanin" w:hAnsi="IRNazanin" w:eastAsia="IRNazanin"/>
          <w:color w:val="111111"/>
          <w:sz w:val="28"/>
          <w:sz w:val="28"/>
          <w:szCs w:val="28"/>
          <w:rtl w:val="true"/>
          <w:lang w:bidi="fa-IR"/>
        </w:rPr>
        <w:t>درحالى‌كه وقتى عثمان از جمعى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از بيت‌المال چيزى بردارد، و بعداً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كعب‌الاحبار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لابأس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حضور خليفه لب به‌اعتراض گشود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اليهوديين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أتعلّمنا دِينَنَا؟ </w:t>
      </w:r>
      <w:r>
        <w:rPr>
          <w:rFonts w:eastAsia="IRNazanin" w:cs="IRNazanin"/>
          <w:color w:val="111111"/>
          <w:sz w:val="28"/>
          <w:szCs w:val="28"/>
          <w:rtl w:val="true"/>
          <w:lang w:bidi="fa-IR"/>
        </w:rPr>
        <w:t xml:space="preserve">. . . » </w:t>
      </w:r>
      <w:r>
        <w:rPr>
          <w:rStyle w:val="FootnoteAnchor"/>
          <w:rtl w:val="true"/>
        </w:rPr>
        <w:footnoteReference w:id="1662"/>
      </w:r>
      <w:r>
        <w:rPr>
          <w:rFonts w:ascii="Amiri" w:hAnsi="Amiri" w:eastAsia="Amiri" w:cs="Amiri"/>
          <w:color w:val="111111"/>
          <w:sz w:val="28"/>
          <w:sz w:val="28"/>
          <w:szCs w:val="28"/>
          <w:rtl w:val="true"/>
          <w:lang w:bidi="ar-SA"/>
        </w:rPr>
        <w:t xml:space="preserve">، شبيه اين قضيه را مسعودى نيز نقل مى‌كند </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اباذرى كه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أظلّت الخضراء ولا أقلّت الغبراء أصدق من ابي‌ذر </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همين طبرى در جاى ديگر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ابن‌سبأ در شام توفيقى نداشت و كسى او را لبيك نگفت</w:t>
      </w:r>
      <w:r>
        <w:rPr>
          <w:rFonts w:eastAsia="IRNazanin" w:cs="IRNazanin"/>
          <w:color w:val="111111"/>
          <w:sz w:val="28"/>
          <w:szCs w:val="28"/>
          <w:rtl w:val="true"/>
          <w:lang w:bidi="fa-IR"/>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و اينكه وى در شام موفّق نبود ولى در مصر توفيق يافت، واضعان داستان، خواسته‌اند شورش مردم مصر را تأثير ابن‌سبأ و آرامش شام را نتيجه ناكامى او وانمود كنند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تحليل اصل ملاقات اباذر در شام، دروغ بودن قضيه روشن مى‌گردد؛ زيرا طبرى كه منحصر به‌فردترين منبع اين حادثه است، ظهور ابن‌سبأ و اسلام آوردن او را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w:t>
      </w:r>
      <w:r>
        <w:rPr>
          <w:rStyle w:val="FootnoteAnchor"/>
          <w:rtl w:val="true"/>
        </w:rPr>
        <w:footnoteReference w:id="1667"/>
      </w:r>
      <w:r>
        <w:rPr>
          <w:rFonts w:ascii="IRNazanin" w:hAnsi="IRNazanin" w:eastAsia="IRNazanin"/>
          <w:color w:val="111111"/>
          <w:sz w:val="28"/>
          <w:sz w:val="28"/>
          <w:szCs w:val="28"/>
          <w:rtl w:val="true"/>
          <w:lang w:bidi="fa-IR"/>
        </w:rPr>
        <w:t>، كه در همين تاريخ ابتدا به‌بصره، سپس به كوفه و از آنجا به‌شام رفت و اباذر 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حضور وى در شام به‌رغم اينكه حداقل نصف سال طول مى‌كشيد تا اين مسيرها را طى كند بايد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باشد، درحالى‌كه با مراجعه </w:t>
      </w:r>
    </w:p>
    <w:p>
      <w:pPr>
        <w:pStyle w:val="BookText"/>
        <w:rPr/>
      </w:pPr>
      <w:r>
        <w:rPr>
          <w:rFonts w:ascii="Amiri" w:hAnsi="Amiri" w:eastAsia="Amiri" w:cs="Amiri"/>
          <w:color w:val="111111"/>
          <w:sz w:val="28"/>
          <w:sz w:val="28"/>
          <w:szCs w:val="28"/>
          <w:rtl w:val="true"/>
          <w:lang w:bidi="ar-SA"/>
        </w:rPr>
        <w:t xml:space="preserve">به‌متن اين كتاب مناظره اباذر با معاويه را كه ناشى از تأثير ابن‌سبأ بر او باشد، در حوادث سال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هجرت آورده است </w:t>
      </w:r>
      <w:r>
        <w:rPr>
          <w:rStyle w:val="FootnoteAnchor"/>
          <w:rtl w:val="true"/>
        </w:rPr>
        <w:footnoteReference w:id="1668"/>
      </w:r>
      <w:r>
        <w:rPr>
          <w:rFonts w:ascii="IRNazanin" w:hAnsi="IRNazanin" w:eastAsia="IRNazanin"/>
          <w:color w:val="111111"/>
          <w:sz w:val="28"/>
          <w:sz w:val="28"/>
          <w:szCs w:val="28"/>
          <w:rtl w:val="true"/>
          <w:lang w:bidi="fa-IR"/>
        </w:rPr>
        <w:t xml:space="preserve">بعد از اين مناظره، معاويه گزارش اباذر را به‌عثمان داد و عثمان دستور داد او را به‌عنوان زندانى به‌مركز خلافت بفرستد، معاويه وى را با وضع فجيع كه نزديك بود بميرد، به‌مدينه فرستاد </w:t>
      </w:r>
      <w:r>
        <w:rPr>
          <w:rStyle w:val="FootnoteAnchor"/>
          <w:rtl w:val="true"/>
        </w:rPr>
        <w:footnoteReference w:id="1669"/>
      </w:r>
      <w:r>
        <w:rPr>
          <w:rFonts w:ascii="IRNazanin" w:hAnsi="IRNazanin" w:eastAsia="IRNazanin"/>
          <w:color w:val="111111"/>
          <w:sz w:val="28"/>
          <w:sz w:val="28"/>
          <w:szCs w:val="28"/>
          <w:rtl w:val="true"/>
          <w:lang w:bidi="fa-IR"/>
        </w:rPr>
        <w:t xml:space="preserve">و عثمان همان سال اباذر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كرد، و اين صحابى گرامى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Style w:val="FootnoteAnchor"/>
          <w:rtl w:val="true"/>
        </w:rPr>
        <w:footnoteReference w:id="1670"/>
      </w:r>
      <w:r>
        <w:rPr>
          <w:rFonts w:ascii="Amiri" w:hAnsi="Amiri" w:eastAsia="Amiri" w:cs="Amiri"/>
          <w:color w:val="111111"/>
          <w:sz w:val="28"/>
          <w:sz w:val="28"/>
          <w:szCs w:val="28"/>
          <w:rtl w:val="true"/>
          <w:lang w:bidi="ar-SA"/>
        </w:rPr>
        <w:t>و يا</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Style w:val="FootnoteAnchor"/>
          <w:rtl w:val="true"/>
        </w:rPr>
        <w:footnoteReference w:id="1671"/>
      </w: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ظهور ابن‌سبأ در سال</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او با اباذر، كه در سال</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دنيارفته، براى نيل به هدفش در سال</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چگونه قابل جمع است؟ </w:t>
      </w:r>
      <w:r>
        <w:rPr>
          <w:rFonts w:eastAsia="IRNazanin" w:cs="IRNazanin"/>
          <w:color w:val="111111"/>
          <w:sz w:val="28"/>
          <w:szCs w:val="28"/>
          <w:rtl w:val="true"/>
          <w:lang w:bidi="fa-IR"/>
        </w:rPr>
        <w:t xml:space="preserve">! </w:t>
      </w:r>
      <w:r>
        <w:rPr>
          <w:rStyle w:val="FootnoteAnchor"/>
          <w:rtl w:val="true"/>
        </w:rPr>
        <w:footnoteReference w:id="1672"/>
      </w:r>
      <w:r>
        <w:rPr>
          <w:rFonts w:ascii="IRNazanin" w:hAnsi="IRNazanin" w:eastAsia="IRNazanin"/>
          <w:color w:val="111111"/>
          <w:sz w:val="28"/>
          <w:sz w:val="28"/>
          <w:szCs w:val="28"/>
          <w:rtl w:val="true"/>
          <w:lang w:bidi="fa-IR"/>
        </w:rPr>
        <w:t xml:space="preserve">و چگونه مى‌تواند اباذر يكى از ياران تأثيرگذار او محسوب گردد؟ </w:t>
      </w:r>
      <w:r>
        <w:rPr>
          <w:rStyle w:val="FootnoteAnchor"/>
          <w:rtl w:val="true"/>
        </w:rPr>
        <w:footnoteReference w:id="1673"/>
      </w:r>
      <w:r>
        <w:rPr>
          <w:rFonts w:ascii="IRNazanin" w:hAnsi="IRNazanin" w:eastAsia="IRNazanin"/>
          <w:color w:val="111111"/>
          <w:sz w:val="28"/>
          <w:sz w:val="28"/>
          <w:szCs w:val="28"/>
          <w:rtl w:val="true"/>
          <w:lang w:bidi="fa-IR"/>
        </w:rPr>
        <w:t>چنان‌كه على حسنى الخربوطلى با الهام از طبرى تصريح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أوَّل مَن بذرها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فى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صحابى جليلٌ إشتهر بالتقوى و الوَرع وهو أبوذرالغفارى، الَّذى إفتتن بدعوة ابن‌سبأ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ملاقات آن دو، سخن نمى‌گويد</w:t>
      </w:r>
      <w:r>
        <w:rPr>
          <w:rFonts w:eastAsia="IRNazanin" w:cs="IRNazanin"/>
          <w:color w:val="111111"/>
          <w:sz w:val="28"/>
          <w:szCs w:val="28"/>
          <w:rtl w:val="true"/>
          <w:lang w:bidi="fa-IR"/>
        </w:rPr>
        <w:t xml:space="preserve">. </w:t>
      </w:r>
      <w:r>
        <w:rPr>
          <w:rStyle w:val="FootnoteAnchor"/>
          <w:rtl w:val="true"/>
        </w:rPr>
        <w:footnoteReference w:id="1674"/>
      </w:r>
      <w:r>
        <w:rPr>
          <w:rFonts w:ascii="IRNazanin" w:hAnsi="IRNazanin" w:eastAsia="IRNazanin"/>
          <w:color w:val="111111"/>
          <w:sz w:val="28"/>
          <w:sz w:val="28"/>
          <w:szCs w:val="28"/>
          <w:rtl w:val="true"/>
          <w:lang w:bidi="fa-IR"/>
        </w:rPr>
        <w:t>هرچند كه اين صحابى گرامى نه تنها به معاويه و امثال وى، كه به خود عثمان بارها به‌خاطر حيف و ميل</w:t>
      </w:r>
    </w:p>
    <w:p>
      <w:pPr>
        <w:pStyle w:val="BookText"/>
        <w:rPr/>
      </w:pPr>
      <w:r>
        <w:rPr>
          <w:rFonts w:ascii="IRNazanin" w:hAnsi="IRNazanin" w:eastAsia="IRNazanin"/>
          <w:color w:val="111111"/>
          <w:sz w:val="28"/>
          <w:sz w:val="28"/>
          <w:szCs w:val="28"/>
          <w:rtl w:val="true"/>
          <w:lang w:bidi="fa-IR"/>
        </w:rPr>
        <w:t>بيت‌المال مسلمين ايراد مى‌گرفت و آيه شريفه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وَالَّذِينَ يكْنِزُونَ الذَّهَبَ وَالْفِضَّةَ وَلاَينفِقُونَهَا فِى سَبِيلِ‌اللهِ فَبَشِّرْهُ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بِعَذَابٍ 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مى‌خواند </w:t>
      </w:r>
      <w:r>
        <w:rPr>
          <w:rStyle w:val="FootnoteAnchor"/>
          <w:rtl w:val="true"/>
        </w:rPr>
        <w:footnoteReference w:id="1675"/>
      </w:r>
      <w:r>
        <w:rPr>
          <w:rFonts w:ascii="IRNazanin" w:hAnsi="IRNazanin" w:eastAsia="IRNazanin"/>
          <w:color w:val="111111"/>
          <w:sz w:val="28"/>
          <w:sz w:val="28"/>
          <w:szCs w:val="28"/>
          <w:rtl w:val="true"/>
          <w:lang w:bidi="fa-IR"/>
        </w:rPr>
        <w:t>، ولى اين دليل نمى‌شود كه او تحت تأثير ابن‌سبأ قرار گرفته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با توجّه به‌اين همه اختلاف، نسبت به‌شخصيت و نقش و اهداف او، و دَه‌ها </w:t>
      </w:r>
      <w:bookmarkStart w:id="606" w:name="pg1976_28277"/>
    </w:p>
    <w:p>
      <w:pPr>
        <w:pStyle w:val="BookText"/>
        <w:rPr/>
      </w:pPr>
      <w:bookmarkEnd w:id="606"/>
      <w:r>
        <w:rPr>
          <w:rFonts w:ascii="IRNazanin" w:hAnsi="IRNazanin" w:eastAsia="IRNazanin"/>
          <w:color w:val="111111"/>
          <w:sz w:val="28"/>
          <w:sz w:val="28"/>
          <w:szCs w:val="28"/>
          <w:rtl w:val="true"/>
          <w:lang w:bidi="fa-IR"/>
        </w:rPr>
        <w:t xml:space="preserve">سؤال اساسى ديگر، چگونه معقول است، او را آفريننده مهم‌ترين حوادث تاريخى و اعتقادى و اجتماعى خواند؟ </w:t>
      </w:r>
      <w:r>
        <w:rPr>
          <w:rFonts w:eastAsia="IRNazanin" w:cs="IRNazanin"/>
          <w:color w:val="111111"/>
          <w:sz w:val="28"/>
          <w:szCs w:val="28"/>
          <w:rtl w:val="true"/>
          <w:lang w:bidi="fa-IR"/>
        </w:rPr>
        <w:t>!</w:t>
      </w:r>
    </w:p>
    <w:p>
      <w:pPr>
        <w:pStyle w:val="Heading6"/>
        <w:numPr>
          <w:ilvl w:val="5"/>
          <w:numId w:val="1"/>
        </w:numPr>
        <w:rPr/>
      </w:pPr>
      <w:bookmarkStart w:id="607" w:name="__RefHeading___Toc3767289_3650668749"/>
      <w:bookmarkStart w:id="608" w:name="_Toc223"/>
      <w:bookmarkEnd w:id="607"/>
      <w:r>
        <w:rPr>
          <w:rtl w:val="true"/>
        </w:rPr>
        <w:t xml:space="preserve">شش </w:t>
      </w:r>
      <w:r>
        <w:rPr>
          <w:rtl w:val="true"/>
        </w:rPr>
        <w:t xml:space="preserve">- </w:t>
      </w:r>
      <w:r>
        <w:rPr>
          <w:rtl w:val="true"/>
        </w:rPr>
        <w:t>افسانه بودن ابن‌سبأ</w:t>
      </w:r>
      <w:bookmarkEnd w:id="608"/>
    </w:p>
    <w:p>
      <w:pPr>
        <w:pStyle w:val="BookText"/>
        <w:rPr/>
      </w:pPr>
      <w:r>
        <w:rPr>
          <w:rFonts w:ascii="IRNazanin" w:hAnsi="IRNazanin" w:eastAsia="IRNazanin"/>
          <w:color w:val="111111"/>
          <w:sz w:val="28"/>
          <w:sz w:val="28"/>
          <w:szCs w:val="28"/>
          <w:rtl w:val="true"/>
          <w:lang w:bidi="fa-IR"/>
        </w:rPr>
        <w:t>قريب به‌هزار سال است كه داستان ابن‌سبأ و دسيسه‌هاى او بخش قابل توجهى از آثار مكتوب مسلمانان را به‌خود اختصاص داده و هر روز ابعاد تازه‌اى به‌خود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خاطر نشان گشت، تنها مستند اين داستان تاريخ طبرى </w:t>
      </w:r>
      <w:r>
        <w:rPr>
          <w:rStyle w:val="FootnoteAnchor"/>
          <w:rtl w:val="true"/>
        </w:rPr>
        <w:footnoteReference w:id="1676"/>
      </w:r>
      <w:r>
        <w:rPr>
          <w:rFonts w:ascii="Amiri" w:hAnsi="Amiri" w:eastAsia="Amiri" w:cs="Amiri"/>
          <w:color w:val="111111"/>
          <w:sz w:val="28"/>
          <w:sz w:val="28"/>
          <w:szCs w:val="28"/>
          <w:rtl w:val="true"/>
          <w:lang w:bidi="ar-SA"/>
        </w:rPr>
        <w:t>است و قضيه تنها از شهرت تاريخى برخوردار است نَه حديثى و</w:t>
      </w:r>
      <w:r>
        <w:rPr>
          <w:rFonts w:eastAsia="Amiri" w:cs="Amiri" w:ascii="Amiri" w:hAnsi="Amiri"/>
          <w:color w:val="111111"/>
          <w:sz w:val="28"/>
          <w:szCs w:val="28"/>
          <w:rtl w:val="true"/>
          <w:lang w:bidi="ar-SA"/>
        </w:rPr>
        <w:t xml:space="preserve">. . . </w:t>
      </w:r>
      <w:r>
        <w:rPr>
          <w:rStyle w:val="FootnoteAnchor"/>
          <w:rtl w:val="true"/>
        </w:rPr>
        <w:footnoteReference w:id="1677"/>
      </w:r>
      <w:r>
        <w:rPr>
          <w:rFonts w:ascii="IRNazanin" w:hAnsi="IRNazanin" w:eastAsia="IRNazanin"/>
          <w:color w:val="111111"/>
          <w:sz w:val="28"/>
          <w:sz w:val="28"/>
          <w:szCs w:val="28"/>
          <w:rtl w:val="true"/>
          <w:lang w:bidi="fa-IR"/>
        </w:rPr>
        <w:t>، و هركسى پس از طبرى سخن از ابن‌سبأ به‌ميان آورده است، منبع اصلى آن به‌اين كتاب باز مى‌گردد</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در اين قسمت تنها به‌چند نكته اساسى اشاره مى‌شود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خبر تاريخى را منحصراً از سيف‌بن‌عمرالتميمى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اثر او به‌نام‌هاى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الكبير والردّ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 مسير عائشة 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مى‌كند</w:t>
      </w:r>
      <w:r>
        <w:rPr>
          <w:rFonts w:eastAsia="IRNazanin" w:cs="IRNazanin"/>
          <w:color w:val="111111"/>
          <w:sz w:val="28"/>
          <w:szCs w:val="28"/>
          <w:rtl w:val="true"/>
          <w:lang w:bidi="fa-IR"/>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از نظر رجال‌شناسان مشهور اهل سنت، اين شخص كاملاً ضعيف و غير قابل اعتماد است </w:t>
      </w:r>
      <w:r>
        <w:rPr>
          <w:rStyle w:val="FootnoteAnchor"/>
          <w:rtl w:val="true"/>
        </w:rPr>
        <w:footnoteReference w:id="1680"/>
      </w:r>
      <w:r>
        <w:rPr>
          <w:rFonts w:ascii="Amiri" w:hAnsi="Amiri" w:eastAsia="Amiri" w:cs="Amiri"/>
          <w:color w:val="111111"/>
          <w:sz w:val="28"/>
          <w:sz w:val="28"/>
          <w:szCs w:val="28"/>
          <w:rtl w:val="true"/>
          <w:lang w:bidi="ar-SA"/>
        </w:rPr>
        <w:t xml:space="preserve">ابن‌إدريس‌رازى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سيف‌بن‌عمر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مى‌كند</w:t>
      </w:r>
      <w:r>
        <w:rPr>
          <w:rFonts w:eastAsia="Amiri" w:cs="Amiri" w:ascii="Amiri" w:hAnsi="Amiri"/>
          <w:color w:val="111111"/>
          <w:sz w:val="28"/>
          <w:szCs w:val="28"/>
          <w:rtl w:val="true"/>
          <w:lang w:bidi="ar-SA"/>
        </w:rPr>
        <w:t xml:space="preserve">. </w:t>
      </w:r>
      <w:r>
        <w:rPr>
          <w:rStyle w:val="FootnoteAnchor"/>
          <w:rtl w:val="true"/>
        </w:rPr>
        <w:footnoteReference w:id="1681"/>
      </w: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روايتگر از مجهولين، ضعيف، ليس بشىء، متروكٌ، </w:t>
      </w:r>
    </w:p>
    <w:p>
      <w:pPr>
        <w:pStyle w:val="BookText"/>
        <w:rPr/>
      </w:pPr>
      <w:r>
        <w:rPr>
          <w:rFonts w:ascii="Amiri" w:hAnsi="Amiri" w:eastAsia="Amiri" w:cs="Amiri"/>
          <w:color w:val="111111"/>
          <w:sz w:val="28"/>
          <w:sz w:val="28"/>
          <w:szCs w:val="28"/>
          <w:rtl w:val="true"/>
          <w:lang w:bidi="ar-SA"/>
        </w:rPr>
        <w:t xml:space="preserve">متهمٌ بالزّنديقة، عا مّةُ حَدِيثِهِ مُنكرٌ، مى‌شناساند </w:t>
      </w:r>
      <w:r>
        <w:rPr>
          <w:rStyle w:val="FootnoteAnchor"/>
          <w:rtl w:val="true"/>
        </w:rPr>
        <w:footnoteReference w:id="1682"/>
      </w:r>
      <w:r>
        <w:rPr>
          <w:rFonts w:ascii="IRNazanin" w:hAnsi="IRNazanin" w:eastAsia="IRNazanin"/>
          <w:color w:val="111111"/>
          <w:sz w:val="28"/>
          <w:sz w:val="28"/>
          <w:szCs w:val="28"/>
          <w:rtl w:val="true"/>
          <w:lang w:bidi="fa-IR"/>
        </w:rPr>
        <w:t xml:space="preserve">، ابن‌حجرالعسقلانى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باتعبيرات؛ قال ابن‌معين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ضعيف‌الحديث، و به‌تعبير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خيرٌ منه، قال 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متروك‌الحديث، 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و الدارالقطنى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احاديثه مشهورۀ وعامّتها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او را چنين معرفى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يروي الموضوعات عن الاثبات و اتُّهم بالزّندقة،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يضع الحديث، و قال يرقاني عن الدارالقطني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وقال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 بالزّندقة، و هو في الرّوايةِ ساقط </w:t>
      </w:r>
      <w:r>
        <w:rPr>
          <w:rFonts w:eastAsia="IRNazanin" w:cs="IRNazanin"/>
          <w:color w:val="111111"/>
          <w:sz w:val="28"/>
          <w:szCs w:val="28"/>
          <w:rtl w:val="true"/>
          <w:lang w:bidi="fa-IR"/>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با توجّه به‌اين‌گفته‌ها در مورد سيف‌بن‌عمر، چگونه معقول است گزارش‌هاى او نسبت به‌شخص موهومى كه اين همه تأثير را در تاريخ اسلام گذاشته است، مورد تأييد قرار گرفته و تهمت‌هاى اعتقادى و اجتماعى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نسبت به‌بخش عظيم از مسلمانان مستند به‌چنين شخص موهوم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نقطه‌هاى تاريك و سؤالات بى‌پاسخ نسبت به‌ابن‌سبأ، اين سؤال اساسى مطرح است كه اگر داستان ابن‌سبأ به‌دور از واقعيت است، چگونه و چرا شخصيت‌سازى اسطوره‌اى او انجام شد و هزاران برگ از كتاب‌ها را به‌خود اختصاص داد؟ هدف از اين سناريوى تاريخى چه بود؟ براى گرفتن پاسخ اين سؤال، به تحليل‌هاى پژوهشگران زير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مصطفى، توطئه ابن‌سبأ را از آنِ معاويه مى‌داند و معتقد است وقتى معاويه سَبّ و دشنام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و آن را سنّت قرار داد، عماربن‌ياسر و اصحاب او كه از ياران نزديك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به‌مقابله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كردند كه تأثيرگذارى عمار، در نفوس مسلمانان ماندگارتر است و مستقيماً توان مقابله با او را ندارند، متوسّل به‌حيله و شايعه‌پراكنى و دسيسه شدند؛ و آن اين بود كه از على بن</w:t>
      </w:r>
    </w:p>
    <w:p>
      <w:pPr>
        <w:pStyle w:val="BookText"/>
        <w:rPr/>
      </w:pPr>
      <w:r>
        <w:rPr>
          <w:rFonts w:ascii="Amiri" w:hAnsi="Amiri" w:eastAsia="Amiri" w:cs="Amiri"/>
          <w:color w:val="111111"/>
          <w:sz w:val="28"/>
          <w:sz w:val="28"/>
          <w:szCs w:val="28"/>
          <w:rtl w:val="true"/>
          <w:lang w:bidi="ar-SA"/>
        </w:rPr>
        <w:t xml:space="preserve">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نام‌برده، دشنام مى‌دادند و او را خارج از اسلام مى‌دانستند و عمار بن‌ياسر 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لعن و نفرين مى‌كردند بى‌آنكه اكثر ساكنان شام ابوتراب و ابن‌سبأ را بشناسند</w:t>
      </w:r>
      <w:r>
        <w:rPr>
          <w:rFonts w:eastAsia="Amiri" w:cs="Amiri" w:ascii="Amiri" w:hAnsi="Amiri"/>
          <w:color w:val="111111"/>
          <w:sz w:val="28"/>
          <w:szCs w:val="28"/>
          <w:rtl w:val="true"/>
          <w:lang w:bidi="ar-SA"/>
        </w:rPr>
        <w:t xml:space="preserve">. </w:t>
      </w:r>
      <w:r>
        <w:rPr>
          <w:rStyle w:val="FootnoteAnchor"/>
          <w:rtl w:val="true"/>
        </w:rPr>
        <w:footnoteReference w:id="1684"/>
      </w:r>
      <w:r>
        <w:rPr>
          <w:rFonts w:ascii="IRNazanin" w:hAnsi="IRNazanin" w:eastAsia="IRNazanin"/>
          <w:color w:val="111111"/>
          <w:sz w:val="28"/>
          <w:sz w:val="28"/>
          <w:szCs w:val="28"/>
          <w:rtl w:val="true"/>
          <w:lang w:bidi="fa-IR"/>
        </w:rPr>
        <w:t xml:space="preserve">هرچند وى بر اين باور است كه ابن‌سبأ همان عماربن ياسر است </w:t>
      </w:r>
      <w:r>
        <w:rPr>
          <w:rStyle w:val="FootnoteAnchor"/>
          <w:rtl w:val="true"/>
        </w:rPr>
        <w:footnoteReference w:id="1685"/>
      </w:r>
      <w:r>
        <w:rPr>
          <w:rFonts w:ascii="IRNazanin" w:hAnsi="IRNazanin" w:eastAsia="IRNazanin"/>
          <w:color w:val="111111"/>
          <w:sz w:val="28"/>
          <w:sz w:val="28"/>
          <w:szCs w:val="28"/>
          <w:rtl w:val="true"/>
          <w:lang w:bidi="fa-IR"/>
        </w:rPr>
        <w:t xml:space="preserve">، ولى اصل توطئه بودن داستان ابن‌سبأ چنان‌كه ديگران نيز آن را كار خصوم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شيعه مى‌دانند، قابل تأييد است امّا اينكه ابن سبأ همان عماربن ياسر باشد،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چون خدا بودن، زنده بودن، در آسمان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سرانجام او مبنى بر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سوزاند و يا تبعيد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مقام عمار، اين صحابى گرامى و واقعيت‌هاى تاريخ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عماربن‌ياسر از معدود ستارگان درخشانى است كه نزد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ويژه‌اى برخوردار بود و حتى آن حضرت از شهادت او به‌دست گروه ياغى يعنى معاويه و سپاه او خبر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تقتُلكَ الفئةُ الباغية </w:t>
      </w:r>
      <w:r>
        <w:rPr>
          <w:rFonts w:eastAsia="IRNazanin" w:cs="IRNazanin"/>
          <w:color w:val="111111"/>
          <w:sz w:val="28"/>
          <w:szCs w:val="28"/>
          <w:rtl w:val="true"/>
          <w:lang w:bidi="fa-IR"/>
        </w:rPr>
        <w:t xml:space="preserve">» </w:t>
      </w: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ابن‌سبأ موهوم، نمى تواند عماربن‌ياسر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حسين، با ابراز شگفتى از زياده روى مورخان نسبت به‌ابن‌سبأ و نقش او در شورش عليه عثمان و افروختن جنگ جمل ميان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عايشه بدون اطلاع على، به‌اين نكته تصريح مى‌كند كه دشمنان شيعه خواستند يك عُنصر يهودى را وارد اين مذهب نمايند تا به‌حيله‌هاى خويش جامه عمل بپوشانند؛ زيرا مورّخان از يك‌سو، نقش ابن‌سبأ را در قتل عثمان و حادثه جمل برجسته و پر رنگ مى‌سازند، ولى از ديگر سو، از اين گروه در جنگ صفين و حادثه جنجالى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جاى آنان بود، گزارش</w:t>
      </w:r>
    </w:p>
    <w:p>
      <w:pPr>
        <w:pStyle w:val="BookText"/>
        <w:rPr/>
      </w:pPr>
      <w:r>
        <w:rPr>
          <w:rFonts w:ascii="IRNazanin" w:hAnsi="IRNazanin" w:eastAsia="IRNazanin"/>
          <w:color w:val="111111"/>
          <w:sz w:val="28"/>
          <w:sz w:val="28"/>
          <w:szCs w:val="28"/>
          <w:rtl w:val="true"/>
          <w:lang w:bidi="fa-IR"/>
        </w:rPr>
        <w:t>نمى‌دهند؛ از اين رو وى نتيجه نهايى پژوهش خود را اين‌گونه ابراز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أنا فَلااُعلِّل الامرين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سبائيان در جمل و عدم‌حضور آنان در صفين و 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بعلة واحدة، وهي أنّ ابن السوداء لم يكن إلّا وَهماً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وإنّما هو شخص إدَّخَرَهُ خصوم الشّيعة </w:t>
      </w:r>
      <w:r>
        <w:rPr>
          <w:rFonts w:eastAsia="IRNazanin" w:cs="IRNazanin"/>
          <w:color w:val="111111"/>
          <w:sz w:val="28"/>
          <w:szCs w:val="28"/>
          <w:rtl w:val="true"/>
          <w:lang w:bidi="fa-IR"/>
        </w:rPr>
        <w:t xml:space="preserve">. . .»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دكتر كامل‌حسين، نيز بعد از نقل متن طبرى و اظهار شگفتى از اين گزارش، تصريح مى‌كند كه چنين گزارشى درمنابع مختلف مصرى ديده نمى‌شود و هيچ كسى از مصرى‌ها آنچه به‌زعم طبرى آمده، نقل نكرده‌اند با اينكه گروهى از اصحاب در مصر حضور داشتند و شرح حال و حديث از آنها حكايت شده ولى عكس‌العمل آنان عليه ابن‌سبأ و آراء او گزارش نشده است، 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فقصّة ابن‌سبأ في مصر و أنّه بثّ آراء التشيّع بين المصريين هي أقرب الى الخرافات منها الى أيّ شيء آخر </w:t>
      </w:r>
      <w:r>
        <w:rPr>
          <w:rFonts w:eastAsia="IRNazanin" w:cs="IRNazanin"/>
          <w:color w:val="111111"/>
          <w:sz w:val="28"/>
          <w:szCs w:val="28"/>
          <w:rtl w:val="true"/>
          <w:lang w:bidi="fa-IR"/>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پژوهشگران علت موهوم بودن ابن‌سبأ و اينكه داستان سبئى طراحى دشمنان شيعه بوده است، اين مى‌دانند كه اين قضيه را مهم‌ترين منابع حوادث سال‌هاى حكومت عثمان و پس از آن، همچون ابن‌سعد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الطبقات،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انساب‌الاشراف، ابوحنيفه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درالاخبارالطوال، 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يعقوبى،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دركامل مبرد، مسعودى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مروج‌الذَّهب و التنبيه و الاشراف، ابن‌قتبيه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الامامة والسّياسة، از اين داستان سخن به‌ميان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طبرى از طريق سيف آن را گزارش نموده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اوج زياده‌روى در پردازش داستان ساختگى ابن‌سبأ، دوران حكومت اموى و عبّاسى است تا از اين طريق از يك طرف به‌برخى ازحوادث ناگوارى كه در زمان عثمان و كارگزاران وى، اتّفاق افتاد، سرپوش بگذارند و از سوى ديگر،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 تهمت ببندند و بعضى از</w:t>
      </w:r>
    </w:p>
    <w:p>
      <w:pPr>
        <w:pStyle w:val="BookText"/>
        <w:rPr/>
      </w:pPr>
      <w:r>
        <w:rPr>
          <w:rFonts w:ascii="Amiri" w:hAnsi="Amiri" w:eastAsia="Amiri" w:cs="Amiri"/>
          <w:color w:val="111111"/>
          <w:sz w:val="28"/>
          <w:sz w:val="28"/>
          <w:szCs w:val="28"/>
          <w:rtl w:val="true"/>
          <w:lang w:bidi="ar-SA"/>
        </w:rPr>
        <w:t>امور شيعه را منسوب به‌يهود نمايند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أكثر ما شَنَع خُصُوم الشّيعة على الشيعة، و ما أكثرما شَنَع الشيعة على خصومهم في أمرعثمان و في غيرعثمان </w:t>
      </w:r>
      <w:r>
        <w:rPr>
          <w:rFonts w:eastAsia="Amiri" w:cs="Amiri" w:ascii="Amiri" w:hAnsi="Amiri"/>
          <w:color w:val="111111"/>
          <w:sz w:val="28"/>
          <w:szCs w:val="28"/>
          <w:rtl w:val="true"/>
          <w:lang w:bidi="ar-SA"/>
        </w:rPr>
        <w:t xml:space="preserve">» . </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 xml:space="preserve">طه حسين، شدت خصومت ميان شيعه و اهل‌سنت را كه ابعاد مختلفى به‌خود گرفت، بعد از استقرار حكومت عبّاسى‌ها مى‌داند كه در آن جدال، نزاع، حيله‌گرى و تكذيب همديگر و حتى جعل حديث به‌نام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صحنه‌گردانان اين وضعيت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داستان سرايانى كه داستان‌هاى فتنه بصره و كوفه را آميخته با امور خيالى و تعصّب قبيلگى، بازگو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اصحاب جدال كه اخبار و احاديث را تنها براى تأييد مذهب و آراى خويش، نقل مى‌نمودند و چون بلاذرى از نقش ابن‌سوداء در فتنه عثمان و دوران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اشاره نكرده است، همه مورّخان از طبرى كه تنها منبع اين حوادث است، تبعيت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محدثان و اصحاب جدال نيز مسير طبرى را برگزيده‌اند جز اينكه اين‌ها برخلاف طبرى براين پندارند كه ابن‌سوداء و پيروانش،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مى‌دانستند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آتش سوزاند، درحالى‌كه چنين امرى نَه در تاريخ دوران كوتاهِ على ذكر شده است و نَه قبل از آن؛ تنها چيزى كه تاريخ نگاران و بلاذرى اشاره كرده‌اند، اين است كه گروهى درك وفه مرتَد شدند،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قتال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اين نتيجه‌گيرى را دارد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كان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سوداء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خالصاً أم أمراً غير ذي خطر بولِغ فيه كيداً للشيعة </w:t>
      </w:r>
      <w:r>
        <w:rPr>
          <w:rFonts w:eastAsia="IRNazanin" w:cs="IRNazanin"/>
          <w:color w:val="111111"/>
          <w:sz w:val="28"/>
          <w:szCs w:val="28"/>
          <w:rtl w:val="true"/>
          <w:lang w:bidi="fa-IR"/>
        </w:rPr>
        <w:t xml:space="preserve">» . </w:t>
      </w:r>
      <w:r>
        <w:rPr>
          <w:rStyle w:val="FootnoteAnchor"/>
          <w:rtl w:val="true"/>
        </w:rPr>
        <w:footnoteReference w:id="16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كُردعلى در مورد داستان ابن‌سبأ تصريح مى‌كند كه وَهم و ساختگى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ما ذَهَبَ بعض الكتّاب من أنّ أهل مذهب الشيعة من بدعة عبدالله المعروف بابن‌السوداء، فهو وَهمٌ، و قلة عِلم بحقيقة مذهبهم، و مَن علم منزلة هذا الرجل عند الشّيعة وبرائتهم منه و من أقواله و أعماله</w:t>
      </w:r>
      <w:bookmarkStart w:id="609" w:name="pg1976_28288"/>
    </w:p>
    <w:p>
      <w:pPr>
        <w:pStyle w:val="BookText"/>
        <w:rPr/>
      </w:pPr>
      <w:bookmarkEnd w:id="609"/>
      <w:r>
        <w:rPr>
          <w:rFonts w:ascii="Amiri" w:hAnsi="Amiri" w:eastAsia="Amiri" w:cs="Amiri"/>
          <w:color w:val="111111"/>
          <w:sz w:val="28"/>
          <w:sz w:val="28"/>
          <w:szCs w:val="28"/>
          <w:rtl w:val="true"/>
          <w:lang w:bidi="ar-SA"/>
        </w:rPr>
        <w:t xml:space="preserve">وكلام علمائهم في الطّعن فيه بلاخلاف بينهم في ذلك، عَلِم مبلغ هذا القول من الصّواب </w:t>
      </w:r>
      <w:r>
        <w:rPr>
          <w:rFonts w:eastAsia="Amiri" w:cs="Amiri" w:ascii="Amiri" w:hAnsi="Amiri"/>
          <w:color w:val="111111"/>
          <w:sz w:val="28"/>
          <w:szCs w:val="28"/>
          <w:rtl w:val="true"/>
          <w:lang w:bidi="ar-SA"/>
        </w:rPr>
        <w:t xml:space="preserve">» . </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بنابراين، داستان ابن‌سبأ، بدان جهت كه شيعه را به‌انواع تهمت‌ها متهم نمايند، از سوى دشمنان شيعه، ساخته و پرداخته شد و عليرغم اينكه شيعه اماميه به‌اتفاق از اين شخص بيزارى مى‌جويند، جاى شگفتى است كه بدخواهان، اصول و باورهاى اعتقادى آنان از جمله طرح امامت را به‌وى نسبت مى‌دهند</w:t>
      </w:r>
      <w:r>
        <w:rPr>
          <w:rFonts w:eastAsia="IRNazanin" w:cs="IRNazanin"/>
          <w:color w:val="111111"/>
          <w:sz w:val="28"/>
          <w:szCs w:val="28"/>
          <w:rtl w:val="true"/>
          <w:lang w:bidi="fa-IR"/>
        </w:rPr>
        <w:t xml:space="preserve">. </w:t>
      </w:r>
      <w:r>
        <w:rPr>
          <w:rStyle w:val="FootnoteAnchor"/>
          <w:rtl w:val="true"/>
        </w:rPr>
        <w:footnoteReference w:id="1692"/>
      </w:r>
      <w:r>
        <w:rPr>
          <w:rFonts w:ascii="IRNazanin" w:hAnsi="IRNazanin" w:eastAsia="IRNazanin"/>
          <w:color w:val="111111"/>
          <w:sz w:val="28"/>
          <w:sz w:val="28"/>
          <w:szCs w:val="28"/>
          <w:rtl w:val="true"/>
          <w:lang w:bidi="fa-IR"/>
        </w:rPr>
        <w:t>برفرض وجود چنين شخصى در تاريخ، قطعاً به‌اين اهميت كه همه حوادثى كه ناخوشايند مريدان خلفا و به‌ويژه عثمان است، به‌او منتسب مى‌كنند، نبوده است و نمى‌توان او را بيش از يك انسان دروغگو و بى‌مقدار تصور كرد، و وى عبدالله بن وهب السبائى از رؤساى خوارج بوده است</w:t>
      </w:r>
      <w:r>
        <w:rPr>
          <w:rFonts w:eastAsia="IRNazanin" w:cs="IRNazanin"/>
          <w:color w:val="111111"/>
          <w:sz w:val="28"/>
          <w:szCs w:val="28"/>
          <w:rtl w:val="true"/>
          <w:lang w:bidi="fa-IR"/>
        </w:rPr>
        <w:t xml:space="preserve">. </w:t>
      </w:r>
      <w:r>
        <w:rPr>
          <w:rStyle w:val="FootnoteAnchor"/>
          <w:rtl w:val="true"/>
        </w:rPr>
        <w:footnoteReference w:id="1693"/>
      </w:r>
      <w:r>
        <w:rPr>
          <w:rFonts w:ascii="IRNazanin" w:hAnsi="IRNazanin" w:eastAsia="IRNazanin"/>
          <w:color w:val="111111"/>
          <w:sz w:val="28"/>
          <w:sz w:val="28"/>
          <w:szCs w:val="28"/>
          <w:rtl w:val="true"/>
          <w:lang w:bidi="fa-IR"/>
        </w:rPr>
        <w:t>گذشته از آن، ابن‌سبأ ساختگى باشد و يا داراى واقعيت، اعتقادات شيعيان بركتاب‌خدا و سنّت قطعيه و دلايل عقلى صريح و براهين محكم استوار است؛ نَه بر برهان‌هاى سست و</w:t>
      </w:r>
    </w:p>
    <w:p>
      <w:pPr>
        <w:pStyle w:val="BookText"/>
        <w:rPr/>
      </w:pPr>
      <w:r>
        <w:rPr>
          <w:rFonts w:ascii="IRNazanin" w:hAnsi="IRNazanin" w:eastAsia="IRNazanin"/>
          <w:color w:val="111111"/>
          <w:sz w:val="28"/>
          <w:sz w:val="28"/>
          <w:szCs w:val="28"/>
          <w:rtl w:val="true"/>
          <w:lang w:bidi="fa-IR"/>
        </w:rPr>
        <w:t>بى‌پايه</w:t>
      </w:r>
      <w:r>
        <w:rPr>
          <w:rFonts w:eastAsia="IRNazanin" w:cs="IRNazanin"/>
          <w:color w:val="111111"/>
          <w:sz w:val="28"/>
          <w:szCs w:val="28"/>
          <w:rtl w:val="true"/>
          <w:lang w:bidi="fa-IR"/>
        </w:rPr>
        <w:t xml:space="preserve">. </w:t>
      </w:r>
      <w:r>
        <w:rPr>
          <w:rStyle w:val="FootnoteAnchor"/>
          <w:rtl w:val="true"/>
        </w:rPr>
        <w:footnoteReference w:id="1694"/>
      </w:r>
    </w:p>
    <w:p>
      <w:pPr>
        <w:pStyle w:val="Heading6"/>
        <w:numPr>
          <w:ilvl w:val="5"/>
          <w:numId w:val="1"/>
        </w:numPr>
        <w:rPr/>
      </w:pPr>
      <w:bookmarkStart w:id="610" w:name="__RefHeading___Toc3767291_3650668749"/>
      <w:bookmarkStart w:id="611" w:name="_Toc224"/>
      <w:bookmarkEnd w:id="610"/>
      <w:r>
        <w:rPr>
          <w:rtl w:val="true"/>
        </w:rPr>
        <w:t xml:space="preserve">هفت </w:t>
      </w:r>
      <w:r>
        <w:rPr>
          <w:rtl w:val="true"/>
        </w:rPr>
        <w:t xml:space="preserve">- </w:t>
      </w:r>
      <w:r>
        <w:rPr>
          <w:rtl w:val="true"/>
        </w:rPr>
        <w:t>ابن‌سبأ در منابع شيعه</w:t>
      </w:r>
      <w:bookmarkEnd w:id="61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اكثر كسانى كه نقش ابن‌سبأ را در حوادث مختلف تاريخى برجسته مى‌سازند، به‌منابع شيعه استناد مى‌كنند </w:t>
      </w:r>
      <w:r>
        <w:rPr>
          <w:rStyle w:val="FootnoteAnchor"/>
          <w:rtl w:val="true"/>
        </w:rPr>
        <w:footnoteReference w:id="1695"/>
      </w:r>
      <w:r>
        <w:rPr>
          <w:rFonts w:ascii="Amiri" w:hAnsi="Amiri" w:eastAsia="Amiri" w:cs="Amiri"/>
          <w:color w:val="111111"/>
          <w:sz w:val="28"/>
          <w:sz w:val="28"/>
          <w:szCs w:val="28"/>
          <w:rtl w:val="true"/>
          <w:lang w:bidi="ar-SA"/>
        </w:rPr>
        <w:t xml:space="preserve">و براى مخاطبان خويش وانمود مى‌نمايند كه اصل داستان </w:t>
      </w:r>
    </w:p>
    <w:p>
      <w:pPr>
        <w:pStyle w:val="BookText"/>
        <w:rPr/>
      </w:pPr>
      <w:r>
        <w:rPr>
          <w:rFonts w:ascii="IRNazanin" w:hAnsi="IRNazanin" w:eastAsia="IRNazanin"/>
          <w:color w:val="111111"/>
          <w:sz w:val="28"/>
          <w:sz w:val="28"/>
          <w:szCs w:val="28"/>
          <w:rtl w:val="true"/>
          <w:lang w:bidi="fa-IR"/>
        </w:rPr>
        <w:t>را خود بزرگان شيعه بازگو كرده‌اند و آن را عليه شيعه مستمسك قرار مى‌دهند؛ در ميان منابع شيعه از سه كتاب بيشترين بهره‌بردارى صورت گرفته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الشيعة، تأليف ابى‌محمد الحسن‌بن موسى النوبختى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الثالث</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المقالات والفرق، تأليف سعدبن عبدالله الاشعرى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كشّى، اختيار معرفةالرّجال معروف به‌رجال كشّى، ابى محمدبن‌الحسن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698"/>
      </w:r>
      <w:r>
        <w:rPr>
          <w:rFonts w:ascii="IRNazanin" w:hAnsi="IRNazanin" w:eastAsia="IRNazanin"/>
          <w:color w:val="111111"/>
          <w:sz w:val="28"/>
          <w:sz w:val="28"/>
          <w:szCs w:val="28"/>
          <w:rtl w:val="true"/>
          <w:lang w:bidi="fa-IR"/>
        </w:rPr>
        <w:t>و در آثار مكتوب ديگر شيعه اگر اسمى از عبدالله‌بن‌سبأ به ميان آمده، به‌اين سه كتاب باز مى‌گردد</w:t>
      </w:r>
      <w:r>
        <w:rPr>
          <w:rFonts w:eastAsia="IRNazanin" w:cs="IRNazanin"/>
          <w:color w:val="111111"/>
          <w:sz w:val="28"/>
          <w:szCs w:val="28"/>
          <w:rtl w:val="true"/>
          <w:lang w:bidi="fa-IR"/>
        </w:rPr>
        <w:t xml:space="preserve">. </w:t>
      </w:r>
      <w:r>
        <w:rPr>
          <w:rStyle w:val="FootnoteAnchor"/>
          <w:rtl w:val="true"/>
        </w:rPr>
        <w:footnoteReference w:id="1699"/>
      </w:r>
      <w:r>
        <w:rPr>
          <w:rFonts w:ascii="IRNazanin" w:hAnsi="IRNazanin" w:eastAsia="IRNazanin"/>
          <w:color w:val="111111"/>
          <w:sz w:val="28"/>
          <w:sz w:val="28"/>
          <w:szCs w:val="28"/>
          <w:rtl w:val="true"/>
          <w:lang w:bidi="fa-IR"/>
        </w:rPr>
        <w:t xml:space="preserve">ولى از اين سه كتاب، مهم‌ترين ادعاى نويسندگان ياد شده طرح يهودى بودن شيعه و امامت و وصايت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استفاده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بستن به‌اين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نخست،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امامت او را فرض و ثابت مى‌دانستند، پس از شهادت حضرت، به‌سه گروه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غاليانى‌اند كه معتقدشدند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نرفته بلكه زنده است و زمين را پُر از عدل و داد خواهد كرد؛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عبدالله‌بن‌سبأ نامگذارى شده و نخستين كسانى‌اند كه طعن برخلفا را كه مدعى‌اند به‌دستور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آشكار ساختند </w:t>
      </w:r>
      <w:r>
        <w:rPr>
          <w:rStyle w:val="FootnoteAnchor"/>
          <w:rtl w:val="true"/>
        </w:rPr>
        <w:footnoteReference w:id="1700"/>
      </w:r>
      <w:r>
        <w:rPr>
          <w:rFonts w:ascii="IRNazanin" w:hAnsi="IRNazanin" w:eastAsia="IRNazanin"/>
          <w:color w:val="111111"/>
          <w:sz w:val="28"/>
          <w:sz w:val="28"/>
          <w:szCs w:val="28"/>
          <w:rtl w:val="true"/>
          <w:lang w:bidi="fa-IR"/>
        </w:rPr>
        <w:t>، على تصميم به‌قتل آنان گرفت ولى در نتيجۀ اعتراض مردم، آنان را به‌مدائن تبعيد كرد</w:t>
      </w:r>
      <w:r>
        <w:rPr>
          <w:rFonts w:eastAsia="IRNazanin" w:cs="IRNazanin"/>
          <w:color w:val="111111"/>
          <w:sz w:val="28"/>
          <w:szCs w:val="28"/>
          <w:rtl w:val="true"/>
          <w:lang w:bidi="fa-IR"/>
        </w:rPr>
        <w:t xml:space="preserve">. </w:t>
      </w:r>
      <w:r>
        <w:rPr>
          <w:rStyle w:val="FootnoteAnchor"/>
          <w:rtl w:val="true"/>
        </w:rPr>
        <w:footnoteReference w:id="170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اشعرى قمى، همان مطلب نوبختى را مى‌آورد با اين تفاوت كه عبدالله‌بن‌سبأ را </w:t>
      </w:r>
    </w:p>
    <w:p>
      <w:pPr>
        <w:pStyle w:val="BookText"/>
        <w:rPr/>
      </w:pPr>
      <w:r>
        <w:rPr>
          <w:rFonts w:ascii="Amiri" w:hAnsi="Amiri" w:eastAsia="Amiri" w:cs="Amiri"/>
          <w:color w:val="111111"/>
          <w:sz w:val="28"/>
          <w:sz w:val="28"/>
          <w:szCs w:val="28"/>
          <w:rtl w:val="true"/>
          <w:lang w:bidi="ar-SA"/>
        </w:rPr>
        <w:t xml:space="preserve">عبدالله بن وهب‌الراسبى مى‌داند و ياران او را عبدالله بن حرس و ابن سوداء مى‌شمارد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كشّى، با نقل چند حديث از امامان على‌بن‌الحسين، ابى‌جعفر و ابوعبدالله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را گوش 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عبدالله‌بن‌سبأ براى خود ادعاى نبُوّت كرد و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ربوبيت؛ حضرت پس از اينكه آنها را به‌توبه فراخواند وآنان متقاعد نشدند، به آتش سوزاند؛ نكته دوم، ابن‌سبأ و هر كسى كه نسبت به‌امامان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ببندند، از سوى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به‌شدت تكذيب و نفرين شده است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اينكه طرح تأسيس شيعه و يا طرح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سوى اين شخص بوده، در هيچ‌يك از اين سه كتاب وجود ندارد، جمله‌اى كه مورد سوءاستفاده مخالفان شيعه قرار گرفته و آن را درست نفهميده‌اند و يا تجاهل كرده‌اند، اين عبارت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وحَكى جماعةٌ من أهل العلم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704"/>
      </w:r>
      <w:r>
        <w:rPr>
          <w:rFonts w:ascii="Amiri" w:hAnsi="Amiri" w:eastAsia="Amiri" w:cs="Amiri"/>
          <w:color w:val="111111"/>
          <w:sz w:val="28"/>
          <w:sz w:val="28"/>
          <w:szCs w:val="28"/>
          <w:rtl w:val="true"/>
          <w:lang w:bidi="ar-SA"/>
        </w:rPr>
        <w:t xml:space="preserve">أنّ عبدالله بن‌سبأ كان يهوديّاً فأسلَمَ و والى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يقول و هوعلى يهوديته في يوشع‌بن‌نون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705"/>
      </w:r>
      <w:r>
        <w:rPr>
          <w:rFonts w:ascii="Amiri" w:hAnsi="Amiri" w:eastAsia="Amiri" w:cs="Amiri"/>
          <w:color w:val="111111"/>
          <w:sz w:val="28"/>
          <w:sz w:val="28"/>
          <w:szCs w:val="28"/>
          <w:rtl w:val="true"/>
          <w:lang w:bidi="ar-SA"/>
        </w:rPr>
        <w:t xml:space="preserve">بهذه المقال ةفقال في إسلامه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في علي بمثل ذلك، وهوأول من شَهَر القول </w:t>
      </w:r>
      <w:r>
        <w:rPr>
          <w:rStyle w:val="FootnoteAnchor"/>
          <w:rtl w:val="true"/>
        </w:rPr>
        <w:footnoteReference w:id="1707"/>
      </w:r>
      <w:r>
        <w:rPr>
          <w:rFonts w:ascii="Amiri" w:hAnsi="Amiri" w:eastAsia="Amiri" w:cs="Amiri"/>
          <w:color w:val="111111"/>
          <w:sz w:val="28"/>
          <w:sz w:val="28"/>
          <w:szCs w:val="28"/>
          <w:rtl w:val="true"/>
          <w:lang w:bidi="ar-SA"/>
        </w:rPr>
        <w:t xml:space="preserve">بفرض امامة علي‌بن‌ابي‌طالب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البرائة من اعدائه و كاشف مخالفيه </w:t>
      </w:r>
      <w:r>
        <w:rPr>
          <w:rStyle w:val="FootnoteAnchor"/>
          <w:rtl w:val="true"/>
        </w:rPr>
        <w:footnoteReference w:id="1708"/>
      </w:r>
      <w:r>
        <w:rPr>
          <w:rFonts w:ascii="Amiri" w:hAnsi="Amiri" w:eastAsia="Amiri" w:cs="Amiri"/>
          <w:color w:val="111111"/>
          <w:sz w:val="28"/>
          <w:sz w:val="28"/>
          <w:szCs w:val="28"/>
          <w:rtl w:val="true"/>
          <w:lang w:bidi="ar-SA"/>
        </w:rPr>
        <w:t>فمن هاهنا قال مَن خالف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أصل‌الرّفض مأخوذ من اليهوديّة </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كشّى، نصّ عبارت اشعرى قمى را مى‌آورد و تنها در دو نقطه با قمى و نوبختى </w:t>
      </w:r>
    </w:p>
    <w:p>
      <w:pPr>
        <w:pStyle w:val="BookText"/>
        <w:rPr/>
      </w:pPr>
      <w:r>
        <w:rPr>
          <w:rFonts w:ascii="Amiri" w:hAnsi="Amiri" w:eastAsia="Amiri" w:cs="Amiri"/>
          <w:color w:val="111111"/>
          <w:sz w:val="28"/>
          <w:sz w:val="28"/>
          <w:szCs w:val="28"/>
          <w:rtl w:val="true"/>
          <w:lang w:bidi="ar-SA"/>
        </w:rPr>
        <w:t>اختلاف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اينكه به‌جاى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بَعضُ أهل‌العلم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أهل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دوم اينكه بعد از وصى موسى،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مى‌آورد</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 xml:space="preserve">بسيار روشن است كه اين سه نفر؛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را خود نگفته‌اند تا ديدگاه آنها تلقّى گردد، بلكه آن را از ديگران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ذكر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برخى عبارت بالا را با سوء استفاده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اقرار اين سه نفر، مى‌شمارند </w:t>
      </w:r>
      <w:r>
        <w:rPr>
          <w:rStyle w:val="FootnoteAnchor"/>
          <w:rtl w:val="true"/>
        </w:rPr>
        <w:footnoteReference w:id="1711"/>
      </w:r>
      <w:r>
        <w:rPr>
          <w:rFonts w:ascii="IRNazanin" w:hAnsi="IRNazanin" w:eastAsia="IRNazanin"/>
          <w:color w:val="111111"/>
          <w:sz w:val="28"/>
          <w:sz w:val="28"/>
          <w:szCs w:val="28"/>
          <w:rtl w:val="true"/>
          <w:lang w:bidi="fa-IR"/>
        </w:rPr>
        <w:t xml:space="preserve">، اگر نگوييم عناد، دست كم جاهلانه است؛ زيرا، از يك‌سو، مراد آن سه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شيعه است و به‌خاطر ادب و احترام به‌علم، اين تعبير را به‌كار برده‌اند </w:t>
      </w:r>
      <w:r>
        <w:rPr>
          <w:rStyle w:val="FootnoteAnchor"/>
          <w:rtl w:val="true"/>
        </w:rPr>
        <w:footnoteReference w:id="1712"/>
      </w:r>
      <w:r>
        <w:rPr>
          <w:rFonts w:ascii="IRNazanin" w:hAnsi="IRNazanin" w:eastAsia="IRNazanin"/>
          <w:color w:val="111111"/>
          <w:sz w:val="28"/>
          <w:sz w:val="28"/>
          <w:szCs w:val="28"/>
          <w:rtl w:val="true"/>
          <w:lang w:bidi="fa-IR"/>
        </w:rPr>
        <w:t xml:space="preserve">به‌دليل اينكه هرسه عالم شيعى پس از حكايت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 من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ذكر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برآن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هاهنا قال مَن خالف‌اّلشيعة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الرَّفضِ مأخوذٌ من اليهوديّة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فمن‌هاهنا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هيچ‌گاه با شيعه‌بودن جماعتى كه اين سه نفر از آنها حكايت كرده‌اند،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معقول نيست كسى اعتقاد و باورهاى خويش را اين‌گونه اظهار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سه نفر تهمت را خارج از شيعه و از جمعى كه شيعه نبوده‌اند، بازگو مى‌كنند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جمعى از اهل علم كه 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در متن نوبختى نيست، هيچ وقت نمى‌رساند كه آن گروه، </w:t>
      </w:r>
    </w:p>
    <w:p>
      <w:pPr>
        <w:pStyle w:val="BookText"/>
        <w:rPr/>
      </w:pPr>
      <w:r>
        <w:rPr>
          <w:rFonts w:ascii="Amiri" w:hAnsi="Amiri" w:eastAsia="Amiri" w:cs="Amiri"/>
          <w:color w:val="111111"/>
          <w:sz w:val="28"/>
          <w:sz w:val="28"/>
          <w:szCs w:val="28"/>
          <w:rtl w:val="true"/>
          <w:lang w:bidi="ar-SA"/>
        </w:rPr>
        <w:t xml:space="preserve">شيعه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بوده‌اند، </w:t>
      </w:r>
      <w:r>
        <w:rPr>
          <w:rStyle w:val="FootnoteAnchor"/>
          <w:rtl w:val="true"/>
        </w:rPr>
        <w:footnoteReference w:id="1714"/>
      </w:r>
      <w:r>
        <w:rPr>
          <w:rFonts w:ascii="IRNazanin" w:hAnsi="IRNazanin" w:eastAsia="IRNazanin"/>
          <w:color w:val="111111"/>
          <w:sz w:val="28"/>
          <w:sz w:val="28"/>
          <w:szCs w:val="28"/>
          <w:rtl w:val="true"/>
          <w:lang w:bidi="fa-IR"/>
        </w:rPr>
        <w:t xml:space="preserve">و شكى نيست كه ميان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عام و خاص است و در اينجا شيعه،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برخى از عالمان شيعه واژه اصحاب را بر هر كسى كه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نقل نمايند به‌كار مى‌برند، بدون در نظر گرفتن اينكه آن راوى، امامى است يا غير امامى، مؤمن است يا كافر؛ از اين رو، شيخ طوسى اشعث‌بن‌الكندى خارجى </w:t>
      </w:r>
      <w:r>
        <w:rPr>
          <w:rStyle w:val="FootnoteAnchor"/>
          <w:rtl w:val="true"/>
        </w:rPr>
        <w:footnoteReference w:id="1715"/>
      </w:r>
      <w:r>
        <w:rPr>
          <w:rFonts w:ascii="Amiri" w:hAnsi="Amiri" w:eastAsia="Amiri" w:cs="Amiri"/>
          <w:color w:val="111111"/>
          <w:sz w:val="28"/>
          <w:sz w:val="28"/>
          <w:szCs w:val="28"/>
          <w:rtl w:val="true"/>
          <w:lang w:bidi="ar-SA"/>
        </w:rPr>
        <w:t xml:space="preserve">، زيادبن‌عبيد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ابيه</w:t>
      </w:r>
      <w:r>
        <w:rPr>
          <w:rFonts w:eastAsia="Amiri" w:cs="Amiri" w:ascii="Amiri" w:hAnsi="Amiri"/>
          <w:color w:val="111111"/>
          <w:sz w:val="28"/>
          <w:szCs w:val="28"/>
          <w:rtl w:val="true"/>
          <w:lang w:bidi="ar-SA"/>
        </w:rPr>
        <w:t xml:space="preserve">) </w:t>
      </w:r>
      <w:r>
        <w:rPr>
          <w:rStyle w:val="FootnoteAnchor"/>
          <w:rtl w:val="true"/>
        </w:rPr>
        <w:footnoteReference w:id="1716"/>
      </w:r>
      <w:r>
        <w:rPr>
          <w:rFonts w:ascii="IRNazanin" w:hAnsi="IRNazanin" w:eastAsia="IRNazanin"/>
          <w:color w:val="111111"/>
          <w:sz w:val="28"/>
          <w:sz w:val="28"/>
          <w:szCs w:val="28"/>
          <w:rtl w:val="true"/>
          <w:lang w:bidi="fa-IR"/>
        </w:rPr>
        <w:t xml:space="preserve">شبث‌بن‌ربعى از خوارج </w:t>
      </w:r>
      <w:r>
        <w:rPr>
          <w:rStyle w:val="FootnoteAnchor"/>
          <w:rtl w:val="true"/>
        </w:rPr>
        <w:footnoteReference w:id="1717"/>
      </w:r>
      <w:r>
        <w:rPr>
          <w:rFonts w:ascii="Amiri" w:hAnsi="Amiri" w:eastAsia="Amiri" w:cs="Amiri"/>
          <w:color w:val="111111"/>
          <w:sz w:val="28"/>
          <w:sz w:val="28"/>
          <w:szCs w:val="28"/>
          <w:rtl w:val="true"/>
          <w:lang w:bidi="ar-SA"/>
        </w:rPr>
        <w:t xml:space="preserve">، عبدالله بن الكوا خارجى‌ملعون </w:t>
      </w:r>
      <w:r>
        <w:rPr>
          <w:rStyle w:val="FootnoteAnchor"/>
          <w:rtl w:val="true"/>
        </w:rPr>
        <w:footnoteReference w:id="1718"/>
      </w:r>
      <w:r>
        <w:rPr>
          <w:rFonts w:ascii="IRNazanin" w:hAnsi="IRNazanin" w:eastAsia="IRNazanin"/>
          <w:color w:val="111111"/>
          <w:sz w:val="28"/>
          <w:sz w:val="28"/>
          <w:szCs w:val="28"/>
          <w:rtl w:val="true"/>
          <w:lang w:bidi="fa-IR"/>
        </w:rPr>
        <w:t xml:space="preserve">عبدالله‌بن وهب الراسبى رأس الخوارج ملعون </w:t>
      </w:r>
      <w:r>
        <w:rPr>
          <w:rStyle w:val="FootnoteAnchor"/>
          <w:rtl w:val="true"/>
        </w:rPr>
        <w:footnoteReference w:id="1719"/>
      </w:r>
      <w:r>
        <w:rPr>
          <w:rFonts w:ascii="IRNazanin" w:hAnsi="IRNazanin" w:eastAsia="IRNazanin"/>
          <w:color w:val="111111"/>
          <w:sz w:val="28"/>
          <w:sz w:val="28"/>
          <w:szCs w:val="28"/>
          <w:rtl w:val="true"/>
          <w:lang w:bidi="fa-IR"/>
        </w:rPr>
        <w:t xml:space="preserve">مرداس‌بن‌ابينة خارجى و مصقلةبن‌هبيرة گرويده به‌معاويه </w:t>
      </w:r>
      <w:r>
        <w:rPr>
          <w:rStyle w:val="FootnoteAnchor"/>
          <w:rtl w:val="true"/>
        </w:rPr>
        <w:footnoteReference w:id="1720"/>
      </w:r>
      <w:r>
        <w:rPr>
          <w:rFonts w:ascii="IRNazanin" w:hAnsi="IRNazanin" w:eastAsia="IRNazanin"/>
          <w:color w:val="111111"/>
          <w:sz w:val="28"/>
          <w:sz w:val="28"/>
          <w:szCs w:val="28"/>
          <w:rtl w:val="true"/>
          <w:lang w:bidi="fa-IR"/>
        </w:rPr>
        <w:t xml:space="preserve">و دَه‌ها نمونه ديگر را، جزء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بنابراين، اصحاب على، ملازم با شيعه بودن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على، يعنى اباذر، مقداد، عمار و</w:t>
      </w:r>
      <w:r>
        <w:rPr>
          <w:rFonts w:eastAsia="IRNazanin" w:cs="IRNazanin"/>
          <w:color w:val="111111"/>
          <w:sz w:val="28"/>
          <w:szCs w:val="28"/>
          <w:rtl w:val="true"/>
          <w:lang w:bidi="fa-IR"/>
        </w:rPr>
        <w:t>. . .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علنى نه اختراع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اين سه دانشمند شيعه حكايت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كه از زبان خصم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به‌هيچ رو دلالت نمى‌كند كه ابن‌سبأ با قطع نظر از غلو او كه به‌اتفاق مردود است، مؤسس شيعه و امامت و وصايت است، نهايت چيزى را كه ثابت مى‌كند اين است كه وى همانند ديگر شيعيان به‌اسلام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داشت و اين اعتقاد خود را نسبت به‌ولايت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علنى ابراز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به‌گونه‌اى كه اين چنين اظهارات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خوف و هراس در مجامع اسلامى آن روز، مرسوم نبود </w:t>
      </w:r>
      <w:r>
        <w:rPr>
          <w:rStyle w:val="FootnoteAnchor"/>
          <w:rtl w:val="true"/>
        </w:rPr>
        <w:footnoteReference w:id="1721"/>
      </w:r>
      <w:r>
        <w:rPr>
          <w:rFonts w:ascii="Amiri" w:hAnsi="Amiri" w:eastAsia="Amiri" w:cs="Amiri"/>
          <w:color w:val="111111"/>
          <w:sz w:val="28"/>
          <w:sz w:val="28"/>
          <w:szCs w:val="28"/>
          <w:rtl w:val="true"/>
          <w:lang w:bidi="ar-SA"/>
        </w:rPr>
        <w:t>و اين مفهوم را شواهد زير تأييد مى‌كند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اشعرى قمى درحكايتش مى‌آورد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أوّل مَن‌أظهرالطعنَ في‌أبي‌بكرو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 التقية لاتجوز ولايَمل </w:t>
      </w:r>
      <w:r>
        <w:rPr>
          <w:rFonts w:eastAsia="Amiri" w:cs="Amiri" w:ascii="Amiri" w:hAnsi="Amiri"/>
          <w:color w:val="111111"/>
          <w:sz w:val="28"/>
          <w:szCs w:val="28"/>
          <w:rtl w:val="true"/>
          <w:lang w:bidi="ar-SA"/>
        </w:rPr>
        <w:t xml:space="preserve">» </w:t>
      </w:r>
      <w:r>
        <w:rPr>
          <w:rStyle w:val="FootnoteAnchor"/>
          <w:rtl w:val="true"/>
        </w:rPr>
        <w:footnoteReference w:id="1722"/>
      </w:r>
      <w:r>
        <w:rPr>
          <w:rFonts w:ascii="IRNazanin" w:hAnsi="IRNazanin" w:eastAsia="IRNazanin"/>
          <w:color w:val="111111"/>
          <w:sz w:val="28"/>
          <w:sz w:val="28"/>
          <w:szCs w:val="28"/>
          <w:rtl w:val="true"/>
          <w:lang w:bidi="fa-IR"/>
        </w:rPr>
        <w:t xml:space="preserve">،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 هراس از اظهار عقيده، صريح است در اينكه تأسيسى دركار نبوده است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هر سه متن،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إسلامه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خود صريح است كه قبل از وفات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متون سه‌گانه،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 رفته است، كه هيچ‌كدام مفهوم تأسيس و اختراع را نمى‌رساند؛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آشكار و روشن كرد </w:t>
      </w:r>
      <w:r>
        <w:rPr>
          <w:rStyle w:val="FootnoteAnchor"/>
          <w:rtl w:val="true"/>
        </w:rPr>
        <w:footnoteReference w:id="17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اعلان و اظهار كرد </w:t>
      </w:r>
      <w:r>
        <w:rPr>
          <w:rStyle w:val="FootnoteAnchor"/>
          <w:rtl w:val="true"/>
        </w:rPr>
        <w:footnoteReference w:id="17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علنى و هويدا ساخت </w:t>
      </w:r>
      <w:r>
        <w:rPr>
          <w:rStyle w:val="FootnoteAnchor"/>
          <w:rtl w:val="true"/>
        </w:rPr>
        <w:footnoteReference w:id="17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به‌معناى كنار زدن پرده و اظهار است </w:t>
      </w:r>
      <w:r>
        <w:rPr>
          <w:rStyle w:val="FootnoteAnchor"/>
          <w:rtl w:val="true"/>
        </w:rPr>
        <w:footnoteReference w:id="1727"/>
      </w:r>
      <w:r>
        <w:rPr>
          <w:rFonts w:ascii="IRNazanin" w:hAnsi="IRNazanin" w:eastAsia="IRNazanin"/>
          <w:color w:val="111111"/>
          <w:sz w:val="28"/>
          <w:sz w:val="28"/>
          <w:szCs w:val="28"/>
          <w:rtl w:val="true"/>
          <w:lang w:bidi="fa-IR"/>
        </w:rPr>
        <w:t xml:space="preserve">و چنانچه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رفته باشد، بس واضح است كه نه تنها تأسيس نيست بلكه گواه بر مطلبى است كه وجود داشته ولى مورد انكار واقع مى‌شده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سه اثر از گروهى حكايت شد، مخالف صريح ضرورت مذهب و </w:t>
      </w:r>
      <w:bookmarkStart w:id="612" w:name="pg1976_28300"/>
    </w:p>
    <w:p>
      <w:pPr>
        <w:pStyle w:val="BookText"/>
        <w:rPr/>
      </w:pPr>
      <w:bookmarkEnd w:id="612"/>
      <w:r>
        <w:rPr>
          <w:rFonts w:ascii="Amiri" w:hAnsi="Amiri" w:eastAsia="Amiri" w:cs="Amiri"/>
          <w:color w:val="111111"/>
          <w:sz w:val="28"/>
          <w:sz w:val="28"/>
          <w:szCs w:val="28"/>
          <w:rtl w:val="true"/>
          <w:lang w:bidi="ar-SA"/>
        </w:rPr>
        <w:t xml:space="preserve">روايات و اجماع خاص و عام شيعه است، آيا مى‌شود ضرورت مذهب، با يك نقل واهى و مجهول، در تعارض باشد؟ </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 xml:space="preserve">حاصل آنچه مورد بحث و تحليل قرار گرفت، اين شد؛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تأسيس و ابداع انديشه امامت و وصايت على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فرد مجهول الهويه، كاملاً بى‌اساس است و افترايى بيش نخواهد بود؛ زيرا همان‌گونه كه شيعه در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سال قبل از به‌وجود آمدن مذاهب اسلامى پايه‌ريزى شد، همان‌گونه امامت و رهبرى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 خداوند بنيانگذارى شده و عذر امت اسلامى كوتاه گشت </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منابع اماميه به‌ويژه سه كتاب مورد بحث، عنوان گرديده نه تنها اقرار پديد آوردگان آنها، به‌تأسيس امامت توسط ابن‌سبأ، نيست كه صريح در ردّ اين مدعا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ابن‌سبأ در اين سه اثر، آن كسى نيست كه نويسندگانى چون قفارى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به‌تبع از طبرى از او غولى ساخته‌اند و همۀ حوادثى كه به‌نوعى خلفا را زير سؤال مى‌برد، منسوب به‌او مى‌سازند، بلكه ابن سبأ عبدالله‌بن‌وهب الراسبى است </w:t>
      </w:r>
      <w:r>
        <w:rPr>
          <w:rStyle w:val="FootnoteAnchor"/>
          <w:rtl w:val="true"/>
        </w:rPr>
        <w:footnoteReference w:id="1730"/>
      </w:r>
      <w:r>
        <w:rPr>
          <w:rFonts w:ascii="Amiri" w:hAnsi="Amiri" w:eastAsia="Amiri" w:cs="Amiri"/>
          <w:color w:val="111111"/>
          <w:sz w:val="28"/>
          <w:sz w:val="28"/>
          <w:szCs w:val="28"/>
          <w:rtl w:val="true"/>
          <w:lang w:bidi="ar-SA"/>
        </w:rPr>
        <w:t xml:space="preserve">كه ابتدا از مريدان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ولى بعدها به‌يكى از رؤساى خوارج تبديل شد</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3767293_3650668749"/>
      <w:bookmarkStart w:id="614" w:name="_Toc225"/>
      <w:bookmarkEnd w:id="613"/>
      <w:r>
        <w:rPr>
          <w:rtl w:val="true"/>
        </w:rPr>
        <w:t>ب</w:t>
      </w:r>
      <w:r>
        <w:rPr>
          <w:rtl w:val="true"/>
        </w:rPr>
        <w:t xml:space="preserve">) </w:t>
      </w:r>
      <w:r>
        <w:rPr>
          <w:rtl w:val="true"/>
        </w:rPr>
        <w:t>غُلُوّ در امامت، مفهوم و ملاك آن</w:t>
      </w:r>
      <w:bookmarkEnd w:id="614"/>
    </w:p>
    <w:p>
      <w:pPr>
        <w:pStyle w:val="Heading6"/>
        <w:numPr>
          <w:ilvl w:val="5"/>
          <w:numId w:val="1"/>
        </w:numPr>
        <w:rPr/>
      </w:pPr>
      <w:bookmarkStart w:id="615" w:name="__RefHeading___Toc3767295_3650668749"/>
      <w:bookmarkStart w:id="616" w:name="_Toc226"/>
      <w:bookmarkEnd w:id="615"/>
      <w:r>
        <w:rPr>
          <w:rtl w:val="true"/>
        </w:rPr>
        <w:t>اشاره</w:t>
      </w:r>
      <w:bookmarkEnd w:id="61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اتهام غلو نسبت به‌امامان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گروهى از نويسندگان مطرح شد؛ اينك لازم است اين اتهام، از جهات مفهوم‌شناسى و معيار غلو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مورد بررسى و نقد قرار گيرد</w:t>
      </w:r>
      <w:r>
        <w:rPr>
          <w:rFonts w:eastAsia="IRNazanin" w:cs="IRNazanin"/>
          <w:color w:val="111111"/>
          <w:sz w:val="28"/>
          <w:szCs w:val="28"/>
          <w:rtl w:val="true"/>
          <w:lang w:bidi="fa-IR"/>
        </w:rPr>
        <w:t xml:space="preserve">: </w:t>
      </w:r>
      <w:bookmarkStart w:id="617" w:name="pg1976_28303"/>
    </w:p>
    <w:p>
      <w:pPr>
        <w:pStyle w:val="Heading6"/>
        <w:numPr>
          <w:ilvl w:val="5"/>
          <w:numId w:val="1"/>
        </w:numPr>
        <w:rPr/>
      </w:pPr>
      <w:bookmarkStart w:id="618" w:name="__RefHeading___Toc3767297_3650668749"/>
      <w:bookmarkStart w:id="619" w:name="_Toc227"/>
      <w:bookmarkEnd w:id="617"/>
      <w:bookmarkEnd w:id="618"/>
      <w:r>
        <w:rPr>
          <w:rtl w:val="true"/>
        </w:rPr>
        <w:t xml:space="preserve">يك </w:t>
      </w:r>
      <w:r>
        <w:rPr>
          <w:rtl w:val="true"/>
        </w:rPr>
        <w:t xml:space="preserve">- </w:t>
      </w:r>
      <w:r>
        <w:rPr>
          <w:rtl w:val="true"/>
        </w:rPr>
        <w:t>مفهوم‌شناسى غُلُوّ</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اصلى اين واژه ازغَلَى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 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يغلُو وغُلوّاً </w:t>
      </w:r>
      <w:r>
        <w:rPr>
          <w:rStyle w:val="FootnoteAnchor"/>
          <w:rtl w:val="true"/>
        </w:rPr>
        <w:footnoteReference w:id="1731"/>
      </w:r>
      <w:r>
        <w:rPr>
          <w:rFonts w:ascii="Amiri" w:hAnsi="Amiri" w:eastAsia="Amiri" w:cs="Amiri"/>
          <w:color w:val="111111"/>
          <w:sz w:val="28"/>
          <w:sz w:val="28"/>
          <w:szCs w:val="28"/>
          <w:rtl w:val="true"/>
          <w:lang w:bidi="ar-SA"/>
        </w:rPr>
        <w:t xml:space="preserve">، يا غلاءً فهوغالٍ </w:t>
      </w:r>
      <w:r>
        <w:rPr>
          <w:rStyle w:val="FootnoteAnchor"/>
          <w:rtl w:val="true"/>
        </w:rPr>
        <w:footnoteReference w:id="1732"/>
      </w:r>
      <w:r>
        <w:rPr>
          <w:rFonts w:ascii="IRNazanin" w:hAnsi="IRNazanin" w:eastAsia="IRNazanin"/>
          <w:color w:val="111111"/>
          <w:sz w:val="28"/>
          <w:sz w:val="28"/>
          <w:szCs w:val="28"/>
          <w:rtl w:val="true"/>
          <w:lang w:bidi="fa-IR"/>
        </w:rPr>
        <w:t xml:space="preserve">، به‌معناى بالا بردن از حدّ اعتدال و تجاوز از حدّ در هر چيز </w:t>
      </w:r>
      <w:r>
        <w:rPr>
          <w:rStyle w:val="FootnoteAnchor"/>
          <w:rtl w:val="true"/>
        </w:rPr>
        <w:footnoteReference w:id="173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غلا فى‌الامر، اى جاوَزَ فيه الحَدّ </w:t>
      </w: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واژۀ غلو، از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 القِدر تغلي غلياً وغلياناً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 غليان كرد و سر رفت، اخذ شده است </w:t>
      </w:r>
      <w:r>
        <w:rPr>
          <w:rStyle w:val="FootnoteAnchor"/>
          <w:rtl w:val="true"/>
        </w:rPr>
        <w:footnoteReference w:id="1735"/>
      </w:r>
      <w:r>
        <w:rPr>
          <w:rFonts w:ascii="IRNazanin" w:hAnsi="IRNazanin" w:eastAsia="IRNazanin"/>
          <w:color w:val="111111"/>
          <w:sz w:val="28"/>
          <w:sz w:val="28"/>
          <w:szCs w:val="28"/>
          <w:rtl w:val="true"/>
          <w:lang w:bidi="fa-IR"/>
        </w:rPr>
        <w:t xml:space="preserve">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پايين آمدن و تنزّل </w:t>
      </w:r>
      <w:r>
        <w:rPr>
          <w:rStyle w:val="FootnoteAnchor"/>
          <w:rtl w:val="true"/>
        </w:rPr>
        <w:footnoteReference w:id="1736"/>
      </w:r>
      <w:r>
        <w:rPr>
          <w:rFonts w:ascii="Amiri" w:hAnsi="Amiri" w:eastAsia="Amiri" w:cs="Amiri"/>
          <w:color w:val="111111"/>
          <w:sz w:val="28"/>
          <w:sz w:val="28"/>
          <w:szCs w:val="28"/>
          <w:rtl w:val="true"/>
          <w:lang w:bidi="ar-SA"/>
        </w:rPr>
        <w:t xml:space="preserve">، و يا تقصير يعنى خروج از حدّ به‌طرف نقصان است </w:t>
      </w:r>
      <w:r>
        <w:rPr>
          <w:rStyle w:val="FootnoteAnchor"/>
          <w:rtl w:val="true"/>
        </w:rPr>
        <w:footnoteReference w:id="1737"/>
      </w:r>
      <w:r>
        <w:rPr>
          <w:rFonts w:ascii="IRNazanin" w:hAnsi="IRNazanin" w:eastAsia="IRNazanin"/>
          <w:color w:val="111111"/>
          <w:sz w:val="28"/>
          <w:sz w:val="28"/>
          <w:szCs w:val="28"/>
          <w:rtl w:val="true"/>
          <w:lang w:bidi="fa-IR"/>
        </w:rPr>
        <w:t>از اين رو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 السِّعرُ، يعنى قيمت از حد معمول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در دين، سخت گرفتن و تجاوز از حدّ در امور دين را معنا مى‌دهد </w:t>
      </w:r>
      <w:r>
        <w:rPr>
          <w:rStyle w:val="FootnoteAnchor"/>
          <w:rtl w:val="true"/>
        </w:rPr>
        <w:footnoteReference w:id="1738"/>
      </w:r>
      <w:r>
        <w:rPr>
          <w:rFonts w:ascii="IRNazanin" w:hAnsi="IRNazanin" w:eastAsia="IRNazanin"/>
          <w:color w:val="111111"/>
          <w:sz w:val="28"/>
          <w:sz w:val="28"/>
          <w:szCs w:val="28"/>
          <w:rtl w:val="true"/>
          <w:lang w:bidi="fa-IR"/>
        </w:rPr>
        <w:t>بنابراين، به‌زياده‌روى و خارج شدن از حدّ اعتدال در هر چيزى غلوّ گفته مى‌شود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 در 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باتوجّه به آيات قرآن كريم و مفهومى كه شيخ مفيد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ارائه مى‌دهد </w:t>
      </w:r>
      <w:r>
        <w:rPr>
          <w:rStyle w:val="FootnoteAnchor"/>
          <w:rtl w:val="true"/>
        </w:rPr>
        <w:footnoteReference w:id="1739"/>
      </w:r>
      <w:r>
        <w:rPr>
          <w:rFonts w:ascii="IRNazanin" w:hAnsi="IRNazanin" w:eastAsia="IRNazanin"/>
          <w:color w:val="111111"/>
          <w:sz w:val="28"/>
          <w:sz w:val="28"/>
          <w:szCs w:val="28"/>
          <w:rtl w:val="true"/>
          <w:lang w:bidi="fa-IR"/>
        </w:rPr>
        <w:t>،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غلو در اصطلاح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زياده‌روى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درگفتار و كردار و خروج از حدود الهى كه ناشى از باورهاى دينى و اعتقادى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در نظر گرفتن ظاهر دو آيه از قرآن كريم </w:t>
      </w:r>
      <w:r>
        <w:rPr>
          <w:rStyle w:val="FootnoteAnchor"/>
          <w:rtl w:val="true"/>
        </w:rPr>
        <w:footnoteReference w:id="1740"/>
      </w:r>
      <w:r>
        <w:rPr>
          <w:rFonts w:ascii="IRNazanin" w:hAnsi="IRNazanin" w:eastAsia="IRNazanin"/>
          <w:color w:val="111111"/>
          <w:sz w:val="28"/>
          <w:sz w:val="28"/>
          <w:szCs w:val="28"/>
          <w:rtl w:val="true"/>
          <w:lang w:bidi="fa-IR"/>
        </w:rPr>
        <w:t xml:space="preserve">كه غلو در دين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ساخته، غلوّ به‌مذموم و غيرمذموم قابل تقسيم است؛ چنانچه زياده رويى‌كه مقام ربوبيت و ساير اوصاف ذات پاك بارى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ذلِكَ بِاَنَّ اللهَ هُوَ الْحَقُّ وَاَنَّ مَا يَدْعُونَ مِن دُونِهِ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خدشه‌دار سازد و به‌انسان و ساير اشياء، نقش خدايى داده شود، غلو مذموم و باطل، ولى مبالغه و تأكيد دردين و حق تعالى، غلو فى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اين تقسيم در ميان مفسّران مطرح اهل‌سنت </w:t>
      </w:r>
      <w:r>
        <w:rPr>
          <w:rStyle w:val="FootnoteAnchor"/>
          <w:rtl w:val="true"/>
        </w:rPr>
        <w:footnoteReference w:id="1741"/>
      </w:r>
      <w:r>
        <w:rPr>
          <w:rFonts w:ascii="IRNazanin" w:hAnsi="IRNazanin" w:eastAsia="IRNazanin"/>
          <w:color w:val="111111"/>
          <w:sz w:val="28"/>
          <w:sz w:val="28"/>
          <w:szCs w:val="28"/>
          <w:rtl w:val="true"/>
          <w:lang w:bidi="fa-IR"/>
        </w:rPr>
        <w:t xml:space="preserve">وجود دارد، ولى از نگاه مفسّران شيعه جز غلوّ مذموم و باطل كه همان خروج از حدّ به‌زياده و نقصان باشد، مطرح نيست </w:t>
      </w:r>
      <w:r>
        <w:rPr>
          <w:rStyle w:val="FootnoteAnchor"/>
          <w:rtl w:val="true"/>
        </w:rPr>
        <w:footnoteReference w:id="1742"/>
      </w:r>
      <w:r>
        <w:rPr>
          <w:rFonts w:ascii="IRNazanin" w:hAnsi="IRNazanin" w:eastAsia="IRNazanin"/>
          <w:color w:val="111111"/>
          <w:sz w:val="28"/>
          <w:sz w:val="28"/>
          <w:szCs w:val="28"/>
          <w:rtl w:val="true"/>
          <w:lang w:bidi="fa-IR"/>
        </w:rPr>
        <w:t xml:space="preserve">و دراين نقطه همه مفسّران شيعه و سنّى اتفاق‌نظر دارند كه اثبات ألوهيت براى عيسى از سوى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پايين آوردن مقام او و او را فرزند غير نكاح خواندن توسط يهود، هر دو مصداق بارز غلو باطل و مذموم خواهد بود</w:t>
      </w:r>
      <w:r>
        <w:rPr>
          <w:rFonts w:eastAsia="IRNazanin" w:cs="IRNazanin"/>
          <w:color w:val="111111"/>
          <w:sz w:val="28"/>
          <w:szCs w:val="28"/>
          <w:rtl w:val="true"/>
          <w:lang w:bidi="fa-IR"/>
        </w:rPr>
        <w:t xml:space="preserve">. </w:t>
      </w:r>
      <w:r>
        <w:rPr>
          <w:rStyle w:val="FootnoteAnchor"/>
          <w:rtl w:val="true"/>
        </w:rPr>
        <w:footnoteReference w:id="174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غالى و 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غاليان را كسانى مى‌داند كه </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w:t>
      </w:r>
      <w:bookmarkStart w:id="620" w:name="pg1976_28307"/>
    </w:p>
    <w:p>
      <w:pPr>
        <w:pStyle w:val="BookText"/>
        <w:rPr/>
      </w:pPr>
      <w:bookmarkEnd w:id="620"/>
      <w:r>
        <w:rPr>
          <w:rFonts w:ascii="IRNazanin" w:hAnsi="IRNazanin" w:eastAsia="IRNazanin"/>
          <w:color w:val="111111"/>
          <w:sz w:val="28"/>
          <w:sz w:val="28"/>
          <w:szCs w:val="28"/>
          <w:rtl w:val="true"/>
          <w:lang w:bidi="fa-IR"/>
        </w:rPr>
        <w:t>امامانشان به‌حدى غلو كنند تا آنها را از حدود مخلوق بودن خارج سازند و نسبت به‌آنان احكام و نقش خدايى بدهند، چه بسا يكى از امامان را به‌خدا، و خدا را به‌خلق، شبيه نمايند</w:t>
      </w:r>
      <w:r>
        <w:rPr>
          <w:rFonts w:eastAsia="IRNazanin" w:cs="IRNazanin"/>
          <w:color w:val="111111"/>
          <w:sz w:val="28"/>
          <w:szCs w:val="28"/>
          <w:rtl w:val="true"/>
          <w:lang w:bidi="fa-IR"/>
        </w:rPr>
        <w:t xml:space="preserve">.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ابن‌خلدون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تجاوزوا حَدّ العقل والاِيمان في القول بألوهية هؤلاء الائمة، إمّا على أنّهم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إتّصفوا بصفات الاُلوهيه أو أنّ الاِله حَلّ في ذاته البشريّة </w:t>
      </w:r>
      <w:r>
        <w:rPr>
          <w:rFonts w:eastAsia="Amiri" w:cs="Amiri" w:ascii="Amiri" w:hAnsi="Amiri"/>
          <w:color w:val="111111"/>
          <w:sz w:val="28"/>
          <w:szCs w:val="28"/>
          <w:rtl w:val="true"/>
          <w:lang w:bidi="ar-SA"/>
        </w:rPr>
        <w:t xml:space="preserve">. .»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والغلاة من المتظاهرين بالاِسلام همُ الذين نَسَبُوا أميرالمؤمنين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الاُلُوهيّة والنبُوّة، و وصَفَهُم من الفضل في‌الدّين والدُّنيا إلى ما تجاوَزُوا الحدّ، وخَرَجُوا عَنِ القَصد، وهُم ضلال كُفّار </w:t>
      </w:r>
      <w:r>
        <w:rPr>
          <w:rFonts w:eastAsia="Amiri" w:cs="Amiri" w:ascii="Amiri" w:hAnsi="Amiri"/>
          <w:color w:val="111111"/>
          <w:sz w:val="28"/>
          <w:szCs w:val="28"/>
          <w:rtl w:val="true"/>
          <w:lang w:bidi="ar-SA"/>
        </w:rPr>
        <w:t xml:space="preserve">» </w:t>
      </w:r>
      <w:r>
        <w:rPr>
          <w:rStyle w:val="FootnoteAnchor"/>
          <w:rtl w:val="true"/>
        </w:rPr>
        <w:footnoteReference w:id="1747"/>
      </w:r>
    </w:p>
    <w:p>
      <w:pPr>
        <w:pStyle w:val="Heading6"/>
        <w:numPr>
          <w:ilvl w:val="5"/>
          <w:numId w:val="1"/>
        </w:numPr>
        <w:rPr/>
      </w:pPr>
      <w:bookmarkStart w:id="621" w:name="__RefHeading___Toc3767299_3650668749"/>
      <w:bookmarkStart w:id="622" w:name="_Toc228"/>
      <w:bookmarkEnd w:id="621"/>
      <w:r>
        <w:rPr>
          <w:rtl w:val="true"/>
        </w:rPr>
        <w:t xml:space="preserve">دو </w:t>
      </w:r>
      <w:r>
        <w:rPr>
          <w:rtl w:val="true"/>
        </w:rPr>
        <w:t xml:space="preserve">- </w:t>
      </w:r>
      <w:r>
        <w:rPr>
          <w:rtl w:val="true"/>
        </w:rPr>
        <w:t>ملاك غُلُوّ</w:t>
      </w:r>
      <w:bookmarkEnd w:id="622"/>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غُلُوّ </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از آنچه خاطر نشان گشت، معيار غلوّ باطل و مذموم به‌دست آمد و آن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به‌امامان و هركسى و چيزى كه مخلوق است، نقش خدايى معتقد شوند و اوصاف و احكامى كه ويژۀ خداوند است مستقلاً براى غيرخدا، اثبات نمايند؛ </w:t>
      </w:r>
      <w:r>
        <w:rPr>
          <w:rStyle w:val="FootnoteAnchor"/>
          <w:rtl w:val="true"/>
        </w:rPr>
        <w:footnoteReference w:id="17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خدايى خداوند را پايين آورده و به‌مخلوق، شبيه نمايند؛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و هركسى ديگر را بر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 يا پيامبر دينى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برخى از عالمان اهل سنت براى توجيه اعتقادات اهل‌سنت نسبت به‌خلفا از يك‌سو، و متهم ساختن شيعيان از ديگرسو، ملاك‌هاى ديگرى كه نه با قرآن سازگارى دارد و نه از سنت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براى غلو مى‌تراشند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ابن‌حجر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تعريف تشيع به‌اينكه عبارت است از محبت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 داشتن او برصحابه تصريح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ابي‌بكر و عُمَر فهوغالٍ في تشيعه يُطلَق عليه رافضّي </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دوستى شيخين ؛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ترجمه ابوعروبه كه غالى است يا 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أحَبّ الشيخين فليس بغالٍ، بلى مَن تَكلّم فيهما فهو غالٍ مغترّ، فان كفّرهما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واليعاذ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عليه التكفير واللعنة </w:t>
      </w:r>
      <w:r>
        <w:rPr>
          <w:rFonts w:eastAsia="IRNazanin" w:cs="IRNazanin"/>
          <w:color w:val="111111"/>
          <w:sz w:val="28"/>
          <w:szCs w:val="28"/>
          <w:rtl w:val="true"/>
          <w:lang w:bidi="fa-IR"/>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و تصريح به‌بُغض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سبّ </w:t>
      </w:r>
      <w:r>
        <w:rPr>
          <w:rStyle w:val="FootnoteAnchor"/>
          <w:rtl w:val="true"/>
        </w:rPr>
        <w:footnoteReference w:id="1752"/>
      </w:r>
      <w:r>
        <w:rPr>
          <w:rFonts w:ascii="Amiri" w:hAnsi="Amiri" w:eastAsia="Amiri" w:cs="Amiri"/>
          <w:color w:val="111111"/>
          <w:sz w:val="28"/>
          <w:sz w:val="28"/>
          <w:szCs w:val="28"/>
          <w:rtl w:val="true"/>
          <w:lang w:bidi="ar-SA"/>
        </w:rPr>
        <w:t xml:space="preserve">و تصريح به‌بغض ابابكر و عمر، يكى از ملاك‌هاى غلو باطل قلمداد شده است </w:t>
      </w:r>
      <w:r>
        <w:rPr>
          <w:rStyle w:val="FootnoteAnchor"/>
          <w:rtl w:val="true"/>
        </w:rPr>
        <w:footnoteReference w:id="1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مى‌توان گفت نقش خدايى‌دادن به‌امام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شمردن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مشترك ميان عالمان شيعه و سنى است اما مقدم </w:t>
      </w:r>
      <w:bookmarkStart w:id="623" w:name="pg1976_28311"/>
    </w:p>
    <w:p>
      <w:pPr>
        <w:pStyle w:val="BookText"/>
        <w:rPr/>
      </w:pPr>
      <w:bookmarkEnd w:id="623"/>
      <w:r>
        <w:rPr>
          <w:rFonts w:ascii="IRNazanin" w:hAnsi="IRNazanin" w:eastAsia="IRNazanin"/>
          <w:color w:val="111111"/>
          <w:sz w:val="28"/>
          <w:sz w:val="28"/>
          <w:szCs w:val="28"/>
          <w:rtl w:val="true"/>
          <w:lang w:bidi="fa-IR"/>
        </w:rPr>
        <w:t xml:space="preserve">داشتن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ابابكر و عمر و دوست نداشتن وسبّ آن دو، ملاك اختصاصى غلو نزد عالمان اهل‌سنت محسوب مى‌گردد</w:t>
      </w:r>
      <w:r>
        <w:rPr>
          <w:rFonts w:eastAsia="IRNazanin" w:cs="IRNazanin"/>
          <w:color w:val="111111"/>
          <w:sz w:val="28"/>
          <w:szCs w:val="28"/>
          <w:rtl w:val="true"/>
          <w:lang w:bidi="fa-IR"/>
        </w:rPr>
        <w:t>.</w:t>
      </w:r>
    </w:p>
    <w:p>
      <w:pPr>
        <w:pStyle w:val="Heading5"/>
        <w:numPr>
          <w:ilvl w:val="4"/>
          <w:numId w:val="1"/>
        </w:numPr>
        <w:rPr/>
      </w:pPr>
      <w:bookmarkStart w:id="624" w:name="__RefHeading___Toc3767301_3650668749"/>
      <w:bookmarkStart w:id="625" w:name="_Toc229"/>
      <w:bookmarkEnd w:id="624"/>
      <w:r>
        <w:rPr>
          <w:rtl w:val="true"/>
        </w:rPr>
        <w:t>ج</w:t>
      </w:r>
      <w:r>
        <w:rPr>
          <w:rtl w:val="true"/>
        </w:rPr>
        <w:t xml:space="preserve">) </w:t>
      </w:r>
      <w:r>
        <w:rPr>
          <w:rtl w:val="true"/>
        </w:rPr>
        <w:t>غلو و غلات از نگاه شيعه</w:t>
      </w:r>
      <w:bookmarkEnd w:id="625"/>
    </w:p>
    <w:p>
      <w:pPr>
        <w:pStyle w:val="Heading6"/>
        <w:numPr>
          <w:ilvl w:val="5"/>
          <w:numId w:val="1"/>
        </w:numPr>
        <w:rPr/>
      </w:pPr>
      <w:bookmarkStart w:id="626" w:name="__RefHeading___Toc3767303_3650668749"/>
      <w:bookmarkStart w:id="627" w:name="_Toc230"/>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 xml:space="preserve">از آنجا كه تنها شيعه مورد اتهام به‌غلوّ نسبت به‌امامت قرار گرفته و غلات جزءِ فِرق شيعه محسوب مى‌گردد، اين سؤال مطرح خواهد شد كه موضع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تأثيرگذار در فرهنگ و باورهاى اعتقادى شيعه در اين زمينه چيست؟ و آيا غلوّ، مورد تأييد آنها است يا خير؟ هر چند پاسخ سؤال روش است كه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شيعه از غلو و غلات بيزارند و آنها را نه تنها شيعه اهل‌بيت كه مسلمان نمى‌دانند </w:t>
      </w:r>
      <w:r>
        <w:rPr>
          <w:rStyle w:val="FootnoteAnchor"/>
          <w:rtl w:val="true"/>
        </w:rPr>
        <w:footnoteReference w:id="1754"/>
      </w:r>
      <w:r>
        <w:rPr>
          <w:rFonts w:ascii="IRNazanin" w:hAnsi="IRNazanin" w:eastAsia="IRNazanin"/>
          <w:color w:val="111111"/>
          <w:sz w:val="28"/>
          <w:sz w:val="28"/>
          <w:szCs w:val="28"/>
          <w:rtl w:val="true"/>
          <w:lang w:bidi="fa-IR"/>
        </w:rPr>
        <w:t xml:space="preserve">، اما براى روشن‌شدن بحث تنها به‌چند نمونه از سخنان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شيعه بسنده مى‌شود</w:t>
      </w:r>
      <w:r>
        <w:rPr>
          <w:rFonts w:eastAsia="IRNazanin" w:cs="IRNazanin"/>
          <w:color w:val="111111"/>
          <w:sz w:val="28"/>
          <w:szCs w:val="28"/>
          <w:rtl w:val="true"/>
          <w:lang w:bidi="fa-IR"/>
        </w:rPr>
        <w:t>:</w:t>
      </w:r>
    </w:p>
    <w:p>
      <w:pPr>
        <w:pStyle w:val="Heading6"/>
        <w:numPr>
          <w:ilvl w:val="5"/>
          <w:numId w:val="1"/>
        </w:numPr>
        <w:rPr/>
      </w:pPr>
      <w:bookmarkStart w:id="628" w:name="__RefHeading___Toc3767305_3650668749"/>
      <w:bookmarkStart w:id="629" w:name="_Toc231"/>
      <w:bookmarkEnd w:id="628"/>
      <w:r>
        <w:rPr>
          <w:rtl w:val="true"/>
        </w:rPr>
        <w:t xml:space="preserve">يك </w:t>
      </w:r>
      <w:r>
        <w:rPr>
          <w:rtl w:val="true"/>
        </w:rPr>
        <w:t xml:space="preserve">- </w:t>
      </w:r>
      <w:r>
        <w:rPr>
          <w:rtl w:val="true"/>
        </w:rPr>
        <w:t>موضع امامان شيعه</w:t>
      </w:r>
      <w:bookmarkEnd w:id="6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ألاوإنَّهُ يُهلَكُ فِيَّ إثنانِ مُحِبٌّ مُفرِطٌ يَقرِظُني بِما لَيسَ فِيَّ و مُبغِضٌ يحمِله شَنَآنِي عَلى أن يَبهَتَنِي، ألا وإنّي لستُ بِنَبيٍّ ولا يُوحى إلَيَّ</w:t>
      </w:r>
      <w:r>
        <w:rPr>
          <w:rFonts w:eastAsia="Amiri" w:cs="Amiri" w:ascii="Amiri" w:hAnsi="Amiri"/>
          <w:color w:val="111111"/>
          <w:sz w:val="28"/>
          <w:szCs w:val="28"/>
          <w:rtl w:val="true"/>
          <w:lang w:bidi="ar-SA"/>
        </w:rPr>
        <w:t xml:space="preserve">. . .» </w:t>
      </w:r>
      <w:r>
        <w:rPr>
          <w:rStyle w:val="FootnoteAnchor"/>
          <w:rtl w:val="true"/>
        </w:rPr>
        <w:footnoteReference w:id="1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إحذَرُوا على شَبابِكم الغُلاةَ، فإنّ‌الغلاةَ شرُّخلق‌الله يُصَغّرون عظمةالله، ويَدَّعون الرُّبُوبِيّةَ لعبادالله</w:t>
      </w:r>
      <w:r>
        <w:rPr>
          <w:rFonts w:eastAsia="Amiri" w:cs="Amiri" w:ascii="Amiri" w:hAnsi="Amiri"/>
          <w:color w:val="111111"/>
          <w:sz w:val="28"/>
          <w:szCs w:val="28"/>
          <w:rtl w:val="true"/>
          <w:lang w:bidi="ar-SA"/>
        </w:rPr>
        <w:t xml:space="preserve">» </w:t>
      </w:r>
      <w:r>
        <w:rPr>
          <w:rStyle w:val="FootnoteAnchor"/>
          <w:rtl w:val="true"/>
        </w:rPr>
        <w:footnoteReference w:id="1756"/>
      </w:r>
      <w:bookmarkStart w:id="630" w:name="pg1976_28313"/>
    </w:p>
    <w:p>
      <w:pPr>
        <w:pStyle w:val="BookText"/>
        <w:rPr/>
      </w:pPr>
      <w:bookmarkEnd w:id="6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بن موسى‌الرضا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الله‌الغلاة، ألا كانوا يهودياً ألا كانوا مجوساً ألا كانوا نصارى، ألا كانوا قدرية، ألا كانوا مرجئة، ألا كانوا حرورية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تقاعدوهم ولا تصادقهم، وَ أبْرَؤا منهم بَرِئَ الله منهم</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وقتى از غلات و مفوّضه سؤال مى‌شود،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غلات كافر و مفوّضه مشركند، كسى‌كه با آنها هم‌نشين شود و يا رفت و آمد كند و يا هم‌خوراك شود، يا از آنها زن بگيرد، يا زن بدهد، يا آنها را امين قرار دهد، يا سخن‌شان را تصديق كند، يا ايشان را يارى رساند و لو اندك، از ولايت خدا و رسول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1" w:name="__RefHeading___Toc3767307_3650668749"/>
      <w:bookmarkStart w:id="632" w:name="_Toc232"/>
      <w:bookmarkEnd w:id="631"/>
      <w:r>
        <w:rPr>
          <w:rtl w:val="true"/>
        </w:rPr>
        <w:t xml:space="preserve">دو </w:t>
      </w:r>
      <w:r>
        <w:rPr>
          <w:rtl w:val="true"/>
        </w:rPr>
        <w:t xml:space="preserve">- </w:t>
      </w:r>
      <w:r>
        <w:rPr>
          <w:rtl w:val="true"/>
        </w:rPr>
        <w:t>موضع عالمان شيعه</w:t>
      </w:r>
      <w:bookmarkEnd w:id="6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باور ما نسبت به‌غلات و مفوّضه اين است كه آنها كافرند و بدتر از يهود، نصارى، مجوس، قدريه وحروريه، و از همه بدعت گذاران و گمراهان، بدترند</w:t>
      </w:r>
      <w:r>
        <w:rPr>
          <w:rFonts w:eastAsia="IRNazanin" w:cs="IRNazanin"/>
          <w:color w:val="111111"/>
          <w:sz w:val="28"/>
          <w:szCs w:val="28"/>
          <w:rtl w:val="true"/>
          <w:lang w:bidi="fa-IR"/>
        </w:rPr>
        <w:t xml:space="preserve">. . .»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غلات كه از متظاهرين به‌اسلامند،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گمراهانِ كافرند،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و سوزاندن آنها دستور داد،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 و خارج بودن آنها از اسلام قضاوت كردند</w:t>
      </w:r>
      <w:r>
        <w:rPr>
          <w:rFonts w:eastAsia="IRNazanin" w:cs="IRNazanin"/>
          <w:color w:val="111111"/>
          <w:sz w:val="28"/>
          <w:szCs w:val="28"/>
          <w:rtl w:val="true"/>
          <w:lang w:bidi="fa-IR"/>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والقول بكل‌منها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الوهيت نبى و امام يا شريك قرار دادن آنها با خدا در خلقت و رزق، طول عمر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إلحادٌ و كُفرٌ و خروجٌ عن الدّين، كما دلّت عليه </w:t>
      </w:r>
      <w:bookmarkStart w:id="633" w:name="pg1976_28316"/>
    </w:p>
    <w:p>
      <w:pPr>
        <w:pStyle w:val="BookText"/>
        <w:rPr/>
      </w:pPr>
      <w:bookmarkEnd w:id="633"/>
      <w:r>
        <w:rPr>
          <w:rFonts w:ascii="Amiri" w:hAnsi="Amiri" w:eastAsia="Amiri" w:cs="Amiri"/>
          <w:color w:val="111111"/>
          <w:sz w:val="28"/>
          <w:sz w:val="28"/>
          <w:szCs w:val="28"/>
          <w:rtl w:val="true"/>
          <w:lang w:bidi="ar-SA"/>
        </w:rPr>
        <w:t>الادلّة العقلية والآيات والاخبار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تبّرؤا منهم و حكموا بكفرهم و أمروا بقتلهم </w:t>
      </w:r>
      <w:r>
        <w:rPr>
          <w:rFonts w:eastAsia="Amiri" w:cs="Amiri" w:ascii="Amiri" w:hAnsi="Amiri"/>
          <w:color w:val="111111"/>
          <w:sz w:val="28"/>
          <w:szCs w:val="28"/>
          <w:rtl w:val="true"/>
          <w:lang w:bidi="ar-SA"/>
        </w:rPr>
        <w:t xml:space="preserve">. . .»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جواهرالكلام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لا كلام في نجاستهم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 و 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وكفرهم، كما في جامع المقاصد، وعن الدلائل، بل عن الاخير والروض الاجماع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يدل عليه جميع مادلّ عَلَى نجاسة الكافر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اشاره شد، گوشه‌اى از ديدگاه‌هاى امامان و بزرگان شيعه نسبت به‌غُلُوّ و غلات است؛ وموضع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غلات كافر، نجس، خارج از دين اسلام‌اند، كاملاً روشن است</w:t>
      </w:r>
      <w:r>
        <w:rPr>
          <w:rFonts w:eastAsia="IRNazanin" w:cs="IRNazanin"/>
          <w:color w:val="111111"/>
          <w:sz w:val="28"/>
          <w:szCs w:val="28"/>
          <w:rtl w:val="true"/>
          <w:lang w:bidi="fa-IR"/>
        </w:rPr>
        <w:t>.</w:t>
      </w:r>
    </w:p>
    <w:p>
      <w:pPr>
        <w:pStyle w:val="Heading6"/>
        <w:numPr>
          <w:ilvl w:val="5"/>
          <w:numId w:val="1"/>
        </w:numPr>
        <w:rPr/>
      </w:pPr>
      <w:bookmarkStart w:id="634" w:name="__RefHeading___Toc3767309_3650668749"/>
      <w:bookmarkStart w:id="635" w:name="_Toc233"/>
      <w:bookmarkEnd w:id="634"/>
      <w:r>
        <w:rPr>
          <w:rtl w:val="true"/>
        </w:rPr>
        <w:t xml:space="preserve">سه </w:t>
      </w:r>
      <w:r>
        <w:rPr>
          <w:rtl w:val="true"/>
        </w:rPr>
        <w:t xml:space="preserve">- </w:t>
      </w:r>
      <w:r>
        <w:rPr>
          <w:rtl w:val="true"/>
        </w:rPr>
        <w:t>اتهام غلوّ به‌كدام شيعه؟</w:t>
      </w:r>
      <w:bookmarkEnd w:id="63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مباحثى كه در آثار مكتوب اهل‌سنّت خلط شده است، مصداق شيعه به‌مفهوم واقعى آن با مصاديق كاذب و دروغين آن است؛ و بسيارى از افكار باطل و كفرآميزى را كه روح شيعه واقعى از آن اطلاع ندارند، به‌آن‌ها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كه ابن‌حزم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شناعت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و در آن تصريح مى‌كند كه گروهى از شيعه معتقد است جبرئيل امين هنگام آوردن وحى به‌عَلِى خيانت كرد و به‌جاى اينكه پيام وحى را به‌على بدهد، به‌عمد يا اشتباهاً به‌محمّد داد؛ يا گروهى از غلات شيعه، دوازده امام را پيامبر مى‌شمارند، گروه ديگر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دسته‌اى على را، جمعى ديگر همه امامان را خدا مى‌شمارند </w:t>
      </w:r>
      <w:r>
        <w:rPr>
          <w:rStyle w:val="FootnoteAnchor"/>
          <w:rtl w:val="true"/>
        </w:rPr>
        <w:footnoteReference w:id="1762"/>
      </w:r>
      <w:r>
        <w:rPr>
          <w:rFonts w:ascii="IRNazanin" w:hAnsi="IRNazanin" w:eastAsia="IRNazanin"/>
          <w:color w:val="111111"/>
          <w:sz w:val="28"/>
          <w:sz w:val="28"/>
          <w:szCs w:val="28"/>
          <w:rtl w:val="true"/>
          <w:lang w:bidi="fa-IR"/>
        </w:rPr>
        <w:t>، همه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شهرستانى نزديك به‌همين مسير را طى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زنده و در آسمان است، روزى بازخواهد گشت، رعد، در آسمان صداى على؛ و برق در آسمان تازيانه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 اصحاب كساء، </w:t>
      </w:r>
    </w:p>
    <w:p>
      <w:pPr>
        <w:pStyle w:val="BookText"/>
        <w:rPr/>
      </w:pPr>
      <w:r>
        <w:rPr>
          <w:rFonts w:ascii="IRNazanin" w:hAnsi="IRNazanin" w:eastAsia="IRNazanin"/>
          <w:color w:val="111111"/>
          <w:sz w:val="28"/>
          <w:sz w:val="28"/>
          <w:szCs w:val="28"/>
          <w:rtl w:val="true"/>
          <w:lang w:bidi="fa-IR"/>
        </w:rPr>
        <w:t>إله‌اند</w:t>
      </w:r>
      <w:r>
        <w:rPr>
          <w:rFonts w:eastAsia="IRNazanin" w:cs="IRNazanin"/>
          <w:color w:val="111111"/>
          <w:sz w:val="28"/>
          <w:szCs w:val="28"/>
          <w:rtl w:val="true"/>
          <w:lang w:bidi="fa-IR"/>
        </w:rPr>
        <w:t xml:space="preserve">. . . . </w:t>
      </w:r>
      <w:r>
        <w:rPr>
          <w:rStyle w:val="FootnoteAnchor"/>
          <w:rtl w:val="true"/>
        </w:rPr>
        <w:footnoteReference w:id="1763"/>
      </w:r>
      <w:r>
        <w:rPr>
          <w:rFonts w:ascii="IRNazanin" w:hAnsi="IRNazanin" w:eastAsia="IRNazanin"/>
          <w:color w:val="111111"/>
          <w:sz w:val="28"/>
          <w:sz w:val="28"/>
          <w:szCs w:val="28"/>
          <w:rtl w:val="true"/>
          <w:lang w:bidi="fa-IR"/>
        </w:rPr>
        <w:t xml:space="preserve">اينكه ابوالحسن اشعرى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را به‌شيعه منسوب مى‌كند </w:t>
      </w:r>
      <w:r>
        <w:rPr>
          <w:rStyle w:val="FootnoteAnchor"/>
          <w:rtl w:val="true"/>
        </w:rPr>
        <w:footnoteReference w:id="1764"/>
      </w:r>
      <w:r>
        <w:rPr>
          <w:rFonts w:ascii="IRNazanin" w:hAnsi="IRNazanin" w:eastAsia="IRNazanin"/>
          <w:color w:val="111111"/>
          <w:sz w:val="28"/>
          <w:sz w:val="28"/>
          <w:szCs w:val="28"/>
          <w:rtl w:val="true"/>
          <w:lang w:bidi="fa-IR"/>
        </w:rPr>
        <w:t xml:space="preserve">، بغدادى </w:t>
      </w:r>
      <w:r>
        <w:rPr>
          <w:rStyle w:val="FootnoteAnchor"/>
          <w:rtl w:val="true"/>
        </w:rPr>
        <w:footnoteReference w:id="1765"/>
      </w:r>
      <w:r>
        <w:rPr>
          <w:rFonts w:ascii="IRNazanin" w:hAnsi="IRNazanin" w:eastAsia="IRNazanin"/>
          <w:color w:val="111111"/>
          <w:sz w:val="28"/>
          <w:sz w:val="28"/>
          <w:szCs w:val="28"/>
          <w:rtl w:val="true"/>
          <w:lang w:bidi="fa-IR"/>
        </w:rPr>
        <w:t xml:space="preserve">و برخى ديگر كه از بستن تهمت، باكى ندارند </w:t>
      </w:r>
      <w:r>
        <w:rPr>
          <w:rStyle w:val="FootnoteAnchor"/>
        </w:rPr>
        <w:footnoteReference w:id="1766"/>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فرقه را به‌شيعه منسوب مى‌سازند </w:t>
      </w:r>
      <w:r>
        <w:rPr>
          <w:rStyle w:val="FootnoteAnchor"/>
          <w:rtl w:val="true"/>
        </w:rPr>
        <w:footnoteReference w:id="1767"/>
      </w:r>
      <w:r>
        <w:rPr>
          <w:rFonts w:ascii="IRNazanin" w:hAnsi="IRNazanin" w:eastAsia="IRNazanin"/>
          <w:color w:val="111111"/>
          <w:sz w:val="28"/>
          <w:sz w:val="28"/>
          <w:szCs w:val="28"/>
          <w:rtl w:val="true"/>
          <w:lang w:bidi="fa-IR"/>
        </w:rPr>
        <w:t>، خلاف واقع است بلكه آنچه در اين كتاب از باورها و اعتقادات شيعه سخن به‌ميان مى‌آيد، شيعه به‌مفهوم واقعى آن است، يعنى پيروان اهل‌بيتى كه علاوه بر اعتقاد به‌توحيد، عدل، نبوت، معاد، وجوب و فرض نماز و روزه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ماجاءَ في القرآن والنَّبي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به‌تواتر و نصِّ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امام پس از او معتقدند </w:t>
      </w:r>
      <w:r>
        <w:rPr>
          <w:rStyle w:val="FootnoteAnchor"/>
          <w:rtl w:val="true"/>
        </w:rPr>
        <w:footnoteReference w:id="1768"/>
      </w:r>
      <w:r>
        <w:rPr>
          <w:rFonts w:ascii="IRNazanin" w:hAnsi="IRNazanin" w:eastAsia="IRNazanin"/>
          <w:color w:val="111111"/>
          <w:sz w:val="28"/>
          <w:sz w:val="28"/>
          <w:szCs w:val="28"/>
          <w:rtl w:val="true"/>
          <w:lang w:bidi="fa-IR"/>
        </w:rPr>
        <w:t>و آنان را معصوم، داراى اوصاف ويژه از جمله عالم، زاهد، بى‌پروا به‌امور دنيا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دانسته و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نسل حسين‌بن‌على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زنده و درحال غيبت كبرى مى‌دانند</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6" w:name="pg1976_28322"/>
      <w:bookmarkStart w:id="637" w:name="pg1976_28322"/>
      <w:bookmarkEnd w:id="637"/>
    </w:p>
    <w:p>
      <w:pPr>
        <w:pStyle w:val="Heading3"/>
        <w:numPr>
          <w:ilvl w:val="2"/>
          <w:numId w:val="1"/>
        </w:numPr>
        <w:rPr/>
      </w:pPr>
      <w:bookmarkStart w:id="638" w:name="pg1976_28322"/>
      <w:bookmarkStart w:id="639" w:name="__RefHeading___Toc3767311_3650668749"/>
      <w:bookmarkStart w:id="640" w:name="_Toc234"/>
      <w:bookmarkEnd w:id="638"/>
      <w:bookmarkEnd w:id="639"/>
      <w:r>
        <w:rPr>
          <w:rtl w:val="true"/>
        </w:rPr>
        <w:t>فصل سوم</w:t>
      </w:r>
      <w:r>
        <w:rPr>
          <w:rtl w:val="true"/>
        </w:rPr>
        <w:t xml:space="preserve">: </w:t>
      </w:r>
      <w:r>
        <w:rPr>
          <w:rtl w:val="true"/>
        </w:rPr>
        <w:t>بررسى مصاديق غلو در امامت، به‌روايت كافى</w:t>
      </w:r>
      <w:bookmarkEnd w:id="640"/>
    </w:p>
    <w:p>
      <w:pPr>
        <w:pStyle w:val="Heading4"/>
        <w:numPr>
          <w:ilvl w:val="3"/>
          <w:numId w:val="1"/>
        </w:numPr>
        <w:rPr/>
      </w:pPr>
      <w:bookmarkStart w:id="641" w:name="__RefHeading___Toc3767313_3650668749"/>
      <w:bookmarkStart w:id="642" w:name="_Toc235"/>
      <w:bookmarkEnd w:id="641"/>
      <w:r>
        <w:rPr>
          <w:rtl w:val="true"/>
        </w:rPr>
        <w:t>اشاره</w:t>
      </w:r>
      <w:bookmarkEnd w:id="642"/>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مصاديق غلو در امامت، به‌روايت كافى </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 xml:space="preserve">با توجّه به‌اينكه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نقطۀ اختلاف ميان شيعه و اهل سنت به‌شمار مى‌رود، كتاب كافى از عمده‌ترين كتب حديثى است كه در بخش اصول خود به‌توضيح وتبيين مفهوم امامت و اوصاف امام پرداخته است؛ به‌همين جهت، گروهى از وهابيان اين كتاب را مروّج انديشۀ غلو در امامت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مهم‌ترين عناوين و رواياتى كه ادعا شده غلو است، بررسى و نقد مى‌گردد</w:t>
      </w:r>
      <w:r>
        <w:rPr>
          <w:rFonts w:eastAsia="IRNazanin" w:cs="IRNazanin"/>
          <w:color w:val="111111"/>
          <w:sz w:val="28"/>
          <w:szCs w:val="28"/>
          <w:rtl w:val="true"/>
          <w:lang w:bidi="fa-IR"/>
        </w:rPr>
        <w:t>:</w:t>
      </w:r>
    </w:p>
    <w:p>
      <w:pPr>
        <w:pStyle w:val="Heading4"/>
        <w:numPr>
          <w:ilvl w:val="3"/>
          <w:numId w:val="1"/>
        </w:numPr>
        <w:rPr/>
      </w:pPr>
      <w:bookmarkStart w:id="643" w:name="__RefHeading___Toc3767315_3650668749"/>
      <w:bookmarkStart w:id="644" w:name="_Toc236"/>
      <w:bookmarkEnd w:id="643"/>
      <w:r>
        <w:rPr/>
        <w:t>١</w:t>
      </w:r>
      <w:r>
        <w:rPr>
          <w:rtl w:val="true"/>
        </w:rPr>
        <w:t xml:space="preserve">. </w:t>
      </w:r>
      <w:r>
        <w:rPr>
          <w:rtl w:val="true"/>
        </w:rPr>
        <w:t>امامت و اصول دين</w:t>
      </w:r>
      <w:bookmarkEnd w:id="644"/>
    </w:p>
    <w:p>
      <w:pPr>
        <w:pStyle w:val="Heading5"/>
        <w:numPr>
          <w:ilvl w:val="4"/>
          <w:numId w:val="1"/>
        </w:numPr>
        <w:rPr/>
      </w:pPr>
      <w:bookmarkStart w:id="645" w:name="__RefHeading___Toc3767317_3650668749"/>
      <w:bookmarkStart w:id="646" w:name="_Toc237"/>
      <w:bookmarkEnd w:id="645"/>
      <w:r>
        <w:rPr>
          <w:rtl w:val="true"/>
        </w:rPr>
        <w:t>اشاره</w:t>
      </w:r>
      <w:bookmarkEnd w:id="64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مصاديق غلو در امامت، از اصول و اركان دين خواندن إمامت است؛ برخى از نويسندگان وهابى با 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عجيبٌ غريبٌ يَمتلئ بالغلوّ والضلال، إذ جَعَلوها أساس‌الدّين الاَعظم ورُكنَهُ الاَكبر وجَعَلُوها الاَصل الاَوّل مِن أصول الاِعتقاد وقَدّمُوها على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وجَعَلُوها محور الخلود في الجنة أو الخلود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وضعيت امامت نزد شيعه را عجيب و غريب توصيف، و مملو از غلوّ و گمراهى خوانده </w:t>
      </w:r>
      <w:r>
        <w:rPr>
          <w:rStyle w:val="FootnoteAnchor"/>
          <w:rtl w:val="true"/>
        </w:rPr>
        <w:footnoteReference w:id="1770"/>
      </w:r>
      <w:r>
        <w:rPr>
          <w:rFonts w:ascii="Amiri" w:hAnsi="Amiri" w:eastAsia="Amiri" w:cs="Amiri"/>
          <w:color w:val="111111"/>
          <w:sz w:val="28"/>
          <w:sz w:val="28"/>
          <w:szCs w:val="28"/>
          <w:rtl w:val="true"/>
          <w:lang w:bidi="ar-SA"/>
        </w:rPr>
        <w:t>و مبناى اين اعتقاد را روايات باب دعائم‌الاسلام اصول كافى مى‌شمارد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الاِسلامُ على </w:t>
      </w:r>
      <w:bookmarkStart w:id="647" w:name="pg1976_28324"/>
    </w:p>
    <w:p>
      <w:pPr>
        <w:pStyle w:val="BookText"/>
        <w:rPr/>
      </w:pPr>
      <w:bookmarkEnd w:id="647"/>
      <w:r>
        <w:rPr>
          <w:rFonts w:ascii="Amiri" w:hAnsi="Amiri" w:eastAsia="Amiri" w:cs="Amiri"/>
          <w:color w:val="111111"/>
          <w:sz w:val="28"/>
          <w:sz w:val="28"/>
          <w:szCs w:val="28"/>
          <w:rtl w:val="true"/>
          <w:lang w:bidi="ar-SA"/>
        </w:rPr>
        <w:t xml:space="preserve">خمسٍ، على الصَّلاة، والزّكاة، والصّوم، والحجّ، والولاية، و لم يُنادَ بشيءٍ كما نُودِي بالولاية </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ديگر، همين مسأله را غلو در امامت شمرده و نقش كافى را در آن برجسته ديده‌اند </w:t>
      </w:r>
      <w:r>
        <w:rPr>
          <w:rStyle w:val="FootnoteAnchor"/>
          <w:rtl w:val="true"/>
        </w:rPr>
        <w:footnoteReference w:id="1772"/>
      </w:r>
      <w:r>
        <w:rPr>
          <w:rFonts w:ascii="IRNazanin" w:hAnsi="IRNazanin" w:eastAsia="IRNazanin"/>
          <w:color w:val="111111"/>
          <w:sz w:val="28"/>
          <w:sz w:val="28"/>
          <w:szCs w:val="28"/>
          <w:rtl w:val="true"/>
          <w:lang w:bidi="fa-IR"/>
        </w:rPr>
        <w:t xml:space="preserve">و با نقل گزينشى روايات كافى </w:t>
      </w:r>
      <w:r>
        <w:rPr>
          <w:rStyle w:val="FootnoteAnchor"/>
          <w:rtl w:val="true"/>
        </w:rPr>
        <w:footnoteReference w:id="1773"/>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فانظُر كَيفَ يَختلفُ القوم مع المسلمين حيث يقول المسلمون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شهادة أن‌لاإله إلّا اللهُ وأنّ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هؤلاءلايعدّون شهادة التوحيد والرّسالة شيئاً، و يُفضّلون الولايةَ والوصايةَ على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كي‌يَجلب القومَ إلى دين جديد طبق‌الخطة المرسومة </w:t>
      </w:r>
      <w:r>
        <w:rPr>
          <w:rFonts w:eastAsia="IRNazanin" w:cs="IRNazanin"/>
          <w:color w:val="111111"/>
          <w:sz w:val="28"/>
          <w:szCs w:val="28"/>
          <w:rtl w:val="true"/>
          <w:lang w:bidi="fa-IR"/>
        </w:rPr>
        <w:t xml:space="preserve">» </w:t>
      </w:r>
      <w:r>
        <w:rPr>
          <w:rStyle w:val="FootnoteAnchor"/>
          <w:rtl w:val="true"/>
        </w:rPr>
        <w:footnoteReference w:id="1774"/>
      </w:r>
      <w:r>
        <w:rPr>
          <w:rFonts w:ascii="Amiri" w:hAnsi="Amiri" w:eastAsia="Amiri" w:cs="Amiri"/>
          <w:color w:val="111111"/>
          <w:sz w:val="28"/>
          <w:sz w:val="28"/>
          <w:szCs w:val="28"/>
          <w:rtl w:val="true"/>
          <w:lang w:bidi="ar-SA"/>
        </w:rPr>
        <w:t>نزديك به‌همين عبارت را قفارى مى‌آورد</w:t>
      </w:r>
      <w:r>
        <w:rPr>
          <w:rFonts w:eastAsia="Amiri" w:cs="Amiri" w:ascii="Amiri" w:hAnsi="Amiri"/>
          <w:color w:val="111111"/>
          <w:sz w:val="28"/>
          <w:szCs w:val="28"/>
          <w:rtl w:val="true"/>
          <w:lang w:bidi="ar-SA"/>
        </w:rPr>
        <w:t xml:space="preserve">. </w:t>
      </w:r>
      <w:r>
        <w:rPr>
          <w:rStyle w:val="FootnoteAnchor"/>
          <w:rtl w:val="true"/>
        </w:rPr>
        <w:footnoteReference w:id="1775"/>
      </w:r>
    </w:p>
    <w:p>
      <w:pPr>
        <w:pStyle w:val="Heading5"/>
        <w:numPr>
          <w:ilvl w:val="4"/>
          <w:numId w:val="1"/>
        </w:numPr>
        <w:rPr/>
      </w:pPr>
      <w:bookmarkStart w:id="648" w:name="__RefHeading___Toc3767319_3650668749"/>
      <w:bookmarkStart w:id="649" w:name="_Toc238"/>
      <w:bookmarkEnd w:id="648"/>
      <w:r>
        <w:rPr>
          <w:rtl w:val="true"/>
        </w:rPr>
        <w:t>ارزيابى و فرو ريختن مبنا و بنا</w:t>
      </w:r>
      <w:bookmarkEnd w:id="649"/>
    </w:p>
    <w:p>
      <w:pPr>
        <w:pStyle w:val="Heading6"/>
        <w:numPr>
          <w:ilvl w:val="5"/>
          <w:numId w:val="1"/>
        </w:numPr>
        <w:rPr/>
      </w:pPr>
      <w:bookmarkStart w:id="650" w:name="__RefHeading___Toc3767321_3650668749"/>
      <w:bookmarkStart w:id="651" w:name="_Toc239"/>
      <w:bookmarkEnd w:id="650"/>
      <w:r>
        <w:rPr>
          <w:rtl w:val="true"/>
        </w:rPr>
        <w:t xml:space="preserve">يك </w:t>
      </w:r>
      <w:r>
        <w:rPr>
          <w:rtl w:val="true"/>
        </w:rPr>
        <w:t xml:space="preserve">- </w:t>
      </w:r>
      <w:r>
        <w:rPr>
          <w:rtl w:val="true"/>
        </w:rPr>
        <w:t>عدم غلو در اصل امامت</w:t>
      </w:r>
      <w:bookmarkEnd w:id="651"/>
    </w:p>
    <w:p>
      <w:pPr>
        <w:pStyle w:val="Heading6"/>
        <w:numPr>
          <w:ilvl w:val="5"/>
          <w:numId w:val="1"/>
        </w:numPr>
        <w:rPr/>
      </w:pPr>
      <w:bookmarkStart w:id="652" w:name="__RefHeading___Toc3767323_3650668749"/>
      <w:bookmarkStart w:id="653" w:name="_Toc240"/>
      <w:bookmarkEnd w:id="652"/>
      <w:r>
        <w:rPr>
          <w:rtl w:val="true"/>
        </w:rPr>
        <w:t>اشاره</w:t>
      </w:r>
      <w:bookmarkEnd w:id="65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اصول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فروع</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 xml:space="preserve">ميان شيعيان اتفاق‌نظر است؛ </w:t>
      </w:r>
      <w:r>
        <w:rPr>
          <w:rStyle w:val="FootnoteAnchor"/>
          <w:rtl w:val="true"/>
        </w:rPr>
        <w:footnoteReference w:id="1777"/>
      </w:r>
      <w:r>
        <w:rPr>
          <w:rFonts w:ascii="Amiri" w:hAnsi="Amiri" w:eastAsia="Amiri" w:cs="Amiri"/>
          <w:color w:val="111111"/>
          <w:sz w:val="28"/>
          <w:sz w:val="28"/>
          <w:szCs w:val="28"/>
          <w:rtl w:val="true"/>
          <w:lang w:bidi="ar-SA"/>
        </w:rPr>
        <w:t xml:space="preserve">اما اينكه آن را اصلى از اصول دين </w:t>
      </w:r>
      <w:r>
        <w:rPr>
          <w:rStyle w:val="FootnoteAnchor"/>
          <w:rtl w:val="true"/>
        </w:rPr>
        <w:footnoteReference w:id="1778"/>
      </w:r>
      <w:r>
        <w:rPr>
          <w:rFonts w:ascii="Amiri" w:hAnsi="Amiri" w:eastAsia="Amiri" w:cs="Amiri"/>
          <w:color w:val="111111"/>
          <w:sz w:val="28"/>
          <w:sz w:val="28"/>
          <w:szCs w:val="28"/>
          <w:rtl w:val="true"/>
          <w:lang w:bidi="ar-SA"/>
        </w:rPr>
        <w:t xml:space="preserve">مى‌شمارند يا از اصول مذهب، دو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ميان عالمان شيعه مطرح است؛ اكثراً آن را از اصول دين، مى‌خوانند </w:t>
      </w:r>
      <w:r>
        <w:rPr>
          <w:rStyle w:val="FootnoteAnchor"/>
          <w:rtl w:val="true"/>
        </w:rPr>
        <w:footnoteReference w:id="1779"/>
      </w:r>
      <w:r>
        <w:rPr>
          <w:rFonts w:ascii="IRNazanin" w:hAnsi="IRNazanin" w:eastAsia="IRNazanin"/>
          <w:color w:val="111111"/>
          <w:sz w:val="28"/>
          <w:sz w:val="28"/>
          <w:szCs w:val="28"/>
          <w:rtl w:val="true"/>
          <w:lang w:bidi="fa-IR"/>
        </w:rPr>
        <w:t xml:space="preserve">و جمع كثير ديگر آن را از اصول مذهب مى‌دانند </w:t>
      </w:r>
      <w:r>
        <w:rPr>
          <w:rStyle w:val="FootnoteAnchor"/>
          <w:rtl w:val="true"/>
        </w:rPr>
        <w:footnoteReference w:id="1780"/>
      </w:r>
      <w:r>
        <w:rPr>
          <w:rFonts w:ascii="IRNazanin" w:hAnsi="IRNazanin" w:eastAsia="IRNazanin"/>
          <w:color w:val="111111"/>
          <w:sz w:val="28"/>
          <w:sz w:val="28"/>
          <w:szCs w:val="28"/>
          <w:rtl w:val="true"/>
          <w:lang w:bidi="fa-IR"/>
        </w:rPr>
        <w:t>با توجّه به‌ديدگاهِ دوم، ايراد نويسندگان منتقد مبنى بر اينكه غلوّ است و باطل، مردود و بى‌اساس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نزد اهل‌سنّت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رياسة عامّة في‌أمرالدّين والّدنيا </w:t>
      </w:r>
      <w:r>
        <w:rPr>
          <w:rStyle w:val="FootnoteAnchor"/>
          <w:rtl w:val="true"/>
        </w:rPr>
        <w:footnoteReference w:id="1781"/>
      </w:r>
      <w:r>
        <w:rPr>
          <w:rFonts w:ascii="Amiri" w:hAnsi="Amiri" w:eastAsia="Amiri" w:cs="Amiri"/>
          <w:color w:val="111111"/>
          <w:sz w:val="28"/>
          <w:sz w:val="28"/>
          <w:szCs w:val="28"/>
          <w:rtl w:val="true"/>
          <w:lang w:bidi="ar-SA"/>
        </w:rPr>
        <w:t xml:space="preserve">خلافة عن النّبي وأحكامه في </w:t>
      </w:r>
      <w:bookmarkStart w:id="654" w:name="pg1976_28328"/>
    </w:p>
    <w:p>
      <w:pPr>
        <w:pStyle w:val="BookText"/>
        <w:rPr/>
      </w:pPr>
      <w:bookmarkEnd w:id="654"/>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rtl w:val="true"/>
          <w:lang w:bidi="fa-IR"/>
        </w:rPr>
        <w:t xml:space="preserve">» </w:t>
      </w:r>
      <w:r>
        <w:rPr>
          <w:rStyle w:val="FootnoteAnchor"/>
          <w:rtl w:val="true"/>
        </w:rPr>
        <w:footnoteReference w:id="1782"/>
      </w:r>
      <w:r>
        <w:rPr>
          <w:rFonts w:ascii="IRNazanin" w:hAnsi="IRNazanin" w:eastAsia="IRNazanin"/>
          <w:color w:val="111111"/>
          <w:sz w:val="28"/>
          <w:sz w:val="28"/>
          <w:szCs w:val="28"/>
          <w:rtl w:val="true"/>
          <w:lang w:bidi="fa-IR"/>
        </w:rPr>
        <w:t xml:space="preserve">، از فروع دين و مربوط به‌افعال مكلفين محسوب مى‌گردد </w:t>
      </w:r>
      <w:r>
        <w:rPr>
          <w:rStyle w:val="FootnoteAnchor"/>
          <w:rtl w:val="true"/>
        </w:rPr>
        <w:footnoteReference w:id="1783"/>
      </w:r>
      <w:r>
        <w:rPr>
          <w:rFonts w:ascii="Amiri" w:hAnsi="Amiri" w:eastAsia="Amiri" w:cs="Amiri"/>
          <w:color w:val="111111"/>
          <w:sz w:val="28"/>
          <w:sz w:val="28"/>
          <w:szCs w:val="28"/>
          <w:rtl w:val="true"/>
          <w:lang w:bidi="ar-SA"/>
        </w:rPr>
        <w:t xml:space="preserve">و نصب امام، به‌اتفاق واجب نيست بلكه اختلافى است </w:t>
      </w:r>
      <w:r>
        <w:rPr>
          <w:rStyle w:val="FootnoteAnchor"/>
          <w:rtl w:val="true"/>
        </w:rPr>
        <w:footnoteReference w:id="1784"/>
      </w:r>
      <w:r>
        <w:rPr>
          <w:rFonts w:ascii="Amiri" w:hAnsi="Amiri" w:eastAsia="Amiri" w:cs="Amiri"/>
          <w:color w:val="111111"/>
          <w:sz w:val="28"/>
          <w:sz w:val="28"/>
          <w:szCs w:val="28"/>
          <w:rtl w:val="true"/>
          <w:lang w:bidi="ar-SA"/>
        </w:rPr>
        <w:t xml:space="preserve">و نزد اكثرآن‌ها واجب به‌وجوب كفايى است </w:t>
      </w:r>
      <w:r>
        <w:rPr>
          <w:rStyle w:val="FootnoteAnchor"/>
          <w:rtl w:val="true"/>
        </w:rPr>
        <w:footnoteReference w:id="1785"/>
      </w:r>
      <w:r>
        <w:rPr>
          <w:rFonts w:ascii="IRNazanin" w:hAnsi="IRNazanin" w:eastAsia="IRNazanin"/>
          <w:color w:val="111111"/>
          <w:sz w:val="28"/>
          <w:sz w:val="28"/>
          <w:szCs w:val="28"/>
          <w:rtl w:val="true"/>
          <w:lang w:bidi="fa-IR"/>
        </w:rPr>
        <w:t xml:space="preserve">، امّا اينكه وجوب نصب آن، عقلى است يا شرعى وحدت نظر ندارند، اكثر وجوب شرعى را برگزيده‌اند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مبنا از چند جهت فرو ريخته، و عالمان اهل سنت برخلاف آن عمل نموده‌اند</w:t>
      </w:r>
      <w:r>
        <w:rPr>
          <w:rFonts w:eastAsia="IRNazanin" w:cs="IRNazanin"/>
          <w:color w:val="111111"/>
          <w:sz w:val="28"/>
          <w:szCs w:val="28"/>
          <w:rtl w:val="true"/>
          <w:lang w:bidi="fa-IR"/>
        </w:rPr>
        <w:t>:</w:t>
      </w:r>
    </w:p>
    <w:p>
      <w:pPr>
        <w:pStyle w:val="Heading6"/>
        <w:numPr>
          <w:ilvl w:val="5"/>
          <w:numId w:val="1"/>
        </w:numPr>
        <w:rPr/>
      </w:pPr>
      <w:bookmarkStart w:id="655" w:name="__RefHeading___Toc3767325_3650668749"/>
      <w:bookmarkStart w:id="656" w:name="_Toc241"/>
      <w:bookmarkEnd w:id="655"/>
      <w:r>
        <w:rPr>
          <w:rtl w:val="true"/>
        </w:rPr>
        <w:t xml:space="preserve">اول </w:t>
      </w:r>
      <w:r>
        <w:rPr>
          <w:rtl w:val="true"/>
        </w:rPr>
        <w:t xml:space="preserve">- </w:t>
      </w:r>
      <w:r>
        <w:rPr>
          <w:rtl w:val="true"/>
        </w:rPr>
        <w:t>امامت از اصول دين</w:t>
      </w:r>
      <w:bookmarkEnd w:id="65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عالمان اهل‌سنت امامت را از اعظم مسائل اصول دين شمرده و مخالفت با آن را موجب كفر و بدعت مى‌دانند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مِنَ الاُصول، ومخالفتها بِدعَةٌ ومؤثرة في الفتن </w:t>
      </w:r>
      <w:r>
        <w:rPr>
          <w:rFonts w:eastAsia="Amiri" w:cs="Amiri" w:ascii="Amiri" w:hAnsi="Amiri"/>
          <w:color w:val="111111"/>
          <w:sz w:val="28"/>
          <w:szCs w:val="28"/>
          <w:rtl w:val="true"/>
          <w:lang w:bidi="ar-SA"/>
        </w:rPr>
        <w:t xml:space="preserve">. . .» </w:t>
      </w:r>
      <w:r>
        <w:rPr>
          <w:rStyle w:val="FootnoteAnchor"/>
          <w:rtl w:val="true"/>
        </w:rPr>
        <w:footnoteReference w:id="1787"/>
      </w:r>
      <w:bookmarkStart w:id="657" w:name="pg1976_28331"/>
    </w:p>
    <w:p>
      <w:pPr>
        <w:pStyle w:val="Heading6"/>
        <w:numPr>
          <w:ilvl w:val="5"/>
          <w:numId w:val="1"/>
        </w:numPr>
        <w:rPr/>
      </w:pPr>
      <w:bookmarkStart w:id="658" w:name="__RefHeading___Toc3767327_3650668749"/>
      <w:bookmarkStart w:id="659" w:name="_Toc242"/>
      <w:bookmarkEnd w:id="657"/>
      <w:bookmarkEnd w:id="658"/>
      <w:r>
        <w:rPr>
          <w:rtl w:val="true"/>
        </w:rPr>
        <w:t xml:space="preserve">دوم </w:t>
      </w:r>
      <w:r>
        <w:rPr>
          <w:rtl w:val="true"/>
        </w:rPr>
        <w:t xml:space="preserve">- </w:t>
      </w:r>
      <w:r>
        <w:rPr>
          <w:rtl w:val="true"/>
        </w:rPr>
        <w:t>تكفير شيعه</w:t>
      </w:r>
      <w:r>
        <w:rPr>
          <w:rtl w:val="true"/>
        </w:rPr>
        <w:t>!</w:t>
      </w:r>
      <w:bookmarkEnd w:id="659"/>
    </w:p>
    <w:p>
      <w:pPr>
        <w:pStyle w:val="BookText"/>
        <w:rPr/>
      </w:pPr>
      <w:r>
        <w:rPr>
          <w:rFonts w:ascii="IRNazanin" w:hAnsi="IRNazanin" w:eastAsia="IRNazanin"/>
          <w:color w:val="111111"/>
          <w:sz w:val="28"/>
          <w:sz w:val="28"/>
          <w:szCs w:val="28"/>
          <w:rtl w:val="true"/>
          <w:lang w:bidi="fa-IR"/>
        </w:rPr>
        <w:t xml:space="preserve">از ديدگاه برخى مذاهب اهل‌سنت انكار امامت ابابكر و عمر موجب كفر است؛ ابن حجرالهيتمى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من العلماء،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فمذهب أبي‌حنيفة أنّ مَن‌أنكرخلافة الصدّيق و عُمَر فهوكافر </w:t>
      </w:r>
      <w:r>
        <w:rPr>
          <w:rFonts w:eastAsia="IRNazanin" w:cs="IRNazanin"/>
          <w:color w:val="111111"/>
          <w:sz w:val="28"/>
          <w:szCs w:val="28"/>
          <w:rtl w:val="true"/>
          <w:lang w:bidi="fa-IR"/>
        </w:rPr>
        <w:t xml:space="preserve">» </w:t>
      </w:r>
      <w:r>
        <w:rPr>
          <w:rStyle w:val="FootnoteAnchor"/>
          <w:rtl w:val="true"/>
        </w:rPr>
        <w:footnoteReference w:id="1788"/>
      </w:r>
      <w:r>
        <w:rPr>
          <w:rFonts w:ascii="IRNazanin" w:hAnsi="IRNazanin" w:eastAsia="IRNazanin"/>
          <w:color w:val="111111"/>
          <w:sz w:val="28"/>
          <w:sz w:val="28"/>
          <w:szCs w:val="28"/>
          <w:rtl w:val="true"/>
          <w:lang w:bidi="fa-IR"/>
        </w:rPr>
        <w:t>، از منابع مختلف، كافر بودن كسانى‌كه خلافت آن دو را قبول ندارند، استخراج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الشيخ نوح الحنفى در زمان سلطان‌سليم عثمانى و به‌اشاره او، فتواى تكفير شيعه و جواز قتل و اسارت زن‌ها و بچه‌ها و تاراج اموال آنها را در جهت تأمين قدرت و تحكيم پايه‌هاى حكومت ظالم به‌اين صورت صادر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اسعدك‌الله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الكفرة، والبُغاة الفجرة جَمَعوا بين الكفر والبغي والعناد، وانواع الفسق والزندقة والاِلحاد، ومن توقّف في كُفرهم وإلحادهم، و وجوب قتالهم، وجوازقتلهم، فهوكافر مثلهم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علت‌هاى تكفير آنها را انكار امامت شيخين، ايراد بر اعمال عايشه، سبّ شيخين، و فرمان‌نبردن از حاكم زمانش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Style w:val="FootnoteAnchor"/>
          <w:rtl w:val="true"/>
        </w:rPr>
        <w:footnoteReference w:id="1789"/>
      </w:r>
      <w:r>
        <w:rPr>
          <w:rFonts w:ascii="Amiri" w:hAnsi="Amiri" w:eastAsia="Amiri" w:cs="Amiri"/>
          <w:color w:val="111111"/>
          <w:sz w:val="28"/>
          <w:sz w:val="28"/>
          <w:szCs w:val="28"/>
          <w:rtl w:val="true"/>
          <w:lang w:bidi="ar-SA"/>
        </w:rPr>
        <w:t xml:space="preserve">نظير همين فتوا را محمدبن محمود بن حسين الحنفى‌الاسروشى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تكفير شيعه و هركسى كه منكر امامت شيخين باشد، مى‌دهد</w:t>
      </w:r>
      <w:r>
        <w:rPr>
          <w:rFonts w:eastAsia="Amiri" w:cs="Amiri" w:ascii="Amiri" w:hAnsi="Amiri"/>
          <w:color w:val="111111"/>
          <w:sz w:val="28"/>
          <w:szCs w:val="28"/>
          <w:rtl w:val="true"/>
          <w:lang w:bidi="ar-SA"/>
        </w:rPr>
        <w:t xml:space="preserve">. </w:t>
      </w:r>
      <w:r>
        <w:rPr>
          <w:rStyle w:val="FootnoteAnchor"/>
          <w:rtl w:val="true"/>
        </w:rPr>
        <w:footnoteReference w:id="179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در پاسخ سؤال فرضى كه خود طرح مى‌كند مبنى بر اينكه شرط تكفير، انكار مسأله اجماعى و ضروريات دين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ابابكر صديق از ضروريات دين است، زيرا بيعت صحابه با او به‌تواتر ثابت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فصارت كالمُجمَع عَلَيه المعلوم بالضرورة وهذا لاشَك فيه </w:t>
      </w:r>
      <w:r>
        <w:rPr>
          <w:rFonts w:eastAsia="IRNazanin" w:cs="IRNazanin"/>
          <w:color w:val="111111"/>
          <w:sz w:val="28"/>
          <w:szCs w:val="28"/>
          <w:rtl w:val="true"/>
          <w:lang w:bidi="fa-IR"/>
        </w:rPr>
        <w:t xml:space="preserve">» </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هركسى را از جمله شيعه كه اعتقاد </w:t>
      </w:r>
    </w:p>
    <w:p>
      <w:pPr>
        <w:pStyle w:val="BookText"/>
        <w:rPr/>
      </w:pPr>
      <w:r>
        <w:rPr>
          <w:rFonts w:ascii="IRNazanin" w:hAnsi="IRNazanin" w:eastAsia="IRNazanin"/>
          <w:color w:val="111111"/>
          <w:sz w:val="28"/>
          <w:sz w:val="28"/>
          <w:szCs w:val="28"/>
          <w:rtl w:val="true"/>
          <w:lang w:bidi="fa-IR"/>
        </w:rPr>
        <w:t xml:space="preserve">به‌خلافت شيخين، نداشته باشند، اخوان الشياطين، دشمن دين، مخالفان اصول و فروع، گمراه، مستحق عقاب عظيم، شيعه ابليس و بازماندگان مرتدين و ملعون خدا و فرشتگان و مردم مى‌خواند </w:t>
      </w:r>
      <w:r>
        <w:rPr>
          <w:rStyle w:val="FootnoteAnchor"/>
          <w:rtl w:val="true"/>
        </w:rPr>
        <w:footnoteReference w:id="1792"/>
      </w:r>
      <w:r>
        <w:rPr>
          <w:rFonts w:ascii="IRNazanin" w:hAnsi="IRNazanin" w:eastAsia="IRNazanin"/>
          <w:color w:val="111111"/>
          <w:sz w:val="28"/>
          <w:sz w:val="28"/>
          <w:szCs w:val="28"/>
          <w:rtl w:val="true"/>
          <w:lang w:bidi="fa-IR"/>
        </w:rPr>
        <w:t>همين شخص به اين حديث 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وشيعتك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عبارت را كه جعلى بودنش روشن است، جهت تأمين منافع حكّام زمان خودش، ضميمه مى‌كند</w:t>
      </w:r>
      <w:r>
        <w:rPr>
          <w:rFonts w:eastAsia="IRNazanin" w:cs="IRNazanin"/>
          <w:color w:val="111111"/>
          <w:sz w:val="28"/>
          <w:szCs w:val="28"/>
          <w:rtl w:val="true"/>
          <w:lang w:bidi="fa-IR"/>
        </w:rPr>
        <w:t xml:space="preserve">: </w:t>
      </w:r>
      <w:r>
        <w:rPr>
          <w:rStyle w:val="FootnoteAnchor"/>
          <w:rtl w:val="true"/>
        </w:rPr>
        <w:footnoteReference w:id="1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قَوماً يَزعَمُون أنّهُم يحبّونك يصغّرون الاسلام، ثم يلفظونه يمرقون‌منه كما يمرق السّهم عن الرمية، لهم نبز يقال لهم الرافضة، فان أدركتهم فقاتلهم فإنّهم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ركون </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ديگر علامت‌هاى مشركان مورد نظرش را، عدم حضور در جمعه و جماعات و طعن برسلف مى‌شمارد </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دروغ‌بودنش هويدا و اينكه درصدد تأمين منافع حكام زمان خودش است،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ابن‌حزم نسبت به اينكه چه چيزى سبب كفر مى‌شود، تصريح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إختلف النّاس في هذا المكان اختلافاً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طرح چند ديدگاه،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طائفه‌اى از اهل‌سنت معتقدند هيچ مسلمانى به‌چيزى، چه در اعتقاد و چه در عمل كافر نمى‌شود، مگر اينكه امت اسلام اجماع كنند بر اينكه او كافر است و بر اجماع خويش باقى باشند</w:t>
      </w:r>
      <w:r>
        <w:rPr>
          <w:rFonts w:eastAsia="IRNazanin" w:cs="IRNazanin"/>
          <w:color w:val="111111"/>
          <w:sz w:val="28"/>
          <w:szCs w:val="28"/>
          <w:rtl w:val="true"/>
          <w:lang w:bidi="fa-IR"/>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در مسأله‌اى كه به‌اعتراف بزرگان اهل‌سنت؛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دين و مربوط به‌افعال مكلفان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نصب آن، از سوى امت، اختلافى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همانند دفن ميتِ مسلمان،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شديد در ملاك تكفير، به‌چه دليل شرعى و عقلايى انكار و نپذيرفتن خلافت ابابكر موجب تكفير 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قتل نفس و حلال شدن مال و ناموس مسلمان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درحالى‌كه صحيح‌ترين </w:t>
      </w:r>
      <w:bookmarkStart w:id="660" w:name="pg1976_28335"/>
    </w:p>
    <w:p>
      <w:pPr>
        <w:pStyle w:val="BookText"/>
        <w:rPr/>
      </w:pPr>
      <w:bookmarkEnd w:id="660"/>
      <w:r>
        <w:rPr>
          <w:rFonts w:ascii="IRNazanin" w:hAnsi="IRNazanin" w:eastAsia="IRNazanin"/>
          <w:color w:val="111111"/>
          <w:sz w:val="28"/>
          <w:sz w:val="28"/>
          <w:szCs w:val="28"/>
          <w:rtl w:val="true"/>
          <w:lang w:bidi="fa-IR"/>
        </w:rPr>
        <w:t xml:space="preserve">كتاب اهل‌سنت پس از قرآن، توسط پسرعمربن‌الخطاب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أُمِرتُ أن أُقاتِل الناسَ حَتّى يَشهَدُوا أن‌لاإلهَ إلّا اللهُ وأنَّ محمّداً رسول‌الله ويَقيمُوا الصّلاة ويُؤتُوا الزّكاةَ، فإذا فَعَلوُا ذلكَ عَصَمُوا مِنّي دِماءَهُم وأموالَهم إلّا بِحقِّ الاِسلام وحسابُهُم على‌الله </w:t>
      </w:r>
      <w:r>
        <w:rPr>
          <w:rFonts w:eastAsia="IRNazanin" w:cs="IRNazanin"/>
          <w:color w:val="111111"/>
          <w:sz w:val="28"/>
          <w:szCs w:val="28"/>
          <w:rtl w:val="true"/>
          <w:lang w:bidi="fa-IR"/>
        </w:rPr>
        <w:t xml:space="preserve">» </w:t>
      </w:r>
      <w:r>
        <w:rPr>
          <w:rStyle w:val="FootnoteAnchor"/>
          <w:rtl w:val="true"/>
        </w:rPr>
        <w:footnoteReference w:id="1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الاِسلامُ يُحقنُ به‌الدَّم، و تؤدّي به‌الاَمانة، وتستحلّ به‌الفروج؛ والثّوابُ على الاِيمان </w:t>
      </w:r>
      <w:r>
        <w:rPr>
          <w:rFonts w:eastAsia="IRNazanin" w:cs="IRNazanin"/>
          <w:color w:val="111111"/>
          <w:sz w:val="28"/>
          <w:szCs w:val="28"/>
          <w:rtl w:val="true"/>
          <w:lang w:bidi="fa-IR"/>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در حديث ديگر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لاإله إلّاالله، و كَفَربِما يعبَدُ من دون‌الله، حَرُم مالُه ودَمُه و حسابه على‌الله </w:t>
      </w:r>
      <w:r>
        <w:rPr>
          <w:rFonts w:eastAsia="IRNazanin" w:cs="IRNazanin"/>
          <w:color w:val="111111"/>
          <w:sz w:val="28"/>
          <w:szCs w:val="28"/>
          <w:rtl w:val="true"/>
          <w:lang w:bidi="fa-IR"/>
        </w:rPr>
        <w:t xml:space="preserve">» </w:t>
      </w: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مبنايى كه اتخاذ نموده‌اند، در عمل آن را فرو ريخته‌اند</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3767329_3650668749"/>
      <w:bookmarkStart w:id="662" w:name="_Toc243"/>
      <w:bookmarkEnd w:id="661"/>
      <w:r>
        <w:rPr>
          <w:rtl w:val="true"/>
        </w:rPr>
        <w:t xml:space="preserve">سوم </w:t>
      </w:r>
      <w:r>
        <w:rPr>
          <w:rtl w:val="true"/>
        </w:rPr>
        <w:t xml:space="preserve">- </w:t>
      </w:r>
      <w:r>
        <w:rPr>
          <w:rtl w:val="true"/>
        </w:rPr>
        <w:t>غلو و اتهام به‌غلوّ</w:t>
      </w:r>
      <w:bookmarkEnd w:id="66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نويسندگان وهابى با پيروى از اسلاف خود،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الهيتمى، شيعه را بدان جهت كه امامت را از اصول دين، مى‌شمارد متهم به‌غلوّ مى‌كنند، ولى هيچ‌گاه باورها وعملكردهاى خودشان را مورد ارزيابى قرار نمى‌دهند؛ توضيح مطلب آنكه، آنان شيعه را كه با تأسّى به امامان معصوم خود و ادلّه قطعى، امامت را منصب الهى و جزء اصول اعتقادات خويش مى‌شمارد، غلو قلمداد مى‌كنند، اما كافر شمردن منكران خلافت ابابكر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كه دليلى جز بيعت چند نفر معلوم الحال بر آن وجود ندارد، نه تنها غلو كه عين توحيد مى‌خوانند </w:t>
      </w:r>
      <w:r>
        <w:rPr>
          <w:rStyle w:val="FootnoteAnchor"/>
          <w:rtl w:val="true"/>
        </w:rPr>
        <w:footnoteReference w:id="1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به‌راستى اگر امامت از اصول دين است، چرا شيعه نسبت به اعتقاداتش غالى محسوب مى‌گردد و اگر جزء فروع و مربوط به‌افعال عباد است و اجتهادپذير و به‌نصّ سخن خود ابن‌حجر، به‌دفاع حتى از معاويۀ بن‌ابى‌سفيان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p>
    <w:p>
      <w:pPr>
        <w:pStyle w:val="BookText"/>
        <w:rPr/>
      </w:pPr>
      <w:r>
        <w:rPr>
          <w:rFonts w:ascii="IRNazanin" w:hAnsi="IRNazanin" w:eastAsia="IRNazanin"/>
          <w:color w:val="111111"/>
          <w:sz w:val="28"/>
          <w:sz w:val="28"/>
          <w:szCs w:val="28"/>
          <w:rtl w:val="true"/>
          <w:lang w:bidi="fa-IR"/>
        </w:rPr>
        <w:t>اجتهاد كرد هر چند خطا رفته باشد مأجور است</w:t>
      </w:r>
      <w:r>
        <w:rPr>
          <w:rFonts w:eastAsia="IRNazanin" w:cs="IRNazanin"/>
          <w:color w:val="111111"/>
          <w:sz w:val="28"/>
          <w:szCs w:val="28"/>
          <w:rtl w:val="true"/>
          <w:lang w:bidi="fa-IR"/>
        </w:rPr>
        <w:t xml:space="preserve">» </w:t>
      </w:r>
      <w:r>
        <w:rPr>
          <w:rStyle w:val="FootnoteAnchor"/>
          <w:rtl w:val="true"/>
        </w:rPr>
        <w:footnoteReference w:id="1801"/>
      </w:r>
      <w:r>
        <w:rPr>
          <w:rFonts w:ascii="Amiri" w:hAnsi="Amiri" w:eastAsia="Amiri" w:cs="Amiri"/>
          <w:color w:val="111111"/>
          <w:sz w:val="28"/>
          <w:sz w:val="28"/>
          <w:szCs w:val="28"/>
          <w:rtl w:val="true"/>
          <w:lang w:bidi="ar-SA"/>
        </w:rPr>
        <w:t xml:space="preserve">، انكار خلافت ابوبكر، موجب تكفير مى‌شود؟ </w:t>
      </w:r>
      <w:r>
        <w:rPr>
          <w:rStyle w:val="FootnoteAnchor"/>
          <w:rtl w:val="true"/>
        </w:rPr>
        <w:footnoteReference w:id="1802"/>
      </w:r>
      <w:r>
        <w:rPr>
          <w:rFonts w:ascii="IRNazanin" w:hAnsi="IRNazanin" w:eastAsia="IRNazanin"/>
          <w:color w:val="111111"/>
          <w:sz w:val="28"/>
          <w:sz w:val="28"/>
          <w:szCs w:val="28"/>
          <w:rtl w:val="true"/>
          <w:lang w:bidi="fa-IR"/>
        </w:rPr>
        <w:t>كسانى كه مبناى فكرى شان را اين‌گونه روايات دروغ و ساختگى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غَلَبَهُم بالسّيف حتّى صار خليفة و سُمّي أميرالمؤمنين لايحلّ لِأحد يؤمن بالله واليَوم الاخر، أن يبيت ولايراهُ إماماً عليه، برّاً كانَ اوفاجراً، فهو أميرالمؤمنين</w:t>
      </w:r>
      <w:r>
        <w:rPr>
          <w:rFonts w:eastAsia="IRNazanin" w:cs="IRNazanin"/>
          <w:color w:val="111111"/>
          <w:sz w:val="28"/>
          <w:szCs w:val="28"/>
          <w:rtl w:val="true"/>
          <w:lang w:bidi="fa-IR"/>
        </w:rPr>
        <w:t xml:space="preserve">! » </w:t>
      </w:r>
      <w:r>
        <w:rPr>
          <w:rStyle w:val="FootnoteAnchor"/>
          <w:rtl w:val="true"/>
        </w:rPr>
        <w:footnoteReference w:id="1803"/>
      </w:r>
      <w:r>
        <w:rPr>
          <w:rFonts w:ascii="Amiri" w:hAnsi="Amiri" w:eastAsia="Amiri" w:cs="Amiri"/>
          <w:color w:val="111111"/>
          <w:sz w:val="28"/>
          <w:sz w:val="28"/>
          <w:szCs w:val="28"/>
          <w:rtl w:val="true"/>
          <w:lang w:bidi="ar-SA"/>
        </w:rPr>
        <w:t>تشكيل مى‌دهد، هم غلوّ به تقصير است و هم توهين به‌اسلام و منصب اميرالمؤمنين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اجماع و ضرورتى كه ابن‌حجر و پيروان وى براى مشروع ساختن خلافت ابابكر ادعا مى‌كنند </w:t>
      </w:r>
      <w:r>
        <w:rPr>
          <w:rStyle w:val="FootnoteAnchor"/>
          <w:rtl w:val="true"/>
        </w:rPr>
        <w:footnoteReference w:id="1804"/>
      </w:r>
      <w:r>
        <w:rPr>
          <w:rFonts w:ascii="IRNazanin" w:hAnsi="IRNazanin" w:eastAsia="IRNazanin"/>
          <w:color w:val="111111"/>
          <w:sz w:val="28"/>
          <w:sz w:val="28"/>
          <w:szCs w:val="28"/>
          <w:rtl w:val="true"/>
          <w:lang w:bidi="fa-IR"/>
        </w:rPr>
        <w:t xml:space="preserve">، بى‌اساس‌ترين ادعا است؛ امام اشعرى‌ها آن را مورد اختلاف و پنج ديدگاه را در خصوص آن ذكر مى‌كند </w:t>
      </w:r>
      <w:r>
        <w:rPr>
          <w:rStyle w:val="FootnoteAnchor"/>
          <w:rtl w:val="true"/>
        </w:rPr>
        <w:footnoteReference w:id="1805"/>
      </w:r>
      <w:r>
        <w:rPr>
          <w:rFonts w:ascii="Amiri" w:hAnsi="Amiri" w:eastAsia="Amiri" w:cs="Amiri"/>
          <w:color w:val="111111"/>
          <w:sz w:val="28"/>
          <w:sz w:val="28"/>
          <w:szCs w:val="28"/>
          <w:rtl w:val="true"/>
          <w:lang w:bidi="ar-SA"/>
        </w:rPr>
        <w:t xml:space="preserve">زيرا شرط اساسى براى ضرورت دينى بودن يك مسأله اين است كه كافّه مسلمين در همه مكان‌ها و زمان‌ها برآن اجماع داشته باشند، درحالى‌كه نه‌تنها شيعه كه عده‌اى از اصحاب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خلافت ابابكر مخالف او بودند</w:t>
      </w:r>
      <w:r>
        <w:rPr>
          <w:rFonts w:eastAsia="Amiri" w:cs="Amiri" w:ascii="Amiri" w:hAnsi="Amiri"/>
          <w:color w:val="111111"/>
          <w:sz w:val="28"/>
          <w:szCs w:val="28"/>
          <w:rtl w:val="true"/>
          <w:lang w:bidi="ar-SA"/>
        </w:rPr>
        <w:t xml:space="preserve">. </w:t>
      </w:r>
      <w:r>
        <w:rPr>
          <w:rStyle w:val="FootnoteAnchor"/>
          <w:rtl w:val="true"/>
        </w:rPr>
        <w:footnoteReference w:id="1806"/>
      </w:r>
      <w:r>
        <w:rPr>
          <w:rFonts w:ascii="IRNazanin" w:hAnsi="IRNazanin" w:eastAsia="IRNazanin"/>
          <w:color w:val="111111"/>
          <w:sz w:val="28"/>
          <w:sz w:val="28"/>
          <w:szCs w:val="28"/>
          <w:rtl w:val="true"/>
          <w:lang w:bidi="fa-IR"/>
        </w:rPr>
        <w:t xml:space="preserve">ابن‌حزم با انديشه خاصى كه نسبت به‌اهل‌بيت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تصريح مى‌كند كه مردم در مورد انعقاد اجماع اختلاف‌نظر دارند؛ گروهى ديگر اجماع قضات امت را در هرجايى 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انعقاد اجماع امامت، مى‌شمارند، اجماع پنج نفر عادل، و وصيت، دستور تشكيل شوراى شش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مسيرهاى رفته درمورد خلفاء</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ديدگاه‌هاى مطرح در اين باب مى‌داند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 xml:space="preserve">. </w:t>
      </w:r>
      <w:bookmarkStart w:id="663" w:name="pg1976_28339"/>
    </w:p>
    <w:p>
      <w:pPr>
        <w:pStyle w:val="BookText"/>
        <w:rPr/>
      </w:pPr>
      <w:bookmarkEnd w:id="663"/>
      <w:r>
        <w:rPr>
          <w:rFonts w:ascii="IRNazanin" w:hAnsi="IRNazanin" w:eastAsia="IRNazanin"/>
          <w:color w:val="111111"/>
          <w:sz w:val="28"/>
          <w:sz w:val="28"/>
          <w:szCs w:val="28"/>
          <w:rtl w:val="true"/>
          <w:lang w:bidi="fa-IR"/>
        </w:rPr>
        <w:t xml:space="preserve">گذشته از آن، اگر ابوبكر با اجماع به‌خلافت رسيد، اما اين بتِ اجماع در مورد عُمَر، چرا فرو ريخت، پس از او عثمان چرا با انتخاب شوراى نمايشى شش نفره با حق وِتو براى عبدالرحمان‌بن‌عوف، به‌صحنه آمد؟ </w:t>
      </w:r>
      <w:r>
        <w:rPr>
          <w:rFonts w:eastAsia="IRNazanin" w:cs="IRNazanin"/>
          <w:color w:val="111111"/>
          <w:sz w:val="28"/>
          <w:szCs w:val="28"/>
          <w:rtl w:val="true"/>
          <w:lang w:bidi="fa-IR"/>
        </w:rPr>
        <w:t xml:space="preserve">! </w:t>
      </w:r>
      <w:r>
        <w:rPr>
          <w:rStyle w:val="FootnoteAnchor"/>
          <w:rtl w:val="true"/>
        </w:rPr>
        <w:footnoteReference w:id="1808"/>
      </w:r>
      <w:r>
        <w:rPr>
          <w:rFonts w:ascii="IRNazanin" w:hAnsi="IRNazanin" w:eastAsia="IRNazanin"/>
          <w:color w:val="111111"/>
          <w:sz w:val="28"/>
          <w:sz w:val="28"/>
          <w:szCs w:val="28"/>
          <w:rtl w:val="true"/>
          <w:lang w:bidi="fa-IR"/>
        </w:rPr>
        <w:t xml:space="preserve">كدام معيار از اين فرضيه‌هاى سه‌گانه، قابل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هيچ‌كدام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به‌همين رو، حتى از نگاهِ برخى پژوهشگران غير شيعه، ديدگاه شيعه در اين حوزه در مقايسه با ديدگاه اهل‌سنّت، منطقى و معقول است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4" w:name="__RefHeading___Toc3767331_3650668749"/>
      <w:bookmarkStart w:id="665" w:name="_Toc244"/>
      <w:bookmarkEnd w:id="664"/>
      <w:r>
        <w:rPr>
          <w:rtl w:val="true"/>
        </w:rPr>
        <w:t xml:space="preserve">چهارم </w:t>
      </w:r>
      <w:r>
        <w:rPr>
          <w:rtl w:val="true"/>
        </w:rPr>
        <w:t xml:space="preserve">- </w:t>
      </w:r>
      <w:r>
        <w:rPr>
          <w:rtl w:val="true"/>
        </w:rPr>
        <w:t>عدم انطباق با معيارهاى غلو</w:t>
      </w:r>
      <w:bookmarkEnd w:id="665"/>
    </w:p>
    <w:p>
      <w:pPr>
        <w:pStyle w:val="BookText"/>
        <w:rPr/>
      </w:pPr>
      <w:r>
        <w:rPr>
          <w:rFonts w:ascii="IRNazanin" w:hAnsi="IRNazanin" w:eastAsia="IRNazanin"/>
          <w:color w:val="111111"/>
          <w:sz w:val="28"/>
          <w:sz w:val="28"/>
          <w:szCs w:val="28"/>
          <w:rtl w:val="true"/>
          <w:lang w:bidi="fa-IR"/>
        </w:rPr>
        <w:t>ترديدى نيست كه مفاهيمى چون شرك، كفر، غلو، اسلام و ايمان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نمى‌تواند بدون ملاك و معيار باشد، كه در مباحث گذشته با استفاده از ديدگاه‌هاى بزرگان اهل سنت معيارها كاملاً مشخص شد؛ و انديشه امامت براساس ايدئولوژى شيعه، با هيچكدام از آن ملاك‌هاى غلو، تطبيق نمى‌كند؛ زيرا امامت به‌مفهوم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الوِلايَةُ و السّلطنةُ الاِلهيّة على العباد </w:t>
      </w:r>
      <w:r>
        <w:rPr>
          <w:rFonts w:eastAsia="IRNazanin" w:cs="IRNazanin"/>
          <w:color w:val="111111"/>
          <w:sz w:val="28"/>
          <w:szCs w:val="28"/>
          <w:rtl w:val="true"/>
          <w:lang w:bidi="fa-IR"/>
        </w:rPr>
        <w:t xml:space="preserve">» </w:t>
      </w:r>
      <w:r>
        <w:rPr>
          <w:rStyle w:val="FootnoteAnchor"/>
          <w:rtl w:val="true"/>
        </w:rPr>
        <w:footnoteReference w:id="1810"/>
      </w:r>
      <w:r>
        <w:rPr>
          <w:rFonts w:ascii="IRNazanin" w:hAnsi="IRNazanin" w:eastAsia="IRNazanin"/>
          <w:color w:val="111111"/>
          <w:sz w:val="28"/>
          <w:sz w:val="28"/>
          <w:szCs w:val="28"/>
          <w:rtl w:val="true"/>
          <w:lang w:bidi="fa-IR"/>
        </w:rPr>
        <w:t>، نَه اعتقاد به‌إله بودن امام و نَه نبى و پيامبر شمردن،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معيارهايى كه برخى از عالمان اهل‌سنّت براى نجات شيخين تراشيده‌اند، همانند تقدّم عَلى بر ابابكر، هماهنگ است ولى اين ملاك‌ها، همان‌گونه كه خاطر نشان شد، هيچ دليل عقلى و شرعى ندارد</w:t>
      </w:r>
      <w:r>
        <w:rPr>
          <w:rFonts w:eastAsia="IRNazanin" w:cs="IRNazanin"/>
          <w:color w:val="111111"/>
          <w:sz w:val="28"/>
          <w:szCs w:val="28"/>
          <w:rtl w:val="true"/>
          <w:lang w:bidi="fa-IR"/>
        </w:rPr>
        <w:t>.</w:t>
      </w:r>
    </w:p>
    <w:p>
      <w:pPr>
        <w:pStyle w:val="Heading6"/>
        <w:numPr>
          <w:ilvl w:val="5"/>
          <w:numId w:val="1"/>
        </w:numPr>
        <w:rPr/>
      </w:pPr>
      <w:bookmarkStart w:id="666" w:name="__RefHeading___Toc3767333_3650668749"/>
      <w:bookmarkStart w:id="667" w:name="_Toc245"/>
      <w:bookmarkEnd w:id="666"/>
      <w:r>
        <w:rPr>
          <w:rtl w:val="true"/>
        </w:rPr>
        <w:t xml:space="preserve">دو </w:t>
      </w:r>
      <w:r>
        <w:rPr>
          <w:rtl w:val="true"/>
        </w:rPr>
        <w:t xml:space="preserve">- </w:t>
      </w:r>
      <w:r>
        <w:rPr>
          <w:rtl w:val="true"/>
        </w:rPr>
        <w:t>بررسى روايات باب دعائم الاسلام كافى</w:t>
      </w:r>
      <w:bookmarkEnd w:id="667"/>
    </w:p>
    <w:p>
      <w:pPr>
        <w:pStyle w:val="Heading6"/>
        <w:numPr>
          <w:ilvl w:val="5"/>
          <w:numId w:val="1"/>
        </w:numPr>
        <w:rPr/>
      </w:pPr>
      <w:bookmarkStart w:id="668" w:name="__RefHeading___Toc3767335_3650668749"/>
      <w:bookmarkStart w:id="669" w:name="_Toc246"/>
      <w:bookmarkEnd w:id="668"/>
      <w:r>
        <w:rPr>
          <w:rtl w:val="true"/>
        </w:rPr>
        <w:t>اشاره</w:t>
      </w:r>
      <w:bookmarkEnd w:id="669"/>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روايات باب دعائم الاسلام كافى </w:t>
      </w:r>
      <w:r>
        <w:rPr>
          <w:rStyle w:val="FootnoteAnchor"/>
          <w:rtl w:val="true"/>
        </w:rPr>
        <w:footnoteReference w:id="181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اين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حديث كه اكثراً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جز در حديث پانزدهم،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آنها عنوان شده و در برخى از روايات به‌اسامى مبارك </w:t>
      </w:r>
      <w:bookmarkStart w:id="670" w:name="pg1976_28341"/>
    </w:p>
    <w:p>
      <w:pPr>
        <w:pStyle w:val="BookText"/>
        <w:rPr/>
      </w:pPr>
      <w:bookmarkEnd w:id="670"/>
      <w:r>
        <w:rPr>
          <w:rFonts w:ascii="IRNazanin" w:hAnsi="IRNazanin" w:eastAsia="IRNazanin"/>
          <w:color w:val="111111"/>
          <w:sz w:val="28"/>
          <w:sz w:val="28"/>
          <w:szCs w:val="28"/>
          <w:rtl w:val="true"/>
          <w:lang w:bidi="fa-IR"/>
        </w:rPr>
        <w:t xml:space="preserve">بعضى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گرديده است؛ از مجموع اين روايات دو محور اصلى، اشكال گروهى از نويسندگان وهابى را نسبت به‌اين باب برانگيخته است</w:t>
      </w:r>
      <w:r>
        <w:rPr>
          <w:rFonts w:eastAsia="IRNazanin" w:cs="IRNazanin"/>
          <w:color w:val="111111"/>
          <w:sz w:val="28"/>
          <w:szCs w:val="28"/>
          <w:rtl w:val="true"/>
          <w:lang w:bidi="fa-IR"/>
        </w:rPr>
        <w:t>:</w:t>
      </w:r>
    </w:p>
    <w:p>
      <w:pPr>
        <w:pStyle w:val="Heading6"/>
        <w:numPr>
          <w:ilvl w:val="5"/>
          <w:numId w:val="1"/>
        </w:numPr>
        <w:rPr/>
      </w:pPr>
      <w:bookmarkStart w:id="671" w:name="__RefHeading___Toc3767337_3650668749"/>
      <w:bookmarkStart w:id="672" w:name="_Toc247"/>
      <w:bookmarkEnd w:id="671"/>
      <w:r>
        <w:rPr>
          <w:rtl w:val="true"/>
        </w:rPr>
        <w:t>محور نخست</w:t>
      </w:r>
      <w:r>
        <w:rPr>
          <w:rtl w:val="true"/>
        </w:rPr>
        <w:t xml:space="preserve">: </w:t>
      </w:r>
      <w:r>
        <w:rPr>
          <w:rtl w:val="true"/>
        </w:rPr>
        <w:t>تقدم ولايت بر شهادتين</w:t>
      </w:r>
      <w:bookmarkEnd w:id="672"/>
    </w:p>
    <w:p>
      <w:pPr>
        <w:pStyle w:val="BookText"/>
        <w:rPr/>
      </w:pPr>
      <w:r>
        <w:rPr>
          <w:rFonts w:ascii="IRNazanin" w:hAnsi="IRNazanin" w:eastAsia="IRNazanin"/>
          <w:color w:val="111111"/>
          <w:sz w:val="28"/>
          <w:sz w:val="28"/>
          <w:szCs w:val="28"/>
          <w:rtl w:val="true"/>
          <w:lang w:bidi="fa-IR"/>
        </w:rPr>
        <w:t xml:space="preserve">نقطه اصلى‌ايراد، اين‌است كه كلينى برپايه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بُنِي‌الإسلام على خَمس </w:t>
      </w:r>
      <w:r>
        <w:rPr>
          <w:rFonts w:eastAsia="IRNazanin" w:cs="IRNazanin"/>
          <w:color w:val="111111"/>
          <w:sz w:val="28"/>
          <w:szCs w:val="28"/>
          <w:rtl w:val="true"/>
          <w:lang w:bidi="fa-IR"/>
        </w:rPr>
        <w:t xml:space="preserve">. . .» </w:t>
      </w:r>
      <w:r>
        <w:rPr>
          <w:rStyle w:val="FootnoteAnchor"/>
          <w:rtl w:val="true"/>
        </w:rPr>
        <w:footnoteReference w:id="1812"/>
      </w:r>
      <w:r>
        <w:rPr>
          <w:rFonts w:ascii="IRNazanin" w:hAnsi="IRNazanin" w:eastAsia="IRNazanin"/>
          <w:color w:val="111111"/>
          <w:sz w:val="28"/>
          <w:sz w:val="28"/>
          <w:szCs w:val="28"/>
          <w:rtl w:val="true"/>
          <w:lang w:bidi="fa-IR"/>
        </w:rPr>
        <w:t>، ولايت را از اركان دين و بر نماز و روزه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مقدم داشته است درحالى‌كه شهادتين ركن، و بر همه چيز مقدم است، و اين نتيجه را گرفته‌اند كه چنين حديثى دين جديدى را ارائه مى‌دهد</w:t>
      </w:r>
      <w:r>
        <w:rPr>
          <w:rFonts w:eastAsia="IRNazanin" w:cs="IRNazanin"/>
          <w:color w:val="111111"/>
          <w:sz w:val="28"/>
          <w:szCs w:val="28"/>
          <w:rtl w:val="true"/>
          <w:lang w:bidi="fa-IR"/>
        </w:rPr>
        <w:t xml:space="preserve">. </w:t>
      </w:r>
      <w:r>
        <w:rPr>
          <w:rStyle w:val="FootnoteAnchor"/>
          <w:rtl w:val="true"/>
        </w:rPr>
        <w:footnoteReference w:id="1813"/>
      </w:r>
      <w:r>
        <w:rPr>
          <w:rFonts w:ascii="IRNazanin" w:hAnsi="IRNazanin" w:eastAsia="IRNazanin"/>
          <w:color w:val="111111"/>
          <w:sz w:val="28"/>
          <w:sz w:val="28"/>
          <w:szCs w:val="28"/>
          <w:rtl w:val="true"/>
          <w:lang w:bidi="fa-IR"/>
        </w:rPr>
        <w:t>با توجّه به‌مطالب گذشته، و اينكه ولايت جزء اصول اسلام است حتى نزد برخى از عالمان اهل‌سنّت، اين ايراد از جهاتى مردود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همان شهادتين؛ از آنجا كه در اين باب، شهادت به وحدانيت خدا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عنوان شده </w:t>
      </w:r>
      <w:r>
        <w:rPr>
          <w:rStyle w:val="FootnoteAnchor"/>
          <w:rtl w:val="true"/>
        </w:rPr>
        <w:footnoteReference w:id="1814"/>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شهادتين است كه با پنج موضوع تصريح شده در روايت، قوام و ثبات پيدا مى‌كند </w:t>
      </w:r>
      <w:r>
        <w:rPr>
          <w:rStyle w:val="FootnoteAnchor"/>
          <w:rtl w:val="true"/>
        </w:rPr>
        <w:footnoteReference w:id="1815"/>
      </w:r>
      <w:r>
        <w:rPr>
          <w:rFonts w:ascii="IRNazanin" w:hAnsi="IRNazanin" w:eastAsia="IRNazanin"/>
          <w:color w:val="111111"/>
          <w:sz w:val="28"/>
          <w:sz w:val="28"/>
          <w:szCs w:val="28"/>
          <w:rtl w:val="true"/>
          <w:lang w:bidi="fa-IR"/>
        </w:rPr>
        <w:t xml:space="preserve">، زيرا اسلام، امرى است كه با اقرار به‌وحدانيت خدا و رسالت رسوالله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عينيت مى‌يابد و شكى نيست آنچه كه در اين باب كافى و بخارى </w:t>
      </w:r>
      <w:r>
        <w:rPr>
          <w:rStyle w:val="FootnoteAnchor"/>
          <w:rtl w:val="true"/>
        </w:rPr>
        <w:footnoteReference w:id="1816"/>
      </w:r>
      <w:r>
        <w:rPr>
          <w:rFonts w:ascii="Amiri" w:hAnsi="Amiri" w:eastAsia="Amiri" w:cs="Amiri"/>
          <w:color w:val="111111"/>
          <w:sz w:val="28"/>
          <w:sz w:val="28"/>
          <w:szCs w:val="28"/>
          <w:rtl w:val="true"/>
          <w:lang w:bidi="ar-SA"/>
        </w:rPr>
        <w:t xml:space="preserve">و صحيح مسلم </w:t>
      </w:r>
      <w:r>
        <w:rPr>
          <w:rStyle w:val="FootnoteAnchor"/>
          <w:rtl w:val="true"/>
        </w:rPr>
        <w:footnoteReference w:id="1817"/>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بُنِى‌الاسلام على خمس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آمده، به‌عنوان سمبل و شاه مثالِ امور دينى است نه، همه آنچه كه مجموعه باورهاى اعتقادى و فقهى اسلام را تشكيل مى دهد؛ به‌همين رو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به‌اتفاق سنى و شيعه جزء اصول دين است و جهاد و امر به معروف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از فروعات است، </w:t>
      </w:r>
    </w:p>
    <w:p>
      <w:pPr>
        <w:pStyle w:val="BookText"/>
        <w:rPr/>
      </w:pPr>
      <w:r>
        <w:rPr>
          <w:rFonts w:ascii="Amiri" w:hAnsi="Amiri" w:eastAsia="Amiri" w:cs="Amiri"/>
          <w:color w:val="111111"/>
          <w:sz w:val="28"/>
          <w:sz w:val="28"/>
          <w:szCs w:val="28"/>
          <w:rtl w:val="true"/>
          <w:lang w:bidi="ar-SA"/>
        </w:rPr>
        <w:t>سخن به‌ميان نيامده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جميع دستاورد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توجه به‌آيات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 عِندَ اللهِ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وَرَضِيتُ لَكُمُ الإِسْلاَمَ دِيناً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به‌معنا شدن روايات، 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محتواى دين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پنج‌گانه در روايات، اركان و اكمل اجزاء و عناصر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 آيد </w:t>
      </w:r>
      <w:r>
        <w:rPr>
          <w:rStyle w:val="FootnoteAnchor"/>
          <w:rtl w:val="true"/>
        </w:rPr>
        <w:footnoteReference w:id="1818"/>
      </w:r>
      <w:r>
        <w:rPr>
          <w:rFonts w:ascii="IRNazanin" w:hAnsi="IRNazanin" w:eastAsia="IRNazanin"/>
          <w:color w:val="111111"/>
          <w:sz w:val="28"/>
          <w:sz w:val="28"/>
          <w:szCs w:val="28"/>
          <w:rtl w:val="true"/>
          <w:lang w:bidi="fa-IR"/>
        </w:rPr>
        <w:t xml:space="preserve">، و بى‌شك، شهادتين، از اجزاء و عناصر ديگر آن خواهد بود كه همانند معاد ذكر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ذكر آنها مساوى با معتقد نبودن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چنان‌كه متقى هندى عالم اهل سنت براى اسلام دَه جزء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به‌وحدانيت خدا، نماز، زكات، روزه، حج، جهاد، امر به معروف، نهى از منكر، الفت، و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ذكر رسالت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مى‌كند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يعني ايمان؛ با توجه به تفاوت مفهوم اسلام و ايمان، براساس آيه</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حجرات </w:t>
      </w:r>
      <w:r>
        <w:rPr>
          <w:rStyle w:val="FootnoteAnchor"/>
          <w:rtl w:val="true"/>
        </w:rPr>
        <w:footnoteReference w:id="1820"/>
      </w:r>
      <w:r>
        <w:rPr>
          <w:rFonts w:ascii="IRNazanin" w:hAnsi="IRNazanin" w:eastAsia="IRNazanin"/>
          <w:color w:val="111111"/>
          <w:sz w:val="28"/>
          <w:sz w:val="28"/>
          <w:szCs w:val="28"/>
          <w:rtl w:val="true"/>
          <w:lang w:bidi="fa-IR"/>
        </w:rPr>
        <w:t xml:space="preserve">و اينكه گاهى انسان از دايره ايمان خارج و در دايره اسلام باقى مى‌ماند </w:t>
      </w:r>
      <w:r>
        <w:rPr>
          <w:rStyle w:val="FootnoteAnchor"/>
          <w:rtl w:val="true"/>
        </w:rPr>
        <w:footnoteReference w:id="1821"/>
      </w:r>
      <w:r>
        <w:rPr>
          <w:rFonts w:ascii="IRNazanin" w:hAnsi="IRNazanin" w:eastAsia="IRNazanin"/>
          <w:color w:val="111111"/>
          <w:sz w:val="28"/>
          <w:sz w:val="28"/>
          <w:szCs w:val="28"/>
          <w:rtl w:val="true"/>
          <w:lang w:bidi="fa-IR"/>
        </w:rPr>
        <w:t xml:space="preserve">، احتمال دارد، مقصود از اسلام، ايمان باشد كه در اين صورت ايمان، شامل شهادتين هَم مى‌شود؛ همان‌گونه كه ولايت، شهادتين را پوشش مى‌دهد </w:t>
      </w:r>
      <w:r>
        <w:rPr>
          <w:rStyle w:val="FootnoteAnchor"/>
          <w:rtl w:val="true"/>
        </w:rPr>
        <w:footnoteReference w:id="1822"/>
      </w:r>
      <w:r>
        <w:rPr>
          <w:rFonts w:ascii="Amiri" w:hAnsi="Amiri" w:eastAsia="Amiri" w:cs="Amiri"/>
          <w:color w:val="111111"/>
          <w:sz w:val="28"/>
          <w:sz w:val="28"/>
          <w:szCs w:val="28"/>
          <w:rtl w:val="true"/>
          <w:lang w:bidi="ar-SA"/>
        </w:rPr>
        <w:t xml:space="preserve">زيرا با بودن ايمان، اسلام و شهادتين به‌طريق اَولى موجود است و ايمان بدون شهادتين مفهومى نخواهد داشت </w:t>
      </w:r>
      <w:r>
        <w:rPr>
          <w:rStyle w:val="FootnoteAnchor"/>
          <w:rtl w:val="true"/>
        </w:rPr>
        <w:footnoteReference w:id="1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 xml:space="preserve">آيات قرآن استفاده مى‌شود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درجاتى برخوردار است </w:t>
      </w:r>
      <w:r>
        <w:rPr>
          <w:rStyle w:val="FootnoteAnchor"/>
          <w:rtl w:val="true"/>
        </w:rPr>
        <w:footnoteReference w:id="18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مى‌تواند دست‌كم داراى مرتبه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تسليم محض بر آنچه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دين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1825"/>
      </w:r>
      <w:r>
        <w:rPr>
          <w:rFonts w:ascii="IRNazanin" w:hAnsi="IRNazanin" w:eastAsia="IRNazanin"/>
          <w:color w:val="111111"/>
          <w:sz w:val="28"/>
          <w:sz w:val="28"/>
          <w:szCs w:val="28"/>
          <w:rtl w:val="true"/>
          <w:lang w:bidi="fa-IR"/>
        </w:rPr>
        <w:t xml:space="preserve">چنان‌كه يوسُف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عالى آن را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تَوَفَّنِى مُسْلِماً وَاَلْحِقْنِى بِالصَّالِحِينَ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شكى نيست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درجه دانى را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و بديهى بودن شهادتَين ؛ عدم ذكر شهادتين بدان جهت است كه وجود آن دو، بديهى و ظاهر بوده و نياز به‌تذكر نداشته است</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خطاى در داورى؛ جُمود بر يك حديث و ناديده گرفتن روايات ديگر در همان موضوع، چنان‌كه نويسندۀ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آن شده، خطاى در داورى را در پى داشته است؛ وى مدعى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أسقطوا الشَهادتين من اركان الاِسلام و وضعوا مكانهما الولاية </w:t>
      </w:r>
      <w:r>
        <w:rPr>
          <w:rFonts w:eastAsia="IRNazanin" w:cs="IRNazanin"/>
          <w:color w:val="111111"/>
          <w:sz w:val="28"/>
          <w:szCs w:val="28"/>
          <w:rtl w:val="true"/>
          <w:lang w:bidi="fa-IR"/>
        </w:rPr>
        <w:t xml:space="preserve">» </w:t>
      </w:r>
      <w:r>
        <w:rPr>
          <w:rStyle w:val="FootnoteAnchor"/>
          <w:rtl w:val="true"/>
        </w:rPr>
        <w:footnoteReference w:id="1827"/>
      </w:r>
      <w:r>
        <w:rPr>
          <w:rFonts w:ascii="Amiri" w:hAnsi="Amiri" w:eastAsia="Amiri" w:cs="Amiri"/>
          <w:color w:val="111111"/>
          <w:sz w:val="28"/>
          <w:sz w:val="28"/>
          <w:szCs w:val="28"/>
          <w:rtl w:val="true"/>
          <w:lang w:bidi="ar-SA"/>
        </w:rPr>
        <w:t xml:space="preserve">درحالى‌كه كلينى در همين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1828"/>
      </w:r>
      <w:r>
        <w:rPr>
          <w:rFonts w:ascii="IRNazanin" w:hAnsi="IRNazanin" w:eastAsia="IRNazanin"/>
          <w:color w:val="111111"/>
          <w:sz w:val="28"/>
          <w:sz w:val="28"/>
          <w:szCs w:val="28"/>
          <w:rtl w:val="true"/>
          <w:lang w:bidi="fa-IR"/>
        </w:rPr>
        <w:t xml:space="preserve">را مبنى بر اينكه شهادت بر توحيد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اركان دين است، نقل مى‌كند، و حتى برعكس صحيح بخارى و مسلم، مسأله قيامت و معاد را نيز مطرح مى‌كند </w:t>
      </w:r>
      <w:r>
        <w:rPr>
          <w:rStyle w:val="FootnoteAnchor"/>
          <w:rtl w:val="true"/>
        </w:rPr>
        <w:footnoteReference w:id="1829"/>
      </w:r>
      <w:r>
        <w:rPr>
          <w:rFonts w:ascii="IRNazanin" w:hAnsi="IRNazanin" w:eastAsia="IRNazanin"/>
          <w:color w:val="111111"/>
          <w:sz w:val="28"/>
          <w:sz w:val="28"/>
          <w:szCs w:val="28"/>
          <w:rtl w:val="true"/>
          <w:lang w:bidi="fa-IR"/>
        </w:rPr>
        <w:t xml:space="preserve">آيا خردمندانه است كه ادعا شود، چون در چند حديث صحيح مسلم، رسالت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 و قيامت </w:t>
      </w:r>
      <w:r>
        <w:rPr>
          <w:rStyle w:val="FootnoteAnchor"/>
          <w:rtl w:val="true"/>
        </w:rPr>
        <w:footnoteReference w:id="1830"/>
      </w:r>
      <w:r>
        <w:rPr>
          <w:rFonts w:ascii="Amiri" w:hAnsi="Amiri" w:eastAsia="Amiri" w:cs="Amiri"/>
          <w:color w:val="111111"/>
          <w:sz w:val="28"/>
          <w:sz w:val="28"/>
          <w:szCs w:val="28"/>
          <w:rtl w:val="true"/>
          <w:lang w:bidi="ar-SA"/>
        </w:rPr>
        <w:t xml:space="preserve">عنوان نشده، اهل‌سنّت به‌رسالت و معاد ايمان ندارند؟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گمراه‌كننده؛ با توجّه به‌اينكه شيعه اثنى‌عشرى معتقدند امامت يا ولايت، </w:t>
      </w:r>
      <w:bookmarkStart w:id="673" w:name="pg1976_28347"/>
    </w:p>
    <w:p>
      <w:pPr>
        <w:pStyle w:val="BookText"/>
        <w:rPr/>
      </w:pPr>
      <w:bookmarkEnd w:id="673"/>
      <w:r>
        <w:rPr>
          <w:rFonts w:ascii="IRNazanin" w:hAnsi="IRNazanin" w:eastAsia="IRNazanin"/>
          <w:color w:val="111111"/>
          <w:sz w:val="28"/>
          <w:sz w:val="28"/>
          <w:szCs w:val="28"/>
          <w:rtl w:val="true"/>
          <w:lang w:bidi="fa-IR"/>
        </w:rPr>
        <w:t xml:space="preserve">امتداد نبوت </w:t>
      </w:r>
      <w:r>
        <w:rPr>
          <w:rStyle w:val="FootnoteAnchor"/>
          <w:rtl w:val="true"/>
        </w:rPr>
        <w:footnoteReference w:id="1831"/>
      </w:r>
      <w:r>
        <w:rPr>
          <w:rFonts w:ascii="Amiri" w:hAnsi="Amiri" w:eastAsia="Amiri" w:cs="Amiri"/>
          <w:color w:val="111111"/>
          <w:sz w:val="28"/>
          <w:sz w:val="28"/>
          <w:szCs w:val="28"/>
          <w:rtl w:val="true"/>
          <w:lang w:bidi="ar-SA"/>
        </w:rPr>
        <w:t xml:space="preserve">يا نبوت ظاهر، و امامت باطن آن است </w:t>
      </w:r>
      <w:r>
        <w:rPr>
          <w:rStyle w:val="FootnoteAnchor"/>
          <w:rtl w:val="true"/>
        </w:rPr>
        <w:footnoteReference w:id="1832"/>
      </w:r>
      <w:r>
        <w:rPr>
          <w:rFonts w:ascii="Amiri" w:hAnsi="Amiri" w:eastAsia="Amiri" w:cs="Amiri"/>
          <w:color w:val="111111"/>
          <w:sz w:val="28"/>
          <w:sz w:val="28"/>
          <w:szCs w:val="28"/>
          <w:rtl w:val="true"/>
          <w:lang w:bidi="ar-SA"/>
        </w:rPr>
        <w:t xml:space="preserve">، ادعاى اينكه ولايت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ركن دين شيعه است </w:t>
      </w:r>
      <w:r>
        <w:rPr>
          <w:rStyle w:val="FootnoteAnchor"/>
          <w:rtl w:val="true"/>
        </w:rPr>
        <w:footnoteReference w:id="1833"/>
      </w:r>
      <w:r>
        <w:rPr>
          <w:rFonts w:ascii="IRNazanin" w:hAnsi="IRNazanin" w:eastAsia="IRNazanin"/>
          <w:color w:val="111111"/>
          <w:sz w:val="28"/>
          <w:sz w:val="28"/>
          <w:szCs w:val="28"/>
          <w:rtl w:val="true"/>
          <w:lang w:bidi="fa-IR"/>
        </w:rPr>
        <w:t xml:space="preserve">و شهادتين، چيزى نيست و اهمّ از چهار مورد ديگر است </w:t>
      </w:r>
      <w:r>
        <w:rPr>
          <w:rStyle w:val="FootnoteAnchor"/>
          <w:rtl w:val="true"/>
        </w:rPr>
        <w:footnoteReference w:id="1834"/>
      </w:r>
      <w:r>
        <w:rPr>
          <w:rFonts w:ascii="IRNazanin" w:hAnsi="IRNazanin" w:eastAsia="IRNazanin"/>
          <w:color w:val="111111"/>
          <w:sz w:val="28"/>
          <w:sz w:val="28"/>
          <w:szCs w:val="28"/>
          <w:rtl w:val="true"/>
          <w:lang w:bidi="fa-IR"/>
        </w:rPr>
        <w:t xml:space="preserve">، تنها به‌هدف گمراه كردن و انحراف مخاطبان خود از واقعيات طرح شده است؛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بدون شهادتين مفهوم دينى و اسلامى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يا ولايت به‌اعتقاد شيعه چهارمين اصل از اصول دين محسوب مى‌گردد نَه، نخستين آن، و از احاديث كافى چنين چيزى استفاده نمى‌شود</w:t>
      </w:r>
      <w:r>
        <w:rPr>
          <w:rFonts w:eastAsia="IRNazanin" w:cs="IRNazanin"/>
          <w:color w:val="111111"/>
          <w:sz w:val="28"/>
          <w:szCs w:val="28"/>
          <w:rtl w:val="true"/>
          <w:lang w:bidi="fa-IR"/>
        </w:rPr>
        <w:t>.</w:t>
      </w:r>
    </w:p>
    <w:p>
      <w:pPr>
        <w:pStyle w:val="Heading6"/>
        <w:numPr>
          <w:ilvl w:val="5"/>
          <w:numId w:val="1"/>
        </w:numPr>
        <w:rPr/>
      </w:pPr>
      <w:bookmarkStart w:id="674" w:name="__RefHeading___Toc3767339_3650668749"/>
      <w:bookmarkStart w:id="675" w:name="_Toc248"/>
      <w:bookmarkEnd w:id="674"/>
      <w:r>
        <w:rPr>
          <w:rtl w:val="true"/>
        </w:rPr>
        <w:t>محور دوم</w:t>
      </w:r>
      <w:r>
        <w:rPr>
          <w:rtl w:val="true"/>
        </w:rPr>
        <w:t xml:space="preserve">: </w:t>
      </w:r>
      <w:r>
        <w:rPr>
          <w:rtl w:val="true"/>
        </w:rPr>
        <w:t>برترى ولايت بر نماز</w:t>
      </w:r>
      <w:r>
        <w:rPr>
          <w:rtl w:val="true"/>
        </w:rPr>
        <w:t>. . .</w:t>
      </w:r>
      <w:bookmarkEnd w:id="675"/>
    </w:p>
    <w:p>
      <w:pPr>
        <w:pStyle w:val="BookText"/>
        <w:rPr/>
      </w:pPr>
      <w:r>
        <w:rPr>
          <w:rFonts w:ascii="IRNazanin" w:hAnsi="IRNazanin" w:eastAsia="IRNazanin"/>
          <w:color w:val="111111"/>
          <w:sz w:val="28"/>
          <w:sz w:val="28"/>
          <w:szCs w:val="28"/>
          <w:rtl w:val="true"/>
          <w:lang w:bidi="fa-IR"/>
        </w:rPr>
        <w:t xml:space="preserve">برترى ولايت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برنماز و روزه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براساس حديث كافى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الولاية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ولايت </w:t>
      </w:r>
      <w:r>
        <w:rPr>
          <w:rStyle w:val="FootnoteAnchor"/>
          <w:rtl w:val="true"/>
        </w:rPr>
        <w:footnoteReference w:id="1835"/>
      </w:r>
      <w:r>
        <w:rPr>
          <w:rFonts w:ascii="Amiri" w:hAnsi="Amiri" w:eastAsia="Amiri" w:cs="Amiri"/>
          <w:color w:val="111111"/>
          <w:sz w:val="28"/>
          <w:sz w:val="28"/>
          <w:szCs w:val="28"/>
          <w:rtl w:val="true"/>
          <w:lang w:bidi="ar-SA"/>
        </w:rPr>
        <w:t xml:space="preserve">، غلوّ در امامت و دين جديد محسوب شده است </w:t>
      </w:r>
      <w:r>
        <w:rPr>
          <w:rStyle w:val="FootnoteAnchor"/>
          <w:rtl w:val="true"/>
        </w:rPr>
        <w:footnoteReference w:id="1836"/>
      </w:r>
      <w:r>
        <w:rPr>
          <w:rFonts w:ascii="Amiri" w:hAnsi="Amiri" w:eastAsia="Amiri" w:cs="Amiri"/>
          <w:color w:val="111111"/>
          <w:sz w:val="28"/>
          <w:sz w:val="28"/>
          <w:szCs w:val="28"/>
          <w:rtl w:val="true"/>
          <w:lang w:bidi="ar-SA"/>
        </w:rPr>
        <w:t>كه همانند محور قبلى مدعاى بى‌اساس و مردود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به‌مطالب محور پيشين، برترى ولايت برنماز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به‌مفهوم برترى آن بر</w:t>
      </w:r>
    </w:p>
    <w:p>
      <w:pPr>
        <w:pStyle w:val="BookText"/>
        <w:rPr/>
      </w:pPr>
      <w:r>
        <w:rPr>
          <w:rFonts w:ascii="Amiri" w:hAnsi="Amiri" w:eastAsia="Amiri" w:cs="Amiri"/>
          <w:color w:val="111111"/>
          <w:sz w:val="28"/>
          <w:sz w:val="28"/>
          <w:szCs w:val="28"/>
          <w:rtl w:val="true"/>
          <w:lang w:bidi="ar-SA"/>
        </w:rPr>
        <w:t>شهادتين نيست و شكى نيست كه بدون شهادتين، مفاهيم بعدى نماز، ولايت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بيهوده خواهد بود و نماز به‌مفهوم واقعى آن، تجلى عبوديت براى همان خالق يكتا است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برترى ولايت، بر نماز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واضح كه سازگار با </w:t>
      </w:r>
    </w:p>
    <w:p>
      <w:pPr>
        <w:pStyle w:val="BookText"/>
        <w:rPr/>
      </w:pPr>
      <w:r>
        <w:rPr>
          <w:rFonts w:ascii="Amiri" w:hAnsi="Amiri" w:eastAsia="Amiri" w:cs="Amiri"/>
          <w:color w:val="111111"/>
          <w:sz w:val="28"/>
          <w:sz w:val="28"/>
          <w:szCs w:val="28"/>
          <w:rtl w:val="true"/>
          <w:lang w:bidi="ar-SA"/>
        </w:rPr>
        <w:t xml:space="preserve">خرد انسانى هم هست بيان شده است </w:t>
      </w:r>
      <w:r>
        <w:rPr>
          <w:rStyle w:val="FootnoteAnchor"/>
          <w:rtl w:val="true"/>
        </w:rPr>
        <w:footnoteReference w:id="1837"/>
      </w:r>
      <w:r>
        <w:rPr>
          <w:rFonts w:ascii="Amiri" w:hAnsi="Amiri" w:eastAsia="Amiri" w:cs="Amiri"/>
          <w:color w:val="111111"/>
          <w:sz w:val="28"/>
          <w:sz w:val="28"/>
          <w:szCs w:val="28"/>
          <w:rtl w:val="true"/>
          <w:lang w:bidi="ar-SA"/>
        </w:rPr>
        <w:t xml:space="preserve">زيرا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معرفت به‌حقايق و شرايط و آداب </w:t>
      </w:r>
      <w:r>
        <w:rPr>
          <w:rStyle w:val="FootnoteAnchor"/>
          <w:rtl w:val="true"/>
        </w:rPr>
        <w:footnoteReference w:id="1838"/>
      </w:r>
      <w:r>
        <w:rPr>
          <w:rFonts w:ascii="IRNazanin" w:hAnsi="IRNazanin" w:eastAsia="IRNazanin"/>
          <w:color w:val="111111"/>
          <w:sz w:val="28"/>
          <w:sz w:val="28"/>
          <w:szCs w:val="28"/>
          <w:rtl w:val="true"/>
          <w:lang w:bidi="fa-IR"/>
        </w:rPr>
        <w:t xml:space="preserve">، موانع، مصالح و مفاسدِ </w:t>
      </w:r>
      <w:r>
        <w:rPr>
          <w:rStyle w:val="FootnoteAnchor"/>
          <w:rtl w:val="true"/>
        </w:rPr>
        <w:footnoteReference w:id="1839"/>
      </w:r>
      <w:r>
        <w:rPr>
          <w:rFonts w:ascii="IRNazanin" w:hAnsi="IRNazanin" w:eastAsia="IRNazanin"/>
          <w:color w:val="111111"/>
          <w:sz w:val="28"/>
          <w:sz w:val="28"/>
          <w:szCs w:val="28"/>
          <w:rtl w:val="true"/>
          <w:lang w:bidi="fa-IR"/>
        </w:rPr>
        <w:t>نماز و روزه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منصوب خداوند است، به‌روى مردم گشوده مى‌شود و يا قبول آنها </w:t>
      </w:r>
      <w:r>
        <w:rPr>
          <w:rStyle w:val="FootnoteAnchor"/>
          <w:rtl w:val="true"/>
        </w:rPr>
        <w:footnoteReference w:id="1840"/>
      </w:r>
      <w:r>
        <w:rPr>
          <w:rFonts w:ascii="IRNazanin" w:hAnsi="IRNazanin" w:eastAsia="IRNazanin"/>
          <w:color w:val="111111"/>
          <w:sz w:val="28"/>
          <w:sz w:val="28"/>
          <w:szCs w:val="28"/>
          <w:rtl w:val="true"/>
          <w:lang w:bidi="fa-IR"/>
        </w:rPr>
        <w:t xml:space="preserve">منوط به معرفت و شناخت جايگاه امام است؛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ششم ضمن برترى ولايت،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ولايعرف إمامَه مات ميتة جاهلية</w:t>
      </w:r>
      <w:r>
        <w:rPr>
          <w:rFonts w:eastAsia="IRNazanin" w:cs="IRNazanin"/>
          <w:color w:val="111111"/>
          <w:sz w:val="28"/>
          <w:szCs w:val="28"/>
          <w:rtl w:val="true"/>
          <w:lang w:bidi="fa-IR"/>
        </w:rPr>
        <w:t xml:space="preserve">. . . » </w:t>
      </w:r>
      <w:r>
        <w:rPr>
          <w:rStyle w:val="FootnoteAnchor"/>
          <w:rtl w:val="true"/>
        </w:rPr>
        <w:footnoteReference w:id="1841"/>
      </w:r>
      <w:r>
        <w:rPr>
          <w:rFonts w:ascii="IRNazanin" w:hAnsi="IRNazanin" w:eastAsia="IRNazanin"/>
          <w:color w:val="111111"/>
          <w:sz w:val="28"/>
          <w:sz w:val="28"/>
          <w:szCs w:val="28"/>
          <w:rtl w:val="true"/>
          <w:lang w:bidi="fa-IR"/>
        </w:rPr>
        <w:t>و مضمون اين حديث در منابع اهل‌سنت نيز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عامربن‌ربيعة،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مَات بغير إمام مَات ميتة جاهلية </w:t>
      </w:r>
      <w:r>
        <w:rPr>
          <w:rFonts w:eastAsia="IRNazanin" w:cs="IRNazanin"/>
          <w:color w:val="111111"/>
          <w:sz w:val="28"/>
          <w:szCs w:val="28"/>
          <w:rtl w:val="true"/>
          <w:lang w:bidi="fa-IR"/>
        </w:rPr>
        <w:t xml:space="preserve">» </w:t>
      </w:r>
      <w:r>
        <w:rPr>
          <w:rStyle w:val="FootnoteAnchor"/>
          <w:rtl w:val="true"/>
        </w:rPr>
        <w:footnoteReference w:id="1842"/>
      </w:r>
      <w:r>
        <w:rPr>
          <w:rFonts w:ascii="IRNazanin" w:hAnsi="IRNazanin" w:eastAsia="IRNazanin"/>
          <w:color w:val="111111"/>
          <w:sz w:val="28"/>
          <w:sz w:val="28"/>
          <w:szCs w:val="28"/>
          <w:rtl w:val="true"/>
          <w:lang w:bidi="fa-IR"/>
        </w:rPr>
        <w:t xml:space="preserve">چه اينكه وقتى پسر عمربن الخطاب با حجاج‌بن‌يوسف، خونخوارترين فرد تاريخِ بنى‌امّيه بيعت كرد، كارش را به‌همين روايت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 لا إمام له مات ميتة جاهلية </w:t>
      </w:r>
      <w:r>
        <w:rPr>
          <w:rFonts w:eastAsia="IRNazanin" w:cs="IRNazanin"/>
          <w:color w:val="111111"/>
          <w:sz w:val="28"/>
          <w:szCs w:val="28"/>
          <w:rtl w:val="true"/>
          <w:lang w:bidi="fa-IR"/>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برترى امامت، برنماز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بدان جهت است كه حقيقت و روح امور ديگر، بلكه همه اصول و فروع دين، توسط امام شرح و تبيين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نماز و روزه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اين برترى را با استفاده از آيات قرآن و روايات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قايل شده است </w:t>
      </w:r>
      <w:r>
        <w:rPr>
          <w:rStyle w:val="FootnoteAnchor"/>
          <w:rtl w:val="true"/>
        </w:rPr>
        <w:footnoteReference w:id="1844"/>
      </w:r>
      <w:r>
        <w:rPr>
          <w:rFonts w:ascii="Amiri" w:hAnsi="Amiri" w:eastAsia="Amiri" w:cs="Amiri"/>
          <w:color w:val="111111"/>
          <w:sz w:val="28"/>
          <w:sz w:val="28"/>
          <w:szCs w:val="28"/>
          <w:rtl w:val="true"/>
          <w:lang w:bidi="ar-SA"/>
        </w:rPr>
        <w:t>و براى افضليت امور دينى ملاك كلى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الاَشياء ما إذا فاتك لم تكن منه توبة </w:t>
      </w:r>
    </w:p>
    <w:p>
      <w:pPr>
        <w:pStyle w:val="BookText"/>
        <w:rPr/>
      </w:pPr>
      <w:r>
        <w:rPr>
          <w:rFonts w:ascii="Amiri" w:hAnsi="Amiri" w:eastAsia="Amiri" w:cs="Amiri"/>
          <w:color w:val="111111"/>
          <w:sz w:val="28"/>
          <w:sz w:val="28"/>
          <w:szCs w:val="28"/>
          <w:rtl w:val="true"/>
          <w:lang w:bidi="ar-SA"/>
        </w:rPr>
        <w:t xml:space="preserve">دون أن ترجع اليه فتؤديه بعينه </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 xml:space="preserve">كه شامل ولايت هم مى‌شود، ذكر مى‌كند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ميان اهمّيت يكى از اصول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وچند تا از فروع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مقايسه به‌عمل آمده است؛ وترديدى نيست هر جا ميان اصول و فروع دين، چنين مقايسه‌اى صورت گيرد، اصول دين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به‌همين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يُنادَ بِشَيءٍ كَما نُودِيَ بِالولاية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رخصت نسبت به‌ولايت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بى‌ترديد، كوتاهى و تقصير در تأخير و سقوط نماز، نسبت به‌نفساء و حائض، فاقد طهورين و مُغمى‌عليه، مجنون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 سقوط روزه، بركسى كه توان آن را ندارد با دادن فِديه، ترك زكات، بر كسى كه اموالش به‌حد نصاب نرسيده يا ممنوع التّصرف است نرفتن حج، نسبت به‌كسى كه مستطيع نشده و يا شرايط فراهم نيست </w:t>
      </w:r>
      <w:r>
        <w:rPr>
          <w:rStyle w:val="FootnoteAnchor"/>
          <w:rtl w:val="true"/>
        </w:rPr>
        <w:footnoteReference w:id="1847"/>
      </w:r>
      <w:r>
        <w:rPr>
          <w:rFonts w:ascii="IRNazanin" w:hAnsi="IRNazanin" w:eastAsia="IRNazanin"/>
          <w:color w:val="111111"/>
          <w:sz w:val="28"/>
          <w:sz w:val="28"/>
          <w:szCs w:val="28"/>
          <w:rtl w:val="true"/>
          <w:lang w:bidi="fa-IR"/>
        </w:rPr>
        <w:t xml:space="preserve">، اجماعى است </w:t>
      </w:r>
      <w:r>
        <w:rPr>
          <w:rStyle w:val="FootnoteAnchor"/>
          <w:rtl w:val="true"/>
        </w:rPr>
        <w:footnoteReference w:id="1848"/>
      </w:r>
      <w:r>
        <w:rPr>
          <w:rFonts w:ascii="IRNazanin" w:hAnsi="IRNazanin" w:eastAsia="IRNazanin"/>
          <w:color w:val="111111"/>
          <w:sz w:val="28"/>
          <w:sz w:val="28"/>
          <w:szCs w:val="28"/>
          <w:rtl w:val="true"/>
          <w:lang w:bidi="fa-IR"/>
        </w:rPr>
        <w:t xml:space="preserve">، ولى تكليف به‌ولايت از هيچ كسى چه شرايط نماز را واجد باشد و چه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حائض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چه مال براى زكات فراهم باشد چه نباشد، مستطيع باشد يا نه، فروگذار نمى‌شود و واجب است </w:t>
      </w:r>
      <w:r>
        <w:rPr>
          <w:rStyle w:val="FootnoteAnchor"/>
          <w:rtl w:val="true"/>
        </w:rPr>
        <w:footnoteReference w:id="1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حديثى كه ابن‌مسعود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حضرت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دستگيرۀ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مى‌داند،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أوثَق عُرى‌الاِسلام الولاية في‌الله والحُبّ في‌الله والبُغض في‌الله </w:t>
      </w:r>
      <w:r>
        <w:rPr>
          <w:rFonts w:eastAsia="IRNazanin" w:cs="IRNazanin"/>
          <w:color w:val="111111"/>
          <w:sz w:val="28"/>
          <w:szCs w:val="28"/>
          <w:rtl w:val="true"/>
          <w:lang w:bidi="fa-IR"/>
        </w:rPr>
        <w:t xml:space="preserve">» </w:t>
      </w:r>
      <w:r>
        <w:rPr>
          <w:rStyle w:val="FootnoteAnchor"/>
          <w:rtl w:val="true"/>
        </w:rPr>
        <w:footnoteReference w:id="1850"/>
      </w:r>
      <w:r>
        <w:rPr>
          <w:rFonts w:ascii="Amiri" w:hAnsi="Amiri" w:eastAsia="Amiri" w:cs="Amiri"/>
          <w:color w:val="111111"/>
          <w:sz w:val="28"/>
          <w:sz w:val="28"/>
          <w:szCs w:val="28"/>
          <w:rtl w:val="true"/>
          <w:lang w:bidi="ar-SA"/>
        </w:rPr>
        <w:t>، همين معنا استفاده مى‌شود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نصِّ به‌ولايت،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قفارى مدعى است، شهادتين، نماز، </w:t>
      </w:r>
    </w:p>
    <w:p>
      <w:pPr>
        <w:pStyle w:val="BookText"/>
        <w:rPr/>
      </w:pPr>
      <w:r>
        <w:rPr>
          <w:rFonts w:ascii="Amiri" w:hAnsi="Amiri" w:eastAsia="Amiri" w:cs="Amiri"/>
          <w:color w:val="111111"/>
          <w:sz w:val="28"/>
          <w:sz w:val="28"/>
          <w:szCs w:val="28"/>
          <w:rtl w:val="true"/>
          <w:lang w:bidi="ar-SA"/>
        </w:rPr>
        <w:t xml:space="preserve">روزه، زكات و حج به‌عنوان اركان دين، مكرر در قرآن آمده است، اما ولايت و امامتِ مزعوم شيعه اثنى‌عشرى، در كجاى قرآن آمده؟ </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اگر يك نگاه كلى به‌منطق شيعه مى‌انداخت كه گذشته از دلايل عقلى </w:t>
      </w:r>
      <w:r>
        <w:rPr>
          <w:rStyle w:val="FootnoteAnchor"/>
          <w:rtl w:val="true"/>
        </w:rPr>
        <w:footnoteReference w:id="1852"/>
      </w:r>
      <w:r>
        <w:rPr>
          <w:rFonts w:ascii="IRNazanin" w:hAnsi="IRNazanin" w:eastAsia="IRNazanin"/>
          <w:color w:val="111111"/>
          <w:sz w:val="28"/>
          <w:sz w:val="28"/>
          <w:szCs w:val="28"/>
          <w:rtl w:val="true"/>
          <w:lang w:bidi="fa-IR"/>
        </w:rPr>
        <w:t xml:space="preserve">راه‌هاى تعيين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تصريح‌خدا يا پيامبر او و يا امامى كه امامت او ثابت شده، مى‌دانند </w:t>
      </w:r>
      <w:r>
        <w:rPr>
          <w:rStyle w:val="FootnoteAnchor"/>
          <w:rtl w:val="true"/>
        </w:rPr>
        <w:footnoteReference w:id="1853"/>
      </w:r>
      <w:r>
        <w:rPr>
          <w:rFonts w:ascii="IRNazanin" w:hAnsi="IRNazanin" w:eastAsia="IRNazanin"/>
          <w:color w:val="111111"/>
          <w:sz w:val="28"/>
          <w:sz w:val="28"/>
          <w:szCs w:val="28"/>
          <w:rtl w:val="true"/>
          <w:lang w:bidi="fa-IR"/>
        </w:rPr>
        <w:t xml:space="preserve">، قطعاً چنين ادعاى غير واقع‌بينانه نمى‌كرد؛ زيرا ده‌ها آيه از قرآن 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و آيات ديگر به‌گونه‌اى كه حسكانى</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از آيات كتاب‌الله را در شأن و فضائل اهل بيت به‌ويژه امامت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استخراج مى‌كند </w:t>
      </w:r>
      <w:r>
        <w:rPr>
          <w:rStyle w:val="FootnoteAnchor"/>
          <w:rtl w:val="true"/>
        </w:rPr>
        <w:footnoteReference w:id="1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بن‌ابى‌ليلى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آيةً صَفواً في كتاب الله عزّ و جل ما 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رُكُهُ فيها أحدٌ من هذه الاُمّة </w:t>
      </w:r>
      <w:r>
        <w:rPr>
          <w:rFonts w:eastAsia="IRNazanin" w:cs="IRNazanin"/>
          <w:color w:val="111111"/>
          <w:sz w:val="28"/>
          <w:szCs w:val="28"/>
          <w:rtl w:val="true"/>
          <w:lang w:bidi="fa-IR"/>
        </w:rPr>
        <w:t xml:space="preserve">» </w:t>
      </w:r>
      <w:r>
        <w:rPr>
          <w:rStyle w:val="FootnoteAnchor"/>
          <w:rtl w:val="true"/>
        </w:rPr>
        <w:footnoteReference w:id="1855"/>
      </w:r>
      <w:r>
        <w:rPr>
          <w:rFonts w:ascii="Amiri" w:hAnsi="Amiri" w:eastAsia="Amiri" w:cs="Amiri"/>
          <w:color w:val="111111"/>
          <w:sz w:val="28"/>
          <w:sz w:val="28"/>
          <w:szCs w:val="28"/>
          <w:rtl w:val="true"/>
          <w:lang w:bidi="ar-SA"/>
        </w:rPr>
        <w:t>ابن‌حجر از ابن عباس 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إلّا و عَلِيٌّ أميرها و شريفها ولقد عاتَبَ الله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مكان و ماذكر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تنها كليات و رئوس فروعات دين، همانند نماز و روزه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قرآن ذكر شده ولى شرح و تبيين آنها بر اساس حديث متواترثقلين به‌عهده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واگذار گرديده، نسبت به‌توحيد، نبوت و امامت نيز، همين منطق ادامه يافته است؛ از اين رو، اصل ولايت را قرآن مطرح نموده اما صدها حديث و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منابع خود اهل‌سنّت، تطبيق نموده است </w:t>
      </w:r>
      <w:r>
        <w:rPr>
          <w:rStyle w:val="FootnoteAnchor"/>
          <w:rtl w:val="true"/>
        </w:rPr>
        <w:footnoteReference w:id="1857"/>
      </w:r>
      <w:r>
        <w:rPr>
          <w:rFonts w:ascii="Amiri" w:hAnsi="Amiri" w:eastAsia="Amiri" w:cs="Amiri"/>
          <w:color w:val="111111"/>
          <w:sz w:val="28"/>
          <w:sz w:val="28"/>
          <w:szCs w:val="28"/>
          <w:rtl w:val="true"/>
          <w:lang w:bidi="ar-SA"/>
        </w:rPr>
        <w:t xml:space="preserve">، به‌همين جهت </w:t>
      </w:r>
      <w:bookmarkStart w:id="676" w:name="pg1976_28355"/>
    </w:p>
    <w:p>
      <w:pPr>
        <w:pStyle w:val="BookText"/>
        <w:rPr/>
      </w:pPr>
      <w:bookmarkEnd w:id="676"/>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سؤال كه امامت پشتوانه قرآن دارد؟ نَه تنها اصل امامت كه برترى آن را بر نماز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اَطِيعُواْ الله وَاَطِيعُواْ الرَّسُولَ وَاُوْلِى الاَمْرِ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مى‌كند </w:t>
      </w:r>
      <w:r>
        <w:rPr>
          <w:rStyle w:val="FootnoteAnchor"/>
          <w:rtl w:val="true"/>
        </w:rPr>
        <w:footnoteReference w:id="1858"/>
      </w:r>
    </w:p>
    <w:p>
      <w:pPr>
        <w:pStyle w:val="Heading4"/>
        <w:numPr>
          <w:ilvl w:val="3"/>
          <w:numId w:val="1"/>
        </w:numPr>
        <w:rPr/>
      </w:pPr>
      <w:bookmarkStart w:id="677" w:name="__RefHeading___Toc3767341_3650668749"/>
      <w:bookmarkStart w:id="678" w:name="_Toc249"/>
      <w:bookmarkEnd w:id="677"/>
      <w:r>
        <w:rPr/>
        <w:t>٢</w:t>
      </w:r>
      <w:r>
        <w:rPr>
          <w:rtl w:val="true"/>
        </w:rPr>
        <w:t xml:space="preserve">. </w:t>
      </w:r>
      <w:r>
        <w:rPr>
          <w:rtl w:val="true"/>
        </w:rPr>
        <w:t>برترى يا مساوى بودن مقام امامت و نبوت</w:t>
      </w:r>
      <w:bookmarkEnd w:id="678"/>
    </w:p>
    <w:p>
      <w:pPr>
        <w:pStyle w:val="Heading5"/>
        <w:numPr>
          <w:ilvl w:val="4"/>
          <w:numId w:val="1"/>
        </w:numPr>
        <w:rPr/>
      </w:pPr>
      <w:bookmarkStart w:id="679" w:name="__RefHeading___Toc3767343_3650668749"/>
      <w:bookmarkStart w:id="680" w:name="_Toc250"/>
      <w:bookmarkEnd w:id="679"/>
      <w:r>
        <w:rPr>
          <w:rtl w:val="true"/>
        </w:rPr>
        <w:t>اشاره</w:t>
      </w:r>
      <w:bookmarkEnd w:id="68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مصاديق غلوّ در امامت، برابرى مقام امامت و نبوت </w:t>
      </w:r>
      <w:r>
        <w:rPr>
          <w:rStyle w:val="FootnoteAnchor"/>
          <w:rtl w:val="true"/>
        </w:rPr>
        <w:footnoteReference w:id="1859"/>
      </w:r>
      <w:r>
        <w:rPr>
          <w:rFonts w:ascii="Amiri" w:hAnsi="Amiri" w:eastAsia="Amiri" w:cs="Amiri"/>
          <w:color w:val="111111"/>
          <w:sz w:val="28"/>
          <w:sz w:val="28"/>
          <w:szCs w:val="28"/>
          <w:rtl w:val="true"/>
          <w:lang w:bidi="ar-SA"/>
        </w:rPr>
        <w:t xml:space="preserve">بلكه برترى آن بر نبوت </w:t>
      </w:r>
      <w:r>
        <w:rPr>
          <w:rStyle w:val="FootnoteAnchor"/>
          <w:rtl w:val="true"/>
        </w:rPr>
        <w:footnoteReference w:id="1860"/>
      </w:r>
      <w:r>
        <w:rPr>
          <w:rFonts w:ascii="Amiri" w:hAnsi="Amiri" w:eastAsia="Amiri" w:cs="Amiri"/>
          <w:color w:val="111111"/>
          <w:sz w:val="28"/>
          <w:sz w:val="28"/>
          <w:szCs w:val="28"/>
          <w:rtl w:val="true"/>
          <w:lang w:bidi="ar-SA"/>
        </w:rPr>
        <w:t xml:space="preserve">به‌روايت كلينى، است </w:t>
      </w:r>
      <w:r>
        <w:rPr>
          <w:rStyle w:val="FootnoteAnchor"/>
          <w:rtl w:val="true"/>
        </w:rPr>
        <w:footnoteReference w:id="1861"/>
      </w:r>
      <w:r>
        <w:rPr>
          <w:rFonts w:ascii="IRNazanin" w:hAnsi="IRNazanin" w:eastAsia="IRNazanin"/>
          <w:color w:val="111111"/>
          <w:sz w:val="28"/>
          <w:sz w:val="28"/>
          <w:szCs w:val="28"/>
          <w:rtl w:val="true"/>
          <w:lang w:bidi="fa-IR"/>
        </w:rPr>
        <w:t>قفارى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وفي‌أحاديث الكليني في‌الكافي تَعلو على مرتبة النّبوة </w:t>
      </w:r>
      <w:r>
        <w:rPr>
          <w:rFonts w:eastAsia="IRNazanin" w:cs="IRNazanin"/>
          <w:color w:val="111111"/>
          <w:sz w:val="28"/>
          <w:szCs w:val="28"/>
          <w:rtl w:val="true"/>
          <w:lang w:bidi="fa-IR"/>
        </w:rPr>
        <w:t xml:space="preserve">» </w:t>
      </w:r>
      <w:r>
        <w:rPr>
          <w:rStyle w:val="FootnoteAnchor"/>
          <w:rtl w:val="true"/>
        </w:rPr>
        <w:footnoteReference w:id="1862"/>
      </w:r>
      <w:r>
        <w:rPr>
          <w:rFonts w:ascii="Amiri" w:hAnsi="Amiri" w:eastAsia="Amiri" w:cs="Amiri"/>
          <w:color w:val="111111"/>
          <w:sz w:val="28"/>
          <w:sz w:val="28"/>
          <w:szCs w:val="28"/>
          <w:rtl w:val="true"/>
          <w:lang w:bidi="ar-SA"/>
        </w:rPr>
        <w:t>، و يا مى‌نويسد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في‌الضلالة حينما زعَمُوا أنَّ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أتباعٌ لعَلِيٍّ، وأنّ مِنهم مَن عوقب لرفضه ولاية علي </w:t>
      </w:r>
      <w:r>
        <w:rPr>
          <w:rFonts w:eastAsia="Amiri" w:cs="Amiri" w:ascii="Amiri" w:hAnsi="Amiri"/>
          <w:color w:val="111111"/>
          <w:sz w:val="28"/>
          <w:szCs w:val="28"/>
          <w:rtl w:val="true"/>
          <w:lang w:bidi="ar-SA"/>
        </w:rPr>
        <w:t xml:space="preserve">» </w:t>
      </w:r>
      <w:r>
        <w:rPr>
          <w:rStyle w:val="FootnoteAnchor"/>
          <w:rtl w:val="true"/>
        </w:rPr>
        <w:footnoteReference w:id="18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لم يَنقَطِع والنبوّةَ لم تختم، وأنَّ الائمّةَ بمنزلةِ الأنبياء أو أعظم، فهُم تنزّل عليهم الكتب المتعدّدة مِن السّماء وهذا مالم يتحقّق للرّسول</w:t>
      </w:r>
      <w:r>
        <w:rPr>
          <w:rFonts w:eastAsia="Amiri" w:cs="Amiri" w:ascii="Amiri" w:hAnsi="Amiri"/>
          <w:color w:val="111111"/>
          <w:sz w:val="28"/>
          <w:szCs w:val="28"/>
          <w:rtl w:val="true"/>
          <w:lang w:bidi="ar-SA"/>
        </w:rPr>
        <w:t xml:space="preserve">. . .» </w:t>
      </w:r>
      <w:r>
        <w:rPr>
          <w:rStyle w:val="FootnoteAnchor"/>
          <w:rtl w:val="true"/>
        </w:rPr>
        <w:footnoteReference w:id="18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تدّعي الشّيعةُ بأنَّ عند الأئمة الاِثني عشركلَّ كتابٍ نَزَلَ مِنَ السَّماء و أنَّهم يقرؤونها على إختلاف لغاتها، و عقد صاحب الكافي باباً لهذا الموضوع </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تفضيل ائمه، بر انبياء مذهب غلات </w:t>
      </w:r>
      <w:bookmarkStart w:id="681" w:name="pg1976_28357"/>
    </w:p>
    <w:p>
      <w:pPr>
        <w:pStyle w:val="BookText"/>
        <w:rPr/>
      </w:pPr>
      <w:bookmarkEnd w:id="681"/>
      <w:r>
        <w:rPr>
          <w:rFonts w:ascii="IRNazanin" w:hAnsi="IRNazanin" w:eastAsia="IRNazanin"/>
          <w:color w:val="111111"/>
          <w:sz w:val="28"/>
          <w:sz w:val="28"/>
          <w:szCs w:val="28"/>
          <w:rtl w:val="true"/>
          <w:lang w:bidi="fa-IR"/>
        </w:rPr>
        <w:t xml:space="preserve">روافض است </w:t>
      </w:r>
      <w:r>
        <w:rPr>
          <w:rStyle w:val="FootnoteAnchor"/>
          <w:rtl w:val="true"/>
        </w:rPr>
        <w:footnoteReference w:id="1866"/>
      </w:r>
      <w:r>
        <w:rPr>
          <w:rFonts w:ascii="Amiri" w:hAnsi="Amiri" w:eastAsia="Amiri" w:cs="Amiri"/>
          <w:color w:val="111111"/>
          <w:sz w:val="28"/>
          <w:sz w:val="28"/>
          <w:szCs w:val="28"/>
          <w:rtl w:val="true"/>
          <w:lang w:bidi="ar-SA"/>
        </w:rPr>
        <w:t>، و از امام خود محمدبن‌عبدالوهاب اين فتوى را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كسى‌كه معتقد باشد غيرانبياء افضل يا مساوى انبياء است، كافر است</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3767345_3650668749"/>
      <w:bookmarkStart w:id="683" w:name="_Toc251"/>
      <w:bookmarkEnd w:id="682"/>
      <w:r>
        <w:rPr>
          <w:rtl w:val="true"/>
        </w:rPr>
        <w:t>بررسى و نقد</w:t>
      </w:r>
      <w:bookmarkEnd w:id="683"/>
    </w:p>
    <w:p>
      <w:pPr>
        <w:pStyle w:val="Heading6"/>
        <w:numPr>
          <w:ilvl w:val="5"/>
          <w:numId w:val="1"/>
        </w:numPr>
        <w:rPr/>
      </w:pPr>
      <w:bookmarkStart w:id="684" w:name="__RefHeading___Toc3767347_3650668749"/>
      <w:bookmarkStart w:id="685" w:name="_Toc252"/>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 xml:space="preserve">اين گروهِ از نويسندگان با هويت مشخص، بدان جهت كه خلافت خلفاى سه‌گانه به‌ويژه شيخين با هيچ منطق عقلى و شرعى قابل تصحيح نيست </w:t>
      </w:r>
      <w:r>
        <w:rPr>
          <w:rStyle w:val="FootnoteAnchor"/>
          <w:rtl w:val="true"/>
        </w:rPr>
        <w:footnoteReference w:id="1868"/>
      </w:r>
      <w:r>
        <w:rPr>
          <w:rFonts w:ascii="IRNazanin" w:hAnsi="IRNazanin" w:eastAsia="IRNazanin"/>
          <w:color w:val="111111"/>
          <w:sz w:val="28"/>
          <w:sz w:val="28"/>
          <w:szCs w:val="28"/>
          <w:rtl w:val="true"/>
          <w:lang w:bidi="fa-IR"/>
        </w:rPr>
        <w:t>، چاره‌اى جز به‌چالش كشاندن ديدگاه رقيب را نمى‌بينند و در اين عرصه خودشان را به‌آب و آتش مى‌زنند تا لااقل توپ را به‌ميدان رقيب بيندازند؛ از اين رو، اين اتهام آنها نيز نه‌تنها كارساز نيست كه از چند جهت مردود است</w:t>
      </w:r>
      <w:r>
        <w:rPr>
          <w:rFonts w:eastAsia="IRNazanin" w:cs="IRNazanin"/>
          <w:color w:val="111111"/>
          <w:sz w:val="28"/>
          <w:szCs w:val="28"/>
          <w:rtl w:val="true"/>
          <w:lang w:bidi="fa-IR"/>
        </w:rPr>
        <w:t>:</w:t>
      </w:r>
    </w:p>
    <w:p>
      <w:pPr>
        <w:pStyle w:val="Heading6"/>
        <w:numPr>
          <w:ilvl w:val="5"/>
          <w:numId w:val="1"/>
        </w:numPr>
        <w:rPr/>
      </w:pPr>
      <w:bookmarkStart w:id="686" w:name="__RefHeading___Toc3767349_3650668749"/>
      <w:bookmarkStart w:id="687" w:name="_Toc253"/>
      <w:bookmarkEnd w:id="686"/>
      <w:r>
        <w:rPr>
          <w:rtl w:val="true"/>
        </w:rPr>
        <w:t xml:space="preserve">يك </w:t>
      </w:r>
      <w:r>
        <w:rPr>
          <w:rtl w:val="true"/>
        </w:rPr>
        <w:t xml:space="preserve">- </w:t>
      </w:r>
      <w:r>
        <w:rPr>
          <w:rtl w:val="true"/>
        </w:rPr>
        <w:t>برترى يا همانندى علما با انبياى بنى‌اسرائيل</w:t>
      </w:r>
      <w:bookmarkEnd w:id="68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حديث شريف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علماءُ اُمتّي‌كأنبياء بني إسرائيل</w:t>
      </w:r>
      <w:r>
        <w:rPr>
          <w:rFonts w:eastAsia="Amiri" w:cs="Amiri" w:ascii="Amiri" w:hAnsi="Amiri"/>
          <w:color w:val="111111"/>
          <w:sz w:val="28"/>
          <w:szCs w:val="28"/>
          <w:rtl w:val="true"/>
          <w:lang w:bidi="ar-SA"/>
        </w:rPr>
        <w:t xml:space="preserve">» </w:t>
      </w:r>
      <w:r>
        <w:rPr>
          <w:rStyle w:val="FootnoteAnchor"/>
          <w:rtl w:val="true"/>
        </w:rPr>
        <w:footnoteReference w:id="1869"/>
      </w:r>
      <w:r>
        <w:rPr>
          <w:rFonts w:ascii="IRNazanin" w:hAnsi="IRNazanin" w:eastAsia="IRNazanin"/>
          <w:color w:val="111111"/>
          <w:sz w:val="28"/>
          <w:sz w:val="28"/>
          <w:szCs w:val="28"/>
          <w:rtl w:val="true"/>
          <w:lang w:bidi="fa-IR"/>
        </w:rPr>
        <w:t>و به‌نقل ديگر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اُمّتي‌أفضل من أنبياء بني‌اسرائيل</w:t>
      </w:r>
      <w:r>
        <w:rPr>
          <w:rFonts w:eastAsia="Amiri" w:cs="Amiri" w:ascii="Amiri" w:hAnsi="Amiri"/>
          <w:color w:val="111111"/>
          <w:sz w:val="28"/>
          <w:szCs w:val="28"/>
          <w:rtl w:val="true"/>
          <w:lang w:bidi="ar-SA"/>
        </w:rPr>
        <w:t xml:space="preserve">» </w:t>
      </w:r>
      <w:r>
        <w:rPr>
          <w:rStyle w:val="FootnoteAnchor"/>
          <w:rtl w:val="true"/>
        </w:rPr>
        <w:footnoteReference w:id="1870"/>
      </w:r>
      <w:r>
        <w:rPr>
          <w:rFonts w:ascii="IRNazanin" w:hAnsi="IRNazanin" w:eastAsia="IRNazanin"/>
          <w:color w:val="111111"/>
          <w:sz w:val="28"/>
          <w:sz w:val="28"/>
          <w:szCs w:val="28"/>
          <w:rtl w:val="true"/>
          <w:lang w:bidi="fa-IR"/>
        </w:rPr>
        <w:t xml:space="preserve">علماى امت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همانند بلكه افضل از انبياى بنى‌اسرائل، دانسته است؛ بى‌ترديد اگر عموم علماى امت مورد نظر باشد، اهل‌بيت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اولويت، به طريق اولى مقصود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قدر متيقن از علما،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شيعه‌اند</w:t>
      </w:r>
      <w:r>
        <w:rPr>
          <w:rFonts w:eastAsia="IRNazanin" w:cs="IRNazanin"/>
          <w:color w:val="111111"/>
          <w:sz w:val="28"/>
          <w:szCs w:val="28"/>
          <w:rtl w:val="true"/>
          <w:lang w:bidi="fa-IR"/>
        </w:rPr>
        <w:t xml:space="preserve">.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بنابراين، به‌باور شيعه، اهل‌بيت و مقام امامت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مقام انبياءِ غيراولوالعزم افضل است و نسبت به‌انبياء اولوالعزم جز نبى‌خاتم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اختلافى است </w:t>
      </w:r>
      <w:r>
        <w:rPr>
          <w:rStyle w:val="FootnoteAnchor"/>
          <w:rtl w:val="true"/>
        </w:rPr>
        <w:footnoteReference w:id="1872"/>
      </w:r>
      <w:r>
        <w:rPr>
          <w:rFonts w:ascii="IRNazanin" w:hAnsi="IRNazanin" w:eastAsia="IRNazanin"/>
          <w:color w:val="111111"/>
          <w:sz w:val="28"/>
          <w:sz w:val="28"/>
          <w:szCs w:val="28"/>
          <w:rtl w:val="true"/>
          <w:lang w:bidi="fa-IR"/>
        </w:rPr>
        <w:t xml:space="preserve">، و علت اين برترى علم بيشتر، شرافت، كثرت جهاد در راه خدا، صبر و پايدارى و انتفاع علمى، ادبى، اخلاقى و اجتماعى بشر از اهل‌بيت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امتى افضل من انبياء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منابع حديثى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جايى‌كه پيگيرى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نشد، ولى در برخى منابع تاريخى اهل سنت به آن تصريح شده است</w:t>
      </w:r>
      <w:r>
        <w:rPr>
          <w:rFonts w:eastAsia="IRNazanin" w:cs="IRNazanin"/>
          <w:color w:val="111111"/>
          <w:sz w:val="28"/>
          <w:szCs w:val="28"/>
          <w:rtl w:val="true"/>
          <w:lang w:bidi="fa-IR"/>
        </w:rPr>
        <w:t xml:space="preserve">. </w:t>
      </w:r>
      <w:r>
        <w:rPr>
          <w:rStyle w:val="FootnoteAnchor"/>
          <w:rtl w:val="true"/>
        </w:rPr>
        <w:footnoteReference w:id="18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السّندى در توضيح اين قسمت از حديث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فَإنَّما بُعِثتُم مُيَسَّرين ولم تُبعَثُوا مُعَسِّري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اشاره باشد به‌آيه شريفه كُنتُمْ</w:t>
      </w:r>
      <w:bookmarkStart w:id="688" w:name="pg1976_28361"/>
    </w:p>
    <w:p>
      <w:pPr>
        <w:pStyle w:val="BookText"/>
        <w:rPr/>
      </w:pPr>
      <w:bookmarkEnd w:id="688"/>
      <w:r>
        <w:rPr>
          <w:rFonts w:ascii="Amiri" w:hAnsi="Amiri" w:eastAsia="Amiri" w:cs="Amiri"/>
          <w:color w:val="111111"/>
          <w:sz w:val="28"/>
          <w:sz w:val="28"/>
          <w:szCs w:val="28"/>
          <w:rtl w:val="true"/>
          <w:lang w:bidi="ar-SA"/>
        </w:rPr>
        <w:t xml:space="preserve">خَيْرَ اُمَّةٍ اُخْرِجَتْ لِلنَّاسِ تَاْمُرُونَ بِالْمَعْرُوفِ وَتَنْهَوْنَ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ذلك بمنزلة البعث، و يصلح أن يكون هذا هو وجه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هذه الامّة كالاَنبياء </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سِندى مى‌رساند كه برابرى يا برترى علماى امت با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حديث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وَرَثةُالاَنبياء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منابع سنى</w:t>
      </w:r>
      <w:r>
        <w:rPr>
          <w:rStyle w:val="FootnoteAnchor"/>
          <w:rtl w:val="true"/>
        </w:rPr>
        <w:footnoteReference w:id="1876"/>
      </w:r>
      <w:r>
        <w:rPr>
          <w:rFonts w:ascii="Amiri" w:hAnsi="Amiri" w:eastAsia="Amiri" w:cs="Amiri"/>
          <w:color w:val="111111"/>
          <w:sz w:val="28"/>
          <w:sz w:val="28"/>
          <w:szCs w:val="28"/>
          <w:rtl w:val="true"/>
          <w:lang w:bidi="ar-SA"/>
        </w:rPr>
        <w:t xml:space="preserve">و شيعه </w:t>
      </w:r>
      <w:r>
        <w:rPr>
          <w:rStyle w:val="FootnoteAnchor"/>
          <w:rtl w:val="true"/>
        </w:rPr>
        <w:footnoteReference w:id="1877"/>
      </w:r>
      <w:r>
        <w:rPr>
          <w:rFonts w:ascii="IRNazanin" w:hAnsi="IRNazanin" w:eastAsia="IRNazanin"/>
          <w:color w:val="111111"/>
          <w:sz w:val="28"/>
          <w:sz w:val="28"/>
          <w:szCs w:val="28"/>
          <w:rtl w:val="true"/>
          <w:lang w:bidi="fa-IR"/>
        </w:rPr>
        <w:t>نقل شده و احتمال دارد اين حديث از منابع اهل سنت وارد منابع شيعه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مقصود از وراثت، وراثت در علم و خدمت به‌دين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خواهد بود، برابرى يا برترى امام معصوم را بر انبياء هرچند كه بر يك پيامبر باشد، اثبات مى‌كند؛ زيرا غير عاقلانه نيست كه در علم و عمل و هدايتِ انسان‌ها به‌سوى حق، امام نسبت به‌نبى‌كه اولوالعزم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يا برترى داشته باشد</w:t>
      </w:r>
      <w:r>
        <w:rPr>
          <w:rFonts w:eastAsia="IRNazanin" w:cs="IRNazanin"/>
          <w:color w:val="111111"/>
          <w:sz w:val="28"/>
          <w:szCs w:val="28"/>
          <w:rtl w:val="true"/>
          <w:lang w:bidi="fa-IR"/>
        </w:rPr>
        <w:t>.</w:t>
      </w:r>
    </w:p>
    <w:p>
      <w:pPr>
        <w:pStyle w:val="Heading6"/>
        <w:numPr>
          <w:ilvl w:val="5"/>
          <w:numId w:val="1"/>
        </w:numPr>
        <w:rPr/>
      </w:pPr>
      <w:bookmarkStart w:id="689" w:name="__RefHeading___Toc3767351_3650668749"/>
      <w:bookmarkStart w:id="690" w:name="_Toc254"/>
      <w:bookmarkEnd w:id="689"/>
      <w:r>
        <w:rPr>
          <w:rtl w:val="true"/>
        </w:rPr>
        <w:t xml:space="preserve">دو </w:t>
      </w:r>
      <w:r>
        <w:rPr>
          <w:rtl w:val="true"/>
        </w:rPr>
        <w:t xml:space="preserve">- </w:t>
      </w:r>
      <w:r>
        <w:rPr>
          <w:rtl w:val="true"/>
        </w:rPr>
        <w:t>برترى نه غلوّ</w:t>
      </w:r>
      <w:bookmarkEnd w:id="69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معيارهاى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الوهيت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برترى امام بر نبى بر پايه شرايط و زمانِ هركدام از نبى و امام، غلوّ محسوب نمى‌شود؛ زيرا با اعتقاد به‌اينكه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بشر رو به‌توسعه علمى مى رود و با انديشه‌ها و افكار جديد و خداگريزانه و پيامبرستيزانه، مواجه است، نقش هدايتگرى، علمى و اجتماعى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خودش را بهتر و فراتر به‌انجام رساند و خدا باورى و امنيت درونى و بيرونى مردم را بيشتر از پيامبر بنى‌اسرائيلى كه نقش ابلاغ دين نداشته‌اند بلكه تنها تابع پيامبر ديگرى بوده‌اند، فراهم سازد، هرگز غلوِ باطل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همان‌گونه كه </w:t>
      </w:r>
      <w:bookmarkStart w:id="691" w:name="pg1976_28364"/>
    </w:p>
    <w:p>
      <w:pPr>
        <w:pStyle w:val="BookText"/>
        <w:rPr/>
      </w:pPr>
      <w:bookmarkEnd w:id="691"/>
      <w:r>
        <w:rPr>
          <w:rFonts w:ascii="IRNazanin" w:hAnsi="IRNazanin" w:eastAsia="IRNazanin"/>
          <w:color w:val="111111"/>
          <w:sz w:val="28"/>
          <w:sz w:val="28"/>
          <w:szCs w:val="28"/>
          <w:rtl w:val="true"/>
          <w:lang w:bidi="fa-IR"/>
        </w:rPr>
        <w:t xml:space="preserve">قبلاً خاطر نشان گشت، به‌طريق اولويت و يا مصداق قطعى آن، امامان معصومند </w:t>
      </w:r>
      <w:r>
        <w:rPr>
          <w:rStyle w:val="FootnoteAnchor"/>
          <w:rtl w:val="true"/>
        </w:rPr>
        <w:footnoteReference w:id="1878"/>
      </w:r>
      <w:r>
        <w:rPr>
          <w:rFonts w:ascii="IRNazanin" w:hAnsi="IRNazanin" w:eastAsia="IRNazanin"/>
          <w:color w:val="111111"/>
          <w:sz w:val="28"/>
          <w:sz w:val="28"/>
          <w:szCs w:val="28"/>
          <w:rtl w:val="true"/>
          <w:lang w:bidi="fa-IR"/>
        </w:rPr>
        <w:t>كه با قطع نظر از عصمت آنان توان علمى، ايثار، شجاعت، پارسايى، دلسوزى، هدايت و درايت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از ويژگى‌هاى بارز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شاهد گوياى براين مدعا خواهد بود و در تاريخ حتى موردى بر ضعف و كاهلى آنان در عرصه‌هاى مختلف پاسدارى از دين و ارزش‌هاى الهى، گزارش نشده است</w:t>
      </w:r>
      <w:r>
        <w:rPr>
          <w:rFonts w:eastAsia="IRNazanin" w:cs="IRNazanin"/>
          <w:color w:val="111111"/>
          <w:sz w:val="28"/>
          <w:szCs w:val="28"/>
          <w:rtl w:val="true"/>
          <w:lang w:bidi="fa-IR"/>
        </w:rPr>
        <w:t>.</w:t>
      </w:r>
    </w:p>
    <w:p>
      <w:pPr>
        <w:pStyle w:val="Heading6"/>
        <w:numPr>
          <w:ilvl w:val="5"/>
          <w:numId w:val="1"/>
        </w:numPr>
        <w:rPr/>
      </w:pPr>
      <w:bookmarkStart w:id="692" w:name="__RefHeading___Toc3767353_3650668749"/>
      <w:bookmarkStart w:id="693" w:name="_Toc255"/>
      <w:bookmarkEnd w:id="692"/>
      <w:r>
        <w:rPr>
          <w:rtl w:val="true"/>
        </w:rPr>
        <w:t xml:space="preserve">سه </w:t>
      </w:r>
      <w:r>
        <w:rPr>
          <w:rtl w:val="true"/>
        </w:rPr>
        <w:t xml:space="preserve">- </w:t>
      </w:r>
      <w:r>
        <w:rPr>
          <w:rtl w:val="true"/>
        </w:rPr>
        <w:t>مغالطه غير منصفانه</w:t>
      </w:r>
      <w:bookmarkEnd w:id="693"/>
    </w:p>
    <w:p>
      <w:pPr>
        <w:pStyle w:val="BookText"/>
        <w:rPr/>
      </w:pPr>
      <w:r>
        <w:rPr>
          <w:rFonts w:ascii="IRNazanin" w:hAnsi="IRNazanin" w:eastAsia="IRNazanin"/>
          <w:color w:val="111111"/>
          <w:sz w:val="28"/>
          <w:sz w:val="28"/>
          <w:szCs w:val="28"/>
          <w:rtl w:val="true"/>
          <w:lang w:bidi="fa-IR"/>
        </w:rPr>
        <w:t>اما رواياتى‌كه اين گروه از نويسندگان، آنها را غلوّ در برترى امامت بر نبوت مى‌شمارند، هيچ‌كدام مدعاى آنها را ثابت نمى‌كند و درحقيقت يك مغالطه غير منصفانه‌اى بيش نيست؛ زيرا روايات مورد استناد آنها از چند دسته خارج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نبوت نَه حقيقت نبوت؛ گروهى از روايات همانند حديث محمّدبن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ألائمّةُ بمنزلةِ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لَيسُوا بأنبياءِ ولايَحلُّ لَهُم مِنَ النّساءِ ما يَحلُّ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خلا ذلك فهم فيه بمنزلةِ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879"/>
      </w:r>
      <w:r>
        <w:rPr>
          <w:rFonts w:ascii="IRNazanin" w:hAnsi="IRNazanin" w:eastAsia="IRNazanin"/>
          <w:color w:val="111111"/>
          <w:sz w:val="28"/>
          <w:sz w:val="28"/>
          <w:szCs w:val="28"/>
          <w:rtl w:val="true"/>
          <w:lang w:bidi="fa-IR"/>
        </w:rPr>
        <w:t xml:space="preserve">، تصريح مى‌كند كه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و رسول‌الله نيستند، به‌اين معنا كه در علم و عمل و اخلاق و وجوب اطاعت مردم از آن‌ها </w:t>
      </w:r>
      <w:r>
        <w:rPr>
          <w:rStyle w:val="FootnoteAnchor"/>
          <w:rtl w:val="true"/>
        </w:rPr>
        <w:footnoteReference w:id="1880"/>
      </w:r>
      <w:r>
        <w:rPr>
          <w:rFonts w:ascii="IRNazanin" w:hAnsi="IRNazanin" w:eastAsia="IRNazanin"/>
          <w:color w:val="111111"/>
          <w:sz w:val="28"/>
          <w:sz w:val="28"/>
          <w:szCs w:val="28"/>
          <w:rtl w:val="true"/>
          <w:lang w:bidi="fa-IR"/>
        </w:rPr>
        <w:t>، و هدايت و پارسايى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همانند پيامبرند ولى در حقيقتِ نبوت و ويژگى‌هاى اختصاصى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حديث، حلال بودن بيش از چهار زن به‌عنوان مثال ذكر شده</w:t>
      </w:r>
      <w:r>
        <w:rPr>
          <w:rFonts w:eastAsia="IRNazanin" w:cs="IRNazanin"/>
          <w:color w:val="111111"/>
          <w:sz w:val="28"/>
          <w:szCs w:val="28"/>
          <w:rtl w:val="true"/>
          <w:lang w:bidi="fa-IR"/>
        </w:rPr>
        <w:t xml:space="preserve">) </w:t>
      </w:r>
      <w:r>
        <w:rPr>
          <w:rStyle w:val="FootnoteAnchor"/>
          <w:rtl w:val="true"/>
        </w:rPr>
        <w:footnoteReference w:id="1881"/>
      </w:r>
      <w:r>
        <w:rPr>
          <w:rFonts w:ascii="IRNazanin" w:hAnsi="IRNazanin" w:eastAsia="IRNazanin"/>
          <w:color w:val="111111"/>
          <w:sz w:val="28"/>
          <w:sz w:val="28"/>
          <w:szCs w:val="28"/>
          <w:rtl w:val="true"/>
          <w:lang w:bidi="fa-IR"/>
        </w:rPr>
        <w:t>، نَه نَبِى و نَه رسول‌الله‌اند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ديگر در عرصه هدايتگرى و پاسدارى از دين و نفوذ كلام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همسنگ پيامبرند، اما در جنبه‌هاى شخصيتى و ذاتى كاملاً متفاوت‌اند، و اينكه ناقدان كافى تنها به‌جمله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بمنزلة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مى‌كنند و ادامه و استثناء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ناديده مى‌گيرند، نمى‌توان آن را جُز خيانت علمى و </w:t>
      </w:r>
    </w:p>
    <w:p>
      <w:pPr>
        <w:pStyle w:val="BookText"/>
        <w:rPr/>
      </w:pPr>
      <w:r>
        <w:rPr>
          <w:rFonts w:ascii="Amiri" w:hAnsi="Amiri" w:eastAsia="Amiri" w:cs="Amiri"/>
          <w:color w:val="111111"/>
          <w:sz w:val="28"/>
          <w:sz w:val="28"/>
          <w:szCs w:val="28"/>
          <w:rtl w:val="true"/>
          <w:lang w:bidi="ar-SA"/>
        </w:rPr>
        <w:t>به‌بيراهه كشاندن مخاطبان شان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شركت در علم نَه روح نبوت؛ در سه حديث امامان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ظاهر قضيه دو انار بهشتى و در واقع، ارتباط نبوت و امامت را به‌تصوير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بيان مى‌دارد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امين دو عدد انار براى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حضرت يكى از آنها را به‌طور كامل تناول فرمود و ديگرى را به‌دو نصف تقسيم و نصف آن را خودش ميل نمود و نصف ديگر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انار نخست به ازاى نبوت است و تو در آن سهمى ندارى، و انار دوم به‌ازاى دانش است </w:t>
      </w:r>
      <w:r>
        <w:rPr>
          <w:rStyle w:val="FootnoteAnchor"/>
          <w:rtl w:val="true"/>
        </w:rPr>
        <w:footnoteReference w:id="1882"/>
      </w:r>
      <w:r>
        <w:rPr>
          <w:rFonts w:ascii="IRNazanin" w:hAnsi="IRNazanin" w:eastAsia="IRNazanin"/>
          <w:color w:val="111111"/>
          <w:sz w:val="28"/>
          <w:sz w:val="28"/>
          <w:szCs w:val="28"/>
          <w:rtl w:val="true"/>
          <w:lang w:bidi="fa-IR"/>
        </w:rPr>
        <w:t>و تو درآن با من شريك هستى؛ و نحوۀ شركت در علم را اين‌گونه توضيح مى‌دهد كه هرچه خداوند به‌من بياموزد بدون كاستى آن را به‌تو تعليم مى‌دهم</w:t>
      </w:r>
      <w:r>
        <w:rPr>
          <w:rFonts w:eastAsia="IRNazanin" w:cs="IRNazanin"/>
          <w:color w:val="111111"/>
          <w:sz w:val="28"/>
          <w:szCs w:val="28"/>
          <w:rtl w:val="true"/>
          <w:lang w:bidi="fa-IR"/>
        </w:rPr>
        <w:t xml:space="preserve">» </w:t>
      </w:r>
      <w:r>
        <w:rPr>
          <w:rStyle w:val="FootnoteAnchor"/>
          <w:rtl w:val="true"/>
        </w:rPr>
        <w:footnoteReference w:id="1883"/>
      </w:r>
      <w:r>
        <w:rPr>
          <w:rFonts w:ascii="IRNazanin" w:hAnsi="IRNazanin" w:eastAsia="IRNazanin"/>
          <w:color w:val="111111"/>
          <w:sz w:val="28"/>
          <w:sz w:val="28"/>
          <w:szCs w:val="28"/>
          <w:rtl w:val="true"/>
          <w:lang w:bidi="fa-IR"/>
        </w:rPr>
        <w:t>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سه‌گانه كه احتمال دارد يك روايت باشد، هرگز بويى از برترى يا برابرى نبوت و امامت، استشمام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تشبيه معقول به‌محسوس، تفاوت اساسى نبوت و وصايت را مجسّم ساخت، و چه بسا فهماند كه نبوت، سه مرتبه از درجه امامت بالاتر است </w:t>
      </w:r>
      <w:r>
        <w:rPr>
          <w:rStyle w:val="FootnoteAnchor"/>
          <w:rtl w:val="true"/>
        </w:rPr>
        <w:footnoteReference w:id="1884"/>
      </w:r>
      <w:r>
        <w:rPr>
          <w:rFonts w:ascii="IRNazanin" w:hAnsi="IRNazanin" w:eastAsia="IRNazanin"/>
          <w:color w:val="111111"/>
          <w:sz w:val="28"/>
          <w:sz w:val="28"/>
          <w:szCs w:val="28"/>
          <w:rtl w:val="true"/>
          <w:lang w:bidi="fa-IR"/>
        </w:rPr>
        <w:t>و نقطه اشتراك نبوت و امامت علومى است كه از سوى خداوند افاضه مى‌گردد و قوام و دوام هر دو را شكل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از شركت، استقلال در سهم‌ها به‌ذهن مى‌رسد، درحالى‌كه چنين معنايى مقصود نيست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كيفيت شركت در علم نبوت، علم نبوت را همان علم امامت مى‌شمارد، جز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مربّى و معلّم را دارد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متربّى </w:t>
      </w:r>
      <w:r>
        <w:rPr>
          <w:rStyle w:val="FootnoteAnchor"/>
          <w:rtl w:val="true"/>
        </w:rPr>
        <w:footnoteReference w:id="1885"/>
      </w:r>
      <w:r>
        <w:rPr>
          <w:rFonts w:ascii="IRNazanin" w:hAnsi="IRNazanin" w:eastAsia="IRNazanin"/>
          <w:color w:val="111111"/>
          <w:sz w:val="28"/>
          <w:sz w:val="28"/>
          <w:szCs w:val="28"/>
          <w:rtl w:val="true"/>
          <w:lang w:bidi="fa-IR"/>
        </w:rPr>
        <w:t>و طبعاً اين‌گونه ارتباط، حقوق فراوان و ويژه‌اى را به‌دنبال خواهد داشت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عدم دقت درمتن روايات اين باب به‌هر دليلى از سوى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الشّيعة </w:t>
      </w:r>
      <w:bookmarkStart w:id="694" w:name="pg1976_28368"/>
    </w:p>
    <w:p>
      <w:pPr>
        <w:pStyle w:val="BookText"/>
        <w:rPr/>
      </w:pPr>
      <w:bookmarkEnd w:id="694"/>
      <w:r>
        <w:rPr>
          <w:rFonts w:ascii="IRNazanin" w:hAnsi="IRNazanin" w:eastAsia="IRNazanin"/>
          <w:color w:val="111111"/>
          <w:sz w:val="28"/>
          <w:sz w:val="28"/>
          <w:szCs w:val="28"/>
          <w:rtl w:val="true"/>
          <w:lang w:bidi="fa-IR"/>
        </w:rPr>
        <w:t>والسّنّه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الحق</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هيچ‌وقت مجوز نخواهد شد كه باورهاى ديگران به‌باد انتقاد گرفته شود و به‌آنان توهين گردد</w:t>
      </w:r>
      <w:r>
        <w:rPr>
          <w:rFonts w:eastAsia="IRNazanin" w:cs="IRNazanin"/>
          <w:color w:val="111111"/>
          <w:sz w:val="28"/>
          <w:szCs w:val="28"/>
          <w:rtl w:val="true"/>
          <w:lang w:bidi="fa-IR"/>
        </w:rPr>
        <w:t>!</w:t>
      </w:r>
    </w:p>
    <w:p>
      <w:pPr>
        <w:pStyle w:val="Heading4"/>
        <w:numPr>
          <w:ilvl w:val="3"/>
          <w:numId w:val="1"/>
        </w:numPr>
        <w:rPr/>
      </w:pPr>
      <w:bookmarkStart w:id="695" w:name="__RefHeading___Toc3767355_3650668749"/>
      <w:bookmarkStart w:id="696" w:name="_Toc256"/>
      <w:bookmarkEnd w:id="695"/>
      <w:r>
        <w:rPr/>
        <w:t>٣</w:t>
      </w:r>
      <w:r>
        <w:rPr>
          <w:rtl w:val="true"/>
        </w:rPr>
        <w:t xml:space="preserve">. </w:t>
      </w:r>
      <w:r>
        <w:rPr>
          <w:rtl w:val="true"/>
        </w:rPr>
        <w:t>امتيازهاى نبوت و امامت</w:t>
      </w:r>
      <w:bookmarkEnd w:id="696"/>
    </w:p>
    <w:p>
      <w:pPr>
        <w:pStyle w:val="Heading5"/>
        <w:numPr>
          <w:ilvl w:val="4"/>
          <w:numId w:val="1"/>
        </w:numPr>
        <w:rPr/>
      </w:pPr>
      <w:bookmarkStart w:id="697" w:name="__RefHeading___Toc3767357_3650668749"/>
      <w:bookmarkStart w:id="698" w:name="_Toc257"/>
      <w:bookmarkEnd w:id="697"/>
      <w:r>
        <w:rPr>
          <w:rtl w:val="true"/>
        </w:rPr>
        <w:t>اشاره</w:t>
      </w:r>
      <w:bookmarkEnd w:id="6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امتيازهاى نبوت و امامت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بخشى از احاديث مورد استناد منتقدان كافى، رواياتى است كه در آنها امتياز نبى و رسول و امام، مطرح گرديده است </w:t>
      </w:r>
      <w:r>
        <w:rPr>
          <w:rStyle w:val="FootnoteAnchor"/>
          <w:rtl w:val="true"/>
        </w:rPr>
        <w:footnoteReference w:id="1886"/>
      </w:r>
      <w:r>
        <w:rPr>
          <w:rFonts w:ascii="IRNazanin" w:hAnsi="IRNazanin" w:eastAsia="IRNazanin"/>
          <w:color w:val="111111"/>
          <w:sz w:val="28"/>
          <w:sz w:val="28"/>
          <w:szCs w:val="28"/>
          <w:rtl w:val="true"/>
          <w:lang w:bidi="fa-IR"/>
        </w:rPr>
        <w:t xml:space="preserve">و نويسندگانِ مورد نظر، چون ديده‌اند از يك‌سو،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به‌كار رفته و از ديگرسو، براى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استناد شيعه است مقام امامت بعد از مقام نبوت، به‌اثبات رسيده، آن را غلوّ و باطل مى‌پندارند؛ ولى اين پندار آنها از چند جهت نادرست و بى‌پايه است</w:t>
      </w:r>
      <w:r>
        <w:rPr>
          <w:rFonts w:eastAsia="IRNazanin" w:cs="IRNazanin"/>
          <w:color w:val="111111"/>
          <w:sz w:val="28"/>
          <w:szCs w:val="28"/>
          <w:rtl w:val="true"/>
          <w:lang w:bidi="fa-IR"/>
        </w:rPr>
        <w:t>:</w:t>
      </w:r>
    </w:p>
    <w:p>
      <w:pPr>
        <w:pStyle w:val="Heading5"/>
        <w:numPr>
          <w:ilvl w:val="4"/>
          <w:numId w:val="1"/>
        </w:numPr>
        <w:rPr/>
      </w:pPr>
      <w:bookmarkStart w:id="699" w:name="__RefHeading___Toc3767359_3650668749"/>
      <w:bookmarkStart w:id="700" w:name="_Toc258"/>
      <w:bookmarkEnd w:id="699"/>
      <w:r>
        <w:rPr>
          <w:rtl w:val="true"/>
        </w:rPr>
        <w:t>الف</w:t>
      </w:r>
      <w:r>
        <w:rPr>
          <w:rtl w:val="true"/>
        </w:rPr>
        <w:t xml:space="preserve">) </w:t>
      </w:r>
      <w:r>
        <w:rPr>
          <w:rtl w:val="true"/>
        </w:rPr>
        <w:t xml:space="preserve">امامت ابراهيم </w:t>
      </w:r>
      <w:r>
        <w:rPr>
          <w:rtl w:val="true"/>
        </w:rPr>
        <w:t>(</w:t>
      </w:r>
      <w:r>
        <w:rPr>
          <w:rtl w:val="true"/>
        </w:rPr>
        <w:t>ع</w:t>
      </w:r>
      <w:r>
        <w:rPr>
          <w:rtl w:val="true"/>
        </w:rPr>
        <w:t>)</w:t>
      </w:r>
      <w:bookmarkEnd w:id="70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 پايه حديث ثقلين بخش‌هايى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ابْتَلَى إِبْرَاهِيمَ رَبُّهُ بِكَلِمَاتٍ فَاَتَمَّهُنَّ قَالَ إِنِّى جَاعِلُكَ لِلنَّاسِ إِمَاماً قَالَ وَمِن ذُرِّيَّتِى قَالَ لاَ يَنَالُ عَهْدِى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و تبيين نموده‌اند، و براى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مرتبه و درجه به‌ترتيب </w:t>
      </w:r>
    </w:p>
    <w:p>
      <w:pPr>
        <w:pStyle w:val="BookText"/>
        <w:rPr/>
      </w:pPr>
      <w:r>
        <w:rPr>
          <w:rFonts w:ascii="IRNazanin" w:hAnsi="IRNazanin" w:eastAsia="IRNazanin"/>
          <w:color w:val="111111"/>
          <w:sz w:val="28"/>
          <w:sz w:val="28"/>
          <w:szCs w:val="28"/>
          <w:rtl w:val="true"/>
          <w:lang w:bidi="fa-IR"/>
        </w:rPr>
        <w:t>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عبوديت قبل از نبوت؛ نبوت قبل از رسالت؛ رسالت قبل از خُلّت و خُلّت قبل از امامت و بالاترين و پنجمين درجه، امامت قرار گرفته است، آن هم زمانى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الهى را با موفّقيت پشت سر گذاشت و از چهار مرحله عبور كرد،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إنّي‌جاعِلُكَ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آن حضرت، عظمت مقام امامت را براى خود مشاهده كرد و خوشحال شد </w:t>
      </w:r>
      <w:r>
        <w:rPr>
          <w:rStyle w:val="FootnoteAnchor"/>
          <w:rtl w:val="true"/>
        </w:rPr>
        <w:footnoteReference w:id="1887"/>
      </w:r>
      <w:r>
        <w:rPr>
          <w:rFonts w:ascii="Amiri" w:hAnsi="Amiri" w:eastAsia="Amiri" w:cs="Amiri"/>
          <w:color w:val="111111"/>
          <w:sz w:val="28"/>
          <w:sz w:val="28"/>
          <w:szCs w:val="28"/>
          <w:rtl w:val="true"/>
          <w:lang w:bidi="ar-SA"/>
        </w:rPr>
        <w:t>، آن را براى برخى از ذرارى خود نيز، درخواست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ذُرِّيَّتِي و 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لايَنال عهدي الظّالمين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آيه شريفه مى‌رساند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نبوّت از سوى خداوند مورد ابتلاء قرار گرفت؛ زيرا آن حضرت بايد از طريق وحى مأمور به‌انجام كارهاى دشوار و شاق مى‌شد </w:t>
      </w:r>
      <w:r>
        <w:rPr>
          <w:rStyle w:val="FootnoteAnchor"/>
          <w:rtl w:val="true"/>
        </w:rPr>
        <w:footnoteReference w:id="1889"/>
      </w:r>
      <w:r>
        <w:rPr>
          <w:rFonts w:ascii="IRNazanin" w:hAnsi="IRNazanin" w:eastAsia="IRNazanin"/>
          <w:color w:val="111111"/>
          <w:sz w:val="28"/>
          <w:sz w:val="28"/>
          <w:szCs w:val="28"/>
          <w:rtl w:val="true"/>
          <w:lang w:bidi="fa-IR"/>
        </w:rPr>
        <w:t>هنگامى كه وى از همه امتحانات سربلند بيرون آمد، به‌پاس اين موفّقيت بزرگ،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انّي‌جاعلك للنّاس إماماً ؛ و از تحليل الفاظ و واژگان آيه همين معنى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اذ ابتلى إبراهيم ظرف است، و اكثر مفسّران اهل‌سنّت تصريح مى‌كنند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است </w:t>
      </w:r>
      <w:r>
        <w:rPr>
          <w:rStyle w:val="FootnoteAnchor"/>
          <w:rtl w:val="true"/>
        </w:rPr>
        <w:footnoteReference w:id="1890"/>
      </w:r>
      <w:r>
        <w:rPr>
          <w:rFonts w:ascii="IRNazanin" w:hAnsi="IRNazanin" w:eastAsia="IRNazanin"/>
          <w:color w:val="111111"/>
          <w:sz w:val="28"/>
          <w:sz w:val="28"/>
          <w:szCs w:val="28"/>
          <w:rtl w:val="true"/>
          <w:lang w:bidi="fa-IR"/>
        </w:rPr>
        <w:t>و موقعيت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انّي جاعلك موقعيت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گويا </w:t>
      </w:r>
    </w:p>
    <w:p>
      <w:pPr>
        <w:pStyle w:val="BookText"/>
        <w:rPr/>
      </w:pPr>
      <w:r>
        <w:rPr>
          <w:rFonts w:ascii="IRNazanin" w:hAnsi="IRNazanin" w:eastAsia="IRNazanin"/>
          <w:color w:val="111111"/>
          <w:sz w:val="28"/>
          <w:sz w:val="28"/>
          <w:szCs w:val="28"/>
          <w:rtl w:val="true"/>
          <w:lang w:bidi="fa-IR"/>
        </w:rPr>
        <w:t>سؤال شده كه وقتى ابراهيم از امتحان سربلند بيرون آمد، پروردگارش با او چه كرد؟ در پاسخ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إنّي جاعلك للنّاس إماماً </w:t>
      </w:r>
      <w:r>
        <w:rPr>
          <w:rFonts w:eastAsia="IRNazanin" w:cs="IRNazanin"/>
          <w:color w:val="111111"/>
          <w:sz w:val="28"/>
          <w:szCs w:val="28"/>
          <w:rtl w:val="true"/>
          <w:lang w:bidi="fa-IR"/>
        </w:rPr>
        <w:t xml:space="preserve">. </w:t>
      </w:r>
      <w:r>
        <w:rPr>
          <w:rStyle w:val="FootnoteAnchor"/>
          <w:rtl w:val="true"/>
        </w:rPr>
        <w:footnoteReference w:id="189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به‌اتفاق اكثر مفسران مشهور اهل‌سنت، امامت است </w:t>
      </w:r>
      <w:r>
        <w:rPr>
          <w:rStyle w:val="FootnoteAnchor"/>
          <w:rtl w:val="true"/>
        </w:rPr>
        <w:footnoteReference w:id="1892"/>
      </w:r>
      <w:r>
        <w:rPr>
          <w:rFonts w:ascii="IRNazanin" w:hAnsi="IRNazanin" w:eastAsia="IRNazanin"/>
          <w:color w:val="111111"/>
          <w:sz w:val="28"/>
          <w:sz w:val="28"/>
          <w:szCs w:val="28"/>
          <w:rtl w:val="true"/>
          <w:lang w:bidi="fa-IR"/>
        </w:rPr>
        <w:t>، تنها آلوسى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است ولى اين‌جا حتماً بايد به‌معناى نبوت باشد </w:t>
      </w:r>
      <w:r>
        <w:rPr>
          <w:rStyle w:val="FootnoteAnchor"/>
          <w:rtl w:val="true"/>
        </w:rPr>
        <w:footnoteReference w:id="1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به‌صراحت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جواب خداوند لاينال عهدي با سؤال ابراهيم ومن ذريتي مطابقت داشته باشد، بايد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به‌معناى امامت باشد </w:t>
      </w:r>
      <w:r>
        <w:rPr>
          <w:rStyle w:val="FootnoteAnchor"/>
          <w:rtl w:val="true"/>
        </w:rPr>
        <w:footnoteReference w:id="1894"/>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نبى مى‌گيرد</w:t>
      </w:r>
      <w:r>
        <w:rPr>
          <w:rFonts w:eastAsia="IRNazanin" w:cs="IRNazanin"/>
          <w:color w:val="111111"/>
          <w:sz w:val="28"/>
          <w:szCs w:val="28"/>
          <w:rtl w:val="true"/>
          <w:lang w:bidi="fa-IR"/>
        </w:rPr>
        <w:t xml:space="preserve">! </w:t>
      </w:r>
      <w:r>
        <w:rPr>
          <w:rStyle w:val="FootnoteAnchor"/>
          <w:rtl w:val="true"/>
        </w:rPr>
        <w:footnoteReference w:id="1895"/>
      </w:r>
    </w:p>
    <w:p>
      <w:pPr>
        <w:pStyle w:val="BookText"/>
        <w:rPr/>
      </w:pP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چينش داستان، اين پيام را القا مى‌كند كه مقام امامت غير از مقام نبوت است هرچند كه اجتماع هر دو عنوان در يك فرد هم ممكن و هم به‌وقوع پيوسته است؛ زيرا خداوند ابراهيم را با اينكه نبى بود و درحال اجراى اوامر و دستورات پروردگارش بود،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جاعلك للناس اماماً پس از اين، تورا امام قرار دادم </w:t>
      </w:r>
      <w:r>
        <w:rPr>
          <w:rStyle w:val="FootnoteAnchor"/>
          <w:rtl w:val="true"/>
        </w:rPr>
        <w:footnoteReference w:id="1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ابن‌كثير جمله مورد نظر را انّي‌جاعلك ، اين‌گونه معنا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جَزاء عَلَى مَا فعل كَمَا قام بالاَوامر و ترك الزواجر جعله‌الله للنّاس قدوة و إماماً يقتدي به‌و يحتذي حذوه </w:t>
      </w:r>
      <w:r>
        <w:rPr>
          <w:rFonts w:eastAsia="IRNazanin" w:cs="IRNazanin"/>
          <w:color w:val="111111"/>
          <w:sz w:val="28"/>
          <w:szCs w:val="28"/>
          <w:rtl w:val="true"/>
          <w:lang w:bidi="fa-IR"/>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ازروايات كافى، به‌ويژه رواياتى كه ادعا شده غلو در امامت را مى‌رساند، هرگز تفضيل امامان بر مطلق انبياء استفاده نمى‌شود، بلكه با دقت در روايات ديگر كافى و نيز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أُمّتي كأنبياء بني‌إسرئيل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نكته به‌خوبى روشن مى‌شود كه مسئوليت، </w:t>
      </w:r>
      <w:bookmarkStart w:id="701" w:name="pg1976_28374"/>
    </w:p>
    <w:p>
      <w:pPr>
        <w:pStyle w:val="BookText"/>
        <w:rPr/>
      </w:pPr>
      <w:bookmarkEnd w:id="701"/>
      <w:r>
        <w:rPr>
          <w:rFonts w:ascii="IRNazanin" w:hAnsi="IRNazanin" w:eastAsia="IRNazanin"/>
          <w:color w:val="111111"/>
          <w:sz w:val="28"/>
          <w:sz w:val="28"/>
          <w:szCs w:val="28"/>
          <w:rtl w:val="true"/>
          <w:lang w:bidi="fa-IR"/>
        </w:rPr>
        <w:t>دانايى، هدايتگرى، مبارزه باظلم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به‌شرايط زمان آن‌ها، بيشتر از انبياء از جمله انبياء بنى‌اسرائيل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ديگر توسعه دائره مسئوليت دينى و دنيايى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يك‌طرف، و دشوارى فرايند كار آنان از طرف ديگر، به‌امام، عظمت و برترى مى‌بخشد، اما منصب رسالت بدان جهت كه ارتباط مستقيم با منبع وحى است، از جايگاه ويژه‌اى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در جهت برترى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اينكه مرحوم كلينى در همان بابى كه گروهى مدعى‌اند، رواياتش غلو و تفضيل امامان بر انبياء است، روايتى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در آن كُمّل انبياء را كه هيج بشرى بر آنها برترى ندارند، ياد آورى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 النَّبِيين والمرسَلين خَمسَةٌ؛ و هُم أُولوالعزم من المرسلين من الرُسُل، و عَلَيهم دارت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وابراهيم وموسى وعيسى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الاَنبياء</w:t>
      </w:r>
      <w:r>
        <w:rPr>
          <w:rFonts w:eastAsia="Amiri" w:cs="Amiri" w:ascii="Amiri" w:hAnsi="Amiri"/>
          <w:color w:val="111111"/>
          <w:sz w:val="28"/>
          <w:szCs w:val="28"/>
          <w:rtl w:val="true"/>
          <w:lang w:bidi="ar-SA"/>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با توجّه به‌اين نكات، ترديدى باقى نخواهد ماند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نبوتش مورد ابتلاء و امتحان‌هاى دشوار قرار گرفت و او با پشت سرگذاشتن عقبه‌هاى سخت، توانست به‌بالاترين درجه و منصب الهى يعنى امامت دست يابد، منصبى كه بر اساس ظاهر آيه قرآن، برتر از منصب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امرى را كه خداوند آن را اثبات و براى كسى عطا نمايد، چگونه غلوّ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به‌چه دليل كسانى كه باورهاى خويش را براين آيه استوار ساخته‌اند، متهم به‌غلوّ مى‌گردند؟ </w:t>
      </w:r>
      <w:r>
        <w:rPr>
          <w:rFonts w:eastAsia="IRNazanin" w:cs="IRNazanin"/>
          <w:color w:val="111111"/>
          <w:sz w:val="28"/>
          <w:szCs w:val="28"/>
          <w:rtl w:val="true"/>
          <w:lang w:bidi="fa-IR"/>
        </w:rPr>
        <w:t>!</w:t>
      </w:r>
    </w:p>
    <w:p>
      <w:pPr>
        <w:pStyle w:val="Heading5"/>
        <w:numPr>
          <w:ilvl w:val="4"/>
          <w:numId w:val="1"/>
        </w:numPr>
        <w:rPr/>
      </w:pPr>
      <w:bookmarkStart w:id="702" w:name="__RefHeading___Toc3767361_3650668749"/>
      <w:bookmarkStart w:id="703" w:name="_Toc259"/>
      <w:bookmarkEnd w:id="702"/>
      <w:r>
        <w:rPr>
          <w:rtl w:val="true"/>
        </w:rPr>
        <w:t>ب</w:t>
      </w:r>
      <w:r>
        <w:rPr>
          <w:rtl w:val="true"/>
        </w:rPr>
        <w:t xml:space="preserve">) </w:t>
      </w:r>
      <w:r>
        <w:rPr>
          <w:rtl w:val="true"/>
        </w:rPr>
        <w:t>وحى و امامان</w:t>
      </w:r>
      <w:bookmarkEnd w:id="70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اينكه در بخشى از روايت كافى سخن از وحى بر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 </w:t>
      </w:r>
      <w:r>
        <w:rPr>
          <w:rStyle w:val="FootnoteAnchor"/>
          <w:rtl w:val="true"/>
        </w:rPr>
        <w:footnoteReference w:id="1899"/>
      </w:r>
      <w:r>
        <w:rPr>
          <w:rFonts w:ascii="IRNazanin" w:hAnsi="IRNazanin" w:eastAsia="IRNazanin"/>
          <w:color w:val="111111"/>
          <w:sz w:val="28"/>
          <w:sz w:val="28"/>
          <w:szCs w:val="28"/>
          <w:rtl w:val="true"/>
          <w:lang w:bidi="fa-IR"/>
        </w:rPr>
        <w:t xml:space="preserve">و مورد اعتراض گروهى از نويسندگان وهابى قرار گرفت </w:t>
      </w:r>
      <w:r>
        <w:rPr>
          <w:rStyle w:val="FootnoteAnchor"/>
          <w:rtl w:val="true"/>
        </w:rPr>
        <w:footnoteReference w:id="1900"/>
      </w:r>
      <w:r>
        <w:rPr>
          <w:rFonts w:ascii="IRNazanin" w:hAnsi="IRNazanin" w:eastAsia="IRNazanin"/>
          <w:color w:val="111111"/>
          <w:sz w:val="28"/>
          <w:sz w:val="28"/>
          <w:szCs w:val="28"/>
          <w:rtl w:val="true"/>
          <w:lang w:bidi="fa-IR"/>
        </w:rPr>
        <w:t>، منافاتى با اصول و فروع اسلامى ندارد و اعتراض اين گروه به‌جهاتى وارد نخواهد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لغوي نَه اصطلاحي؛ با توجّه به‌مفهوم لغوى وحى، كه اشاره سريع </w:t>
      </w:r>
      <w:r>
        <w:rPr>
          <w:rStyle w:val="FootnoteAnchor"/>
          <w:rtl w:val="true"/>
        </w:rPr>
        <w:footnoteReference w:id="1901"/>
      </w:r>
      <w:r>
        <w:rPr>
          <w:rFonts w:ascii="IRNazanin" w:hAnsi="IRNazanin" w:eastAsia="IRNazanin"/>
          <w:color w:val="111111"/>
          <w:sz w:val="28"/>
          <w:sz w:val="28"/>
          <w:szCs w:val="28"/>
          <w:rtl w:val="true"/>
          <w:lang w:bidi="fa-IR"/>
        </w:rPr>
        <w:t xml:space="preserve">، سرعت </w:t>
      </w:r>
      <w:r>
        <w:rPr>
          <w:rStyle w:val="FootnoteAnchor"/>
          <w:rtl w:val="true"/>
        </w:rPr>
        <w:footnoteReference w:id="1902"/>
      </w:r>
      <w:r>
        <w:rPr>
          <w:rFonts w:ascii="IRNazanin" w:hAnsi="IRNazanin" w:eastAsia="IRNazanin"/>
          <w:color w:val="111111"/>
          <w:sz w:val="28"/>
          <w:sz w:val="28"/>
          <w:szCs w:val="28"/>
          <w:rtl w:val="true"/>
          <w:lang w:bidi="fa-IR"/>
        </w:rPr>
        <w:t xml:space="preserve">، الهام، اشاره </w:t>
      </w:r>
      <w:r>
        <w:rPr>
          <w:rStyle w:val="FootnoteAnchor"/>
          <w:rtl w:val="true"/>
        </w:rPr>
        <w:footnoteReference w:id="1903"/>
      </w:r>
      <w:r>
        <w:rPr>
          <w:rFonts w:ascii="Amiri" w:hAnsi="Amiri" w:eastAsia="Amiri" w:cs="Amiri"/>
          <w:color w:val="111111"/>
          <w:sz w:val="28"/>
          <w:sz w:val="28"/>
          <w:szCs w:val="28"/>
          <w:rtl w:val="true"/>
          <w:lang w:bidi="ar-SA"/>
        </w:rPr>
        <w:t xml:space="preserve">و در احاديث به‌معانى كتابت، اشاره رسالت، الهام و كلام خفى </w:t>
      </w:r>
      <w:r>
        <w:rPr>
          <w:rStyle w:val="FootnoteAnchor"/>
          <w:rtl w:val="true"/>
        </w:rPr>
        <w:footnoteReference w:id="1904"/>
      </w:r>
      <w:r>
        <w:rPr>
          <w:rFonts w:ascii="IRNazanin" w:hAnsi="IRNazanin" w:eastAsia="IRNazanin"/>
          <w:color w:val="111111"/>
          <w:sz w:val="28"/>
          <w:sz w:val="28"/>
          <w:szCs w:val="28"/>
          <w:rtl w:val="true"/>
          <w:lang w:bidi="fa-IR"/>
        </w:rPr>
        <w:t xml:space="preserve">به‌كار رفته است، اگر بگوييم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الهام، اشاره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امور دينى را دريافت مى‌كردند و مى‌شنيدند، چه مشكلى پيش مى‌آيد؟ و آيا غلو باطل كه نقش خدايى بيابند، محسوب مى‌گردد؟ هرگز؛ زيرا بزرگان اهل‌سنت امام را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يؤتمُّ به‌و يقتدى به </w:t>
      </w:r>
      <w:r>
        <w:rPr>
          <w:rStyle w:val="FootnoteAnchor"/>
          <w:rtl w:val="true"/>
        </w:rPr>
        <w:footnoteReference w:id="1905"/>
      </w:r>
      <w:r>
        <w:rPr>
          <w:rFonts w:ascii="Amiri" w:hAnsi="Amiri" w:eastAsia="Amiri" w:cs="Amiri"/>
          <w:color w:val="111111"/>
          <w:sz w:val="28"/>
          <w:sz w:val="28"/>
          <w:szCs w:val="28"/>
          <w:rtl w:val="true"/>
          <w:lang w:bidi="ar-SA"/>
        </w:rPr>
        <w:t xml:space="preserve">ويحتذى حذوه </w:t>
      </w:r>
      <w:r>
        <w:rPr>
          <w:rFonts w:eastAsia="Amiri" w:cs="Amiri" w:ascii="Amiri" w:hAnsi="Amiri"/>
          <w:color w:val="111111"/>
          <w:sz w:val="28"/>
          <w:szCs w:val="28"/>
          <w:rtl w:val="true"/>
          <w:lang w:bidi="ar-SA"/>
        </w:rPr>
        <w:t xml:space="preserve">» </w:t>
      </w:r>
      <w:r>
        <w:rPr>
          <w:rStyle w:val="FootnoteAnchor"/>
          <w:rtl w:val="true"/>
        </w:rPr>
        <w:footnoteReference w:id="1906"/>
      </w:r>
      <w:r>
        <w:rPr>
          <w:rFonts w:ascii="Amiri" w:hAnsi="Amiri" w:eastAsia="Amiri" w:cs="Amiri"/>
          <w:color w:val="111111"/>
          <w:sz w:val="28"/>
          <w:sz w:val="28"/>
          <w:szCs w:val="28"/>
          <w:rtl w:val="true"/>
          <w:lang w:bidi="ar-SA"/>
        </w:rPr>
        <w:t>و نبى را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إنسانٌ بَعَثَهُ الله لتبليغ ما أوحى اليه، وكذا الرّسول </w:t>
      </w:r>
      <w:r>
        <w:rPr>
          <w:rFonts w:eastAsia="Amiri" w:cs="Amiri" w:ascii="Amiri" w:hAnsi="Amiri"/>
          <w:color w:val="111111"/>
          <w:sz w:val="28"/>
          <w:szCs w:val="28"/>
          <w:rtl w:val="true"/>
          <w:lang w:bidi="ar-SA"/>
        </w:rPr>
        <w:t xml:space="preserve">» </w:t>
      </w:r>
      <w:r>
        <w:rPr>
          <w:rStyle w:val="FootnoteAnchor"/>
          <w:rtl w:val="true"/>
        </w:rPr>
        <w:footnoteReference w:id="1907"/>
      </w:r>
      <w:r>
        <w:rPr>
          <w:rFonts w:ascii="IRNazanin" w:hAnsi="IRNazanin" w:eastAsia="IRNazanin"/>
          <w:color w:val="111111"/>
          <w:sz w:val="28"/>
          <w:sz w:val="28"/>
          <w:szCs w:val="28"/>
          <w:rtl w:val="true"/>
          <w:lang w:bidi="fa-IR"/>
        </w:rPr>
        <w:t>تعريف مى‌كنند، و يا از وحى در لسان شرع چنين تعريفى ارائه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يُعلِمَ الله تعالى مَنِ اصطفاهُ مِن عِبَاِدِه كُلَّ مَا أرادَ إطّلاعَهُ عَلَيه مِن ألوان الهدايةِ والعلم، ولكن بطريقةٍ سِرّيةٍ خفية، غيرمعتادةٍ للبش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Style w:val="FootnoteAnchor"/>
          <w:rtl w:val="true"/>
        </w:rPr>
        <w:footnoteReference w:id="1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ملاحظه</w:t>
      </w:r>
    </w:p>
    <w:p>
      <w:pPr>
        <w:pStyle w:val="BookText"/>
        <w:rPr/>
      </w:pPr>
      <w:r>
        <w:rPr>
          <w:rFonts w:ascii="IRNazanin" w:hAnsi="IRNazanin" w:eastAsia="IRNazanin"/>
          <w:color w:val="111111"/>
          <w:sz w:val="28"/>
          <w:sz w:val="28"/>
          <w:szCs w:val="28"/>
          <w:rtl w:val="true"/>
          <w:lang w:bidi="fa-IR"/>
        </w:rPr>
        <w:t>مى‌كنيد اصلى‌ترين عنصر وحى و نبوت، عنصر بَعث، تحريك، اعلام و ابلاغ است و اين معنا در امامت امام موجود نيست؛ پس ميان آن دو مقام، فرق اساسى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در لسان وحى؛ اگر بناباشد، مطلق به‌كار رفتن واژه وحى در مورد غير انبياء، غلو و ناصحيح قلمداد شود، بايد اعتراف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غالى و مروِّج انديشه غلو است؛ چرا كه بارها خداوند نَه فقط در مورد انسان كه ريزترين تا بزرگ‌ترين مخلوقاتش را به اين واژه مورد خطاب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زنبور عسل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وَاَوْحَى رَبُّكَ إِلَى النَّحْلِ اَنِ اتَّخِذِى مِنَ الْجِبَالِ بُيُوتاً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رَبَّكَ اَوْحَى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04" w:name="pg1976_28378"/>
    </w:p>
    <w:p>
      <w:pPr>
        <w:pStyle w:val="BookText"/>
        <w:rPr/>
      </w:pPr>
      <w:bookmarkEnd w:id="7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وَاَوْحَى فِى كُلِّ سَمَاء اَمْرَهَا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الشَّيَاطِينَ لَيُوحُونَ إِلَى اَوْلِيَآئِهِمْ لِيُجَادِلُوكُمْ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مادر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اَوْحَيْنَا إِلَى اُمِّكَ مَا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وَاَوْحَيْنَا إِلَى اُمِّ مُوسَى اَنْ اَرْضِعِيهِ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اَوْحَيْتُ إِلَى الْحَوَارِيِّينَ اَنْ آمِنُواْ بِى وَبِرَسُولِى</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يُوحِى رَبُّكَ إِلَى الْمَلآئِكَةِ اَنِّى مَعَكُمْ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اَوْحَيْنَا إِلَيْكَ كَمَا اَوْحَيْنَا إِلَى نُوحٍ وَالنَّبِيِّينَ مِن بَعْدِهِ وَاَوْحَيْنَا إِلَى إِبْرَاهِيمَ وَإِسْمَاعِيلَ وَإِسْحَاقَ وَيَعْقُوبَ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آيات ديگر، كه هرچند هركدام از اين موارد معناى خودش را دارد، ولى در مجموع اين اصطلاح در غير مفهوم اصطلاحى خود، به‌كار رفته است در حالى‌كه زنبور، زمين و آسمان، حواريون، و مادر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نَه پيامبر بودند و نَه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اينكه قفارى، فتواى امامش محمدبن‌عبدالوهاب را مبنى بر تكفير كسانى كه معتقد به‌تساوى يا برترى غير انبيا باشند، نقل‌كرد؛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و تفسيق و مشرك خواندن كسى، بايد بر اساس ملاك و معيار باشد </w:t>
      </w:r>
      <w:r>
        <w:rPr>
          <w:rStyle w:val="FootnoteAnchor"/>
          <w:rtl w:val="true"/>
        </w:rPr>
        <w:footnoteReference w:id="1909"/>
      </w:r>
      <w:r>
        <w:rPr>
          <w:rFonts w:ascii="IRNazanin" w:hAnsi="IRNazanin" w:eastAsia="IRNazanin"/>
          <w:color w:val="111111"/>
          <w:sz w:val="28"/>
          <w:sz w:val="28"/>
          <w:szCs w:val="28"/>
          <w:rtl w:val="true"/>
          <w:lang w:bidi="fa-IR"/>
        </w:rPr>
        <w:t>و شخصى چون محمدبن‌عبدالوهاب نَه صلاحيت چنين كار خطرناكى را دارد و نَه كسى جز امثال قفارى، به‌آن بها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منصفانه و واقع‌بينانه، به‌داورى بنشيند، مصداق بارز و اكمل غلوِّ باطل همين فتوا و امثال آن است كه بى‌توجّه به‌معيارها، دين را تخريب و مسلمانان را تكفير و ارزش‌هاى اسلامى را شِرك قلمداد كند</w:t>
      </w:r>
      <w:r>
        <w:rPr>
          <w:rFonts w:eastAsia="IRNazanin" w:cs="IRNazanin"/>
          <w:color w:val="111111"/>
          <w:sz w:val="28"/>
          <w:szCs w:val="28"/>
          <w:rtl w:val="true"/>
          <w:lang w:bidi="fa-IR"/>
        </w:rPr>
        <w:t>.</w:t>
      </w:r>
    </w:p>
    <w:p>
      <w:pPr>
        <w:pStyle w:val="Heading4"/>
        <w:numPr>
          <w:ilvl w:val="3"/>
          <w:numId w:val="1"/>
        </w:numPr>
        <w:rPr/>
      </w:pPr>
      <w:bookmarkStart w:id="705" w:name="__RefHeading___Toc3767363_3650668749"/>
      <w:bookmarkStart w:id="706" w:name="_Toc260"/>
      <w:bookmarkEnd w:id="705"/>
      <w:r>
        <w:rPr/>
        <w:t>۴</w:t>
      </w:r>
      <w:r>
        <w:rPr>
          <w:rtl w:val="true"/>
        </w:rPr>
        <w:t xml:space="preserve">. </w:t>
      </w:r>
      <w:r>
        <w:rPr>
          <w:rtl w:val="true"/>
        </w:rPr>
        <w:t xml:space="preserve">عصمت امامان </w:t>
      </w:r>
      <w:r>
        <w:rPr>
          <w:rtl w:val="true"/>
        </w:rPr>
        <w:t>(</w:t>
      </w:r>
      <w:r>
        <w:rPr>
          <w:rtl w:val="true"/>
        </w:rPr>
        <w:t>عليهم السلام</w:t>
      </w:r>
      <w:r>
        <w:rPr>
          <w:rtl w:val="true"/>
        </w:rPr>
        <w:t xml:space="preserve">) </w:t>
      </w:r>
      <w:r>
        <w:rPr>
          <w:rtl w:val="true"/>
        </w:rPr>
        <w:t>و غُلُوّ</w:t>
      </w:r>
      <w:bookmarkEnd w:id="706"/>
    </w:p>
    <w:p>
      <w:pPr>
        <w:pStyle w:val="Heading5"/>
        <w:numPr>
          <w:ilvl w:val="4"/>
          <w:numId w:val="1"/>
        </w:numPr>
        <w:rPr/>
      </w:pPr>
      <w:bookmarkStart w:id="707" w:name="__RefHeading___Toc3767365_3650668749"/>
      <w:bookmarkStart w:id="708" w:name="_Toc261"/>
      <w:bookmarkEnd w:id="707"/>
      <w:r>
        <w:rPr>
          <w:rtl w:val="true"/>
        </w:rPr>
        <w:t>اشاره</w:t>
      </w:r>
      <w:bookmarkEnd w:id="70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عصمت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دركافى، يكى ديگر از مباحثى است كه مورد انتقاد قرار گرفته و آن را غلوّ درامامت دانسته‌اند</w:t>
      </w:r>
      <w:r>
        <w:rPr>
          <w:rFonts w:eastAsia="IRNazanin" w:cs="IRNazanin"/>
          <w:color w:val="111111"/>
          <w:sz w:val="28"/>
          <w:szCs w:val="28"/>
          <w:rtl w:val="true"/>
          <w:lang w:bidi="fa-IR"/>
        </w:rPr>
        <w:t xml:space="preserve">: </w:t>
      </w:r>
      <w:bookmarkStart w:id="709" w:name="pg1976_28380"/>
    </w:p>
    <w:p>
      <w:pPr>
        <w:pStyle w:val="Heading5"/>
        <w:numPr>
          <w:ilvl w:val="4"/>
          <w:numId w:val="1"/>
        </w:numPr>
        <w:rPr/>
      </w:pPr>
      <w:bookmarkStart w:id="710" w:name="__RefHeading___Toc3767367_3650668749"/>
      <w:bookmarkStart w:id="711" w:name="_Toc262"/>
      <w:bookmarkEnd w:id="709"/>
      <w:bookmarkEnd w:id="710"/>
      <w:r>
        <w:rPr>
          <w:rtl w:val="true"/>
        </w:rPr>
        <w:t>طرح ادعاى غلوّ در عصمت</w:t>
      </w:r>
      <w:bookmarkEnd w:id="711"/>
    </w:p>
    <w:p>
      <w:pPr>
        <w:pStyle w:val="BookText"/>
        <w:rPr/>
      </w:pPr>
      <w:r>
        <w:rPr>
          <w:rFonts w:ascii="IRNazanin" w:hAnsi="IRNazanin" w:eastAsia="IRNazanin"/>
          <w:color w:val="111111"/>
          <w:sz w:val="28"/>
          <w:sz w:val="28"/>
          <w:szCs w:val="28"/>
          <w:rtl w:val="true"/>
          <w:lang w:bidi="fa-IR"/>
        </w:rPr>
        <w:t xml:space="preserve">شيعه اماميه، امام را همچون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مى‌دانند </w:t>
      </w:r>
      <w:r>
        <w:rPr>
          <w:rStyle w:val="FootnoteAnchor"/>
          <w:rtl w:val="true"/>
        </w:rPr>
        <w:footnoteReference w:id="1910"/>
      </w:r>
      <w:r>
        <w:rPr>
          <w:rFonts w:ascii="IRNazanin" w:hAnsi="IRNazanin" w:eastAsia="IRNazanin"/>
          <w:color w:val="111111"/>
          <w:sz w:val="28"/>
          <w:sz w:val="28"/>
          <w:szCs w:val="28"/>
          <w:rtl w:val="true"/>
          <w:lang w:bidi="fa-IR"/>
        </w:rPr>
        <w:t>اين باور از سوى وهابيان مورد انتقاد قرار گرفته و آن را غلوّ باطل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شيعه را امر مشهور ولى خطا مى‌شمارد </w:t>
      </w:r>
      <w:r>
        <w:rPr>
          <w:rStyle w:val="FootnoteAnchor"/>
          <w:rtl w:val="true"/>
        </w:rPr>
        <w:footnoteReference w:id="1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نويسنده‌اى ديگر پس از بررسى دلايل شيعه برعصمت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مصون ماندن امت از گمراهى،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مقصود اين غلات اين باشد كه امامان‌شان با ساير امامان مسلمين، تفاوت ويژه‌اى دارند، بدانند كه همه ائمه وظيفه اجراى شرع داشتند نه اينكه مشرّع باشند و آنچه كه امت اسلامى را از گمراهى نجات مى‌دهد، قرآن است كه خداوند وعده حفظش را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Style w:val="FootnoteAnchor"/>
          <w:rtl w:val="true"/>
        </w:rPr>
        <w:footnoteReference w:id="1912"/>
      </w:r>
      <w:r>
        <w:rPr>
          <w:rFonts w:ascii="IRNazanin" w:hAnsi="IRNazanin" w:eastAsia="IRNazanin"/>
          <w:color w:val="111111"/>
          <w:sz w:val="28"/>
          <w:sz w:val="28"/>
          <w:szCs w:val="28"/>
          <w:rtl w:val="true"/>
          <w:lang w:bidi="fa-IR"/>
        </w:rPr>
        <w:t xml:space="preserve">برخى ديگر امام معصوم به باور شيعه را فوق بشر </w:t>
      </w:r>
      <w:r>
        <w:rPr>
          <w:rStyle w:val="FootnoteAnchor"/>
          <w:rtl w:val="true"/>
        </w:rPr>
        <w:footnoteReference w:id="1913"/>
      </w:r>
      <w:r>
        <w:rPr>
          <w:rFonts w:ascii="Amiri" w:hAnsi="Amiri" w:eastAsia="Amiri" w:cs="Amiri"/>
          <w:color w:val="111111"/>
          <w:sz w:val="28"/>
          <w:sz w:val="28"/>
          <w:szCs w:val="28"/>
          <w:rtl w:val="true"/>
          <w:lang w:bidi="ar-SA"/>
        </w:rPr>
        <w:t xml:space="preserve">و يا عصمت در امام را بدعت قلمداد مى‌كنند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قفارى كه مفصل‌تر به‌اين بحث پرداخته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الكليني في الكافي فقد عقد مجموعة من الاَبواب في معنى العصمة المزعومة، ساق فيها أخباراً بسنده عن الإثني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يدّعون فيها أنَّهُم معصومون بل شركاء في النبوة، بل يتصفون بصفات الاُلوهية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وى روايات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الائمة هُم اركان الاَرض </w:t>
      </w:r>
      <w:r>
        <w:rPr>
          <w:rFonts w:eastAsia="IRNazanin" w:cs="IRNazanin"/>
          <w:color w:val="111111"/>
          <w:sz w:val="28"/>
          <w:szCs w:val="28"/>
          <w:rtl w:val="true"/>
          <w:lang w:bidi="fa-IR"/>
        </w:rPr>
        <w:t xml:space="preserve">» </w:t>
      </w:r>
      <w:r>
        <w:rPr>
          <w:rStyle w:val="FootnoteAnchor"/>
          <w:rtl w:val="true"/>
        </w:rPr>
        <w:footnoteReference w:id="1915"/>
      </w:r>
      <w:r>
        <w:rPr>
          <w:rFonts w:ascii="IRNazanin" w:hAnsi="IRNazanin" w:eastAsia="IRNazanin"/>
          <w:color w:val="111111"/>
          <w:sz w:val="28"/>
          <w:sz w:val="28"/>
          <w:szCs w:val="28"/>
          <w:rtl w:val="true"/>
          <w:lang w:bidi="fa-IR"/>
        </w:rPr>
        <w:t xml:space="preserve">، را دليل بر ادعاى خويش مى‌داند و تصريح مى‌كند كه در اين روايات، ائمه دوازده‌گانه را در وجوب اطاعت و فضل و تكليف، همانند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به‌مقام ربّ‌العالمين رسانده است </w:t>
      </w:r>
      <w:r>
        <w:rPr>
          <w:rStyle w:val="FootnoteAnchor"/>
          <w:rtl w:val="true"/>
        </w:rPr>
        <w:footnoteReference w:id="1916"/>
      </w:r>
      <w:r>
        <w:rPr>
          <w:rFonts w:ascii="Amiri" w:hAnsi="Amiri" w:eastAsia="Amiri" w:cs="Amiri"/>
          <w:color w:val="111111"/>
          <w:sz w:val="28"/>
          <w:sz w:val="28"/>
          <w:szCs w:val="28"/>
          <w:rtl w:val="true"/>
          <w:lang w:bidi="ar-SA"/>
        </w:rPr>
        <w:t xml:space="preserve">و با برداشتى كه خودش از مجموعه روايات </w:t>
      </w:r>
      <w:bookmarkStart w:id="712" w:name="pg1976_28382"/>
    </w:p>
    <w:p>
      <w:pPr>
        <w:pStyle w:val="BookText"/>
        <w:rPr/>
      </w:pPr>
      <w:bookmarkEnd w:id="712"/>
      <w:r>
        <w:rPr>
          <w:rFonts w:ascii="Amiri" w:hAnsi="Amiri" w:eastAsia="Amiri" w:cs="Amiri"/>
          <w:color w:val="111111"/>
          <w:sz w:val="28"/>
          <w:sz w:val="28"/>
          <w:szCs w:val="28"/>
          <w:rtl w:val="true"/>
          <w:lang w:bidi="ar-SA"/>
        </w:rPr>
        <w:t xml:space="preserve">باب‌هاى مختلف كافى </w:t>
      </w:r>
      <w:r>
        <w:rPr>
          <w:rStyle w:val="FootnoteAnchor"/>
          <w:rtl w:val="true"/>
        </w:rPr>
        <w:footnoteReference w:id="1917"/>
      </w:r>
      <w:r>
        <w:rPr>
          <w:rFonts w:ascii="IRNazanin" w:hAnsi="IRNazanin" w:eastAsia="IRNazanin"/>
          <w:color w:val="111111"/>
          <w:sz w:val="28"/>
          <w:sz w:val="28"/>
          <w:szCs w:val="28"/>
          <w:rtl w:val="true"/>
          <w:lang w:bidi="fa-IR"/>
        </w:rPr>
        <w:t>دارد،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فالامر تعدّى حدود العصمة إلى دعوى الرّسالة و الاُلوهيّة، و هذا خروج من الإسلام رأساً </w:t>
      </w:r>
      <w:r>
        <w:rPr>
          <w:rFonts w:eastAsia="IRNazanin" w:cs="IRNazanin"/>
          <w:color w:val="111111"/>
          <w:sz w:val="28"/>
          <w:szCs w:val="28"/>
          <w:rtl w:val="true"/>
          <w:lang w:bidi="fa-IR"/>
        </w:rPr>
        <w:t xml:space="preserve">» </w:t>
      </w:r>
      <w:r>
        <w:rPr>
          <w:rStyle w:val="FootnoteAnchor"/>
          <w:rtl w:val="true"/>
        </w:rPr>
        <w:footnoteReference w:id="1918"/>
      </w:r>
      <w:r>
        <w:rPr>
          <w:rFonts w:ascii="IRNazanin" w:hAnsi="IRNazanin" w:eastAsia="IRNazanin"/>
          <w:color w:val="111111"/>
          <w:sz w:val="28"/>
          <w:sz w:val="28"/>
          <w:szCs w:val="28"/>
          <w:rtl w:val="true"/>
          <w:lang w:bidi="fa-IR"/>
        </w:rPr>
        <w:t>، و به‌اعتقاد وى اين‌گونه روايات حتى از مُتَنبّئِين و ملحدين هم صادر نشده كه شيعه آنها را به‌اهل‌بيت نسبت داده‌اند</w:t>
      </w:r>
      <w:r>
        <w:rPr>
          <w:rFonts w:eastAsia="IRNazanin" w:cs="IRNazanin"/>
          <w:color w:val="111111"/>
          <w:sz w:val="28"/>
          <w:szCs w:val="28"/>
          <w:rtl w:val="true"/>
          <w:lang w:bidi="fa-IR"/>
        </w:rPr>
        <w:t xml:space="preserve">! </w:t>
      </w:r>
      <w:r>
        <w:rPr>
          <w:rStyle w:val="FootnoteAnchor"/>
          <w:rtl w:val="true"/>
        </w:rPr>
        <w:footnoteReference w:id="1919"/>
      </w:r>
      <w:r>
        <w:rPr>
          <w:rFonts w:ascii="IRNazanin" w:hAnsi="IRNazanin" w:eastAsia="IRNazanin"/>
          <w:color w:val="111111"/>
          <w:sz w:val="28"/>
          <w:sz w:val="28"/>
          <w:szCs w:val="28"/>
          <w:rtl w:val="true"/>
          <w:lang w:bidi="fa-IR"/>
        </w:rPr>
        <w:t xml:space="preserve">برخى ديگر با توجّه به‌روايتى از كافى </w:t>
      </w:r>
      <w:r>
        <w:rPr>
          <w:rStyle w:val="FootnoteAnchor"/>
          <w:rtl w:val="true"/>
        </w:rPr>
        <w:footnoteReference w:id="1920"/>
      </w:r>
      <w:r>
        <w:rPr>
          <w:rFonts w:ascii="Amiri" w:hAnsi="Amiri" w:eastAsia="Amiri" w:cs="Amiri"/>
          <w:color w:val="111111"/>
          <w:sz w:val="28"/>
          <w:sz w:val="28"/>
          <w:szCs w:val="28"/>
          <w:rtl w:val="true"/>
          <w:lang w:bidi="ar-SA"/>
        </w:rPr>
        <w:t>در تفسير آيه وَمَا اَصَابَكُم مِن مُصِيبَةٍ فَبِمَا كَسَبَتْ اَيْدِيكُمْ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بر عصمت امام، اصل عصمت را براى غير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مى‌شوند</w:t>
      </w:r>
      <w:r>
        <w:rPr>
          <w:rFonts w:eastAsia="Amiri" w:cs="Amiri" w:ascii="Amiri" w:hAnsi="Amiri"/>
          <w:color w:val="111111"/>
          <w:sz w:val="28"/>
          <w:szCs w:val="28"/>
          <w:rtl w:val="true"/>
          <w:lang w:bidi="ar-SA"/>
        </w:rPr>
        <w:t xml:space="preserve">. </w:t>
      </w:r>
      <w:r>
        <w:rPr>
          <w:rStyle w:val="FootnoteAnchor"/>
          <w:rtl w:val="true"/>
        </w:rPr>
        <w:footnoteReference w:id="1921"/>
      </w:r>
    </w:p>
    <w:p>
      <w:pPr>
        <w:pStyle w:val="BookText"/>
        <w:rPr/>
      </w:pPr>
      <w:r>
        <w:rPr>
          <w:rFonts w:ascii="IRNazanin" w:hAnsi="IRNazanin" w:eastAsia="IRNazanin"/>
          <w:color w:val="111111"/>
          <w:sz w:val="28"/>
          <w:sz w:val="28"/>
          <w:szCs w:val="28"/>
          <w:rtl w:val="true"/>
          <w:lang w:bidi="fa-IR"/>
        </w:rPr>
        <w:t>نويسندۀ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رافضى‌هاى معاصر با اعتماد بر تأليفات اسلاف‌شان از جمله كافى در عرصه اصول اعتقادات، به‌عقائد فاسده و گفته‌هاى كفرآميز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تلك الَّتي رفعُوا بها أئمّتهم عن حدود الخلقيّة وشَبَّهُوهُم فيها بالخالق عزّوجلّ، بِإعطائهم خصائص الرّبوبيّة والاُلوهيّة</w:t>
      </w:r>
      <w:r>
        <w:rPr>
          <w:rFonts w:eastAsia="IRNazanin" w:cs="IRNazanin"/>
          <w:color w:val="111111"/>
          <w:sz w:val="28"/>
          <w:szCs w:val="28"/>
          <w:rtl w:val="true"/>
          <w:lang w:bidi="fa-IR"/>
        </w:rPr>
        <w:t xml:space="preserve">. . . »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3767369_3650668749"/>
      <w:bookmarkStart w:id="714" w:name="_Toc263"/>
      <w:bookmarkEnd w:id="713"/>
      <w:r>
        <w:rPr>
          <w:rtl w:val="true"/>
        </w:rPr>
        <w:t>ارزيابى و نقد غلو در عصمت</w:t>
      </w:r>
      <w:bookmarkEnd w:id="714"/>
    </w:p>
    <w:p>
      <w:pPr>
        <w:pStyle w:val="Heading6"/>
        <w:numPr>
          <w:ilvl w:val="5"/>
          <w:numId w:val="1"/>
        </w:numPr>
        <w:rPr/>
      </w:pPr>
      <w:bookmarkStart w:id="715" w:name="__RefHeading___Toc3767371_3650668749"/>
      <w:bookmarkStart w:id="716" w:name="_Toc264"/>
      <w:bookmarkEnd w:id="715"/>
      <w:r>
        <w:rPr>
          <w:rtl w:val="true"/>
        </w:rPr>
        <w:t>اشاره</w:t>
      </w:r>
      <w:bookmarkEnd w:id="71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مبحث عصمت انبياء و به‌تبع آن عصمت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مختلف اعتقادى، تفسيرى و روايى شيعه اماميه </w:t>
      </w:r>
      <w:r>
        <w:rPr>
          <w:rStyle w:val="FootnoteAnchor"/>
          <w:rtl w:val="true"/>
        </w:rPr>
        <w:footnoteReference w:id="1923"/>
      </w:r>
      <w:r>
        <w:rPr>
          <w:rFonts w:ascii="IRNazanin" w:hAnsi="IRNazanin" w:eastAsia="IRNazanin"/>
          <w:color w:val="111111"/>
          <w:sz w:val="28"/>
          <w:sz w:val="28"/>
          <w:szCs w:val="28"/>
          <w:rtl w:val="true"/>
          <w:lang w:bidi="fa-IR"/>
        </w:rPr>
        <w:t xml:space="preserve">، مفصّل مورد بررسى و كاوِش قرار گرفته است، </w:t>
      </w:r>
      <w:bookmarkStart w:id="717" w:name="pg1976_28384"/>
    </w:p>
    <w:p>
      <w:pPr>
        <w:pStyle w:val="BookText"/>
        <w:rPr/>
      </w:pPr>
      <w:bookmarkEnd w:id="717"/>
      <w:r>
        <w:rPr>
          <w:rFonts w:ascii="IRNazanin" w:hAnsi="IRNazanin" w:eastAsia="IRNazanin"/>
          <w:color w:val="111111"/>
          <w:sz w:val="28"/>
          <w:sz w:val="28"/>
          <w:szCs w:val="28"/>
          <w:rtl w:val="true"/>
          <w:lang w:bidi="fa-IR"/>
        </w:rPr>
        <w:t>ولى در اين كتاب به‌مباحثى كه در نقد اتهام به‌كلينى ضرورت دارد، هرچند كوتاه اشاره مى‌گردد</w:t>
      </w:r>
      <w:r>
        <w:rPr>
          <w:rFonts w:eastAsia="IRNazanin" w:cs="IRNazanin"/>
          <w:color w:val="111111"/>
          <w:sz w:val="28"/>
          <w:szCs w:val="28"/>
          <w:rtl w:val="true"/>
          <w:lang w:bidi="fa-IR"/>
        </w:rPr>
        <w:t>:</w:t>
      </w:r>
    </w:p>
    <w:p>
      <w:pPr>
        <w:pStyle w:val="Heading6"/>
        <w:numPr>
          <w:ilvl w:val="5"/>
          <w:numId w:val="1"/>
        </w:numPr>
        <w:rPr/>
      </w:pPr>
      <w:bookmarkStart w:id="718" w:name="__RefHeading___Toc3767373_3650668749"/>
      <w:bookmarkStart w:id="719" w:name="_Toc265"/>
      <w:bookmarkEnd w:id="718"/>
      <w:r>
        <w:rPr>
          <w:rtl w:val="true"/>
        </w:rPr>
        <w:t>الف</w:t>
      </w:r>
      <w:r>
        <w:rPr>
          <w:rtl w:val="true"/>
        </w:rPr>
        <w:t xml:space="preserve">) </w:t>
      </w:r>
      <w:r>
        <w:rPr>
          <w:rtl w:val="true"/>
        </w:rPr>
        <w:t>مفهوم عصمت</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 در 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عَصَم يعصِمُ عَصماً، به‌معناى امساك </w:t>
      </w:r>
      <w:r>
        <w:rPr>
          <w:rStyle w:val="FootnoteAnchor"/>
          <w:rtl w:val="true"/>
        </w:rPr>
        <w:footnoteReference w:id="1924"/>
      </w:r>
      <w:r>
        <w:rPr>
          <w:rFonts w:ascii="IRNazanin" w:hAnsi="IRNazanin" w:eastAsia="IRNazanin"/>
          <w:color w:val="111111"/>
          <w:sz w:val="28"/>
          <w:sz w:val="28"/>
          <w:szCs w:val="28"/>
          <w:rtl w:val="true"/>
          <w:lang w:bidi="fa-IR"/>
        </w:rPr>
        <w:t xml:space="preserve">، منع </w:t>
      </w:r>
      <w:r>
        <w:rPr>
          <w:rStyle w:val="FootnoteAnchor"/>
          <w:rtl w:val="true"/>
        </w:rPr>
        <w:footnoteReference w:id="1925"/>
      </w:r>
      <w:r>
        <w:rPr>
          <w:rFonts w:ascii="IRNazanin" w:hAnsi="IRNazanin" w:eastAsia="IRNazanin"/>
          <w:color w:val="111111"/>
          <w:sz w:val="28"/>
          <w:sz w:val="28"/>
          <w:szCs w:val="28"/>
          <w:rtl w:val="true"/>
          <w:lang w:bidi="fa-IR"/>
        </w:rPr>
        <w:t xml:space="preserve">و دفع </w:t>
      </w:r>
      <w:r>
        <w:rPr>
          <w:rStyle w:val="FootnoteAnchor"/>
          <w:rtl w:val="true"/>
        </w:rPr>
        <w:footnoteReference w:id="1926"/>
      </w:r>
      <w:r>
        <w:rPr>
          <w:rFonts w:ascii="IRNazanin" w:hAnsi="IRNazanin" w:eastAsia="IRNazanin"/>
          <w:color w:val="111111"/>
          <w:sz w:val="28"/>
          <w:sz w:val="28"/>
          <w:szCs w:val="28"/>
          <w:rtl w:val="true"/>
          <w:lang w:bidi="fa-IR"/>
        </w:rPr>
        <w:t xml:space="preserve">و حفظ </w:t>
      </w:r>
      <w:r>
        <w:rPr>
          <w:rStyle w:val="FootnoteAnchor"/>
          <w:rtl w:val="true"/>
        </w:rPr>
        <w:footnoteReference w:id="19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در آيه قَالَ لاَعَاصِمَ الْيَوْمَ مِنْ اَمْرِاللهِ إِلَّا مَن رَحِمَ وَحَالَ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مانعِ حمايت‌گر </w:t>
      </w:r>
      <w:r>
        <w:rPr>
          <w:rStyle w:val="FootnoteAnchor"/>
          <w:rtl w:val="true"/>
        </w:rPr>
        <w:footnoteReference w:id="1928"/>
      </w:r>
      <w:r>
        <w:rPr>
          <w:rFonts w:ascii="IRNazanin" w:hAnsi="IRNazanin" w:eastAsia="IRNazanin"/>
          <w:color w:val="111111"/>
          <w:sz w:val="28"/>
          <w:sz w:val="28"/>
          <w:szCs w:val="28"/>
          <w:rtl w:val="true"/>
          <w:lang w:bidi="fa-IR"/>
        </w:rPr>
        <w:t>وقتى‌گفته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عَصَمَهُ الطعام، يعنى طعام، او را از گرسنگى منع كرد </w:t>
      </w:r>
      <w:r>
        <w:rPr>
          <w:rStyle w:val="FootnoteAnchor"/>
          <w:rtl w:val="true"/>
        </w:rPr>
        <w:footnoteReference w:id="1929"/>
      </w:r>
      <w:r>
        <w:rPr>
          <w:rFonts w:ascii="Amiri" w:hAnsi="Amiri" w:eastAsia="Amiri" w:cs="Amiri"/>
          <w:color w:val="111111"/>
          <w:sz w:val="28"/>
          <w:sz w:val="28"/>
          <w:szCs w:val="28"/>
          <w:rtl w:val="true"/>
          <w:lang w:bidi="ar-SA"/>
        </w:rPr>
        <w:t xml:space="preserve">و إعتصمتُ‌بالله، اى إمتنعتُ به‌مِن‌الشّر </w:t>
      </w:r>
      <w:r>
        <w:rPr>
          <w:rStyle w:val="FootnoteAnchor"/>
          <w:rtl w:val="true"/>
        </w:rPr>
        <w:footnoteReference w:id="1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 اساس گفته زبيدى كه معناى اصلى عِصمت، منع است </w:t>
      </w:r>
      <w:r>
        <w:rPr>
          <w:rStyle w:val="FootnoteAnchor"/>
          <w:rtl w:val="true"/>
        </w:rPr>
        <w:footnoteReference w:id="1931"/>
      </w:r>
      <w:r>
        <w:rPr>
          <w:rFonts w:ascii="IRNazanin" w:hAnsi="IRNazanin" w:eastAsia="IRNazanin"/>
          <w:color w:val="111111"/>
          <w:sz w:val="28"/>
          <w:sz w:val="28"/>
          <w:szCs w:val="28"/>
          <w:rtl w:val="true"/>
          <w:lang w:bidi="fa-IR"/>
        </w:rPr>
        <w:t>و تصريح ديگران به‌اين معنا،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يعنى منع و حفظ از بَدى‌ها و آلودگى‌ها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 در 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الحُكَماء مَلَكَةٌ تَمنع عن الفُجور و تحصل بالعلم بمثالب المعاصي و مناقب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الزاجر عن المَعصية و الدّاعي إلى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ويتأكّد بتتابع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الدّاعية إلى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الزّاجرة إلى ما ينبغي </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خاصيتى است در نفس يا بدن شخص كه به‌وسيله آن، شخص از صدور گناه باز داشته </w:t>
      </w:r>
    </w:p>
    <w:p>
      <w:pPr>
        <w:pStyle w:val="BookText"/>
        <w:rPr/>
      </w:pPr>
      <w:r>
        <w:rPr>
          <w:rFonts w:ascii="IRNazanin" w:hAnsi="IRNazanin" w:eastAsia="IRNazanin"/>
          <w:color w:val="111111"/>
          <w:sz w:val="28"/>
          <w:sz w:val="28"/>
          <w:szCs w:val="28"/>
          <w:rtl w:val="true"/>
          <w:lang w:bidi="fa-IR"/>
        </w:rPr>
        <w:t>و منع مى‌گردد</w:t>
      </w:r>
      <w:r>
        <w:rPr>
          <w:rFonts w:eastAsia="IRNazanin" w:cs="IRNazanin"/>
          <w:color w:val="111111"/>
          <w:sz w:val="28"/>
          <w:szCs w:val="28"/>
          <w:rtl w:val="true"/>
          <w:lang w:bidi="fa-IR"/>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تعريف نخست را مى‌پذيرد و در توضيح حقيقت عصمت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عفّت، وقتى در جوهر نفس ايجاد شد، و نفس به‌علم تامّ رسيد كه در طاعت، سعادت و در معصيت، شقاوت است، اين علم يارى‌دهنده اقتضاى ملكه‌اى نفسانى خواهد شد</w:t>
      </w:r>
      <w:r>
        <w:rPr>
          <w:rFonts w:eastAsia="IRNazanin" w:cs="IRNazanin"/>
          <w:color w:val="111111"/>
          <w:sz w:val="28"/>
          <w:szCs w:val="28"/>
          <w:rtl w:val="true"/>
          <w:lang w:bidi="fa-IR"/>
        </w:rPr>
        <w:t xml:space="preserve">. </w:t>
      </w:r>
      <w:r>
        <w:rPr>
          <w:rStyle w:val="FootnoteAnchor"/>
          <w:rtl w:val="true"/>
        </w:rPr>
        <w:footnoteReference w:id="1934"/>
      </w:r>
    </w:p>
    <w:p>
      <w:pPr>
        <w:pStyle w:val="BookText"/>
        <w:rPr/>
      </w:pPr>
      <w:r>
        <w:rPr>
          <w:rFonts w:ascii="IRNazanin" w:hAnsi="IRNazanin" w:eastAsia="IRNazanin"/>
          <w:color w:val="111111"/>
          <w:sz w:val="28"/>
          <w:sz w:val="28"/>
          <w:szCs w:val="28"/>
          <w:rtl w:val="true"/>
          <w:lang w:bidi="fa-IR"/>
        </w:rPr>
        <w:t>اما علماى شيعه براى عصمت تعاريف متفاوتى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العصمةُ لطفٌ </w:t>
      </w:r>
      <w:r>
        <w:rPr>
          <w:rStyle w:val="FootnoteAnchor"/>
          <w:rtl w:val="true"/>
        </w:rPr>
        <w:footnoteReference w:id="1935"/>
      </w:r>
      <w:r>
        <w:rPr>
          <w:rFonts w:ascii="Amiri" w:hAnsi="Amiri" w:eastAsia="Amiri" w:cs="Amiri"/>
          <w:color w:val="111111"/>
          <w:sz w:val="28"/>
          <w:sz w:val="28"/>
          <w:szCs w:val="28"/>
          <w:rtl w:val="true"/>
          <w:lang w:bidi="ar-SA"/>
        </w:rPr>
        <w:t xml:space="preserve">يفعله‌الله تعالى بالمكلَّف بحيث يمتنع منه وقوع المعصية وترك الطاعة مع قدرته عليهما </w:t>
      </w:r>
      <w:r>
        <w:rPr>
          <w:rFonts w:eastAsia="Amiri" w:cs="Amiri" w:ascii="Amiri" w:hAnsi="Amiri"/>
          <w:color w:val="111111"/>
          <w:sz w:val="28"/>
          <w:szCs w:val="28"/>
          <w:rtl w:val="true"/>
          <w:lang w:bidi="ar-SA"/>
        </w:rPr>
        <w:t xml:space="preserve">» </w:t>
      </w:r>
      <w:r>
        <w:rPr>
          <w:rStyle w:val="FootnoteAnchor"/>
          <w:rtl w:val="true"/>
        </w:rPr>
        <w:footnoteReference w:id="1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عقلية بلغت أقص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ما يمكن أن يحملها الانسان، والعقل قوة في‌القلب او في‌الدّماغ تمنع صاحبها من ارتكاب الزّلة </w:t>
      </w:r>
      <w:r>
        <w:rPr>
          <w:rFonts w:eastAsia="IRNazanin" w:cs="IRNazanin"/>
          <w:color w:val="111111"/>
          <w:sz w:val="28"/>
          <w:szCs w:val="28"/>
          <w:rtl w:val="true"/>
          <w:lang w:bidi="fa-IR"/>
        </w:rPr>
        <w:t xml:space="preserve">» </w:t>
      </w:r>
      <w:r>
        <w:rPr>
          <w:rStyle w:val="FootnoteAnchor"/>
          <w:rtl w:val="true"/>
        </w:rPr>
        <w:footnoteReference w:id="1937"/>
      </w:r>
      <w:r>
        <w:rPr>
          <w:rFonts w:ascii="IRNazanin" w:hAnsi="IRNazanin" w:eastAsia="IRNazanin"/>
          <w:color w:val="111111"/>
          <w:sz w:val="28"/>
          <w:sz w:val="28"/>
          <w:szCs w:val="28"/>
          <w:rtl w:val="true"/>
          <w:lang w:bidi="fa-IR"/>
        </w:rPr>
        <w:t xml:space="preserve">و تعاريف ديگر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شيعه اثنى‌عشرى، واجب است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انبياء از همه قبائح و معاصى بزرگ و كوچك عمداً و سهواً از بدوِ تولد تا پايان زندگى، معصوم </w:t>
      </w:r>
      <w:bookmarkStart w:id="720" w:name="pg1976_28388"/>
    </w:p>
    <w:p>
      <w:pPr>
        <w:pStyle w:val="BookText"/>
        <w:rPr/>
      </w:pPr>
      <w:bookmarkEnd w:id="720"/>
      <w:r>
        <w:rPr>
          <w:rFonts w:ascii="IRNazanin" w:hAnsi="IRNazanin" w:eastAsia="IRNazanin"/>
          <w:color w:val="111111"/>
          <w:sz w:val="28"/>
          <w:sz w:val="28"/>
          <w:szCs w:val="28"/>
          <w:rtl w:val="true"/>
          <w:lang w:bidi="fa-IR"/>
        </w:rPr>
        <w:t xml:space="preserve">باشند </w:t>
      </w:r>
      <w:r>
        <w:rPr>
          <w:rStyle w:val="FootnoteAnchor"/>
          <w:rtl w:val="true"/>
        </w:rPr>
        <w:footnoteReference w:id="1939"/>
      </w:r>
      <w:r>
        <w:rPr>
          <w:rFonts w:ascii="IRNazanin" w:hAnsi="IRNazanin" w:eastAsia="IRNazanin"/>
          <w:color w:val="111111"/>
          <w:sz w:val="28"/>
          <w:sz w:val="28"/>
          <w:szCs w:val="28"/>
          <w:rtl w:val="true"/>
          <w:lang w:bidi="fa-IR"/>
        </w:rPr>
        <w:t xml:space="preserve">و چنانچه رسول و امام، معصوم نباشد تسلسل باطل لازم مى‌آيد </w:t>
      </w:r>
      <w:r>
        <w:rPr>
          <w:rStyle w:val="FootnoteAnchor"/>
          <w:rtl w:val="true"/>
        </w:rPr>
        <w:footnoteReference w:id="1940"/>
      </w:r>
      <w:r>
        <w:rPr>
          <w:rFonts w:ascii="Amiri" w:hAnsi="Amiri" w:eastAsia="Amiri" w:cs="Amiri"/>
          <w:color w:val="111111"/>
          <w:sz w:val="28"/>
          <w:sz w:val="28"/>
          <w:szCs w:val="28"/>
          <w:rtl w:val="true"/>
          <w:lang w:bidi="ar-SA"/>
        </w:rPr>
        <w:t xml:space="preserve">ولى به عقيده اهل‌سنّت تنها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ارتكاب كبائر و صغاير عمدى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سهوى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بعثت بدان جهت كه معصيت منافى معجزه است، معصومند </w:t>
      </w:r>
      <w:r>
        <w:rPr>
          <w:rStyle w:val="FootnoteAnchor"/>
          <w:rtl w:val="true"/>
        </w:rPr>
        <w:footnoteReference w:id="1941"/>
      </w:r>
      <w:r>
        <w:rPr>
          <w:rFonts w:ascii="IRNazanin" w:hAnsi="IRNazanin" w:eastAsia="IRNazanin"/>
          <w:color w:val="111111"/>
          <w:sz w:val="28"/>
          <w:sz w:val="28"/>
          <w:szCs w:val="28"/>
          <w:rtl w:val="true"/>
          <w:lang w:bidi="fa-IR"/>
        </w:rPr>
        <w:t>هرچند كه در جزئيات و معصيت قبل از رسالت اختلاف‌نظر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توجّه به‌مفهوم لغوى و ديدگاه‌هاى طرح شده،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حالت فطرى و روحانى و الهى است كه در انسان مختار اشتياق به‌طاعت پروردگار و بازدارندگى از معاصى، ايجاد مى‌كند و اين حالت نه تنها آنها را از ارتكاب معصيت كه از انديشه معصيت نيز باز مى‌دارد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 w:name="__RefHeading___Toc3767375_3650668749"/>
      <w:bookmarkStart w:id="722" w:name="_Toc266"/>
      <w:bookmarkEnd w:id="721"/>
      <w:r>
        <w:rPr>
          <w:rtl w:val="true"/>
        </w:rPr>
        <w:t>ب</w:t>
      </w:r>
      <w:r>
        <w:rPr>
          <w:rtl w:val="true"/>
        </w:rPr>
        <w:t xml:space="preserve">) </w:t>
      </w:r>
      <w:r>
        <w:rPr>
          <w:rtl w:val="true"/>
        </w:rPr>
        <w:t>عصمت و اختلاف مبنا</w:t>
      </w:r>
      <w:bookmarkEnd w:id="72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اختلاف مبنا ميان دو مكتب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وخلفا نسبت به‌عصمت حتى در مورد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اكثر بلكه اجماع اهل‌سنت بر اين است كه انبياء واجب است در زمان نبوت از معاصى كبيره و صغيره عمدى معصوم باشند ولى معصوم بودن از معاصى از روى خطا و نسيان را لازم نمى‌دانند </w:t>
      </w:r>
      <w:r>
        <w:rPr>
          <w:rStyle w:val="FootnoteAnchor"/>
          <w:rtl w:val="true"/>
        </w:rPr>
        <w:footnoteReference w:id="1943"/>
      </w:r>
      <w:r>
        <w:rPr>
          <w:rFonts w:ascii="Amiri" w:hAnsi="Amiri" w:eastAsia="Amiri" w:cs="Amiri"/>
          <w:color w:val="111111"/>
          <w:sz w:val="28"/>
          <w:sz w:val="28"/>
          <w:szCs w:val="28"/>
          <w:rtl w:val="true"/>
          <w:lang w:bidi="ar-SA"/>
        </w:rPr>
        <w:t xml:space="preserve">از اين رو، صدور معاصى قبل از بعثت را مجاز </w:t>
      </w:r>
    </w:p>
    <w:p>
      <w:pPr>
        <w:pStyle w:val="BookText"/>
        <w:rPr/>
      </w:pPr>
      <w:r>
        <w:rPr>
          <w:rFonts w:ascii="IRNazanin" w:hAnsi="IRNazanin" w:eastAsia="IRNazanin"/>
          <w:color w:val="111111"/>
          <w:sz w:val="28"/>
          <w:sz w:val="28"/>
          <w:szCs w:val="28"/>
          <w:rtl w:val="true"/>
          <w:lang w:bidi="fa-IR"/>
        </w:rPr>
        <w:t>مى‌شمارند</w:t>
      </w:r>
      <w:r>
        <w:rPr>
          <w:rFonts w:eastAsia="IRNazanin" w:cs="IRNazanin"/>
          <w:color w:val="111111"/>
          <w:sz w:val="28"/>
          <w:szCs w:val="28"/>
          <w:rtl w:val="true"/>
          <w:lang w:bidi="fa-IR"/>
        </w:rPr>
        <w:t xml:space="preserve">! </w:t>
      </w:r>
      <w:r>
        <w:rPr>
          <w:rStyle w:val="FootnoteAnchor"/>
          <w:rtl w:val="true"/>
        </w:rPr>
        <w:footnoteReference w:id="1944"/>
      </w:r>
      <w:r>
        <w:rPr>
          <w:rFonts w:ascii="IRNazanin" w:hAnsi="IRNazanin" w:eastAsia="IRNazanin"/>
          <w:color w:val="111111"/>
          <w:sz w:val="28"/>
          <w:sz w:val="28"/>
          <w:szCs w:val="28"/>
          <w:rtl w:val="true"/>
          <w:lang w:bidi="fa-IR"/>
        </w:rPr>
        <w:t xml:space="preserve">و متأسفانه اين ديدگاه را با استناد به‌سهوالنبى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وإلقاء جملات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الغرانيق‌العلى، و أنّ شفاعتهنّ ترجى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اَفَرَاَيْتُمُ اللاَّتَ وَالْعُزَّى وَمَنَاةَ الثَّالِثَةَ الاُخْرَى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شيطان بر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دروغى بيش نيست </w:t>
      </w:r>
      <w:r>
        <w:rPr>
          <w:rStyle w:val="FootnoteAnchor"/>
          <w:rtl w:val="true"/>
        </w:rPr>
        <w:footnoteReference w:id="1945"/>
      </w:r>
      <w:r>
        <w:rPr>
          <w:rFonts w:ascii="IRNazanin" w:hAnsi="IRNazanin" w:eastAsia="IRNazanin"/>
          <w:color w:val="111111"/>
          <w:sz w:val="28"/>
          <w:sz w:val="28"/>
          <w:szCs w:val="28"/>
          <w:rtl w:val="true"/>
          <w:lang w:bidi="fa-IR"/>
        </w:rPr>
        <w:t xml:space="preserve">، مجاز مى‌پندارند </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امامت عصمت را شرط ندانسته بلكه عدالت ظاهرى را كافى مى‌شمارند</w:t>
      </w:r>
      <w:r>
        <w:rPr>
          <w:rFonts w:eastAsia="Amiri" w:cs="Amiri" w:ascii="Amiri" w:hAnsi="Amiri"/>
          <w:color w:val="111111"/>
          <w:sz w:val="28"/>
          <w:szCs w:val="28"/>
          <w:rtl w:val="true"/>
          <w:lang w:bidi="ar-SA"/>
        </w:rPr>
        <w:t xml:space="preserve">. </w:t>
      </w:r>
      <w:r>
        <w:rPr>
          <w:rStyle w:val="FootnoteAnchor"/>
          <w:rtl w:val="true"/>
        </w:rPr>
        <w:footnoteReference w:id="1947"/>
      </w:r>
      <w:r>
        <w:rPr>
          <w:rFonts w:ascii="IRNazanin" w:hAnsi="IRNazanin" w:eastAsia="IRNazanin"/>
          <w:color w:val="111111"/>
          <w:sz w:val="28"/>
          <w:sz w:val="28"/>
          <w:szCs w:val="28"/>
          <w:rtl w:val="true"/>
          <w:lang w:bidi="fa-IR"/>
        </w:rPr>
        <w:t>بى‌ترديد با پايين آوردن مقام پيامبر از يك‌سو، و انكار عصمت امام از سوى ديگر، خواسته‌اند حكومت و خلافت خلفاى سه‌گانه را توجيه نموده و صواب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مكتب اهل‌بيت نَه تنها عصمت پيامبر را از گناهان كبيره و صغيره، عمدى و سهوى، قبل از بعثت و پس از آن، از بدوِ تولد، واجب مى‌دانند </w:t>
      </w:r>
      <w:r>
        <w:rPr>
          <w:rStyle w:val="FootnoteAnchor"/>
          <w:rtl w:val="true"/>
        </w:rPr>
        <w:footnoteReference w:id="1948"/>
      </w:r>
      <w:r>
        <w:rPr>
          <w:rFonts w:ascii="Amiri" w:hAnsi="Amiri" w:eastAsia="Amiri" w:cs="Amiri"/>
          <w:color w:val="111111"/>
          <w:sz w:val="28"/>
          <w:sz w:val="28"/>
          <w:szCs w:val="28"/>
          <w:rtl w:val="true"/>
          <w:lang w:bidi="ar-SA"/>
        </w:rPr>
        <w:t xml:space="preserve">كه امامت را بدان جهت كه مترتّب بر توحيد، عدل و نبوت </w:t>
      </w:r>
      <w:r>
        <w:rPr>
          <w:rStyle w:val="FootnoteAnchor"/>
          <w:rtl w:val="true"/>
        </w:rPr>
        <w:footnoteReference w:id="1949"/>
      </w:r>
      <w:r>
        <w:rPr>
          <w:rFonts w:ascii="Amiri" w:hAnsi="Amiri" w:eastAsia="Amiri" w:cs="Amiri"/>
          <w:color w:val="111111"/>
          <w:sz w:val="28"/>
          <w:sz w:val="28"/>
          <w:szCs w:val="28"/>
          <w:rtl w:val="true"/>
          <w:lang w:bidi="ar-SA"/>
        </w:rPr>
        <w:t xml:space="preserve">، است و يا امامت را ادامه نبوت </w:t>
      </w:r>
      <w:r>
        <w:rPr>
          <w:rStyle w:val="FootnoteAnchor"/>
          <w:rtl w:val="true"/>
        </w:rPr>
        <w:footnoteReference w:id="1950"/>
      </w:r>
      <w:r>
        <w:rPr>
          <w:rFonts w:ascii="Amiri" w:hAnsi="Amiri" w:eastAsia="Amiri" w:cs="Amiri"/>
          <w:color w:val="111111"/>
          <w:sz w:val="28"/>
          <w:sz w:val="28"/>
          <w:szCs w:val="28"/>
          <w:rtl w:val="true"/>
          <w:lang w:bidi="ar-SA"/>
        </w:rPr>
        <w:t xml:space="preserve">و يا آن را باطن نبوت مى‌دانند </w:t>
      </w:r>
      <w:r>
        <w:rPr>
          <w:rStyle w:val="FootnoteAnchor"/>
          <w:rtl w:val="true"/>
        </w:rPr>
        <w:footnoteReference w:id="1951"/>
      </w:r>
      <w:r>
        <w:rPr>
          <w:rFonts w:ascii="IRNazanin" w:hAnsi="IRNazanin" w:eastAsia="IRNazanin"/>
          <w:color w:val="111111"/>
          <w:sz w:val="28"/>
          <w:sz w:val="28"/>
          <w:szCs w:val="28"/>
          <w:rtl w:val="true"/>
          <w:lang w:bidi="fa-IR"/>
        </w:rPr>
        <w:t>، عصمت را شرط اساسى امامت، مى‌شمارند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وجود اختلاف عميق، ميان دو مبنا ايرادهاى نويسندگانى كه مدعى‌اند شيعه نسبت به‌امامان خود، غلو كرده‌اند، وارد نيست؛ زيرا شيعه مى‌تواند همين اتهام را به‌شما بازگرداند و شما را در كاستن و تقصير در شرايط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قبل از نبوت، خطا و 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انكار عصمت در امام، متهم به‌غلوّ به‌تقصير نمايد</w:t>
      </w:r>
      <w:r>
        <w:rPr>
          <w:rFonts w:eastAsia="IRNazanin" w:cs="IRNazanin"/>
          <w:color w:val="111111"/>
          <w:sz w:val="28"/>
          <w:szCs w:val="28"/>
          <w:rtl w:val="true"/>
          <w:lang w:bidi="fa-IR"/>
        </w:rPr>
        <w:t xml:space="preserve">. </w:t>
      </w:r>
      <w:bookmarkStart w:id="723" w:name="pg1976_28392"/>
    </w:p>
    <w:p>
      <w:pPr>
        <w:pStyle w:val="Heading6"/>
        <w:numPr>
          <w:ilvl w:val="5"/>
          <w:numId w:val="1"/>
        </w:numPr>
        <w:rPr/>
      </w:pPr>
      <w:bookmarkStart w:id="724" w:name="__RefHeading___Toc3767377_3650668749"/>
      <w:bookmarkStart w:id="725" w:name="_Toc267"/>
      <w:bookmarkEnd w:id="723"/>
      <w:bookmarkEnd w:id="724"/>
      <w:r>
        <w:rPr>
          <w:rtl w:val="true"/>
        </w:rPr>
        <w:t>ج</w:t>
      </w:r>
      <w:r>
        <w:rPr>
          <w:rtl w:val="true"/>
        </w:rPr>
        <w:t xml:space="preserve">) </w:t>
      </w:r>
      <w:r>
        <w:rPr>
          <w:rtl w:val="true"/>
        </w:rPr>
        <w:t xml:space="preserve">نگاهى به‌دلايل عصمت امام </w:t>
      </w:r>
      <w:r>
        <w:rPr>
          <w:rtl w:val="true"/>
        </w:rPr>
        <w:t>(</w:t>
      </w:r>
      <w:r>
        <w:rPr>
          <w:rtl w:val="true"/>
        </w:rPr>
        <w:t>ع</w:t>
      </w:r>
      <w:r>
        <w:rPr>
          <w:rtl w:val="true"/>
        </w:rPr>
        <w:t>)</w:t>
      </w:r>
      <w:bookmarkEnd w:id="725"/>
    </w:p>
    <w:p>
      <w:pPr>
        <w:pStyle w:val="Heading6"/>
        <w:numPr>
          <w:ilvl w:val="5"/>
          <w:numId w:val="1"/>
        </w:numPr>
        <w:rPr/>
      </w:pPr>
      <w:bookmarkStart w:id="726" w:name="__RefHeading___Toc3767379_3650668749"/>
      <w:bookmarkStart w:id="727" w:name="_Toc268"/>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 xml:space="preserve">هرچند دلايل عصمت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درجاى خود مفصّل ارائه شده است </w:t>
      </w:r>
      <w:r>
        <w:rPr>
          <w:rStyle w:val="FootnoteAnchor"/>
          <w:rtl w:val="true"/>
        </w:rPr>
        <w:footnoteReference w:id="1952"/>
      </w:r>
      <w:r>
        <w:rPr>
          <w:rFonts w:ascii="IRNazanin" w:hAnsi="IRNazanin" w:eastAsia="IRNazanin"/>
          <w:color w:val="111111"/>
          <w:sz w:val="28"/>
          <w:sz w:val="28"/>
          <w:szCs w:val="28"/>
          <w:rtl w:val="true"/>
          <w:lang w:bidi="fa-IR"/>
        </w:rPr>
        <w:t>، به‌چكيده‌اى از آنها بسنده مى‌گردد</w:t>
      </w:r>
      <w:r>
        <w:rPr>
          <w:rFonts w:eastAsia="IRNazanin" w:cs="IRNazanin"/>
          <w:color w:val="111111"/>
          <w:sz w:val="28"/>
          <w:szCs w:val="28"/>
          <w:rtl w:val="true"/>
          <w:lang w:bidi="fa-IR"/>
        </w:rPr>
        <w:t>:</w:t>
      </w:r>
    </w:p>
    <w:p>
      <w:pPr>
        <w:pStyle w:val="Heading6"/>
        <w:numPr>
          <w:ilvl w:val="5"/>
          <w:numId w:val="1"/>
        </w:numPr>
        <w:rPr/>
      </w:pPr>
      <w:bookmarkStart w:id="728" w:name="__RefHeading___Toc3767381_3650668749"/>
      <w:bookmarkStart w:id="729" w:name="_Toc269"/>
      <w:bookmarkEnd w:id="728"/>
      <w:r>
        <w:rPr>
          <w:rtl w:val="true"/>
        </w:rPr>
        <w:t xml:space="preserve">يك </w:t>
      </w:r>
      <w:r>
        <w:rPr>
          <w:rtl w:val="true"/>
        </w:rPr>
        <w:t xml:space="preserve">- </w:t>
      </w:r>
      <w:r>
        <w:rPr>
          <w:rtl w:val="true"/>
        </w:rPr>
        <w:t>دلايل عقلى</w:t>
      </w:r>
      <w:bookmarkEnd w:id="729"/>
    </w:p>
    <w:p>
      <w:pPr>
        <w:pStyle w:val="BookText"/>
        <w:rPr/>
      </w:pPr>
      <w:r>
        <w:rPr>
          <w:rFonts w:ascii="IRNazanin" w:hAnsi="IRNazanin" w:eastAsia="IRNazanin"/>
          <w:color w:val="111111"/>
          <w:sz w:val="28"/>
          <w:sz w:val="28"/>
          <w:szCs w:val="28"/>
          <w:rtl w:val="true"/>
          <w:lang w:bidi="fa-IR"/>
        </w:rPr>
        <w:t>اگر امام، معصوم از معصيت و خطا هرچند نسياناً نباشد؛ از دو حال خارج نيست؛ يا احتياج به‌امام ديگر ندارد، اين فرض ترجيح بدون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احتياج به‌امام ديگر دارد، در اين صورت، چنان‌چه به‌خودش محتاج باشد، دور است و باطل، و اگر به‌امام ديگر همانند خودش محتاج باشد، تسلسل باطل شكل مى‌گيرد </w:t>
      </w:r>
      <w:r>
        <w:rPr>
          <w:rStyle w:val="FootnoteAnchor"/>
          <w:rtl w:val="true"/>
        </w:rPr>
        <w:footnoteReference w:id="1953"/>
      </w:r>
      <w:r>
        <w:rPr>
          <w:rFonts w:ascii="IRNazanin" w:hAnsi="IRNazanin" w:eastAsia="IRNazanin"/>
          <w:color w:val="111111"/>
          <w:sz w:val="28"/>
          <w:sz w:val="28"/>
          <w:szCs w:val="28"/>
          <w:rtl w:val="true"/>
          <w:lang w:bidi="fa-IR"/>
        </w:rPr>
        <w:t>، سرانجام عصمت امام به‌ضرورت عقلى به‌اثبات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امام معصوم نباشد، لازمه‌اش نقض غرض است؛ به‌اين بيان كه غرض از تكليف عباد، وصول به‌كمال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هدف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چنانچه خداوند بندگانش را به‌اطاعت از انسان‌هاى غير معصوم، مأمور نمايد، در حقيقت او را به‌امرى دستور داده است كه مخالفت با آن هدف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به‌صورت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دارد و مخالفت با آن هدف، نقض غرض به‌تفويت مصلحت است و نامعقول؛ زيرا آنچه مصلحت است، اطاعتى است كه مطابق واقع باشد، و اطاعتى كه مطابق واقع باشد، جز</w:t>
      </w:r>
      <w:bookmarkStart w:id="730" w:name="pg1976_28395"/>
    </w:p>
    <w:p>
      <w:pPr>
        <w:pStyle w:val="BookText"/>
        <w:rPr/>
      </w:pPr>
      <w:bookmarkEnd w:id="730"/>
      <w:r>
        <w:rPr>
          <w:rFonts w:ascii="Amiri" w:hAnsi="Amiri" w:eastAsia="Amiri" w:cs="Amiri"/>
          <w:color w:val="111111"/>
          <w:sz w:val="28"/>
          <w:sz w:val="28"/>
          <w:szCs w:val="28"/>
          <w:rtl w:val="true"/>
          <w:lang w:bidi="ar-SA"/>
        </w:rPr>
        <w:t>با امامت امام معصوم، تأمين نمى‌شود</w:t>
      </w:r>
      <w:r>
        <w:rPr>
          <w:rFonts w:eastAsia="Amiri" w:cs="Amiri" w:ascii="Amiri" w:hAnsi="Amiri"/>
          <w:color w:val="111111"/>
          <w:sz w:val="28"/>
          <w:szCs w:val="28"/>
          <w:rtl w:val="true"/>
          <w:lang w:bidi="ar-SA"/>
        </w:rPr>
        <w:t xml:space="preserve">. </w:t>
      </w:r>
      <w:r>
        <w:rPr>
          <w:rStyle w:val="FootnoteAnchor"/>
          <w:rtl w:val="true"/>
        </w:rPr>
        <w:footnoteReference w:id="19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عصمت امام، گذشته از اينكه نقض غرض و تفويت مصلحت را در پى‌دارد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نبوت، پايه و اساس امامت، و امامت متفرِّع بر نبوت و امام جانشين پيامبر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شكى نيست و لذا به‌ابوبكر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اينكه مكلف يقين به‌صحت ادعاى امام حاصل نمايد، امام بايد همان شرايطى را داشته باشد كه نبى و رسول داشت، لكن در نبى، عصمت شرط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نيز عصمت شرط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31" w:name="__RefHeading___Toc3767383_3650668749"/>
      <w:bookmarkStart w:id="732" w:name="_Toc270"/>
      <w:bookmarkEnd w:id="731"/>
      <w:r>
        <w:rPr>
          <w:rtl w:val="true"/>
        </w:rPr>
        <w:t xml:space="preserve">دو </w:t>
      </w:r>
      <w:r>
        <w:rPr>
          <w:rtl w:val="true"/>
        </w:rPr>
        <w:t xml:space="preserve">- </w:t>
      </w:r>
      <w:r>
        <w:rPr>
          <w:rtl w:val="true"/>
        </w:rPr>
        <w:t>دلايل نقلى</w:t>
      </w:r>
      <w:bookmarkEnd w:id="732"/>
    </w:p>
    <w:p>
      <w:pPr>
        <w:pStyle w:val="BookText"/>
        <w:rPr/>
      </w:pPr>
      <w:r>
        <w:rPr>
          <w:rFonts w:ascii="IRNazanin" w:hAnsi="IRNazanin" w:eastAsia="IRNazanin"/>
          <w:color w:val="111111"/>
          <w:sz w:val="28"/>
          <w:sz w:val="28"/>
          <w:szCs w:val="28"/>
          <w:rtl w:val="true"/>
          <w:lang w:bidi="fa-IR"/>
        </w:rPr>
        <w:t xml:space="preserve">از آنجا كه مسأله عصمت، نزد اماميه از اهمّيت ويژه‌اى برخوردار است و مباحث مصالح و مفاسدى را كه براصول ديگر، كمتر مرتبت مى‌گردد، به‌دنبال دارد؛ دانشمندان شيعه، آيات و روايات فراوانى را در اين خصوص تدارك ديده‌اند </w:t>
      </w:r>
      <w:r>
        <w:rPr>
          <w:rStyle w:val="FootnoteAnchor"/>
          <w:rtl w:val="true"/>
        </w:rPr>
        <w:footnoteReference w:id="1955"/>
      </w:r>
      <w:r>
        <w:rPr>
          <w:rFonts w:ascii="Amiri" w:hAnsi="Amiri" w:eastAsia="Amiri" w:cs="Amiri"/>
          <w:color w:val="111111"/>
          <w:sz w:val="28"/>
          <w:sz w:val="28"/>
          <w:szCs w:val="28"/>
          <w:rtl w:val="true"/>
          <w:lang w:bidi="ar-SA"/>
        </w:rPr>
        <w:t>كه از ميان آن همه تنها به‌دو نمونه از آيات قرآن اكتفا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إِنَّمَا يُرِيدُ اللهُ لِيُذْهِبَ عَنكُمُ الرِّجْسَ اَهْلَ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اكثر مفسّران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دانشمندان اهل‌سنت شأن نزول آيه شريفه را اصحاب</w:t>
      </w:r>
    </w:p>
    <w:p>
      <w:pPr>
        <w:pStyle w:val="BookText"/>
        <w:rPr/>
      </w:pPr>
      <w:r>
        <w:rPr>
          <w:rFonts w:ascii="Amiri" w:hAnsi="Amiri" w:eastAsia="Amiri" w:cs="Amiri"/>
          <w:color w:val="111111"/>
          <w:sz w:val="28"/>
          <w:sz w:val="28"/>
          <w:szCs w:val="28"/>
          <w:rtl w:val="true"/>
          <w:lang w:bidi="ar-SA"/>
        </w:rPr>
        <w:t xml:space="preserve">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مى‌دانند </w:t>
      </w:r>
      <w:r>
        <w:rPr>
          <w:rStyle w:val="FootnoteAnchor"/>
          <w:rtl w:val="true"/>
        </w:rPr>
        <w:footnoteReference w:id="1956"/>
      </w:r>
      <w:r>
        <w:rPr>
          <w:rFonts w:ascii="IRNazanin" w:hAnsi="IRNazanin" w:eastAsia="IRNazanin"/>
          <w:color w:val="111111"/>
          <w:sz w:val="28"/>
          <w:sz w:val="28"/>
          <w:szCs w:val="28"/>
          <w:rtl w:val="true"/>
          <w:lang w:bidi="fa-IR"/>
        </w:rPr>
        <w:t xml:space="preserve">طحاوى به‌سند خود از عامربن سعد و او هم از پدرش و هم از أُمّ‌سلمه بازگو مى‌كند كه وقتى آيه شريفه نازل شد،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آنها را زير عباى مباركش قرار داد </w:t>
      </w:r>
      <w:r>
        <w:rPr>
          <w:rStyle w:val="FootnoteAnchor"/>
          <w:rtl w:val="true"/>
        </w:rPr>
        <w:footnoteReference w:id="1957"/>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أللَّهم هؤلاء أهل‌بيتي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أذهب عنهُمُ الرِّجسَ و طَهّرهم تطهيراً </w:t>
      </w:r>
      <w:r>
        <w:rPr>
          <w:rFonts w:eastAsia="IRNazanin" w:cs="IRNazanin"/>
          <w:color w:val="111111"/>
          <w:sz w:val="28"/>
          <w:szCs w:val="28"/>
          <w:rtl w:val="true"/>
          <w:lang w:bidi="fa-IR"/>
        </w:rPr>
        <w:t xml:space="preserve">» </w:t>
      </w:r>
      <w:r>
        <w:rPr>
          <w:rStyle w:val="FootnoteAnchor"/>
          <w:rtl w:val="true"/>
        </w:rPr>
        <w:footnoteReference w:id="1958"/>
      </w:r>
      <w:r>
        <w:rPr>
          <w:rFonts w:ascii="IRNazanin" w:hAnsi="IRNazanin" w:eastAsia="IRNazanin"/>
          <w:color w:val="111111"/>
          <w:sz w:val="28"/>
          <w:sz w:val="28"/>
          <w:szCs w:val="28"/>
          <w:rtl w:val="true"/>
          <w:lang w:bidi="fa-IR"/>
        </w:rPr>
        <w:t>و به‌سندهاى مختلف گزارش‌شده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آيه شريفه در منزل أُمّ سلمه نازل شد و او به‌حضرت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يا رسول‌الله مِن أهلِك؟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ِإلى‌خير </w:t>
      </w:r>
      <w:r>
        <w:rPr>
          <w:rFonts w:eastAsia="IRNazanin" w:cs="IRNazanin"/>
          <w:color w:val="111111"/>
          <w:sz w:val="28"/>
          <w:szCs w:val="28"/>
          <w:rtl w:val="true"/>
          <w:lang w:bidi="fa-IR"/>
        </w:rPr>
        <w:t xml:space="preserve">» </w:t>
      </w:r>
      <w:r>
        <w:rPr>
          <w:rStyle w:val="FootnoteAnchor"/>
          <w:rtl w:val="true"/>
        </w:rPr>
        <w:footnoteReference w:id="19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ازواج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إلى خير </w:t>
      </w:r>
      <w:r>
        <w:rPr>
          <w:rFonts w:eastAsia="Amiri" w:cs="Amiri" w:ascii="Amiri" w:hAnsi="Amiri"/>
          <w:color w:val="111111"/>
          <w:sz w:val="28"/>
          <w:szCs w:val="28"/>
          <w:rtl w:val="true"/>
          <w:lang w:bidi="ar-SA"/>
        </w:rPr>
        <w:t xml:space="preserve">» </w:t>
      </w:r>
      <w:r>
        <w:rPr>
          <w:rStyle w:val="FootnoteAnchor"/>
          <w:rtl w:val="true"/>
        </w:rPr>
        <w:footnoteReference w:id="1960"/>
      </w:r>
      <w:r>
        <w:rPr>
          <w:rFonts w:ascii="Amiri" w:hAnsi="Amiri" w:eastAsia="Amiri" w:cs="Amiri"/>
          <w:color w:val="111111"/>
          <w:sz w:val="28"/>
          <w:sz w:val="28"/>
          <w:szCs w:val="28"/>
          <w:rtl w:val="true"/>
          <w:lang w:bidi="ar-SA"/>
        </w:rPr>
        <w:t xml:space="preserve">، جالب اينكه بر اساس روايات،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w:t>
      </w:r>
      <w:r>
        <w:rPr>
          <w:rStyle w:val="FootnoteAnchor"/>
          <w:rtl w:val="true"/>
        </w:rPr>
        <w:footnoteReference w:id="1961"/>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w:t>
      </w:r>
      <w:r>
        <w:rPr>
          <w:rStyle w:val="FootnoteAnchor"/>
          <w:rtl w:val="true"/>
        </w:rPr>
        <w:footnoteReference w:id="1962"/>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روز </w:t>
      </w:r>
      <w:r>
        <w:rPr>
          <w:rStyle w:val="FootnoteAnchor"/>
          <w:rtl w:val="true"/>
        </w:rPr>
        <w:footnoteReference w:id="19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از طريق ابن‌عباس،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ماه، از طريق ابى‌حمراء </w:t>
      </w:r>
      <w:r>
        <w:rPr>
          <w:rStyle w:val="FootnoteAnchor"/>
          <w:rtl w:val="true"/>
        </w:rPr>
        <w:footnoteReference w:id="1964"/>
      </w:r>
      <w:r>
        <w:rPr>
          <w:rFonts w:ascii="Amiri" w:hAnsi="Amiri" w:eastAsia="Amiri" w:cs="Amiri"/>
          <w:color w:val="111111"/>
          <w:sz w:val="28"/>
          <w:sz w:val="28"/>
          <w:szCs w:val="28"/>
          <w:rtl w:val="true"/>
          <w:lang w:bidi="ar-SA"/>
        </w:rPr>
        <w:t xml:space="preserve">، از طريق ابى‌برزه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w:t>
      </w:r>
      <w:r>
        <w:rPr>
          <w:rStyle w:val="FootnoteAnchor"/>
          <w:rtl w:val="true"/>
        </w:rPr>
        <w:footnoteReference w:id="1965"/>
      </w:r>
      <w:r>
        <w:rPr>
          <w:rFonts w:ascii="IRNazanin" w:hAnsi="IRNazanin" w:eastAsia="IRNazanin"/>
          <w:color w:val="111111"/>
          <w:sz w:val="28"/>
          <w:sz w:val="28"/>
          <w:szCs w:val="28"/>
          <w:rtl w:val="true"/>
          <w:lang w:bidi="fa-IR"/>
        </w:rPr>
        <w:t xml:space="preserve">، هنگام اذان صبح </w:t>
      </w:r>
    </w:p>
    <w:p>
      <w:pPr>
        <w:pStyle w:val="BookText"/>
        <w:rPr/>
      </w:pPr>
      <w:r>
        <w:rPr>
          <w:rFonts w:ascii="IRNazanin" w:hAnsi="IRNazanin" w:eastAsia="IRNazanin"/>
          <w:color w:val="111111"/>
          <w:sz w:val="28"/>
          <w:sz w:val="28"/>
          <w:szCs w:val="28"/>
          <w:rtl w:val="true"/>
          <w:lang w:bidi="fa-IR"/>
        </w:rPr>
        <w:t xml:space="preserve">درِ خانه فاطمه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ألسّلام عليكم يا أهل البيت إِنَّمَا يُرِيدُ اللهُ لِيُذْهِبَ عَنْكُمُ الرِّجْسَ أَهْلَ الْبَيْتِ وَيُطَهِّرَكُمْ تَطْهِيرًا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هرچندكه ابن‌حجر، اصرار بر ضعف اين روايت دارد </w:t>
      </w:r>
      <w:r>
        <w:rPr>
          <w:rStyle w:val="FootnoteAnchor"/>
          <w:rtl w:val="true"/>
        </w:rPr>
        <w:footnoteReference w:id="1966"/>
      </w:r>
      <w:r>
        <w:rPr>
          <w:rFonts w:ascii="IRNazanin" w:hAnsi="IRNazanin" w:eastAsia="IRNazanin"/>
          <w:color w:val="111111"/>
          <w:sz w:val="28"/>
          <w:sz w:val="28"/>
          <w:szCs w:val="28"/>
          <w:rtl w:val="true"/>
          <w:lang w:bidi="fa-IR"/>
        </w:rPr>
        <w:t xml:space="preserve">، ولى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به‌سندهاى مختلف، ضعف مورد نظر وى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سند ابى‌حمراء را تضعيف مى‌كند درحالى‌كه سندهاى ديگر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مقصود آيه شريفه چيست؟ به‌صراحت كلام ابن‌حجرالهيتمى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هذه الآية منبع فضائل أهل‌البيت النّبوي، لاشتمالها على غرر من مآثرهم و الاعتناء شأنهم، حيث ابتدئت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المفيدة لحصر إرادته تعالى من أمرهم على إذهاب الرّجس الَّذي هو الاِثم أوالشّك فيما يجب الاِيمان به‌عنهم و تطهيرهم من سائر الاخلاق و الاحوال المذمومة، و سيأتي في بعض الطرق تحريمهم على النَّار و هم فائدة ذلك التطهير </w:t>
      </w:r>
      <w:r>
        <w:rPr>
          <w:rFonts w:eastAsia="IRNazanin" w:cs="IRNazanin"/>
          <w:color w:val="111111"/>
          <w:sz w:val="28"/>
          <w:szCs w:val="28"/>
          <w:rtl w:val="true"/>
          <w:lang w:bidi="fa-IR"/>
        </w:rPr>
        <w:t xml:space="preserve">. . .» </w:t>
      </w:r>
      <w:r>
        <w:rPr>
          <w:rStyle w:val="FootnoteAnchor"/>
          <w:rtl w:val="true"/>
        </w:rPr>
        <w:footnoteReference w:id="1967"/>
      </w:r>
      <w:r>
        <w:rPr>
          <w:rFonts w:ascii="Amiri" w:hAnsi="Amiri" w:eastAsia="Amiri" w:cs="Amiri"/>
          <w:color w:val="111111"/>
          <w:sz w:val="28"/>
          <w:sz w:val="28"/>
          <w:szCs w:val="28"/>
          <w:rtl w:val="true"/>
          <w:lang w:bidi="ar-SA"/>
        </w:rPr>
        <w:t>، سخن وى صريح است در اينكه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خداوند، اراده تكوينى‌است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طهارت اهل‌بيت، طهارت از هر بَدى و معصيت و حتى اخلاق مذموم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اهل‌بيت معصوم و از آتش جهنم به‌دور است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توضيح آيه مى‌آورد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بَيّن أنّه إنّما نهاهنّ وأمرهنّ و وعظهنَّ، لئلاّ يقارف اهل‌بيت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المآثم، وليتصوّنوا عنها بالتقوى؛ واستعار للذّنوب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وللتقوى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آيه را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يُرِيدُالله ليُذهِبَ عنكُم السُّوءَ و الفَحشاءَ يا اهلَ بيت محمّد، و يُطَهّركم من الدَّنس الَّذي يكون في أهل معاصي‌الله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مى‌كند </w:t>
      </w:r>
      <w:r>
        <w:rPr>
          <w:rStyle w:val="FootnoteAnchor"/>
          <w:rtl w:val="true"/>
        </w:rPr>
        <w:footnoteReference w:id="1969"/>
      </w:r>
      <w:r>
        <w:rPr>
          <w:rFonts w:ascii="Amiri" w:hAnsi="Amiri" w:eastAsia="Amiri" w:cs="Amiri"/>
          <w:color w:val="111111"/>
          <w:sz w:val="28"/>
          <w:sz w:val="28"/>
          <w:szCs w:val="28"/>
          <w:rtl w:val="true"/>
          <w:lang w:bidi="ar-SA"/>
        </w:rPr>
        <w:t xml:space="preserve">، قتاده آيه 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طهّرهم‌الله من السّوء، و خصّهم برحمة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ابن‌زيد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به‌شيطان و </w:t>
      </w:r>
    </w:p>
    <w:p>
      <w:pPr>
        <w:pStyle w:val="BookText"/>
        <w:rPr/>
      </w:pPr>
      <w:r>
        <w:rPr>
          <w:rFonts w:ascii="Amiri" w:hAnsi="Amiri" w:eastAsia="Amiri" w:cs="Amiri"/>
          <w:color w:val="111111"/>
          <w:sz w:val="28"/>
          <w:sz w:val="28"/>
          <w:szCs w:val="28"/>
          <w:rtl w:val="true"/>
          <w:lang w:bidi="ar-SA"/>
        </w:rPr>
        <w:t xml:space="preserve">شِرك، تفسير مى‌كند </w:t>
      </w:r>
      <w:r>
        <w:rPr>
          <w:rStyle w:val="FootnoteAnchor"/>
          <w:rtl w:val="true"/>
        </w:rPr>
        <w:footnoteReference w:id="1970"/>
      </w:r>
      <w:r>
        <w:rPr>
          <w:rFonts w:ascii="IRNazanin" w:hAnsi="IRNazanin" w:eastAsia="IRNazanin"/>
          <w:color w:val="111111"/>
          <w:sz w:val="28"/>
          <w:sz w:val="28"/>
          <w:szCs w:val="28"/>
          <w:rtl w:val="true"/>
          <w:lang w:bidi="fa-IR"/>
        </w:rPr>
        <w:t>فخررازى جمله ليذهب عنكم الرّجس را اين‌گونه توضيح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يزيل عنكم الذّنوب و يطهّركم اي‌يلبسكم خلع الكرامة </w:t>
      </w:r>
      <w:r>
        <w:rPr>
          <w:rFonts w:eastAsia="IRNazanin" w:cs="IRNazanin"/>
          <w:color w:val="111111"/>
          <w:sz w:val="28"/>
          <w:szCs w:val="28"/>
          <w:rtl w:val="true"/>
          <w:lang w:bidi="fa-IR"/>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آيه شريفه صريح است در عصمت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تعبيرات به‌كار رفته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إثم، معاصى، شك، شِرك، شيطان، دَنَس، اخلاق و احوال مذموم، سوء و فحشاء، و همچنين دور بودن از آتش و اختصاص رحمت الهى و پوشاندن خلعت كرامت بر آن‌ها؛ همه بيانگر عصمت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ضحّاك بن مزاحم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همواره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اهل‌بيت طهّرهم‌اللهُ من شجرة النبوّة، و موضع الرّسالة، و مختلف‌الملائكة و بيت‌الرحمة و معدن‌العلم </w:t>
      </w:r>
      <w:r>
        <w:rPr>
          <w:rFonts w:eastAsia="Amiri" w:cs="Amiri" w:ascii="Amiri" w:hAnsi="Amiri"/>
          <w:color w:val="111111"/>
          <w:sz w:val="28"/>
          <w:szCs w:val="28"/>
          <w:rtl w:val="true"/>
          <w:lang w:bidi="ar-SA"/>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اينكه شيعه اماميه همين تعبيرات بزرگان اهل‌سنت را نسبت به‌امام معصوم خود به‌كار مى‌برند؛ با اين حال چرا متهم به‌غلو مى‌گردد، دليل روشنى جز عناد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اَطِيعُواْ اللهَ وَ اَطِيعُواْ الرَّسُولَ وَاُوْلِى الاَمْرِ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با قطع نظر از اينكه دليل شرعى و نقلى مستقل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از چند لحاظ مى‌توان به‌كمك آن دلايل عقلى زير را، بر عصمت امام تبيين كرد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خداوند به اطاعت او فرمان دهد، معصوم است؛ براى اينكه وجوب اطاعت غير معصوم به‌طور مطلق، محال است و از نظر عقل چنين دستورى قبيح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به‌اين است كه بر اساس آيه شريفه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حضرت به‌عنوان تكليف آورده انجام دهيم و از آنچه بازداشته دورى 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اطاعت رسول و اُولى‌الامر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واحد قرار داد؛ بنابراين عقلاً واجب است امام همانند رسول، معصوم باشد، و الا اجتماع امر به‌شىء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از همان شىء لازم مى‌آيد و اين جايز نيست</w:t>
      </w:r>
      <w:r>
        <w:rPr>
          <w:rFonts w:eastAsia="IRNazanin" w:cs="IRNazanin"/>
          <w:color w:val="111111"/>
          <w:sz w:val="28"/>
          <w:szCs w:val="28"/>
          <w:rtl w:val="true"/>
          <w:lang w:bidi="fa-IR"/>
        </w:rPr>
        <w:t xml:space="preserve">. </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أطيعوا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مفهوم صريح را مى‌رسانَد كه امر اُولي‌الامر همانند امر الرّسول از بينات است؛ و بى‌ترديد امر أولوالامر وقتى از بينات خواهد بود، كه او معصوم باشد، و غير معصوم چون گفتارش مفيد علم و يقين نيست، از بينات نخواهد بود، </w:t>
      </w:r>
      <w:r>
        <w:rPr>
          <w:rStyle w:val="FootnoteAnchor"/>
          <w:rtl w:val="true"/>
        </w:rPr>
        <w:footnoteReference w:id="1975"/>
      </w:r>
      <w:r>
        <w:rPr>
          <w:rFonts w:ascii="IRNazanin" w:hAnsi="IRNazanin" w:eastAsia="IRNazanin"/>
          <w:color w:val="111111"/>
          <w:sz w:val="28"/>
          <w:sz w:val="28"/>
          <w:szCs w:val="28"/>
          <w:rtl w:val="true"/>
          <w:lang w:bidi="fa-IR"/>
        </w:rPr>
        <w:t>پس عقلاً امام نمى‌تواند غير معصوم 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به‌دلايل عقلى استخراج شده از آيه، فخررازى با مقدمات عقلى كه فراهم مى‌سازد عصمت اولوالامر را اثبات كرده و مسير درستى را مى‌پيمايد، ولى در نتيجه‌گيرى خود دچار لغزش مى‌شود؛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آيه، چون فرمان قطعى به‌اطاعت از اولوالامر داده است، بايد اُولوالامر، معصوم از خطا باشد؛ زيرا اگر او معصوم از خطا نباشد، و در عين‌حال از او پيروى صورت گيرد، فرمان‌خدا به‌كار خطا رفته است، و خطا بدان جهت كه خطا است، مورد نهى‌خداوند خواهد بود؛ پس با فرض معصوم نبودن اولوالامر منجر به‌اجتماع امر و نهى در كار واحد به‌اعتبار واحد خواهد شد و اين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فَثَبَت أنّ‌الله تعالى أمَرَ بطاعة أولي الامر على سبيل الجزم، و ثبت أنّ كل مَن أمَرَالله بطاعته على سبيل الجزم، وجب أن يكون معصوماً عن الخطاء، فثبت قطعاً أنّ أولي‌الامر المذكور في هذه الآية لابدّ أن يكون معصُوماً </w:t>
      </w:r>
      <w:r>
        <w:rPr>
          <w:rFonts w:eastAsia="IRNazanin" w:cs="IRNazanin"/>
          <w:color w:val="111111"/>
          <w:sz w:val="28"/>
          <w:szCs w:val="28"/>
          <w:rtl w:val="true"/>
          <w:lang w:bidi="fa-IR"/>
        </w:rPr>
        <w:t xml:space="preserve">»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ولى اين مفسّر، در تطبيق اولوالامر بر مصداق خارجى آن، راهِ غيرمعقولانه‌اى را طى مى‌كند و با اين تحليل عقلى كه اين معصوم، يا مجموع أمّت است يا بعض امّت؛ و از آن‌جايى كه خداوند در آيه از يك‌سو، اطاعت او را قطعى ساخت و از ديگرسو، اطاعت بعض مشروط است به‌اينكه ما عارف به‌او باشيم در حالى‌كه ما او را و معصوم بودن او را نمى‌دانيم و عاجر هستيم، اين معصوم اهل حلّ و عقد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اجماع امت حجت است </w:t>
      </w:r>
      <w:r>
        <w:rPr>
          <w:rStyle w:val="FootnoteAnchor"/>
          <w:rtl w:val="true"/>
        </w:rPr>
        <w:footnoteReference w:id="1977"/>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اهل‌حَلّ وعقد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فخررازى است و هيج ريشه قرآنى ندارد؛ از اين رو سؤال اين است كه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ريزترين مسائل همانند هلال‌ماه يَسْاَلُونَكَ عَنِ الاهِلَّةِ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مى‌پرسيدند، 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نكردند؟ آيا به‌ذهن هيچ‌كدام از اصحاب نرسيد و تنها به‌ذهن فخررازى پس از صدهاسال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روشن است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اصحاب پيامبر واضح بوده است و آنها را جز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نمى‌دانستند</w:t>
      </w:r>
      <w:r>
        <w:rPr>
          <w:rFonts w:eastAsia="IRNazanin" w:cs="IRNazanin"/>
          <w:color w:val="111111"/>
          <w:sz w:val="28"/>
          <w:szCs w:val="28"/>
          <w:rtl w:val="true"/>
          <w:lang w:bidi="fa-IR"/>
        </w:rPr>
        <w:t xml:space="preserve">. </w:t>
      </w:r>
      <w:r>
        <w:rPr>
          <w:rStyle w:val="FootnoteAnchor"/>
          <w:rtl w:val="true"/>
        </w:rPr>
        <w:footnoteReference w:id="197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دلالت آيه را بر عصمت اولوالامر، قطعى شمرد ولى نتوانست براى آن مصداق خارجى جز اهل‌حلّ و عقد بيابد؛ عذر او اين است كه اين معصوم مورد نظر آيه، همه امت نيست، بعض امت هَم، بدان جهت كه ما آنها را نمى‌شناسيم نمى‌تواند باشد، چون نصّى نسبت به‌آن‌ها وجود ندارد</w:t>
      </w:r>
      <w:r>
        <w:rPr>
          <w:rFonts w:eastAsia="IRNazanin" w:cs="IRNazanin"/>
          <w:color w:val="111111"/>
          <w:sz w:val="28"/>
          <w:szCs w:val="28"/>
          <w:rtl w:val="true"/>
          <w:lang w:bidi="fa-IR"/>
        </w:rPr>
        <w:t xml:space="preserve">. </w:t>
      </w:r>
      <w:bookmarkStart w:id="733" w:name="pg1976_28408"/>
    </w:p>
    <w:p>
      <w:pPr>
        <w:pStyle w:val="BookText"/>
        <w:rPr/>
      </w:pPr>
      <w:bookmarkEnd w:id="733"/>
      <w:r>
        <w:rPr>
          <w:rFonts w:ascii="IRNazanin" w:hAnsi="IRNazanin" w:eastAsia="IRNazanin"/>
          <w:color w:val="111111"/>
          <w:sz w:val="28"/>
          <w:sz w:val="28"/>
          <w:szCs w:val="28"/>
          <w:rtl w:val="true"/>
          <w:lang w:bidi="fa-IR"/>
        </w:rPr>
        <w:t>در پاسخ اين مفسّر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اهل‌حل‌وعقد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نامفهوم است </w:t>
      </w:r>
      <w:r>
        <w:rPr>
          <w:rStyle w:val="FootnoteAnchor"/>
          <w:rtl w:val="true"/>
        </w:rPr>
        <w:footnoteReference w:id="1979"/>
      </w:r>
      <w:r>
        <w:rPr>
          <w:rFonts w:ascii="IRNazanin" w:hAnsi="IRNazanin" w:eastAsia="IRNazanin"/>
          <w:color w:val="111111"/>
          <w:sz w:val="28"/>
          <w:sz w:val="28"/>
          <w:szCs w:val="28"/>
          <w:rtl w:val="true"/>
          <w:lang w:bidi="fa-IR"/>
        </w:rPr>
        <w:t xml:space="preserve">، همين بعض، مقصود آيه است، و آنها را در كتاب‌خدا همانند آيات تطهير، ولايت، موّدت، ابلاغ و دَه‌ها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تنها حسكانى بيش از</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از آيات قرآن را در معرفى و فضائل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مى‌كند </w:t>
      </w:r>
      <w:r>
        <w:rPr>
          <w:rStyle w:val="FootnoteAnchor"/>
          <w:rtl w:val="true"/>
        </w:rPr>
        <w:footnoteReference w:id="1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احاديث متواتر ثقلين </w:t>
      </w:r>
      <w:r>
        <w:rPr>
          <w:rStyle w:val="FootnoteAnchor"/>
          <w:rtl w:val="true"/>
        </w:rPr>
        <w:footnoteReference w:id="1981"/>
      </w:r>
      <w:r>
        <w:rPr>
          <w:rFonts w:ascii="IRNazanin" w:hAnsi="IRNazanin" w:eastAsia="IRNazanin"/>
          <w:color w:val="111111"/>
          <w:sz w:val="28"/>
          <w:sz w:val="28"/>
          <w:szCs w:val="28"/>
          <w:rtl w:val="true"/>
          <w:lang w:bidi="fa-IR"/>
        </w:rPr>
        <w:t xml:space="preserve">، منزلت </w:t>
      </w:r>
      <w:r>
        <w:rPr>
          <w:rStyle w:val="FootnoteAnchor"/>
          <w:rtl w:val="true"/>
        </w:rPr>
        <w:footnoteReference w:id="1982"/>
      </w:r>
      <w:r>
        <w:rPr>
          <w:rFonts w:ascii="Amiri" w:hAnsi="Amiri" w:eastAsia="Amiri" w:cs="Amiri"/>
          <w:color w:val="111111"/>
          <w:sz w:val="28"/>
          <w:sz w:val="28"/>
          <w:szCs w:val="28"/>
          <w:rtl w:val="true"/>
          <w:lang w:bidi="ar-SA"/>
        </w:rPr>
        <w:t xml:space="preserve">، ولايت </w:t>
      </w:r>
      <w:r>
        <w:rPr>
          <w:rStyle w:val="FootnoteAnchor"/>
          <w:rtl w:val="true"/>
        </w:rPr>
        <w:footnoteReference w:id="1983"/>
      </w:r>
      <w:r>
        <w:rPr>
          <w:rFonts w:ascii="IRNazanin" w:hAnsi="IRNazanin" w:eastAsia="IRNazanin"/>
          <w:color w:val="111111"/>
          <w:sz w:val="28"/>
          <w:sz w:val="28"/>
          <w:szCs w:val="28"/>
          <w:rtl w:val="true"/>
          <w:lang w:bidi="fa-IR"/>
        </w:rPr>
        <w:t>و احاديث ديگر به‌گونه‌اى كه حاكم از ابن‌حنبل حكايت مى‌كند كه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 لِاَحد من أصحاب رسولِ‌الله من الفضائل ما جاء لعلي‌بن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همه اولوالامر را معرفى نموده است</w:t>
      </w:r>
      <w:r>
        <w:rPr>
          <w:rFonts w:eastAsia="IRNazanin" w:cs="IRNazanin"/>
          <w:color w:val="111111"/>
          <w:sz w:val="28"/>
          <w:szCs w:val="28"/>
          <w:rtl w:val="true"/>
          <w:lang w:bidi="fa-IR"/>
        </w:rPr>
        <w:t>.</w:t>
      </w:r>
    </w:p>
    <w:p>
      <w:pPr>
        <w:pStyle w:val="Heading6"/>
        <w:numPr>
          <w:ilvl w:val="5"/>
          <w:numId w:val="1"/>
        </w:numPr>
        <w:rPr/>
      </w:pPr>
      <w:bookmarkStart w:id="734" w:name="__RefHeading___Toc3767385_3650668749"/>
      <w:bookmarkStart w:id="735" w:name="_Toc271"/>
      <w:bookmarkEnd w:id="734"/>
      <w:r>
        <w:rPr>
          <w:rtl w:val="true"/>
        </w:rPr>
        <w:t>د</w:t>
      </w:r>
      <w:r>
        <w:rPr>
          <w:rtl w:val="true"/>
        </w:rPr>
        <w:t xml:space="preserve">) </w:t>
      </w:r>
      <w:r>
        <w:rPr>
          <w:rtl w:val="true"/>
        </w:rPr>
        <w:t xml:space="preserve">بررسى روايات عصمت امام </w:t>
      </w:r>
      <w:r>
        <w:rPr>
          <w:rtl w:val="true"/>
        </w:rPr>
        <w:t>(</w:t>
      </w:r>
      <w:r>
        <w:rPr>
          <w:rtl w:val="true"/>
        </w:rPr>
        <w:t>ع</w:t>
      </w:r>
      <w:r>
        <w:rPr>
          <w:rtl w:val="true"/>
        </w:rPr>
        <w:t>)</w:t>
      </w:r>
      <w:bookmarkEnd w:id="735"/>
    </w:p>
    <w:p>
      <w:pPr>
        <w:pStyle w:val="BookText"/>
        <w:rPr/>
      </w:pPr>
      <w:r>
        <w:rPr>
          <w:rFonts w:ascii="IRNazanin" w:hAnsi="IRNazanin" w:eastAsia="IRNazanin"/>
          <w:color w:val="111111"/>
          <w:sz w:val="28"/>
          <w:sz w:val="28"/>
          <w:szCs w:val="28"/>
          <w:rtl w:val="true"/>
          <w:lang w:bidi="fa-IR"/>
        </w:rPr>
        <w:t xml:space="preserve">با در نظر گرفتن مباحث گذشته و معصوم 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اكنون رواياتى‌كه ادعا شده نسبت به‌عصمت امام غلوّ شده، مورد ارزيابى قرار مى‌گيرد كه آيا به‌راستى كلينى در اين روايات غلوّ كرده است؟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أركان الارض </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قفارى و همفكران او، روايات اين باب را شاهد غلوّ در عصمت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قلمداد نموده‌اند </w:t>
      </w:r>
      <w:r>
        <w:rPr>
          <w:rStyle w:val="FootnoteAnchor"/>
          <w:rtl w:val="true"/>
        </w:rPr>
        <w:footnoteReference w:id="1985"/>
      </w:r>
      <w:r>
        <w:rPr>
          <w:rFonts w:ascii="Amiri" w:hAnsi="Amiri" w:eastAsia="Amiri" w:cs="Amiri"/>
          <w:color w:val="111111"/>
          <w:sz w:val="28"/>
          <w:sz w:val="28"/>
          <w:szCs w:val="28"/>
          <w:rtl w:val="true"/>
          <w:lang w:bidi="ar-SA"/>
        </w:rPr>
        <w:t xml:space="preserve">كلينى ذيل اين عنوان، سه حديث كه هر سه </w:t>
      </w:r>
    </w:p>
    <w:p>
      <w:pPr>
        <w:pStyle w:val="BookText"/>
        <w:rPr/>
      </w:pPr>
      <w:r>
        <w:rPr>
          <w:rFonts w:ascii="IRNazanin" w:hAnsi="IRNazanin" w:eastAsia="IRNazanin"/>
          <w:color w:val="111111"/>
          <w:sz w:val="28"/>
          <w:sz w:val="28"/>
          <w:szCs w:val="28"/>
          <w:rtl w:val="true"/>
          <w:lang w:bidi="fa-IR"/>
        </w:rPr>
        <w:t xml:space="preserve">ضعف دارد </w:t>
      </w:r>
      <w:r>
        <w:rPr>
          <w:rStyle w:val="FootnoteAnchor"/>
          <w:rtl w:val="true"/>
        </w:rPr>
        <w:footnoteReference w:id="1986"/>
      </w:r>
      <w:r>
        <w:rPr>
          <w:rFonts w:ascii="IRNazanin" w:hAnsi="IRNazanin" w:eastAsia="IRNazanin"/>
          <w:color w:val="111111"/>
          <w:sz w:val="28"/>
          <w:sz w:val="28"/>
          <w:szCs w:val="28"/>
          <w:rtl w:val="true"/>
          <w:lang w:bidi="fa-IR"/>
        </w:rPr>
        <w:t>گنجانده است و هر سه با محتواى مشترك چند نكته اساسى را اثبات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وامامان؛ در هر سه حديث،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مخلوقات عالم خوانده شده است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مقام نبوت </w:t>
      </w:r>
      <w:r>
        <w:rPr>
          <w:rStyle w:val="FootnoteAnchor"/>
          <w:rtl w:val="true"/>
        </w:rPr>
        <w:footnoteReference w:id="1987"/>
      </w:r>
      <w:r>
        <w:rPr>
          <w:rFonts w:ascii="IRNazanin" w:hAnsi="IRNazanin" w:eastAsia="IRNazanin"/>
          <w:color w:val="111111"/>
          <w:sz w:val="28"/>
          <w:sz w:val="28"/>
          <w:szCs w:val="28"/>
          <w:rtl w:val="true"/>
          <w:lang w:bidi="fa-IR"/>
        </w:rPr>
        <w:t xml:space="preserve">، همانند حضرت‌اند، به‌گونه‌اى كه ردّ و اعتراض و عيب‌گيرى به‌احكام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به‌خدا و احكام رسول‌خدا محسوب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حجت‌هاى خدا؛ همان‌گونه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و ستون زمين براى آسايش ساكنان زمين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حجت‌هاى خدا براى هدايت ناس وپايه‌هاى سكون اهل زمينند؛ به‌همين 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ازسوى خداوند تقسيم كننده بهشت و جهنم و معيار شناخت حق و باطل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معرفى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منصوب و مسئوول؛ همان‌گونه كه انبياى‌الهى و فرشتگان، به‌رسالت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وگواهى دادند، به‌ولايت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نيز اعتراف نمودند،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پيامبر مسئول و پاسخگو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گذشته و آينده؛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جانشينان پيامبراند، از دانش وسيع نسبت به‌گذشته و آينده وحال به‌اذن خداوند برخوردارند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نكات استخراج شده، روح احاديث سه‌گانه را تشكيل مى‌دهد </w:t>
      </w:r>
      <w:r>
        <w:rPr>
          <w:rStyle w:val="FootnoteAnchor"/>
          <w:rtl w:val="true"/>
        </w:rPr>
        <w:footnoteReference w:id="1988"/>
      </w:r>
      <w:r>
        <w:rPr>
          <w:rFonts w:ascii="IRNazanin" w:hAnsi="IRNazanin" w:eastAsia="IRNazanin"/>
          <w:color w:val="111111"/>
          <w:sz w:val="28"/>
          <w:sz w:val="28"/>
          <w:szCs w:val="28"/>
          <w:rtl w:val="true"/>
          <w:lang w:bidi="fa-IR"/>
        </w:rPr>
        <w:t xml:space="preserve">كه با توجّه به‌بحث معيار غلوّ؛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روايتى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شريك خدا، يا نقش الوهيت </w:t>
      </w:r>
      <w:r>
        <w:rPr>
          <w:rStyle w:val="FootnoteAnchor"/>
          <w:rtl w:val="true"/>
        </w:rPr>
        <w:footnoteReference w:id="1989"/>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حتى به‌نصّ روايات، برترى بر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نشده است، بلكه همه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فضيلت، كرامت، عصمت، علم و حجت بودن داراست، عطاى خداوند و در مسير اهداف الهى است، وقتى همه چيز در مسير خدا باشد، نمى‌تواند غلوِ باطل باشد؛ البته معيارى كه برخى از بزرگان اهل‌سنت ارائه داده‌اند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ابابكر و عمر، غلوّ شيعه است</w:t>
      </w:r>
      <w:r>
        <w:rPr>
          <w:rFonts w:eastAsia="IRNazanin" w:cs="IRNazanin"/>
          <w:color w:val="111111"/>
          <w:sz w:val="28"/>
          <w:szCs w:val="28"/>
          <w:rtl w:val="true"/>
          <w:lang w:bidi="fa-IR"/>
        </w:rPr>
        <w:t xml:space="preserve">» </w:t>
      </w:r>
      <w:r>
        <w:rPr>
          <w:rStyle w:val="FootnoteAnchor"/>
          <w:rtl w:val="true"/>
        </w:rPr>
        <w:footnoteReference w:id="1990"/>
      </w:r>
      <w:r>
        <w:rPr>
          <w:rFonts w:ascii="IRNazanin" w:hAnsi="IRNazanin" w:eastAsia="IRNazanin"/>
          <w:color w:val="111111"/>
          <w:sz w:val="28"/>
          <w:sz w:val="28"/>
          <w:szCs w:val="28"/>
          <w:rtl w:val="true"/>
          <w:lang w:bidi="fa-IR"/>
        </w:rPr>
        <w:t xml:space="preserve">، نَه ارزش علمى دارد و نَه براى ديگران جز خودشان حجت است و منابع اهل‌سنت پُر است از رواياتى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از همه اصحاب جز پيامبر دانسته است چنان‌كه مؤلف المستدرك على‌الصحيحين شهادت يكى از امامان اهل‌سنت را اين‌گونه گزارش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ماجاء لِاَحد من أصحاب رسول‌الله من الفضائل ما جاء لعلي‌بن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رضي‌الله‌عنه</w:t>
      </w:r>
      <w:r>
        <w:rPr>
          <w:rFonts w:eastAsia="IRNazanin" w:cs="IRNazanin"/>
          <w:color w:val="111111"/>
          <w:sz w:val="28"/>
          <w:szCs w:val="28"/>
          <w:rtl w:val="true"/>
          <w:lang w:bidi="fa-IR"/>
        </w:rPr>
        <w:t xml:space="preserve">) »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هرسه روايت كه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اركان الارض أن تميد بأهلها والحجة البالغة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 البالغة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 رفته، شكى نيست كه تعبير كنايى است؛ يعنى همان‌گونه كه در يك ساختمان ستون‌ها، وسيله ثبات و دوام آن مى‌گردد، زمين نيز از نظر معنا، دوام و پايداريش مبتنى بر حجت خدا در روى زمين است و با نبود حجت لحظه‌اى اهل زمين سكون و آرامش نخواهند داشت </w:t>
      </w:r>
      <w:r>
        <w:rPr>
          <w:rStyle w:val="FootnoteAnchor"/>
          <w:rtl w:val="true"/>
        </w:rPr>
        <w:footnoteReference w:id="1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قرآن، از رسولان بشارت‌دهنده و انذاركننده، به‌عنوان حجت قاطع ياد مى‌كند </w:t>
      </w:r>
      <w:r>
        <w:rPr>
          <w:rStyle w:val="FootnoteAnchor"/>
          <w:rtl w:val="true"/>
        </w:rPr>
        <w:footnoteReference w:id="1993"/>
      </w:r>
      <w:r>
        <w:rPr>
          <w:rFonts w:ascii="IRNazanin" w:hAnsi="IRNazanin" w:eastAsia="IRNazanin"/>
          <w:color w:val="111111"/>
          <w:sz w:val="28"/>
          <w:sz w:val="28"/>
          <w:szCs w:val="28"/>
          <w:rtl w:val="true"/>
          <w:lang w:bidi="fa-IR"/>
        </w:rPr>
        <w:t>و اين پيام جاودانى را مى‌دهد كه مشيت الهى بر اين رفته است كه همواره افرادى به‌عنوان حجت خدا باشند تا عذر و بهانه عباد منقطع گردد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قرطبى،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حجت خدا بر ملائكه </w:t>
      </w:r>
      <w:r>
        <w:rPr>
          <w:rStyle w:val="FootnoteAnchor"/>
          <w:rtl w:val="true"/>
        </w:rPr>
        <w:footnoteReference w:id="1994"/>
      </w:r>
      <w:r>
        <w:rPr>
          <w:rFonts w:ascii="IRNazanin" w:hAnsi="IRNazanin" w:eastAsia="IRNazanin"/>
          <w:color w:val="111111"/>
          <w:sz w:val="28"/>
          <w:sz w:val="28"/>
          <w:szCs w:val="28"/>
          <w:rtl w:val="true"/>
          <w:lang w:bidi="fa-IR"/>
        </w:rPr>
        <w:t xml:space="preserve">،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حجت‌خدا بر </w:t>
      </w:r>
    </w:p>
    <w:p>
      <w:pPr>
        <w:pStyle w:val="BookText"/>
        <w:rPr/>
      </w:pPr>
      <w:r>
        <w:rPr>
          <w:rFonts w:ascii="Amiri" w:hAnsi="Amiri" w:eastAsia="Amiri" w:cs="Amiri"/>
          <w:color w:val="111111"/>
          <w:sz w:val="28"/>
          <w:sz w:val="28"/>
          <w:szCs w:val="28"/>
          <w:rtl w:val="true"/>
          <w:lang w:bidi="ar-SA"/>
        </w:rPr>
        <w:t xml:space="preserve">اوّلين و آخِرينِ اين امت </w:t>
      </w:r>
      <w:r>
        <w:rPr>
          <w:rStyle w:val="FootnoteAnchor"/>
          <w:rtl w:val="true"/>
        </w:rPr>
        <w:footnoteReference w:id="1995"/>
      </w:r>
      <w:r>
        <w:rPr>
          <w:rFonts w:ascii="IRNazanin" w:hAnsi="IRNazanin" w:eastAsia="IRNazanin"/>
          <w:color w:val="111111"/>
          <w:sz w:val="28"/>
          <w:sz w:val="28"/>
          <w:szCs w:val="28"/>
          <w:rtl w:val="true"/>
          <w:lang w:bidi="fa-IR"/>
        </w:rPr>
        <w:t xml:space="preserve">و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را حجت‌خدا بر خلق </w:t>
      </w:r>
      <w:r>
        <w:rPr>
          <w:rStyle w:val="FootnoteAnchor"/>
          <w:rtl w:val="true"/>
        </w:rPr>
        <w:footnoteReference w:id="1996"/>
      </w:r>
      <w:r>
        <w:rPr>
          <w:rFonts w:ascii="Amiri" w:hAnsi="Amiri" w:eastAsia="Amiri" w:cs="Amiri"/>
          <w:color w:val="111111"/>
          <w:sz w:val="28"/>
          <w:sz w:val="28"/>
          <w:szCs w:val="28"/>
          <w:rtl w:val="true"/>
          <w:lang w:bidi="ar-SA"/>
        </w:rPr>
        <w:t xml:space="preserve">معرفى مى‌كنند، ابن‌عدى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997"/>
      </w:r>
      <w:r>
        <w:rPr>
          <w:rFonts w:ascii="IRNazanin" w:hAnsi="IRNazanin" w:eastAsia="IRNazanin"/>
          <w:color w:val="111111"/>
          <w:sz w:val="28"/>
          <w:sz w:val="28"/>
          <w:szCs w:val="28"/>
          <w:rtl w:val="true"/>
          <w:lang w:bidi="fa-IR"/>
        </w:rPr>
        <w:t xml:space="preserve">وابن‌عساكر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طريق </w:t>
      </w:r>
      <w:r>
        <w:rPr>
          <w:rStyle w:val="FootnoteAnchor"/>
          <w:rtl w:val="true"/>
        </w:rPr>
        <w:footnoteReference w:id="1998"/>
      </w:r>
      <w:r>
        <w:rPr>
          <w:rFonts w:ascii="IRNazanin" w:hAnsi="IRNazanin" w:eastAsia="IRNazanin"/>
          <w:color w:val="111111"/>
          <w:sz w:val="28"/>
          <w:sz w:val="28"/>
          <w:szCs w:val="28"/>
          <w:rtl w:val="true"/>
          <w:lang w:bidi="fa-IR"/>
        </w:rPr>
        <w:t xml:space="preserve">، و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99"/>
      </w:r>
      <w:r>
        <w:rPr>
          <w:rFonts w:ascii="Amiri" w:hAnsi="Amiri" w:eastAsia="Amiri" w:cs="Amiri"/>
          <w:color w:val="111111"/>
          <w:sz w:val="28"/>
          <w:sz w:val="28"/>
          <w:szCs w:val="28"/>
          <w:rtl w:val="true"/>
          <w:lang w:bidi="ar-SA"/>
        </w:rPr>
        <w:t xml:space="preserve">، از زبان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ايشان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حجت‌خدا بر خلق 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بر اساس منابع خود اهل‌سنت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حجت‌خدا بر خلق يا عباد خوانده شده و معناى حجت خدا بودن را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وَاَنتَ فِيهِمْ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به‌زيباترين وجه، بيان نموده است و شيعه اماميه با قطع نظر از احاديث امامان خود،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حجت‌خدا مى‌دانند؛ آيا تأسى به‌سنّت رسول‌الله جرم و شايسته متهم شدن به‌غلوّ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گذشته از آن، عماربن‌ياسر و أبى‌ايوب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عَلِيٍّ على المسلمين كحقِّ الوالِدِ عَلَى الوَلَد </w:t>
      </w:r>
      <w:r>
        <w:rPr>
          <w:rFonts w:eastAsia="IRNazanin" w:cs="IRNazanin"/>
          <w:color w:val="111111"/>
          <w:sz w:val="28"/>
          <w:szCs w:val="28"/>
          <w:rtl w:val="true"/>
          <w:lang w:bidi="fa-IR"/>
        </w:rPr>
        <w:t>»</w:t>
      </w:r>
      <w:r>
        <w:rPr>
          <w:rStyle w:val="FootnoteAnchor"/>
          <w:rtl w:val="true"/>
        </w:rPr>
        <w:footnoteReference w:id="2000"/>
      </w:r>
      <w:r>
        <w:rPr>
          <w:rFonts w:ascii="IRNazanin" w:hAnsi="IRNazanin" w:eastAsia="IRNazanin"/>
          <w:color w:val="111111"/>
          <w:sz w:val="28"/>
          <w:sz w:val="28"/>
          <w:szCs w:val="28"/>
          <w:rtl w:val="true"/>
          <w:lang w:bidi="fa-IR"/>
        </w:rPr>
        <w:t xml:space="preserve">، چگونه از نگاه پيروان محمدبن‌عبدالوهاب حجت خواندن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به‌اين همه روايت، غلوّ محسوب مى‌شود ولى اين عبارت در مورد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فالصّحابةُ كُلّهُم عُدولٌ، أولياءالله تعالى و أصفياؤهُ، و </w:t>
      </w:r>
      <w:r>
        <w:rPr>
          <w:rFonts w:eastAsia="IRNazanin" w:cs="IRNazanin"/>
          <w:color w:val="111111"/>
          <w:sz w:val="28"/>
          <w:szCs w:val="28"/>
          <w:rtl w:val="true"/>
          <w:lang w:bidi="fa-IR"/>
        </w:rPr>
        <w:t xml:space="preserve">. . .» </w:t>
      </w:r>
      <w:r>
        <w:rPr>
          <w:rStyle w:val="FootnoteAnchor"/>
          <w:rtl w:val="true"/>
        </w:rPr>
        <w:footnoteReference w:id="2001"/>
      </w:r>
      <w:r>
        <w:rPr>
          <w:rFonts w:ascii="Amiri" w:hAnsi="Amiri" w:eastAsia="Amiri" w:cs="Amiri"/>
          <w:color w:val="111111"/>
          <w:sz w:val="28"/>
          <w:sz w:val="28"/>
          <w:szCs w:val="28"/>
          <w:rtl w:val="true"/>
          <w:lang w:bidi="ar-SA"/>
        </w:rPr>
        <w:t>، غلّو نيست؟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جبرئيل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بفضائل عُمَربن الخطاب في </w:t>
      </w:r>
    </w:p>
    <w:p>
      <w:pPr>
        <w:pStyle w:val="BookText"/>
        <w:rPr/>
      </w:pP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لَوحدَّثتُكَ بفضائل عُمَر في السّماء مِثل ما لَبِثَ نُوح في قومه ألف سنة إلّا خمسين عاماً ما نَفِدت فضائل عُمَر</w:t>
      </w:r>
      <w:r>
        <w:rPr>
          <w:rFonts w:eastAsia="IRNazanin" w:cs="IRNazanin"/>
          <w:color w:val="111111"/>
          <w:sz w:val="28"/>
          <w:szCs w:val="28"/>
          <w:rtl w:val="true"/>
          <w:lang w:bidi="fa-IR"/>
        </w:rPr>
        <w:t xml:space="preserve">! » </w:t>
      </w:r>
      <w:r>
        <w:rPr>
          <w:rStyle w:val="FootnoteAnchor"/>
          <w:rtl w:val="true"/>
        </w:rPr>
        <w:footnoteReference w:id="2002"/>
      </w:r>
      <w:r>
        <w:rPr>
          <w:rFonts w:ascii="Amiri" w:hAnsi="Amiri" w:eastAsia="Amiri" w:cs="Amiri"/>
          <w:color w:val="111111"/>
          <w:sz w:val="28"/>
          <w:sz w:val="28"/>
          <w:szCs w:val="28"/>
          <w:rtl w:val="true"/>
          <w:lang w:bidi="ar-SA"/>
        </w:rPr>
        <w:t xml:space="preserve">، غلوّ محسوب نمى‌شود؛ فراتر از آن، اينكه ابواسحاق ابراهيم بن على بن يوسف الفيروزآبادى الشيرازى، حجةالله على أئمّة العصر، خوانده شده </w:t>
      </w:r>
      <w:r>
        <w:rPr>
          <w:rStyle w:val="FootnoteAnchor"/>
          <w:rtl w:val="true"/>
        </w:rPr>
        <w:footnoteReference w:id="2003"/>
      </w:r>
      <w:r>
        <w:rPr>
          <w:rFonts w:ascii="IRNazanin" w:hAnsi="IRNazanin" w:eastAsia="IRNazanin"/>
          <w:color w:val="111111"/>
          <w:sz w:val="28"/>
          <w:sz w:val="28"/>
          <w:szCs w:val="28"/>
          <w:rtl w:val="true"/>
          <w:lang w:bidi="fa-IR"/>
        </w:rPr>
        <w:t xml:space="preserve">و يا ابوعلى الثَّقفى، حجةالله على‌خلقه فى عصره، معرفى گرديده است </w:t>
      </w:r>
      <w:r>
        <w:rPr>
          <w:rStyle w:val="FootnoteAnchor"/>
          <w:rtl w:val="true"/>
        </w:rPr>
        <w:footnoteReference w:id="2004"/>
      </w:r>
      <w:r>
        <w:rPr>
          <w:rFonts w:ascii="IRNazanin" w:hAnsi="IRNazanin" w:eastAsia="IRNazanin"/>
          <w:color w:val="111111"/>
          <w:sz w:val="28"/>
          <w:sz w:val="28"/>
          <w:szCs w:val="28"/>
          <w:rtl w:val="true"/>
          <w:lang w:bidi="fa-IR"/>
        </w:rPr>
        <w:t>، شائبه‌اى از غلوّ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 دوگانه گويى چيست و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 و روح حديث سه‌گانه اين باب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أركان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بالاتر از آن در منابع اهل‌سنت،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أهل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محمّدبن سليمان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به‌سند خود از أياس بن سلمة بن الأكوع و او از پدرش،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ألنّجومُ أمانٌ لاَهلِ‌السّماء وأهلُ بيتي أمان لِأُمّتي، فإذا ذَهَبَ النّجوم جاءَ أهل‌السماءِ ما يوعَدون، وإذا ذَهَبَ أهل‌بيتي جاءَ أهل‌الأرضِ ما يوعدون </w:t>
      </w:r>
      <w:r>
        <w:rPr>
          <w:rFonts w:eastAsia="IRNazanin" w:cs="IRNazanin"/>
          <w:color w:val="111111"/>
          <w:sz w:val="28"/>
          <w:szCs w:val="28"/>
          <w:rtl w:val="true"/>
          <w:lang w:bidi="fa-IR"/>
        </w:rPr>
        <w:t xml:space="preserve">»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نيشابورى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به‌سند و عبارات ديگر نيز نقل و آن را صحيح مى‌داند </w:t>
      </w:r>
      <w:r>
        <w:rPr>
          <w:rStyle w:val="FootnoteAnchor"/>
          <w:rtl w:val="true"/>
        </w:rPr>
        <w:footnoteReference w:id="2006"/>
      </w:r>
      <w:r>
        <w:rPr>
          <w:rFonts w:ascii="IRNazanin" w:hAnsi="IRNazanin" w:eastAsia="IRNazanin"/>
          <w:color w:val="111111"/>
          <w:sz w:val="28"/>
          <w:sz w:val="28"/>
          <w:szCs w:val="28"/>
          <w:rtl w:val="true"/>
          <w:lang w:bidi="fa-IR"/>
        </w:rPr>
        <w:t xml:space="preserve">، هيتمى حديث را از چند طريق گزارش مى‌كند </w:t>
      </w:r>
      <w:r>
        <w:rPr>
          <w:rStyle w:val="FootnoteAnchor"/>
          <w:rtl w:val="true"/>
        </w:rPr>
        <w:footnoteReference w:id="2007"/>
      </w:r>
      <w:r>
        <w:rPr>
          <w:rFonts w:ascii="IRNazanin" w:hAnsi="IRNazanin" w:eastAsia="IRNazanin"/>
          <w:color w:val="111111"/>
          <w:sz w:val="28"/>
          <w:sz w:val="28"/>
          <w:szCs w:val="28"/>
          <w:rtl w:val="true"/>
          <w:lang w:bidi="fa-IR"/>
        </w:rPr>
        <w:t xml:space="preserve">،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008"/>
      </w:r>
      <w:r>
        <w:rPr>
          <w:rFonts w:ascii="IRNazanin" w:hAnsi="IRNazanin" w:eastAsia="IRNazanin"/>
          <w:color w:val="111111"/>
          <w:sz w:val="28"/>
          <w:sz w:val="28"/>
          <w:szCs w:val="28"/>
          <w:rtl w:val="true"/>
          <w:lang w:bidi="fa-IR"/>
        </w:rPr>
        <w:t xml:space="preserve">ابن‌حجر </w:t>
      </w:r>
    </w:p>
    <w:p>
      <w:pPr>
        <w:pStyle w:val="BookText"/>
        <w:rPr/>
      </w:pPr>
      <w:r>
        <w:rPr>
          <w:rFonts w:ascii="IRNazanin" w:hAnsi="IRNazanin" w:eastAsia="IRNazanin"/>
          <w:color w:val="111111"/>
          <w:sz w:val="28"/>
          <w:sz w:val="28"/>
          <w:szCs w:val="28"/>
          <w:rtl w:val="true"/>
          <w:lang w:bidi="fa-IR"/>
        </w:rPr>
        <w:t xml:space="preserve">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009"/>
      </w: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010"/>
      </w:r>
      <w:r>
        <w:rPr>
          <w:rFonts w:ascii="Amiri" w:hAnsi="Amiri" w:eastAsia="Amiri" w:cs="Amiri"/>
          <w:color w:val="111111"/>
          <w:sz w:val="28"/>
          <w:sz w:val="28"/>
          <w:szCs w:val="28"/>
          <w:rtl w:val="true"/>
          <w:lang w:bidi="ar-SA"/>
        </w:rPr>
        <w:t>هركدام حديث را نقل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روايتى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بيتش را همانند كشتى نوح كه نسل بشر را از نابودى كامل نجات داد، تشبيه نموده است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سمهودى بعد از نقل حديث، جايگاه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 دارد مراد از اهل‌بيت كه مَأمَن براى امّت خوانده شده، علماى اهل‌بيت باشند كه مردم توسط آنها هدايت مى‌شوند همان‌گونه كه با ستارگان آسمان، هدايت مى‌شوند، و آنها كسانى هستند كه وقتى زمين از وجود آنها خالى شد بر اهل زمين آنچه را كه آيات الهى وعده داده، نازل مى‌گردد و همه نابود مى‌شوند، و اين هنگامى است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خبر داده، وفات نمايد؛ زيرا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قتل دجّال در زمان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مى‌دهد و عيسى پشت سر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حديثى از مسند احمدبن‌حنبل از طريق ابى‌سعيدالخدرى نقل مى‌كند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مى‌دهد و با ظهور حضرت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فيملاءُ الأرض قِسطاً و عَدلا، ً كما مُلِئَت جوراً و ظُلما</w:t>
      </w:r>
      <w:r>
        <w:rPr>
          <w:rFonts w:eastAsia="IRNazanin" w:cs="IRNazanin"/>
          <w:color w:val="111111"/>
          <w:sz w:val="28"/>
          <w:szCs w:val="28"/>
          <w:rtl w:val="true"/>
          <w:lang w:bidi="fa-IR"/>
        </w:rPr>
        <w:t xml:space="preserve">. » </w:t>
      </w:r>
      <w:r>
        <w:rPr>
          <w:rStyle w:val="FootnoteAnchor"/>
          <w:rtl w:val="true"/>
        </w:rPr>
        <w:footnoteReference w:id="2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نظر خودش را اين‌گونه بيان 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ويحتمل و هوأظهر عندي أنَّ المراد من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أماناً لاُمّته أهل‌البيت مطلقاً، و أنّ‌الله تعالى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خلق الدنّيا بأسرها من أجل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دوامها بدوامه و دوام اهل بيته، فاذا انقضوا طُوِي بساطها، و لعلّ حكمه و سرّه أنّ الله جعل أهل بيت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مساوين له في أشياء كثيرة </w:t>
      </w:r>
      <w:r>
        <w:rPr>
          <w:rFonts w:eastAsia="IRNazanin" w:cs="IRNazanin"/>
          <w:color w:val="111111"/>
          <w:sz w:val="28"/>
          <w:szCs w:val="28"/>
          <w:rtl w:val="true"/>
          <w:lang w:bidi="fa-IR"/>
        </w:rPr>
        <w:t xml:space="preserve">» </w:t>
      </w:r>
      <w:r>
        <w:rPr>
          <w:rStyle w:val="FootnoteAnchor"/>
          <w:rtl w:val="true"/>
        </w:rPr>
        <w:footnoteReference w:id="2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فخررازى نقل </w:t>
      </w:r>
    </w:p>
    <w:p>
      <w:pPr>
        <w:pStyle w:val="BookText"/>
        <w:rPr/>
      </w:pPr>
      <w:r>
        <w:rPr>
          <w:rFonts w:ascii="IRNazanin" w:hAnsi="IRNazanin" w:eastAsia="IRNazanin"/>
          <w:color w:val="111111"/>
          <w:sz w:val="28"/>
          <w:sz w:val="28"/>
          <w:szCs w:val="28"/>
          <w:rtl w:val="true"/>
          <w:lang w:bidi="fa-IR"/>
        </w:rPr>
        <w:t>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اهل‌بيت نبى را در پنج چيز مساوى خود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سلام </w:t>
      </w:r>
      <w:r>
        <w:rPr>
          <w:rStyle w:val="FootnoteAnchor"/>
          <w:rtl w:val="true"/>
        </w:rPr>
        <w:footnoteReference w:id="2014"/>
      </w:r>
      <w:r>
        <w:rPr>
          <w:rFonts w:ascii="IRNazanin" w:hAnsi="IRNazanin" w:eastAsia="IRNazanin"/>
          <w:color w:val="111111"/>
          <w:sz w:val="28"/>
          <w:sz w:val="28"/>
          <w:szCs w:val="28"/>
          <w:rtl w:val="true"/>
          <w:lang w:bidi="fa-IR"/>
        </w:rPr>
        <w:t xml:space="preserve">، صلوات </w:t>
      </w:r>
      <w:r>
        <w:rPr>
          <w:rStyle w:val="FootnoteAnchor"/>
          <w:rtl w:val="true"/>
        </w:rPr>
        <w:footnoteReference w:id="2015"/>
      </w:r>
      <w:r>
        <w:rPr>
          <w:rFonts w:ascii="IRNazanin" w:hAnsi="IRNazanin" w:eastAsia="IRNazanin"/>
          <w:color w:val="111111"/>
          <w:sz w:val="28"/>
          <w:sz w:val="28"/>
          <w:szCs w:val="28"/>
          <w:rtl w:val="true"/>
          <w:lang w:bidi="fa-IR"/>
        </w:rPr>
        <w:t xml:space="preserve">، طهارت </w:t>
      </w:r>
      <w:r>
        <w:rPr>
          <w:rStyle w:val="FootnoteAnchor"/>
          <w:rtl w:val="true"/>
        </w:rPr>
        <w:footnoteReference w:id="2016"/>
      </w:r>
      <w:r>
        <w:rPr>
          <w:rFonts w:ascii="IRNazanin" w:hAnsi="IRNazanin" w:eastAsia="IRNazanin"/>
          <w:color w:val="111111"/>
          <w:sz w:val="28"/>
          <w:sz w:val="28"/>
          <w:szCs w:val="28"/>
          <w:rtl w:val="true"/>
          <w:lang w:bidi="fa-IR"/>
        </w:rPr>
        <w:t xml:space="preserve">، حرمت صدقه </w:t>
      </w:r>
      <w:r>
        <w:rPr>
          <w:rStyle w:val="FootnoteAnchor"/>
          <w:rtl w:val="true"/>
        </w:rPr>
        <w:footnoteReference w:id="2017"/>
      </w:r>
      <w:r>
        <w:rPr>
          <w:rFonts w:ascii="Amiri" w:hAnsi="Amiri" w:eastAsia="Amiri" w:cs="Amiri"/>
          <w:color w:val="111111"/>
          <w:sz w:val="28"/>
          <w:sz w:val="28"/>
          <w:szCs w:val="28"/>
          <w:rtl w:val="true"/>
          <w:lang w:bidi="ar-SA"/>
        </w:rPr>
        <w:t xml:space="preserve">و محبّت </w:t>
      </w:r>
      <w:r>
        <w:rPr>
          <w:rStyle w:val="FootnoteAnchor"/>
          <w:rtl w:val="true"/>
        </w:rPr>
        <w:footnoteReference w:id="2018"/>
      </w:r>
      <w:r>
        <w:rPr>
          <w:rFonts w:ascii="Amiri" w:hAnsi="Amiri" w:eastAsia="Amiri" w:cs="Amiri"/>
          <w:color w:val="111111"/>
          <w:sz w:val="28"/>
          <w:sz w:val="28"/>
          <w:szCs w:val="28"/>
          <w:rtl w:val="true"/>
          <w:lang w:bidi="ar-SA"/>
        </w:rPr>
        <w:t>، اما خودش تصريح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تأمّل ما سَبَقَ و سيأتي في كتابنا هذا إتّضح له المساواة في امور كثيرة غير ذلك، والله أعلم </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به‌اعتراف عالمان اهل‌سنت نسبت به‌جايگاه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رواياتى كه از منابع خود آنها اشاره شد، ترديدى باقى نخواهد ماند كه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هُم اركان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غلوّ نيست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طاعة الائمة </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هفده‌گانه اين باب، يكى ديگر از مواردى است كه به‌اعتقاد قفارى و همفكران وى، غلوّ در عصمت، ادعاى رسالت و الوهيت امام، سرانجام خروج از اسلام را مى‌رساند، و محتواى آنها را چنان كفرآميز مى‌دانند كه حتى از ملحدان نيز، صادر نشده است</w:t>
      </w:r>
      <w:r>
        <w:rPr>
          <w:rFonts w:eastAsia="IRNazanin" w:cs="IRNazanin"/>
          <w:color w:val="111111"/>
          <w:sz w:val="28"/>
          <w:szCs w:val="28"/>
          <w:rtl w:val="true"/>
          <w:lang w:bidi="fa-IR"/>
        </w:rPr>
        <w:t xml:space="preserve">! </w:t>
      </w:r>
      <w:r>
        <w:rPr>
          <w:rStyle w:val="FootnoteAnchor"/>
          <w:rtl w:val="true"/>
        </w:rPr>
        <w:footnoteReference w:id="2021"/>
      </w:r>
      <w:r>
        <w:rPr>
          <w:rFonts w:ascii="IRNazanin" w:hAnsi="IRNazanin" w:eastAsia="IRNazanin"/>
          <w:color w:val="111111"/>
          <w:sz w:val="28"/>
          <w:sz w:val="28"/>
          <w:szCs w:val="28"/>
          <w:rtl w:val="true"/>
          <w:lang w:bidi="fa-IR"/>
        </w:rPr>
        <w:t xml:space="preserve">هرچند اسناد احاديث اين باب، خالى از مشكل نيست </w:t>
      </w:r>
      <w:r>
        <w:rPr>
          <w:rStyle w:val="FootnoteAnchor"/>
          <w:rtl w:val="true"/>
        </w:rPr>
        <w:footnoteReference w:id="2022"/>
      </w:r>
      <w:r>
        <w:rPr>
          <w:rFonts w:ascii="IRNazanin" w:hAnsi="IRNazanin" w:eastAsia="IRNazanin"/>
          <w:color w:val="111111"/>
          <w:sz w:val="28"/>
          <w:sz w:val="28"/>
          <w:szCs w:val="28"/>
          <w:rtl w:val="true"/>
          <w:lang w:bidi="fa-IR"/>
        </w:rPr>
        <w:t xml:space="preserve">ولى از نگاه مضامين با توجّه به‌شواهد موجود، صحيح و قابل </w:t>
      </w:r>
    </w:p>
    <w:p>
      <w:pPr>
        <w:pStyle w:val="BookText"/>
        <w:rPr/>
      </w:pPr>
      <w:r>
        <w:rPr>
          <w:rFonts w:ascii="Amiri" w:hAnsi="Amiri" w:eastAsia="Amiri" w:cs="Amiri"/>
          <w:color w:val="111111"/>
          <w:sz w:val="28"/>
          <w:sz w:val="28"/>
          <w:szCs w:val="28"/>
          <w:rtl w:val="true"/>
          <w:lang w:bidi="ar-SA"/>
        </w:rPr>
        <w:t xml:space="preserve">تأييد است </w:t>
      </w:r>
      <w:r>
        <w:rPr>
          <w:rStyle w:val="FootnoteAnchor"/>
          <w:rtl w:val="true"/>
        </w:rPr>
        <w:footnoteReference w:id="2023"/>
      </w:r>
      <w:r>
        <w:rPr>
          <w:rFonts w:ascii="Amiri" w:hAnsi="Amiri" w:eastAsia="Amiri" w:cs="Amiri"/>
          <w:color w:val="111111"/>
          <w:sz w:val="28"/>
          <w:sz w:val="28"/>
          <w:szCs w:val="28"/>
          <w:rtl w:val="true"/>
          <w:lang w:bidi="ar-SA"/>
        </w:rPr>
        <w:t>براى توضيح بيشتر نكات زير قابل ذكر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روايات</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گانه باب را عناوين زير به‌صورت آميخته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رسول‌الله، اطاعت خداوند </w:t>
      </w:r>
      <w:r>
        <w:rPr>
          <w:rStyle w:val="FootnoteAnchor"/>
          <w:rtl w:val="true"/>
        </w:rPr>
        <w:footnoteReference w:id="2024"/>
      </w:r>
      <w:r>
        <w:rPr>
          <w:rFonts w:ascii="Amiri" w:hAnsi="Amiri" w:eastAsia="Amiri" w:cs="Amiri"/>
          <w:color w:val="111111"/>
          <w:sz w:val="28"/>
          <w:sz w:val="28"/>
          <w:szCs w:val="28"/>
          <w:rtl w:val="true"/>
          <w:lang w:bidi="ar-SA"/>
        </w:rPr>
        <w:t xml:space="preserve">ائمّه در اطاعت، شريك اطاعت رسول </w:t>
      </w:r>
      <w:r>
        <w:rPr>
          <w:rStyle w:val="FootnoteAnchor"/>
          <w:rtl w:val="true"/>
        </w:rPr>
        <w:footnoteReference w:id="2025"/>
      </w:r>
      <w:r>
        <w:rPr>
          <w:rFonts w:ascii="Amiri" w:hAnsi="Amiri" w:eastAsia="Amiri" w:cs="Amiri"/>
          <w:color w:val="111111"/>
          <w:sz w:val="28"/>
          <w:sz w:val="28"/>
          <w:szCs w:val="28"/>
          <w:rtl w:val="true"/>
          <w:lang w:bidi="ar-SA"/>
        </w:rPr>
        <w:t xml:space="preserve">مفترضةالطاعه بودن أئمّه </w:t>
      </w:r>
      <w:r>
        <w:rPr>
          <w:rStyle w:val="FootnoteAnchor"/>
          <w:rtl w:val="true"/>
        </w:rPr>
        <w:footnoteReference w:id="2026"/>
      </w:r>
      <w:r>
        <w:rPr>
          <w:rFonts w:ascii="Amiri" w:hAnsi="Amiri" w:eastAsia="Amiri" w:cs="Amiri"/>
          <w:color w:val="111111"/>
          <w:sz w:val="28"/>
          <w:sz w:val="28"/>
          <w:szCs w:val="28"/>
          <w:rtl w:val="true"/>
          <w:lang w:bidi="ar-SA"/>
        </w:rPr>
        <w:t xml:space="preserve">تفسير آيات اطاعت </w:t>
      </w:r>
      <w:r>
        <w:rPr>
          <w:rStyle w:val="FootnoteAnchor"/>
          <w:rtl w:val="true"/>
        </w:rPr>
        <w:footnoteReference w:id="2027"/>
      </w:r>
      <w:r>
        <w:rPr>
          <w:rFonts w:ascii="IRNazanin" w:hAnsi="IRNazanin" w:eastAsia="IRNazanin"/>
          <w:color w:val="111111"/>
          <w:sz w:val="28"/>
          <w:sz w:val="28"/>
          <w:szCs w:val="28"/>
          <w:rtl w:val="true"/>
          <w:lang w:bidi="fa-IR"/>
        </w:rPr>
        <w:t xml:space="preserve">انكار امامان كفر، و عدم معرفت به‌آنها گمراهى </w:t>
      </w:r>
      <w:r>
        <w:rPr>
          <w:rStyle w:val="FootnoteAnchor"/>
          <w:rtl w:val="true"/>
        </w:rPr>
        <w:footnoteReference w:id="2028"/>
      </w:r>
      <w:r>
        <w:rPr>
          <w:rFonts w:ascii="Amiri" w:hAnsi="Amiri" w:eastAsia="Amiri" w:cs="Amiri"/>
          <w:color w:val="111111"/>
          <w:sz w:val="28"/>
          <w:sz w:val="28"/>
          <w:szCs w:val="28"/>
          <w:rtl w:val="true"/>
          <w:lang w:bidi="ar-SA"/>
        </w:rPr>
        <w:t xml:space="preserve">حُبّ أهل‌بيت ايمان و بغض آنها كفر </w:t>
      </w:r>
      <w:r>
        <w:rPr>
          <w:rStyle w:val="FootnoteAnchor"/>
          <w:rtl w:val="true"/>
        </w:rPr>
        <w:footnoteReference w:id="2029"/>
      </w:r>
      <w:r>
        <w:rPr>
          <w:rFonts w:ascii="IRNazanin" w:hAnsi="IRNazanin" w:eastAsia="IRNazanin"/>
          <w:color w:val="111111"/>
          <w:sz w:val="28"/>
          <w:sz w:val="28"/>
          <w:szCs w:val="28"/>
          <w:rtl w:val="true"/>
          <w:lang w:bidi="fa-IR"/>
        </w:rPr>
        <w:t xml:space="preserve">پيامبر و امامان به‌ترتيب حجتند </w:t>
      </w:r>
      <w:r>
        <w:rPr>
          <w:rStyle w:val="FootnoteAnchor"/>
          <w:rtl w:val="true"/>
        </w:rPr>
        <w:footnoteReference w:id="2030"/>
      </w:r>
      <w:r>
        <w:rPr>
          <w:rFonts w:ascii="IRNazanin" w:hAnsi="IRNazanin" w:eastAsia="IRNazanin"/>
          <w:color w:val="111111"/>
          <w:sz w:val="28"/>
          <w:sz w:val="28"/>
          <w:szCs w:val="28"/>
          <w:rtl w:val="true"/>
          <w:lang w:bidi="fa-IR"/>
        </w:rPr>
        <w:t xml:space="preserve">و عالم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به‌قرآن</w:t>
      </w:r>
      <w:r>
        <w:rPr>
          <w:rFonts w:eastAsia="IRNazanin" w:cs="IRNazanin"/>
          <w:color w:val="111111"/>
          <w:sz w:val="28"/>
          <w:szCs w:val="28"/>
          <w:rtl w:val="true"/>
          <w:lang w:bidi="fa-IR"/>
        </w:rPr>
        <w:t xml:space="preserve">. </w:t>
      </w:r>
      <w:r>
        <w:rPr>
          <w:rStyle w:val="FootnoteAnchor"/>
          <w:rtl w:val="true"/>
        </w:rPr>
        <w:footnoteReference w:id="2031"/>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هيچ‌كدام از روايات آنچه را دكتر قفارى و ديگران ادعا كرده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الوهيت و رسالت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تعابير كفر آميزى كه سبب خروج از دين مى‌شود، وجود ندارد و اين مى‌رساند كه وى خود، نسبت به‌داورى باورهاى ديگران دچار غلو شده است كه بى‌ترديد در مباحث علمى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او و همفكرانش از تعبيرات و جملات زير، برداشت غلوآميز كرده باشند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امامٌ فَرَضَ‌الله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طاعتنا </w:t>
      </w:r>
      <w:r>
        <w:rPr>
          <w:rFonts w:eastAsia="Amiri" w:cs="Amiri" w:ascii="Amiri" w:hAnsi="Amiri"/>
          <w:color w:val="111111"/>
          <w:sz w:val="28"/>
          <w:szCs w:val="28"/>
          <w:rtl w:val="true"/>
          <w:lang w:bidi="ar-SA"/>
        </w:rPr>
        <w:t xml:space="preserve">» </w:t>
      </w:r>
      <w:r>
        <w:rPr>
          <w:rStyle w:val="FootnoteAnchor"/>
          <w:rtl w:val="true"/>
        </w:rPr>
        <w:footnoteReference w:id="2032"/>
      </w:r>
      <w:r>
        <w:rPr>
          <w:rFonts w:ascii="Amiri" w:hAnsi="Amiri" w:eastAsia="Amiri" w:cs="Amiri"/>
          <w:color w:val="111111"/>
          <w:sz w:val="28"/>
          <w:sz w:val="28"/>
          <w:szCs w:val="28"/>
          <w:rtl w:val="true"/>
          <w:lang w:bidi="ar-SA"/>
        </w:rPr>
        <w:t xml:space="preserve">كه در اكثر روايات به‌الفاظ مختلف و در عنوان باب ذكرشده؛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عَرَفَنا كانَ مؤمِناً، ومَن أنكَرَنا كان كافراً، ومَن لم يَعرِفنا ولم يُنكرنا كان ضآلاً</w:t>
      </w:r>
      <w:r>
        <w:rPr>
          <w:rFonts w:eastAsia="Amiri" w:cs="Amiri" w:ascii="Amiri" w:hAnsi="Amiri"/>
          <w:color w:val="111111"/>
          <w:sz w:val="28"/>
          <w:szCs w:val="28"/>
          <w:rtl w:val="true"/>
          <w:lang w:bidi="ar-SA"/>
        </w:rPr>
        <w:t xml:space="preserve">. . . » </w:t>
      </w:r>
      <w:r>
        <w:rPr>
          <w:rStyle w:val="FootnoteAnchor"/>
          <w:rtl w:val="true"/>
        </w:rPr>
        <w:footnoteReference w:id="20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النّاس بعد رسول‌الله </w:t>
      </w:r>
      <w:r>
        <w:rPr>
          <w:rFonts w:eastAsia="Amiri" w:cs="Amiri" w:ascii="Amiri" w:hAnsi="Amiri"/>
          <w:color w:val="111111"/>
          <w:sz w:val="28"/>
          <w:szCs w:val="28"/>
          <w:rtl w:val="true"/>
          <w:lang w:bidi="ar-SA"/>
        </w:rPr>
        <w:t xml:space="preserve">» </w:t>
      </w:r>
      <w:r>
        <w:rPr>
          <w:rStyle w:val="FootnoteAnchor"/>
          <w:rtl w:val="true"/>
        </w:rPr>
        <w:footnoteReference w:id="2034"/>
      </w:r>
      <w:r>
        <w:rPr>
          <w:rFonts w:ascii="IRNazanin" w:hAnsi="IRNazanin" w:eastAsia="IRNazanin"/>
          <w:color w:val="111111"/>
          <w:sz w:val="28"/>
          <w:sz w:val="28"/>
          <w:szCs w:val="28"/>
          <w:rtl w:val="true"/>
          <w:lang w:bidi="fa-IR"/>
        </w:rPr>
        <w:t xml:space="preserve">، كه با توجّه به‌مباحث گذشته؛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فوق، غلوِّ باطلى كه به‌امامان نقش خدايى بدهد نيست؛ زيرا در هيچ‌يك از روايات حتى اشاره نشده كه امام با قطع نظر از خداوند، واجب‌الطاعه و يا پيامبر است بلكه به‌صراحت تمام مى‌گويد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إمامٌ فَرَضَ‌اللهُ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فَرَضَ‌الله طاعتنا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تعبيرات روايات تبيين و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اَطِيعُواْ اللهَ وَاَطِيعُواْ الرَّسُولَ وَاُوْلِى الاَمْرِ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درتوضيح آيه، مفصّل بررسى شد و فخررازى به‌معصوم بودن اولوالأمر اعتراف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اَطِيعُوا در آيه شريفه، وجوب اطاعت را مى‌رساند </w:t>
      </w:r>
      <w:r>
        <w:rPr>
          <w:rStyle w:val="FootnoteAnchor"/>
          <w:rtl w:val="true"/>
        </w:rPr>
        <w:footnoteReference w:id="2035"/>
      </w:r>
      <w:r>
        <w:rPr>
          <w:rFonts w:ascii="IRNazanin" w:hAnsi="IRNazanin" w:eastAsia="IRNazanin"/>
          <w:color w:val="111111"/>
          <w:sz w:val="28"/>
          <w:sz w:val="28"/>
          <w:szCs w:val="28"/>
          <w:rtl w:val="true"/>
          <w:lang w:bidi="fa-IR"/>
        </w:rPr>
        <w:t xml:space="preserve">و به‌اعتقاد فخررازى امت اجماع دارد كه اطاعت امراء و سلاطين در صورتى كه محق باشند واجب و جزءِ از اجماع بر اطاعت از كتاب و سنت، محسوب مى‌گردد </w:t>
      </w:r>
      <w:r>
        <w:rPr>
          <w:rStyle w:val="FootnoteAnchor"/>
          <w:rtl w:val="true"/>
        </w:rPr>
        <w:footnoteReference w:id="2036"/>
      </w:r>
      <w:r>
        <w:rPr>
          <w:rFonts w:ascii="Amiri" w:hAnsi="Amiri" w:eastAsia="Amiri" w:cs="Amiri"/>
          <w:color w:val="111111"/>
          <w:sz w:val="28"/>
          <w:sz w:val="28"/>
          <w:szCs w:val="28"/>
          <w:rtl w:val="true"/>
          <w:lang w:bidi="ar-SA"/>
        </w:rPr>
        <w:t xml:space="preserve">و اطاعت اولوالامر كه وى معصوم بودنش را قطعى شمرد و مصداق واقعى آن را اهل‌حل و عقد دانست، واجب است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ديگر از عالمان اهل‌سنت وقتى همين آيه را تفسير مى‌كنند، مصداق اولى‌الامر را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در ذيل آيه، حديث ثقلين را به عنوان تفسير آن مى‌آورد </w:t>
      </w:r>
      <w:r>
        <w:rPr>
          <w:rStyle w:val="FootnoteAnchor"/>
          <w:rtl w:val="true"/>
        </w:rPr>
        <w:footnoteReference w:id="2038"/>
      </w:r>
      <w:r>
        <w:rPr>
          <w:rFonts w:ascii="IRNazanin" w:hAnsi="IRNazanin" w:eastAsia="IRNazanin"/>
          <w:color w:val="111111"/>
          <w:sz w:val="28"/>
          <w:sz w:val="28"/>
          <w:szCs w:val="28"/>
          <w:rtl w:val="true"/>
          <w:lang w:bidi="fa-IR"/>
        </w:rPr>
        <w:t xml:space="preserve">و يا گروه ديگر به‌مناسبت همين آيه شريفه، اطاعت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برمؤمنان فرض و اهل جمل و صفين و نهروان را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به‌مقاتله برخاستند، بغات مى‌شمارند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در منابع روايى وهابى‌ها دَه‌ها حديث يافت مى‌شود كه اطاعت از امام </w:t>
      </w:r>
    </w:p>
    <w:p>
      <w:pPr>
        <w:pStyle w:val="BookText"/>
        <w:rPr/>
      </w:pPr>
      <w:r>
        <w:rPr>
          <w:rFonts w:ascii="IRNazanin" w:hAnsi="IRNazanin" w:eastAsia="IRNazanin"/>
          <w:color w:val="111111"/>
          <w:sz w:val="28"/>
          <w:sz w:val="28"/>
          <w:szCs w:val="28"/>
          <w:rtl w:val="true"/>
          <w:lang w:bidi="fa-IR"/>
        </w:rPr>
        <w:t>و امير و سلطان را هرچند ستمگر باشند، فرض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أطاعَنِي فقد أطاعَ اللهَ، ومَن يَعصِنِي فقد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ى‌اللهَ، و مَن يُطِع الاَميرَ فقَد أطاعَنِي و مَن‌يَعصِ الاَميرَ فقد عَصَانِي </w:t>
      </w:r>
      <w:r>
        <w:rPr>
          <w:rFonts w:eastAsia="Amiri" w:cs="Amiri" w:ascii="Amiri" w:hAnsi="Amiri"/>
          <w:color w:val="111111"/>
          <w:sz w:val="28"/>
          <w:szCs w:val="28"/>
          <w:rtl w:val="true"/>
          <w:lang w:bidi="ar-SA"/>
        </w:rPr>
        <w:t xml:space="preserve">» . </w:t>
      </w:r>
      <w:r>
        <w:rPr>
          <w:rStyle w:val="FootnoteAnchor"/>
          <w:rtl w:val="true"/>
        </w:rPr>
        <w:footnoteReference w:id="2040"/>
      </w:r>
      <w:r>
        <w:rPr>
          <w:rFonts w:ascii="Amiri" w:hAnsi="Amiri" w:eastAsia="Amiri" w:cs="Amiri"/>
          <w:color w:val="111111"/>
          <w:sz w:val="28"/>
          <w:sz w:val="28"/>
          <w:szCs w:val="28"/>
          <w:rtl w:val="true"/>
          <w:lang w:bidi="ar-SA"/>
        </w:rPr>
        <w:t xml:space="preserve">بيهقى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السّمع و الطّاعة للاِمام و مَن ينوب عنه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همين حديث را نقل مى‌كند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اشعث‌بن‌قيس از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إستَمِعوُا و أطيعوا، فإنّما عليهم ماحُمّلوُا و عليكم ما حُمِّلتُم </w:t>
      </w:r>
      <w:r>
        <w:rPr>
          <w:rFonts w:eastAsia="Amiri" w:cs="Amiri" w:ascii="Amiri" w:hAnsi="Amiri"/>
          <w:color w:val="111111"/>
          <w:sz w:val="28"/>
          <w:szCs w:val="28"/>
          <w:rtl w:val="true"/>
          <w:lang w:bidi="ar-SA"/>
        </w:rPr>
        <w:t xml:space="preserve">» </w:t>
      </w:r>
      <w:r>
        <w:rPr>
          <w:rStyle w:val="FootnoteAnchor"/>
          <w:rtl w:val="true"/>
        </w:rPr>
        <w:footnoteReference w:id="2042"/>
      </w:r>
      <w:r>
        <w:rPr>
          <w:rFonts w:ascii="Amiri" w:hAnsi="Amiri" w:eastAsia="Amiri" w:cs="Amiri"/>
          <w:color w:val="111111"/>
          <w:sz w:val="28"/>
          <w:sz w:val="28"/>
          <w:szCs w:val="28"/>
          <w:rtl w:val="true"/>
          <w:lang w:bidi="ar-SA"/>
        </w:rPr>
        <w:t>را نقل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حُذيفة بن يمان ضمن سؤالى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زمانى فرا مى‌رسد كه پس از خير، شرّى دامنگير ما بشود؟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ائمّه‌اى به‌قدرت مى‌رسند كه نَه مردم را هدايت و نه به‌سنّت من عمل مى‌كنند، قلب‌هاى شيطانى دارند در جسم انسان‌ها؛ وظيفه شما اين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تَسمَعُ و تُطِيعُ للاَميرِ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ضُرِبَ ظَهرُكَ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و أطِع</w:t>
      </w:r>
      <w:r>
        <w:rPr>
          <w:rFonts w:eastAsia="IRNazanin" w:cs="IRNazanin"/>
          <w:color w:val="111111"/>
          <w:sz w:val="28"/>
          <w:szCs w:val="28"/>
          <w:rtl w:val="true"/>
          <w:lang w:bidi="fa-IR"/>
        </w:rPr>
        <w:t xml:space="preserve">! »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ابى‌ذر حكايت شده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خَليلي أوصاني أن أسمَعَ وأُطِيعَ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إن‌كان عَبداً مُجَدّعَ الاَطرافِ </w:t>
      </w:r>
      <w:r>
        <w:rPr>
          <w:rFonts w:eastAsia="Amiri" w:cs="Amiri" w:ascii="Amiri" w:hAnsi="Amiri"/>
          <w:color w:val="111111"/>
          <w:sz w:val="28"/>
          <w:szCs w:val="28"/>
          <w:rtl w:val="true"/>
          <w:lang w:bidi="ar-SA"/>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نقل‌هاى ديگر به‌همين مضمون به‌رسول‌الله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در برخى نقل‌ها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فى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Style w:val="FootnoteAnchor"/>
          <w:rtl w:val="true"/>
        </w:rPr>
        <w:footnoteReference w:id="2045"/>
      </w:r>
      <w:r>
        <w:rPr>
          <w:rFonts w:ascii="IRNazanin" w:hAnsi="IRNazanin" w:eastAsia="IRNazanin"/>
          <w:color w:val="111111"/>
          <w:sz w:val="28"/>
          <w:sz w:val="28"/>
          <w:szCs w:val="28"/>
          <w:rtl w:val="true"/>
          <w:lang w:bidi="fa-IR"/>
        </w:rPr>
        <w:t xml:space="preserve">، كه همه حاكى از اين است كه اطاعت حاكم و امام، فرض است، به‌ويژه بيهقى اين عبارت را از طريق ابى‌هريره به </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مى‌دهد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ألنّاس تَبَعٌ لقريش في الخير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Style w:val="FootnoteAnchor"/>
          <w:rtl w:val="true"/>
        </w:rPr>
        <w:footnoteReference w:id="2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مبناى اهل‌سنت را در اين مورد چنين خلاصه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وبالجملة، كلُّ مَن‌عَدَل، فإنّ طاعتَهُ لازمةٌ للنّاس اذا كان قُرَشيّاً </w:t>
      </w:r>
      <w:r>
        <w:rPr>
          <w:rFonts w:eastAsia="IRNazanin" w:cs="IRNazanin"/>
          <w:color w:val="111111"/>
          <w:sz w:val="28"/>
          <w:szCs w:val="28"/>
          <w:rtl w:val="true"/>
          <w:lang w:bidi="fa-IR"/>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با توجّه به‌اين روايات، در صورتى كه به‌باور اهل‌سنت اطاعت هرحاكم و اميرى حتى بنابر فرض عادل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اينكه فاسق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واجب و مفترض‌الطاعه باشند، به‌طريق اَولى اطاعت از امام عادل، معصوم، زاهد، عالم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ذريه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بايد فرض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پايه روايات فوق، معاويه مفترض‌الطاعه و از اكابر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محبتش واجب </w:t>
      </w:r>
      <w:r>
        <w:rPr>
          <w:rStyle w:val="FootnoteAnchor"/>
          <w:rtl w:val="true"/>
        </w:rPr>
        <w:footnoteReference w:id="2048"/>
      </w:r>
      <w:r>
        <w:rPr>
          <w:rFonts w:ascii="Amiri" w:hAnsi="Amiri" w:eastAsia="Amiri" w:cs="Amiri"/>
          <w:color w:val="111111"/>
          <w:sz w:val="28"/>
          <w:sz w:val="28"/>
          <w:szCs w:val="28"/>
          <w:rtl w:val="true"/>
          <w:lang w:bidi="ar-SA"/>
        </w:rPr>
        <w:t xml:space="preserve">و در جنايت‌هايش مجتهد و مأجور باشد </w:t>
      </w:r>
      <w:r>
        <w:rPr>
          <w:rStyle w:val="FootnoteAnchor"/>
          <w:rtl w:val="true"/>
        </w:rPr>
        <w:footnoteReference w:id="2049"/>
      </w:r>
      <w:r>
        <w:rPr>
          <w:rFonts w:ascii="IRNazanin" w:hAnsi="IRNazanin" w:eastAsia="IRNazanin"/>
          <w:color w:val="111111"/>
          <w:sz w:val="28"/>
          <w:sz w:val="28"/>
          <w:szCs w:val="28"/>
          <w:rtl w:val="true"/>
          <w:lang w:bidi="fa-IR"/>
        </w:rPr>
        <w:t xml:space="preserve">، غلوّ محسوب نشود ولى فرض بودن اطاعت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آنان كه ده‌ها دليل برآن اقامه شده، غلوّ به‌شمار مى‌آيد، از عجائب روزگار است</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حديث</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كفر اصطلاحى كه باعث خروج از دين مى‌شود، نيست بلكه منظور اين است كه اقرار به‌امامت امامان شرط ايمان به‌ولايت اهل‌بيت است؛ از اين رو منكر امامت مؤمن نيست و از عذاب و آتش الهى بدور نخواهد بود ولى به‌خاطر شهادتين و اعتقاد به‌روز جزا مسلمان محسوب مى‌گردد </w:t>
      </w:r>
      <w:r>
        <w:rPr>
          <w:rStyle w:val="FootnoteAnchor"/>
          <w:rtl w:val="true"/>
        </w:rPr>
        <w:footnoteReference w:id="2050"/>
      </w:r>
      <w:r>
        <w:rPr>
          <w:rFonts w:ascii="IRNazanin" w:hAnsi="IRNazanin" w:eastAsia="IRNazanin"/>
          <w:color w:val="111111"/>
          <w:sz w:val="28"/>
          <w:sz w:val="28"/>
          <w:szCs w:val="28"/>
          <w:rtl w:val="true"/>
          <w:lang w:bidi="fa-IR"/>
        </w:rPr>
        <w:t xml:space="preserve">،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به‌تفاوت اسلام و ايمان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شهادت به‌وحدانيت خدا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نماز و دادن زكات و انجام حج و صوم رمضان است اما 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ألاِيمان معرفة هذا الامر، مع هذا فإن أقرّبها و لم يعرف هذا الاَمر كان </w:t>
      </w:r>
    </w:p>
    <w:p>
      <w:pPr>
        <w:pStyle w:val="BookText"/>
        <w:rPr/>
      </w:pPr>
      <w:r>
        <w:rPr>
          <w:rFonts w:ascii="Amiri" w:hAnsi="Amiri" w:eastAsia="Amiri" w:cs="Amiri"/>
          <w:color w:val="111111"/>
          <w:sz w:val="28"/>
          <w:sz w:val="28"/>
          <w:szCs w:val="28"/>
          <w:rtl w:val="true"/>
          <w:lang w:bidi="ar-SA"/>
        </w:rPr>
        <w:t xml:space="preserve">مُسلماً و كان ضآلّا </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اجمالى به‌مجموعه روايات اين باب، ترديدى باقى نمى‌ماند كه اكثر مضامين آنها تفسير، تبيين و توسعه آيات قرآن است و بيش از هشت بار آيات الهى در متن روايات، به‌كار رفته است، و در فصل دوم از بخش دوم اين كتاب به‌طور مفصل تبيين شد كه تفسير و تبيين آيات نَه تحريف است و نه خروج از دين و در منابع سنى و شيعه اتفاق افتاده است </w:t>
      </w:r>
      <w:r>
        <w:rPr>
          <w:rStyle w:val="FootnoteAnchor"/>
          <w:rtl w:val="true"/>
        </w:rPr>
        <w:footnoteReference w:id="2052"/>
      </w:r>
      <w:r>
        <w:rPr>
          <w:rFonts w:ascii="IRNazanin" w:hAnsi="IRNazanin" w:eastAsia="IRNazanin"/>
          <w:color w:val="111111"/>
          <w:sz w:val="28"/>
          <w:sz w:val="28"/>
          <w:szCs w:val="28"/>
          <w:rtl w:val="true"/>
          <w:lang w:bidi="fa-IR"/>
        </w:rPr>
        <w:t xml:space="preserve">و بر اساس حديث متواتر ثقلين،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مبين قرآن است و به‌همين رو، در حديث پانزدهم باب،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اينكه قيم قرآن و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علوم قرآن را به‌طور كامل نمى‌داند </w:t>
      </w:r>
      <w:r>
        <w:rPr>
          <w:rStyle w:val="FootnoteAnchor"/>
          <w:rtl w:val="true"/>
        </w:rPr>
        <w:footnoteReference w:id="2053"/>
      </w:r>
      <w:r>
        <w:rPr>
          <w:rFonts w:ascii="Amiri" w:hAnsi="Amiri" w:eastAsia="Amiri" w:cs="Amiri"/>
          <w:color w:val="111111"/>
          <w:sz w:val="28"/>
          <w:sz w:val="28"/>
          <w:szCs w:val="28"/>
          <w:rtl w:val="true"/>
          <w:lang w:bidi="ar-SA"/>
        </w:rPr>
        <w:t>، ياد شده است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اينكه در حديث دهم،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ألنّاسُ عَبِيدٌ لَنا في الطّاعةِ، مُوالٍ لنا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نيست تا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به‌عنوان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اطاعت آنها عبادت و يا مردم بَرده امام، به‌شمار آيند </w:t>
      </w:r>
      <w:r>
        <w:rPr>
          <w:rStyle w:val="FootnoteAnchor"/>
          <w:rtl w:val="true"/>
        </w:rPr>
        <w:footnoteReference w:id="2054"/>
      </w:r>
      <w:r>
        <w:rPr>
          <w:rFonts w:ascii="IRNazanin" w:hAnsi="IRNazanin" w:eastAsia="IRNazanin"/>
          <w:color w:val="111111"/>
          <w:sz w:val="28"/>
          <w:sz w:val="28"/>
          <w:szCs w:val="28"/>
          <w:rtl w:val="true"/>
          <w:lang w:bidi="fa-IR"/>
        </w:rPr>
        <w:t xml:space="preserve">و شايد ناصرقفارى، از اين عبارت الوهيت امام را برداشت و آن را خروج از دين پنداشته است، ولى همان‌گونه كه ابتداى حديث نشان مى‌دهد </w:t>
      </w:r>
      <w:r>
        <w:rPr>
          <w:rStyle w:val="FootnoteAnchor"/>
          <w:rtl w:val="true"/>
        </w:rPr>
        <w:footnoteReference w:id="2055"/>
      </w:r>
      <w:r>
        <w:rPr>
          <w:rFonts w:ascii="IRNazanin" w:hAnsi="IRNazanin" w:eastAsia="IRNazanin"/>
          <w:color w:val="111111"/>
          <w:sz w:val="28"/>
          <w:sz w:val="28"/>
          <w:szCs w:val="28"/>
          <w:rtl w:val="true"/>
          <w:lang w:bidi="fa-IR"/>
        </w:rPr>
        <w:t xml:space="preserve">، حديث رابطه پيامبر و امام را بيان مى‌دارد </w:t>
      </w:r>
      <w:r>
        <w:rPr>
          <w:rStyle w:val="FootnoteAnchor"/>
          <w:rtl w:val="true"/>
        </w:rPr>
        <w:footnoteReference w:id="2056"/>
      </w:r>
      <w:r>
        <w:rPr>
          <w:rFonts w:ascii="IRNazanin" w:hAnsi="IRNazanin" w:eastAsia="IRNazanin"/>
          <w:color w:val="111111"/>
          <w:sz w:val="28"/>
          <w:sz w:val="28"/>
          <w:szCs w:val="28"/>
          <w:rtl w:val="true"/>
          <w:lang w:bidi="fa-IR"/>
        </w:rPr>
        <w:t>نه 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اطاعت بنده از مولا در مباحث آقا و عبد، فرزند از پدر، زن از شوهر، با اينكه واجب است ولى در عين‌حال هرگز رابطه خالق و مخلوق مطرح نيست هرچند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به‌مسلمانان علاوه بر حق امامت و رهبرى، حق پدر بر فرزندانشان </w:t>
      </w:r>
    </w:p>
    <w:p>
      <w:pPr>
        <w:pStyle w:val="BookText"/>
        <w:rPr/>
      </w:pPr>
      <w:r>
        <w:rPr>
          <w:rFonts w:ascii="Amiri" w:hAnsi="Amiri" w:eastAsia="Amiri" w:cs="Amiri"/>
          <w:color w:val="111111"/>
          <w:sz w:val="28"/>
          <w:sz w:val="28"/>
          <w:szCs w:val="28"/>
          <w:rtl w:val="true"/>
          <w:lang w:bidi="ar-SA"/>
        </w:rPr>
        <w:t xml:space="preserve">نيز به اثبات رساند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الائمة ولاة أمرالله وخَزَنَةُ علمه </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اين باب نيز، زمينه</w:t>
      </w:r>
    </w:p>
    <w:p>
      <w:pPr>
        <w:pStyle w:val="BookText"/>
        <w:rPr/>
      </w:pPr>
      <w:r>
        <w:rPr>
          <w:rFonts w:ascii="Amiri" w:hAnsi="Amiri" w:eastAsia="Amiri" w:cs="Amiri"/>
          <w:color w:val="111111"/>
          <w:sz w:val="28"/>
          <w:sz w:val="28"/>
          <w:szCs w:val="28"/>
          <w:rtl w:val="true"/>
          <w:lang w:bidi="ar-SA"/>
        </w:rPr>
        <w:t xml:space="preserve">اتهام به‌كلينى را فراهم نموده و آنها را غلو در عصمت و به‌طور كلى غلو در فضائل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است </w:t>
      </w:r>
      <w:r>
        <w:rPr>
          <w:rStyle w:val="FootnoteAnchor"/>
          <w:rtl w:val="true"/>
        </w:rPr>
        <w:footnoteReference w:id="2059"/>
      </w:r>
      <w:r>
        <w:rPr>
          <w:rFonts w:ascii="Amiri" w:hAnsi="Amiri" w:eastAsia="Amiri" w:cs="Amiri"/>
          <w:color w:val="111111"/>
          <w:sz w:val="28"/>
          <w:sz w:val="28"/>
          <w:szCs w:val="28"/>
          <w:rtl w:val="true"/>
          <w:lang w:bidi="ar-SA"/>
        </w:rPr>
        <w:t xml:space="preserve">اين باب كه از شش حديث سامان يافته و جز دو روايت آخر، بقيه ضعيف قلمداد شده است </w:t>
      </w:r>
      <w:r>
        <w:rPr>
          <w:rStyle w:val="FootnoteAnchor"/>
          <w:rtl w:val="true"/>
        </w:rPr>
        <w:footnoteReference w:id="2060"/>
      </w:r>
      <w:r>
        <w:rPr>
          <w:rFonts w:ascii="Amiri" w:hAnsi="Amiri" w:eastAsia="Amiri" w:cs="Amiri"/>
          <w:color w:val="111111"/>
          <w:sz w:val="28"/>
          <w:sz w:val="28"/>
          <w:szCs w:val="28"/>
          <w:rtl w:val="true"/>
          <w:lang w:bidi="ar-SA"/>
        </w:rPr>
        <w:t>،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خزانه علم </w:t>
      </w:r>
      <w:r>
        <w:rPr>
          <w:rStyle w:val="FootnoteAnchor"/>
          <w:rtl w:val="true"/>
        </w:rPr>
        <w:footnoteReference w:id="2061"/>
      </w:r>
      <w:r>
        <w:rPr>
          <w:rFonts w:ascii="IRNazanin" w:hAnsi="IRNazanin" w:eastAsia="IRNazanin"/>
          <w:color w:val="111111"/>
          <w:sz w:val="28"/>
          <w:sz w:val="28"/>
          <w:szCs w:val="28"/>
          <w:rtl w:val="true"/>
          <w:lang w:bidi="fa-IR"/>
        </w:rPr>
        <w:t xml:space="preserve">، حجت خدا </w:t>
      </w:r>
      <w:r>
        <w:rPr>
          <w:rStyle w:val="FootnoteAnchor"/>
          <w:rtl w:val="true"/>
        </w:rPr>
        <w:footnoteReference w:id="2062"/>
      </w:r>
      <w:r>
        <w:rPr>
          <w:rFonts w:ascii="IRNazanin" w:hAnsi="IRNazanin" w:eastAsia="IRNazanin"/>
          <w:color w:val="111111"/>
          <w:sz w:val="28"/>
          <w:sz w:val="28"/>
          <w:szCs w:val="28"/>
          <w:rtl w:val="true"/>
          <w:lang w:bidi="fa-IR"/>
        </w:rPr>
        <w:t xml:space="preserve">، ترجمان و اسرار وحى </w:t>
      </w:r>
      <w:r>
        <w:rPr>
          <w:rStyle w:val="FootnoteAnchor"/>
          <w:rtl w:val="true"/>
        </w:rPr>
        <w:footnoteReference w:id="2063"/>
      </w:r>
      <w:r>
        <w:rPr>
          <w:rFonts w:ascii="Amiri" w:hAnsi="Amiri" w:eastAsia="Amiri" w:cs="Amiri"/>
          <w:color w:val="111111"/>
          <w:sz w:val="28"/>
          <w:sz w:val="28"/>
          <w:szCs w:val="28"/>
          <w:rtl w:val="true"/>
          <w:lang w:bidi="ar-SA"/>
        </w:rPr>
        <w:t xml:space="preserve">، ولاة امر خدا </w:t>
      </w:r>
      <w:r>
        <w:rPr>
          <w:rStyle w:val="FootnoteAnchor"/>
          <w:rtl w:val="true"/>
        </w:rPr>
        <w:footnoteReference w:id="2064"/>
      </w:r>
      <w:r>
        <w:rPr>
          <w:rFonts w:ascii="IRNazanin" w:hAnsi="IRNazanin" w:eastAsia="IRNazanin"/>
          <w:color w:val="111111"/>
          <w:sz w:val="28"/>
          <w:sz w:val="28"/>
          <w:szCs w:val="28"/>
          <w:rtl w:val="true"/>
          <w:lang w:bidi="fa-IR"/>
        </w:rPr>
        <w:t xml:space="preserve">، بندگان مُخلَص خدا </w:t>
      </w:r>
      <w:r>
        <w:rPr>
          <w:rStyle w:val="FootnoteAnchor"/>
          <w:rtl w:val="true"/>
        </w:rPr>
        <w:footnoteReference w:id="2065"/>
      </w:r>
      <w:r>
        <w:rPr>
          <w:rFonts w:ascii="IRNazanin" w:hAnsi="IRNazanin" w:eastAsia="IRNazanin"/>
          <w:color w:val="111111"/>
          <w:sz w:val="28"/>
          <w:sz w:val="28"/>
          <w:szCs w:val="28"/>
          <w:rtl w:val="true"/>
          <w:lang w:bidi="fa-IR"/>
        </w:rPr>
        <w:t xml:space="preserve">، منصوص بودن امامت </w:t>
      </w:r>
      <w:r>
        <w:rPr>
          <w:rStyle w:val="FootnoteAnchor"/>
          <w:rtl w:val="true"/>
        </w:rPr>
        <w:footnoteReference w:id="2066"/>
      </w:r>
      <w:r>
        <w:rPr>
          <w:rFonts w:ascii="Amiri" w:hAnsi="Amiri" w:eastAsia="Amiri" w:cs="Amiri"/>
          <w:color w:val="111111"/>
          <w:sz w:val="28"/>
          <w:sz w:val="28"/>
          <w:szCs w:val="28"/>
          <w:rtl w:val="true"/>
          <w:lang w:bidi="ar-SA"/>
        </w:rPr>
        <w:t xml:space="preserve">و شريك نداشتن خدا </w:t>
      </w:r>
      <w:r>
        <w:rPr>
          <w:rStyle w:val="FootnoteAnchor"/>
          <w:rtl w:val="true"/>
        </w:rPr>
        <w:footnoteReference w:id="2067"/>
      </w:r>
      <w:r>
        <w:rPr>
          <w:rFonts w:ascii="Amiri" w:hAnsi="Amiri" w:eastAsia="Amiri" w:cs="Amiri"/>
          <w:color w:val="111111"/>
          <w:sz w:val="28"/>
          <w:sz w:val="28"/>
          <w:szCs w:val="28"/>
          <w:rtl w:val="true"/>
          <w:lang w:bidi="ar-SA"/>
        </w:rPr>
        <w:t>را، در مورد خداوند و امامان مطرح مى‌كند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گنجانده شده در روايات، با در نظر گرفتن مباحث گذشته، نَه تنها هيچ ارتباطى به‌غلو ندارد كه اوج وحدانيت، حِكمت و عظمت خداوند را از يك‌سو، و عبوديت و مُخلَص بودن ائمّه را به‌لحاظ شايستگى‌هاى آنان از ديگرسو، بيان مى‌دارد؛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ولاة أمرالله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حجت‌خدا بودن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بحث قبلى مورد بررسى قرار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امام ترجمان و محل اسرار وحى است، حديث متواتر ثقلين </w:t>
      </w:r>
      <w:r>
        <w:rPr>
          <w:rStyle w:val="FootnoteAnchor"/>
          <w:rtl w:val="true"/>
        </w:rPr>
        <w:footnoteReference w:id="2068"/>
      </w:r>
      <w:r>
        <w:rPr>
          <w:rFonts w:ascii="Amiri" w:hAnsi="Amiri" w:eastAsia="Amiri" w:cs="Amiri"/>
          <w:color w:val="111111"/>
          <w:sz w:val="28"/>
          <w:sz w:val="28"/>
          <w:szCs w:val="28"/>
          <w:rtl w:val="true"/>
          <w:lang w:bidi="ar-SA"/>
        </w:rPr>
        <w:t>محكم‌ترين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مبناى آن است؛ ابن‌سعد در الطبقات خود نقل مى‌كند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نَزَلت آيةٌ إلّا وقَد عَلِمتُ فيما نَزَلت، وأينَ نَزَلت وعلى مَن نَزَلت، إنّ رَبّي وَهَبَ لي قَلباً عَقُولاً ولساناً ناطقاً </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خزانه علم خداوند معرفى شده‌اند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فَمَن أراد العلمَ فليأتِ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منابع مختلف اهل‌سنت به‌طور مستفيض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ابن‌عساكر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w:t>
      </w:r>
      <w:r>
        <w:rPr>
          <w:rStyle w:val="FootnoteAnchor"/>
          <w:rtl w:val="true"/>
        </w:rPr>
        <w:footnoteReference w:id="2070"/>
      </w:r>
      <w:r>
        <w:rPr>
          <w:rFonts w:ascii="Amiri" w:hAnsi="Amiri" w:eastAsia="Amiri" w:cs="Amiri"/>
          <w:color w:val="111111"/>
          <w:sz w:val="28"/>
          <w:sz w:val="28"/>
          <w:szCs w:val="28"/>
          <w:rtl w:val="true"/>
          <w:lang w:bidi="ar-SA"/>
        </w:rPr>
        <w:t xml:space="preserve">و روايات اينكه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عن كتاب‌الله فإنّه ليست آية وإلّا وقد عرفتُ أَ بِليلٍ نَزَلت أم بِنهارٍ، في سَهلٍ أوجَبَل </w:t>
      </w:r>
      <w:r>
        <w:rPr>
          <w:rFonts w:eastAsia="Amiri" w:cs="Amiri" w:ascii="Amiri" w:hAnsi="Amiri"/>
          <w:color w:val="111111"/>
          <w:sz w:val="28"/>
          <w:szCs w:val="28"/>
          <w:rtl w:val="true"/>
          <w:lang w:bidi="ar-SA"/>
        </w:rPr>
        <w:t xml:space="preserve">» </w:t>
      </w:r>
      <w:r>
        <w:rPr>
          <w:rStyle w:val="FootnoteAnchor"/>
          <w:rtl w:val="true"/>
        </w:rPr>
        <w:footnoteReference w:id="2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ونهاراً، وكُنتُ إذا سألتُهُ أجابَنِي وإن سكتُّ إبتَدأني، وما نَزَلت عليه آية إلّا قرأتُها، وعلِمتُ تفسيرها وتأويلها ودعااللهَ لي أن لا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شيأ عَلَّمني إياه؛ فما نَسَيتُه من حرامٍ وحلالٍ، وأمرٍ ونهيٍ، و طاعةٍ و معصيةٍ، ولقد وَضَعَ يدهُ على صدري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إملَأ قلبَه عِلماً و فَهماً وحُكماً ونوراً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ربّي‌عزّوجل أنّه قد إستجاب لي فيك </w:t>
      </w:r>
      <w:r>
        <w:rPr>
          <w:rFonts w:eastAsia="Amiri" w:cs="Amiri" w:ascii="Amiri" w:hAnsi="Amiri"/>
          <w:color w:val="111111"/>
          <w:sz w:val="28"/>
          <w:szCs w:val="28"/>
          <w:rtl w:val="true"/>
          <w:lang w:bidi="ar-SA"/>
        </w:rPr>
        <w:t xml:space="preserve">» </w:t>
      </w:r>
      <w:r>
        <w:rPr>
          <w:rStyle w:val="FootnoteAnchor"/>
          <w:rtl w:val="true"/>
        </w:rPr>
        <w:footnoteReference w:id="2072"/>
      </w:r>
      <w:r>
        <w:rPr>
          <w:rFonts w:ascii="IRNazanin" w:hAnsi="IRNazanin" w:eastAsia="IRNazanin"/>
          <w:color w:val="111111"/>
          <w:sz w:val="28"/>
          <w:sz w:val="28"/>
          <w:szCs w:val="28"/>
          <w:rtl w:val="true"/>
          <w:lang w:bidi="fa-IR"/>
        </w:rPr>
        <w:t>، همه مؤيد و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اهل‌سنت از جمله ابن‌حجرالهيتمى با تعصّب ويژه‌اى كه نسبت به‌شيعه دارد، اعتراف به‌فضيلت علمى و معنوى أئمه نموده است </w:t>
      </w:r>
      <w:r>
        <w:rPr>
          <w:rStyle w:val="FootnoteAnchor"/>
          <w:rtl w:val="true"/>
        </w:rPr>
        <w:footnoteReference w:id="2073"/>
      </w:r>
      <w:r>
        <w:rPr>
          <w:rFonts w:ascii="IRNazanin" w:hAnsi="IRNazanin" w:eastAsia="IRNazanin"/>
          <w:color w:val="111111"/>
          <w:sz w:val="28"/>
          <w:sz w:val="28"/>
          <w:szCs w:val="28"/>
          <w:rtl w:val="true"/>
          <w:lang w:bidi="fa-IR"/>
        </w:rPr>
        <w:t xml:space="preserve">وى در فضل </w:t>
      </w:r>
    </w:p>
    <w:p>
      <w:pPr>
        <w:pStyle w:val="BookText"/>
        <w:rPr/>
      </w:pP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حديث از رسول‌الله مى‌آورد </w:t>
      </w:r>
      <w:r>
        <w:rPr>
          <w:rStyle w:val="FootnoteAnchor"/>
          <w:rtl w:val="true"/>
        </w:rPr>
        <w:footnoteReference w:id="2074"/>
      </w:r>
      <w:r>
        <w:rPr>
          <w:rFonts w:ascii="IRNazanin" w:hAnsi="IRNazanin" w:eastAsia="IRNazanin"/>
          <w:color w:val="111111"/>
          <w:sz w:val="28"/>
          <w:sz w:val="28"/>
          <w:szCs w:val="28"/>
          <w:rtl w:val="true"/>
          <w:lang w:bidi="fa-IR"/>
        </w:rPr>
        <w:t xml:space="preserve">و درمورد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هوالّذي خَلَف أباهُ عِلماً و زُهداً و عبادةً </w:t>
      </w:r>
      <w:r>
        <w:rPr>
          <w:rFonts w:eastAsia="IRNazanin" w:cs="IRNazanin"/>
          <w:color w:val="111111"/>
          <w:sz w:val="28"/>
          <w:szCs w:val="28"/>
          <w:rtl w:val="true"/>
          <w:lang w:bidi="fa-IR"/>
        </w:rPr>
        <w:t xml:space="preserve">. . .» </w:t>
      </w:r>
      <w:r>
        <w:rPr>
          <w:rStyle w:val="FootnoteAnchor"/>
          <w:rtl w:val="true"/>
        </w:rPr>
        <w:footnoteReference w:id="2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هوأظهر من مخبآت كنوز المعارف و حقائق الاَحكام و الحكم و اللطائف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ثَمّ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باقِرالعلم و جامعه و شاهَرَ علمه و رافعه، صفا قلبه و زكا عِلمه و عَمَله و طَهرت نفسه و شَرَف خُلقه </w:t>
      </w:r>
      <w:r>
        <w:rPr>
          <w:rFonts w:eastAsia="Amiri" w:cs="Amiri" w:ascii="Amiri" w:hAnsi="Amiri"/>
          <w:color w:val="111111"/>
          <w:sz w:val="28"/>
          <w:szCs w:val="28"/>
          <w:rtl w:val="true"/>
          <w:lang w:bidi="ar-SA"/>
        </w:rPr>
        <w:t xml:space="preserve">. . .» </w:t>
      </w:r>
      <w:r>
        <w:rPr>
          <w:rStyle w:val="FootnoteAnchor"/>
          <w:rtl w:val="true"/>
        </w:rPr>
        <w:footnoteReference w:id="2076"/>
      </w:r>
      <w:r>
        <w:rPr>
          <w:rFonts w:ascii="IRNazanin" w:hAnsi="IRNazanin" w:eastAsia="IRNazanin"/>
          <w:color w:val="111111"/>
          <w:sz w:val="28"/>
          <w:sz w:val="28"/>
          <w:szCs w:val="28"/>
          <w:rtl w:val="true"/>
          <w:lang w:bidi="fa-IR"/>
        </w:rPr>
        <w:t>،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معرفى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ثَمَّ كان خليفتُه و وَصِيُّه، و نقل النّاسُ عنه العلوم ما سارت به‌الركبان و إنتش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صِيته في جميع البلدان، و روى عنه الائمة الاَكابر كيحيى بن سعيد و ابن جريح، و مالك و السفيانين و ابي حنيفة و شعبة و أيّوب السختياني </w:t>
      </w:r>
      <w:r>
        <w:rPr>
          <w:rFonts w:eastAsia="IRNazanin" w:cs="IRNazanin"/>
          <w:color w:val="111111"/>
          <w:sz w:val="28"/>
          <w:szCs w:val="28"/>
          <w:rtl w:val="true"/>
          <w:lang w:bidi="fa-IR"/>
        </w:rPr>
        <w:t xml:space="preserve">» </w:t>
      </w:r>
      <w:r>
        <w:rPr>
          <w:rStyle w:val="FootnoteAnchor"/>
          <w:rtl w:val="true"/>
        </w:rPr>
        <w:footnoteReference w:id="2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موسى‌كاظم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اين جملات معرفى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وارثُه علماً ومعرفةً وكمالاً وفضلا، ً سُمِّي الكاظم، لكثرة تجاوزه و حِلمه و كان معروفاً عندأهل‌العراق بِباب قضاء الحوائج عندالله، و كان أعبَد اهل زمانِه و أعلمهم وأسخاهم</w:t>
      </w:r>
      <w:r>
        <w:rPr>
          <w:rFonts w:eastAsia="Amiri" w:cs="Amiri" w:ascii="Amiri" w:hAnsi="Amiri"/>
          <w:color w:val="111111"/>
          <w:sz w:val="28"/>
          <w:szCs w:val="28"/>
          <w:rtl w:val="true"/>
          <w:lang w:bidi="ar-SA"/>
        </w:rPr>
        <w:t xml:space="preserve">. . . » </w:t>
      </w:r>
      <w:r>
        <w:rPr>
          <w:rStyle w:val="FootnoteAnchor"/>
          <w:rtl w:val="true"/>
        </w:rPr>
        <w:footnoteReference w:id="2078"/>
      </w:r>
      <w:r>
        <w:rPr>
          <w:rFonts w:ascii="IRNazanin" w:hAnsi="IRNazanin" w:eastAsia="IRNazanin"/>
          <w:color w:val="111111"/>
          <w:sz w:val="28"/>
          <w:sz w:val="28"/>
          <w:szCs w:val="28"/>
          <w:rtl w:val="true"/>
          <w:lang w:bidi="fa-IR"/>
        </w:rPr>
        <w:t xml:space="preserve">، و امامان ديگر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اين روايات، همان امورى مطرح شده است كه محتواى آنها يا در روايات اهل‌سنت به‌عبارت‌هاى ديگر بيان شده و يا از زبان عالمان آنها صادر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به‌آنچه اشاره شد، ديگر ابواب و روايات كافى كه ممكن است ادعاى غلو نسبت به آنها صورت گيرد، تكليفش روشن شد كه هيچ‌كدام غلوِّ باطل نخواهد بود</w:t>
      </w:r>
      <w:r>
        <w:rPr>
          <w:rFonts w:eastAsia="IRNazanin" w:cs="IRNazanin"/>
          <w:color w:val="111111"/>
          <w:sz w:val="28"/>
          <w:szCs w:val="28"/>
          <w:rtl w:val="true"/>
          <w:lang w:bidi="fa-IR"/>
        </w:rPr>
        <w:t xml:space="preserve">. </w:t>
      </w:r>
      <w:bookmarkStart w:id="736" w:name="pg1976_28440"/>
    </w:p>
    <w:p>
      <w:pPr>
        <w:pStyle w:val="Heading4"/>
        <w:numPr>
          <w:ilvl w:val="3"/>
          <w:numId w:val="1"/>
        </w:numPr>
        <w:rPr/>
      </w:pPr>
      <w:bookmarkStart w:id="737" w:name="__RefHeading___Toc3767387_3650668749"/>
      <w:bookmarkStart w:id="738" w:name="_Toc272"/>
      <w:bookmarkEnd w:id="736"/>
      <w:bookmarkEnd w:id="737"/>
      <w:r>
        <w:rPr/>
        <w:t>۵</w:t>
      </w:r>
      <w:r>
        <w:rPr>
          <w:rtl w:val="true"/>
        </w:rPr>
        <w:t xml:space="preserve">. </w:t>
      </w:r>
      <w:r>
        <w:rPr>
          <w:rtl w:val="true"/>
        </w:rPr>
        <w:t xml:space="preserve">غُلُوّ، و علم غيب امامان </w:t>
      </w:r>
      <w:r>
        <w:rPr>
          <w:rtl w:val="true"/>
        </w:rPr>
        <w:t>(</w:t>
      </w:r>
      <w:r>
        <w:rPr>
          <w:rtl w:val="true"/>
        </w:rPr>
        <w:t>عليهم السلام</w:t>
      </w:r>
      <w:r>
        <w:rPr>
          <w:rtl w:val="true"/>
        </w:rPr>
        <w:t>)</w:t>
      </w:r>
      <w:bookmarkEnd w:id="738"/>
    </w:p>
    <w:p>
      <w:pPr>
        <w:pStyle w:val="Heading5"/>
        <w:numPr>
          <w:ilvl w:val="4"/>
          <w:numId w:val="1"/>
        </w:numPr>
        <w:rPr/>
      </w:pPr>
      <w:bookmarkStart w:id="739" w:name="__RefHeading___Toc3767389_3650668749"/>
      <w:bookmarkStart w:id="740" w:name="_Toc273"/>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 xml:space="preserve">از ديگر عناوينى كه غلو باطل خوانده شده، علم، به‌ويژه علم أئمه به‌غيب و اطلاع آنان از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به‌لحاظ اينكه يكى از ممتازترين ويژگى‌هاى أئمه شيعه دانش آن‌ها، محسوب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به‌همين جهت، بخش اعظم كتاب الحجة اصول كافى </w:t>
      </w:r>
      <w:r>
        <w:rPr>
          <w:rStyle w:val="FootnoteAnchor"/>
          <w:rtl w:val="true"/>
        </w:rPr>
        <w:footnoteReference w:id="2080"/>
      </w:r>
      <w:r>
        <w:rPr>
          <w:rFonts w:ascii="IRNazanin" w:hAnsi="IRNazanin" w:eastAsia="IRNazanin"/>
          <w:color w:val="111111"/>
          <w:sz w:val="28"/>
          <w:sz w:val="28"/>
          <w:szCs w:val="28"/>
          <w:rtl w:val="true"/>
          <w:lang w:bidi="fa-IR"/>
        </w:rPr>
        <w:t>به‌اين بحث اختصاص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گروهى از نويسندگان افراطى؛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به‌غيب امامان را جزء اعتقادات و باورهاى ضرورى شيعه شمرده </w:t>
      </w:r>
      <w:r>
        <w:rPr>
          <w:rStyle w:val="FootnoteAnchor"/>
          <w:rtl w:val="true"/>
        </w:rPr>
        <w:footnoteReference w:id="2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غلو باطل پنداشته‌اند</w:t>
      </w:r>
      <w:r>
        <w:rPr>
          <w:rFonts w:eastAsia="IRNazanin" w:cs="IRNazanin"/>
          <w:color w:val="111111"/>
          <w:sz w:val="28"/>
          <w:szCs w:val="28"/>
          <w:rtl w:val="true"/>
          <w:lang w:bidi="fa-IR"/>
        </w:rPr>
        <w:t>.</w:t>
      </w:r>
    </w:p>
    <w:p>
      <w:pPr>
        <w:pStyle w:val="Heading5"/>
        <w:numPr>
          <w:ilvl w:val="4"/>
          <w:numId w:val="1"/>
        </w:numPr>
        <w:rPr/>
      </w:pPr>
      <w:bookmarkStart w:id="741" w:name="__RefHeading___Toc3767391_3650668749"/>
      <w:bookmarkStart w:id="742" w:name="_Toc274"/>
      <w:bookmarkEnd w:id="741"/>
      <w:r>
        <w:rPr>
          <w:rtl w:val="true"/>
        </w:rPr>
        <w:t>الف</w:t>
      </w:r>
      <w:r>
        <w:rPr>
          <w:rtl w:val="true"/>
        </w:rPr>
        <w:t xml:space="preserve">) </w:t>
      </w:r>
      <w:r>
        <w:rPr>
          <w:rtl w:val="true"/>
        </w:rPr>
        <w:t>طرح اصل اشكال</w:t>
      </w:r>
      <w:bookmarkEnd w:id="742"/>
    </w:p>
    <w:p>
      <w:pPr>
        <w:pStyle w:val="BookText"/>
        <w:rPr/>
      </w:pPr>
      <w:r>
        <w:rPr>
          <w:rFonts w:ascii="IRNazanin" w:hAnsi="IRNazanin" w:eastAsia="IRNazanin"/>
          <w:color w:val="111111"/>
          <w:sz w:val="28"/>
          <w:sz w:val="28"/>
          <w:szCs w:val="28"/>
          <w:rtl w:val="true"/>
          <w:lang w:bidi="fa-IR"/>
        </w:rPr>
        <w:t>احمدعلى‌السّالوس، كلينى را پس از على‌بن‌ابراهيم قمى، نخستين غلات شمرده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الكليني مِن أوائل الغلاة الذين قادُوا حركة التضليل والتشكيك في كتاب‌الله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فالكافي مملوءٌ بهذالضلال المُضِلّ، وعلى الاخص في الاصول والرّوضة </w:t>
      </w:r>
      <w:r>
        <w:rPr>
          <w:rFonts w:eastAsia="IRNazanin" w:cs="IRNazanin"/>
          <w:color w:val="111111"/>
          <w:sz w:val="28"/>
          <w:szCs w:val="28"/>
          <w:rtl w:val="true"/>
          <w:lang w:bidi="fa-IR"/>
        </w:rPr>
        <w:t xml:space="preserve">» </w:t>
      </w:r>
      <w:r>
        <w:rPr>
          <w:rStyle w:val="FootnoteAnchor"/>
          <w:rtl w:val="true"/>
        </w:rPr>
        <w:footnoteReference w:id="2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ذكر عناوين ابواب اصول كافى از جمله ابواب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الائمّة معدن‌العلم</w:t>
      </w:r>
      <w:r>
        <w:rPr>
          <w:rFonts w:eastAsia="Amiri" w:cs="Amiri" w:ascii="Amiri" w:hAnsi="Amiri"/>
          <w:color w:val="111111"/>
          <w:sz w:val="28"/>
          <w:szCs w:val="28"/>
          <w:rtl w:val="true"/>
          <w:lang w:bidi="ar-SA"/>
        </w:rPr>
        <w:t xml:space="preserve">. . » </w:t>
      </w:r>
      <w:r>
        <w:rPr>
          <w:rStyle w:val="FootnoteAnchor"/>
          <w:rtl w:val="true"/>
        </w:rPr>
        <w:footnoteReference w:id="2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الائمّةَ ورِثُوا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الانبياء</w:t>
      </w:r>
      <w:r>
        <w:rPr>
          <w:rFonts w:eastAsia="Amiri" w:cs="Amiri" w:ascii="Amiri" w:hAnsi="Amiri"/>
          <w:color w:val="111111"/>
          <w:sz w:val="28"/>
          <w:szCs w:val="28"/>
          <w:rtl w:val="true"/>
          <w:lang w:bidi="ar-SA"/>
        </w:rPr>
        <w:t xml:space="preserve">. . . » </w:t>
      </w:r>
      <w:r>
        <w:rPr>
          <w:rStyle w:val="FootnoteAnchor"/>
          <w:rtl w:val="true"/>
        </w:rPr>
        <w:footnoteReference w:id="2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الائمة قد أوتُوالعلم</w:t>
      </w:r>
      <w:r>
        <w:rPr>
          <w:rFonts w:eastAsia="Amiri" w:cs="Amiri" w:ascii="Amiri" w:hAnsi="Amiri"/>
          <w:color w:val="111111"/>
          <w:sz w:val="28"/>
          <w:szCs w:val="28"/>
          <w:rtl w:val="true"/>
          <w:lang w:bidi="ar-SA"/>
        </w:rPr>
        <w:t xml:space="preserve">. . . » </w:t>
      </w:r>
      <w:r>
        <w:rPr>
          <w:rStyle w:val="FootnoteAnchor"/>
          <w:rtl w:val="true"/>
        </w:rPr>
        <w:footnoteReference w:id="208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Style w:val="FootnoteAnchor"/>
          <w:rtl w:val="true"/>
        </w:rPr>
        <w:footnoteReference w:id="2086"/>
      </w:r>
      <w:r>
        <w:rPr>
          <w:rFonts w:ascii="IRNazanin" w:hAnsi="IRNazanin" w:eastAsia="IRNazanin"/>
          <w:color w:val="111111"/>
          <w:sz w:val="28"/>
          <w:sz w:val="28"/>
          <w:szCs w:val="28"/>
          <w:rtl w:val="true"/>
          <w:lang w:bidi="fa-IR"/>
        </w:rPr>
        <w:t>، آنها را مصداق غلو مى‌پندارد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احسان الهى ظهير، روايات ابواب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الائمة اذا شاؤُوا أن يَعلموا عَلِموا</w:t>
      </w:r>
      <w:r>
        <w:rPr>
          <w:rFonts w:eastAsia="Amiri" w:cs="Amiri" w:ascii="Amiri" w:hAnsi="Amiri"/>
          <w:color w:val="111111"/>
          <w:sz w:val="28"/>
          <w:szCs w:val="28"/>
          <w:rtl w:val="true"/>
          <w:lang w:bidi="ar-SA"/>
        </w:rPr>
        <w:t xml:space="preserve">» </w:t>
      </w:r>
      <w:r>
        <w:rPr>
          <w:rStyle w:val="FootnoteAnchor"/>
          <w:rtl w:val="true"/>
        </w:rPr>
        <w:footnoteReference w:id="20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الائمة يعلمون متى يموتون</w:t>
      </w:r>
      <w:r>
        <w:rPr>
          <w:rFonts w:eastAsia="Amiri" w:cs="Amiri" w:ascii="Amiri" w:hAnsi="Amiri"/>
          <w:color w:val="111111"/>
          <w:sz w:val="28"/>
          <w:szCs w:val="28"/>
          <w:rtl w:val="true"/>
          <w:lang w:bidi="ar-SA"/>
        </w:rPr>
        <w:t xml:space="preserve">. . . » </w:t>
      </w:r>
      <w:r>
        <w:rPr>
          <w:rStyle w:val="FootnoteAnchor"/>
          <w:rtl w:val="true"/>
        </w:rPr>
        <w:footnoteReference w:id="2088"/>
      </w:r>
      <w:r>
        <w:rPr>
          <w:rFonts w:ascii="Amiri" w:hAnsi="Amiri" w:eastAsia="Amiri" w:cs="Amiri"/>
          <w:color w:val="111111"/>
          <w:sz w:val="28"/>
          <w:sz w:val="28"/>
          <w:szCs w:val="28"/>
          <w:rtl w:val="true"/>
          <w:lang w:bidi="ar-SA"/>
        </w:rPr>
        <w:t>را مروّج اين عقيده مى‌شمارد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فوق بشر، فوق انبياء و </w:t>
      </w:r>
      <w:bookmarkStart w:id="743" w:name="pg1976_28443"/>
    </w:p>
    <w:p>
      <w:pPr>
        <w:pStyle w:val="BookText"/>
        <w:rPr/>
      </w:pPr>
      <w:bookmarkEnd w:id="743"/>
      <w:r>
        <w:rPr>
          <w:rFonts w:ascii="IRNazanin" w:hAnsi="IRNazanin" w:eastAsia="IRNazanin"/>
          <w:color w:val="111111"/>
          <w:sz w:val="28"/>
          <w:sz w:val="28"/>
          <w:szCs w:val="28"/>
          <w:rtl w:val="true"/>
          <w:lang w:bidi="fa-IR"/>
        </w:rPr>
        <w:t xml:space="preserve">رسُل بلكه خدايانى‌اند كه عمر و مرگ مردم را مى‌دانند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نويسنده‌اى ديگر، با اشاره به‌رواياتى كه دو نويسنده قبلى به آنها استناد كرده‌اند،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مدّعى‌اند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ائمه او، علم غيب دارند و آنها از علوم آسمان و زمين، بهشت و جهنم، ماكان و مايكون، برخوردارند و براى ائمه خويش مقام عظيم بلكه عجيبى را معتقدند كه نَه مَلك مقّرب و نَه نبى مُرسل به‌آن مقام خواهند رسيد و اين غلوى است كه علماى شيعه از جمله كلينى آن را گفته‌اند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 كتاب الكلينى و تأويلاته الباطنية للآيات القرآنيه، برخى از روايات كافى را غلوّ و مبالغه دانسته و مقايسه كردنِ ميان امام و رسول را نسبت به‌علم، اشتباه و نامعقول مى‌خواند </w:t>
      </w:r>
      <w:r>
        <w:rPr>
          <w:rStyle w:val="FootnoteAnchor"/>
          <w:rtl w:val="true"/>
        </w:rPr>
        <w:footnoteReference w:id="2091"/>
      </w:r>
      <w:r>
        <w:rPr>
          <w:rFonts w:ascii="Amiri" w:hAnsi="Amiri" w:eastAsia="Amiri" w:cs="Amiri"/>
          <w:color w:val="111111"/>
          <w:sz w:val="28"/>
          <w:sz w:val="28"/>
          <w:szCs w:val="28"/>
          <w:rtl w:val="true"/>
          <w:lang w:bidi="ar-SA"/>
        </w:rPr>
        <w:t xml:space="preserve">محب الدّين‌الخطيب نيز با ذكر تعدادى از ابواب اصول كافى </w:t>
      </w:r>
      <w:r>
        <w:rPr>
          <w:rStyle w:val="FootnoteAnchor"/>
          <w:rtl w:val="true"/>
        </w:rPr>
        <w:footnoteReference w:id="2092"/>
      </w:r>
      <w:r>
        <w:rPr>
          <w:rFonts w:ascii="IRNazanin" w:hAnsi="IRNazanin" w:eastAsia="IRNazanin"/>
          <w:color w:val="111111"/>
          <w:sz w:val="28"/>
          <w:sz w:val="28"/>
          <w:szCs w:val="28"/>
          <w:rtl w:val="true"/>
          <w:lang w:bidi="fa-IR"/>
        </w:rPr>
        <w:t xml:space="preserve">، مضمون آنها را اثبات اوصافى براى أئمه مى‌داند كه فوق بشر و همانند خدايان يونانى دوران دوگانه‌پرستى خوانده و نسبت دادن علمِ غيب را شگفت‌آور و نسبت دروغ به‌امامان مى‌شمارد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3767393_3650668749"/>
      <w:bookmarkStart w:id="745" w:name="_Toc275"/>
      <w:bookmarkEnd w:id="744"/>
      <w:r>
        <w:rPr>
          <w:rtl w:val="true"/>
        </w:rPr>
        <w:t>ب</w:t>
      </w:r>
      <w:r>
        <w:rPr>
          <w:rtl w:val="true"/>
        </w:rPr>
        <w:t xml:space="preserve">) </w:t>
      </w:r>
      <w:r>
        <w:rPr>
          <w:rtl w:val="true"/>
        </w:rPr>
        <w:t>بررسى و تصحيح، نَه غُلُوّ</w:t>
      </w:r>
      <w:bookmarkEnd w:id="745"/>
    </w:p>
    <w:p>
      <w:pPr>
        <w:pStyle w:val="Heading6"/>
        <w:numPr>
          <w:ilvl w:val="5"/>
          <w:numId w:val="1"/>
        </w:numPr>
        <w:rPr/>
      </w:pPr>
      <w:bookmarkStart w:id="746" w:name="__RefHeading___Toc3767395_3650668749"/>
      <w:bookmarkStart w:id="747" w:name="_Toc276"/>
      <w:bookmarkEnd w:id="746"/>
      <w:r>
        <w:rPr>
          <w:rtl w:val="true"/>
        </w:rPr>
        <w:t>اشاره</w:t>
      </w:r>
      <w:bookmarkEnd w:id="74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فرهنگ فارسى به‌مطلق دانستن </w:t>
      </w:r>
      <w:r>
        <w:rPr>
          <w:rStyle w:val="FootnoteAnchor"/>
          <w:rtl w:val="true"/>
        </w:rPr>
        <w:footnoteReference w:id="2094"/>
      </w:r>
      <w:r>
        <w:rPr>
          <w:rFonts w:ascii="IRNazanin" w:hAnsi="IRNazanin" w:eastAsia="IRNazanin"/>
          <w:color w:val="111111"/>
          <w:sz w:val="28"/>
          <w:sz w:val="28"/>
          <w:szCs w:val="28"/>
          <w:rtl w:val="true"/>
          <w:lang w:bidi="fa-IR"/>
        </w:rPr>
        <w:t xml:space="preserve">به‌كار مى‌رود و در زبان عرب اين واژه از ريشه عَلِمَ يعلَم عِلماً، نقيض جهل </w:t>
      </w:r>
      <w:r>
        <w:rPr>
          <w:rStyle w:val="FootnoteAnchor"/>
          <w:rtl w:val="true"/>
        </w:rPr>
        <w:footnoteReference w:id="2095"/>
      </w:r>
      <w:r>
        <w:rPr>
          <w:rFonts w:ascii="IRNazanin" w:hAnsi="IRNazanin" w:eastAsia="IRNazanin"/>
          <w:color w:val="111111"/>
          <w:sz w:val="28"/>
          <w:sz w:val="28"/>
          <w:szCs w:val="28"/>
          <w:rtl w:val="true"/>
          <w:lang w:bidi="fa-IR"/>
        </w:rPr>
        <w:t xml:space="preserve">به معناى نادانى و ندانستن و نادان بودن </w:t>
      </w:r>
      <w:r>
        <w:rPr>
          <w:rStyle w:val="FootnoteAnchor"/>
          <w:rtl w:val="true"/>
        </w:rPr>
        <w:footnoteReference w:id="2096"/>
      </w:r>
      <w:r>
        <w:rPr>
          <w:rFonts w:ascii="Amiri" w:hAnsi="Amiri" w:eastAsia="Amiri" w:cs="Amiri"/>
          <w:color w:val="111111"/>
          <w:sz w:val="28"/>
          <w:sz w:val="28"/>
          <w:szCs w:val="28"/>
          <w:rtl w:val="true"/>
          <w:lang w:bidi="ar-SA"/>
        </w:rPr>
        <w:t>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748" w:name="pg1976_28445"/>
    </w:p>
    <w:p>
      <w:pPr>
        <w:pStyle w:val="BookText"/>
        <w:rPr/>
      </w:pPr>
      <w:bookmarkEnd w:id="748"/>
      <w:r>
        <w:rPr>
          <w:rFonts w:ascii="IRNazanin" w:hAnsi="IRNazanin" w:eastAsia="IRNazanin"/>
          <w:color w:val="111111"/>
          <w:sz w:val="28"/>
          <w:sz w:val="28"/>
          <w:szCs w:val="28"/>
          <w:rtl w:val="true"/>
          <w:lang w:bidi="fa-IR"/>
        </w:rPr>
        <w:t xml:space="preserve">به هر آنچه از چشم‌ها پنهان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مى‌گردد </w:t>
      </w:r>
      <w:r>
        <w:rPr>
          <w:rStyle w:val="FootnoteAnchor"/>
          <w:rtl w:val="true"/>
        </w:rPr>
        <w:footnoteReference w:id="2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علم به‌غيب عبارت خواهد بود از دانستن هر امرى كه از چشمان عموم مردم </w:t>
      </w:r>
      <w:r>
        <w:rPr>
          <w:rStyle w:val="FootnoteAnchor"/>
          <w:rtl w:val="true"/>
        </w:rPr>
        <w:footnoteReference w:id="2098"/>
      </w:r>
      <w:r>
        <w:rPr>
          <w:rFonts w:ascii="IRNazanin" w:hAnsi="IRNazanin" w:eastAsia="IRNazanin"/>
          <w:color w:val="111111"/>
          <w:sz w:val="28"/>
          <w:sz w:val="28"/>
          <w:szCs w:val="28"/>
          <w:rtl w:val="true"/>
          <w:lang w:bidi="fa-IR"/>
        </w:rPr>
        <w:t>پنهان و مخفى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مباحث گذشته روشن شد كه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به‌آينده وگذشته و خبر دادن از حوادث،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با توجّه به‌اين قيد كه همه از سوى خداوند و به‌مشيت ذات الهى است نه مستقل، دانش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دانش پيامبران الهى در طول علم خداوند است نَه در عرض آن، و هر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همه از ناحيه خداوند است نَه از خود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موارد فوق هرگز غلوِ باطل نخواهد بود؛ زيرا بر اساس معيارى كه خود عالمان مورد قبول وهابيان ارائه مى‌دهند </w:t>
      </w:r>
      <w:r>
        <w:rPr>
          <w:rStyle w:val="FootnoteAnchor"/>
          <w:rtl w:val="true"/>
        </w:rPr>
        <w:footnoteReference w:id="2099"/>
      </w:r>
      <w:r>
        <w:rPr>
          <w:rFonts w:ascii="IRNazanin" w:hAnsi="IRNazanin" w:eastAsia="IRNazanin"/>
          <w:color w:val="111111"/>
          <w:sz w:val="28"/>
          <w:sz w:val="28"/>
          <w:szCs w:val="28"/>
          <w:rtl w:val="true"/>
          <w:lang w:bidi="fa-IR"/>
        </w:rPr>
        <w:t>، ائمه إله نيستند بلكه امام‌اند، نقش خدايى ندارند بلكه نقش خليفةاللّهى ايفا مى‌كنند؛ ولى براى توضيح بيشتر به‌نكاتى چند اشاره مى‌شود</w:t>
      </w:r>
      <w:r>
        <w:rPr>
          <w:rFonts w:eastAsia="IRNazanin" w:cs="IRNazanin"/>
          <w:color w:val="111111"/>
          <w:sz w:val="28"/>
          <w:szCs w:val="28"/>
          <w:rtl w:val="true"/>
          <w:lang w:bidi="fa-IR"/>
        </w:rPr>
        <w:t>:</w:t>
      </w:r>
    </w:p>
    <w:p>
      <w:pPr>
        <w:pStyle w:val="Heading6"/>
        <w:numPr>
          <w:ilvl w:val="5"/>
          <w:numId w:val="1"/>
        </w:numPr>
        <w:rPr/>
      </w:pPr>
      <w:bookmarkStart w:id="749" w:name="__RefHeading___Toc3767397_3650668749"/>
      <w:bookmarkStart w:id="750" w:name="_Toc277"/>
      <w:bookmarkEnd w:id="749"/>
      <w:r>
        <w:rPr>
          <w:rtl w:val="true"/>
        </w:rPr>
        <w:t xml:space="preserve">يك </w:t>
      </w:r>
      <w:r>
        <w:rPr>
          <w:rtl w:val="true"/>
        </w:rPr>
        <w:t xml:space="preserve">- </w:t>
      </w:r>
      <w:r>
        <w:rPr>
          <w:rtl w:val="true"/>
        </w:rPr>
        <w:t xml:space="preserve">نگاهِ كلّى به‌روايات دالّ بر علم غيب ائمه </w:t>
      </w:r>
      <w:r>
        <w:rPr>
          <w:rtl w:val="true"/>
        </w:rPr>
        <w:t>(</w:t>
      </w:r>
      <w:r>
        <w:rPr>
          <w:rtl w:val="true"/>
        </w:rPr>
        <w:t>عليهم السلام</w:t>
      </w:r>
      <w:r>
        <w:rPr>
          <w:rtl w:val="true"/>
        </w:rPr>
        <w:t>)</w:t>
      </w:r>
      <w:bookmarkEnd w:id="750"/>
    </w:p>
    <w:p>
      <w:pPr>
        <w:pStyle w:val="BookText"/>
        <w:rPr/>
      </w:pPr>
      <w:r>
        <w:rPr>
          <w:rFonts w:ascii="Amiri" w:hAnsi="Amiri" w:eastAsia="Amiri" w:cs="Amiri"/>
          <w:color w:val="111111"/>
          <w:sz w:val="28"/>
          <w:sz w:val="28"/>
          <w:szCs w:val="28"/>
          <w:rtl w:val="true"/>
          <w:lang w:bidi="ar-SA"/>
        </w:rPr>
        <w:t xml:space="preserve">از ميان رواياتى كه ادعا شده غلوّ در علم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مطرح مى‌كند و سرانجام، آنها را مافوق بشر و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 برجسته‌ترين آنها روايات ابوابى است كه مطالب زير را عنوان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سه حديث 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الائمّةَ مَعدن العلم</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نكته است كه اهل‌بيت و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شجره نبوت، بيت رحمت، معدن‌علم و محل رفت‌وآمد ملائكه و محل اسرار خدا، و وديعه الهى و حرم و عهد خداوند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هشت‌گانه 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الائمّةَ ورثة العلم</w:t>
      </w:r>
      <w:r>
        <w:rPr>
          <w:rFonts w:eastAsia="IRNazanin" w:cs="IRNazanin"/>
          <w:color w:val="111111"/>
          <w:sz w:val="28"/>
          <w:szCs w:val="28"/>
          <w:rtl w:val="true"/>
          <w:lang w:bidi="fa-IR"/>
        </w:rPr>
        <w:t xml:space="preserve">. . . » </w:t>
      </w:r>
      <w:r>
        <w:rPr>
          <w:rStyle w:val="FootnoteAnchor"/>
          <w:rtl w:val="true"/>
        </w:rPr>
        <w:footnoteReference w:id="2100"/>
      </w:r>
      <w:r>
        <w:rPr>
          <w:rFonts w:ascii="IRNazanin" w:hAnsi="IRNazanin" w:eastAsia="IRNazanin"/>
          <w:color w:val="111111"/>
          <w:sz w:val="28"/>
          <w:sz w:val="28"/>
          <w:szCs w:val="28"/>
          <w:rtl w:val="true"/>
          <w:lang w:bidi="fa-IR"/>
        </w:rPr>
        <w:t xml:space="preserve">اين معنا را اثبات مى‌كند كه علم، امرى است كه به‌ارث گذارده مى‌شود، و علوم همۀ انبياء براساس سنّت الهى به‌اوصياى پس از خودشان منتقل مى‌گردد و طبق همان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علوم انبياى الهى محسوب مى‌شود و پس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علوم خاتم‌الأنبياء خواهد بود و در نتيجه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به‌تَبَع پيامبر علوم همه انبياء را واجد است و اين علم به‌امامان بعدى به‌ترتيب منتقل مى‌شود، و در نتيجه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الاَرضَ لاتبقي بغيرعالِم </w:t>
      </w:r>
      <w:r>
        <w:rPr>
          <w:rFonts w:eastAsia="IRNazanin" w:cs="IRNazanin"/>
          <w:color w:val="111111"/>
          <w:sz w:val="28"/>
          <w:szCs w:val="28"/>
          <w:rtl w:val="true"/>
          <w:lang w:bidi="fa-IR"/>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هفت‌گانه </w:t>
      </w:r>
      <w:r>
        <w:rPr>
          <w:rStyle w:val="FootnoteAnchor"/>
          <w:rtl w:val="true"/>
        </w:rPr>
        <w:footnoteReference w:id="2102"/>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الائمة وَرِثوا علم‌النَّبي وجميع الاَنبياء والاوصياء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تأكيد بر مطالب احاديث باب قبلى، و اينكه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بود كه سنّت وصيت بعد از خودش را در روى زمين توصيه كرد و اين سنّت در سيرۀ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هزار پيامبر ادامه يافت،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اعلم و افضل انبياء است وارث علوم كل انبياء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علوم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طبعاً اين علم، فراگير، علم به‌بلاها، مرگ و ميرها كشف حقيقت و علوم انبيا و اوصيا كه شامل صُحُف ابراهيم، و اَلواح موسى و زبور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مى‌شود،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علومى كه از انبياى الهى به‌جا مانده علوم معمولى نبوده است بلكه از 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آن است كه در شب و روز و روز به‌روز و ساعت به‌ساعت پديدار مى‌شود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سه‌گانه </w:t>
      </w:r>
      <w:r>
        <w:rPr>
          <w:rStyle w:val="FootnoteAnchor"/>
          <w:rtl w:val="true"/>
        </w:rPr>
        <w:footnoteReference w:id="2104"/>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شاؤوا أن يَعلموا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احتمالاً يك </w:t>
      </w:r>
      <w:bookmarkStart w:id="751" w:name="pg1976_28449"/>
    </w:p>
    <w:p>
      <w:pPr>
        <w:pStyle w:val="BookText"/>
        <w:rPr/>
      </w:pPr>
      <w:bookmarkEnd w:id="751"/>
      <w:r>
        <w:rPr>
          <w:rFonts w:ascii="IRNazanin" w:hAnsi="IRNazanin" w:eastAsia="IRNazanin"/>
          <w:color w:val="111111"/>
          <w:sz w:val="28"/>
          <w:sz w:val="28"/>
          <w:szCs w:val="28"/>
          <w:rtl w:val="true"/>
          <w:lang w:bidi="fa-IR"/>
        </w:rPr>
        <w:t xml:space="preserve">حديث بيشتر نباشد، اين معنا را مى‌فهماند كه امام هرگاه بخواهد چيزى را بداند، خدابه‌او اعلام مى‌كند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اوّل 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مَتى يَمُوتون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به‌اينكه اگر امام نداند چه به‌او مى‌رسد و سرانجامِ او چه مى‌شود، حجت‌خدا بر خلق نيست و فشرده روايات ديگر اين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خويش مطلع است و با اختيار خود به‌استقبال مرگ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52" w:name="__RefHeading___Toc3767399_3650668749"/>
      <w:bookmarkStart w:id="753" w:name="_Toc278"/>
      <w:bookmarkEnd w:id="752"/>
      <w:r>
        <w:rPr>
          <w:rtl w:val="true"/>
        </w:rPr>
        <w:t xml:space="preserve">دو </w:t>
      </w:r>
      <w:r>
        <w:rPr>
          <w:rtl w:val="true"/>
        </w:rPr>
        <w:t xml:space="preserve">- </w:t>
      </w:r>
      <w:r>
        <w:rPr>
          <w:rtl w:val="true"/>
        </w:rPr>
        <w:t xml:space="preserve">ديدگاه كلى اماميه و علم غيب ائمه </w:t>
      </w:r>
      <w:r>
        <w:rPr>
          <w:rtl w:val="true"/>
        </w:rPr>
        <w:t>(</w:t>
      </w:r>
      <w:r>
        <w:rPr>
          <w:rtl w:val="true"/>
        </w:rPr>
        <w:t>عليهم السلام</w:t>
      </w:r>
      <w:r>
        <w:rPr>
          <w:rtl w:val="true"/>
        </w:rPr>
        <w:t>)</w:t>
      </w:r>
      <w:bookmarkEnd w:id="753"/>
    </w:p>
    <w:p>
      <w:pPr>
        <w:pStyle w:val="BookText"/>
        <w:rPr/>
      </w:pPr>
      <w:r>
        <w:rPr>
          <w:rFonts w:ascii="Amiri" w:hAnsi="Amiri" w:eastAsia="Amiri" w:cs="Amiri"/>
          <w:color w:val="111111"/>
          <w:sz w:val="28"/>
          <w:sz w:val="28"/>
          <w:szCs w:val="28"/>
          <w:rtl w:val="true"/>
          <w:lang w:bidi="ar-SA"/>
        </w:rPr>
        <w:t xml:space="preserve">ترديدى نيست كه شيعه اماميه بر اساس آيات شريفه </w:t>
      </w:r>
      <w:r>
        <w:rPr>
          <w:rStyle w:val="FootnoteAnchor"/>
          <w:rtl w:val="true"/>
        </w:rPr>
        <w:footnoteReference w:id="2106"/>
      </w:r>
      <w:r>
        <w:rPr>
          <w:rFonts w:ascii="Amiri" w:hAnsi="Amiri" w:eastAsia="Amiri" w:cs="Amiri"/>
          <w:color w:val="111111"/>
          <w:sz w:val="28"/>
          <w:sz w:val="28"/>
          <w:szCs w:val="28"/>
          <w:rtl w:val="true"/>
          <w:lang w:bidi="ar-SA"/>
        </w:rPr>
        <w:t xml:space="preserve">نه تنها علم غيب را كه اصل علم و عالم بودن را، اوّلاً و بالذّات از آنِ خدا مى‌داند و اعتقاد دارد او عالم مطلق و علّام الغيوب </w:t>
      </w:r>
      <w:r>
        <w:rPr>
          <w:rStyle w:val="FootnoteAnchor"/>
          <w:rtl w:val="true"/>
        </w:rPr>
        <w:footnoteReference w:id="2107"/>
      </w:r>
      <w:r>
        <w:rPr>
          <w:rFonts w:ascii="Amiri" w:hAnsi="Amiri" w:eastAsia="Amiri" w:cs="Amiri"/>
          <w:color w:val="111111"/>
          <w:sz w:val="28"/>
          <w:sz w:val="28"/>
          <w:szCs w:val="28"/>
          <w:rtl w:val="true"/>
          <w:lang w:bidi="ar-SA"/>
        </w:rPr>
        <w:t xml:space="preserve">است، و كسى كه جز خدا را عالم مطلق بداند، عقيده‌اش باطل و فسادش روشن است </w:t>
      </w:r>
      <w:r>
        <w:rPr>
          <w:rStyle w:val="FootnoteAnchor"/>
          <w:rtl w:val="true"/>
        </w:rPr>
        <w:footnoteReference w:id="2108"/>
      </w:r>
      <w:r>
        <w:rPr>
          <w:rFonts w:ascii="IRNazanin" w:hAnsi="IRNazanin" w:eastAsia="IRNazanin"/>
          <w:color w:val="111111"/>
          <w:sz w:val="28"/>
          <w:sz w:val="28"/>
          <w:szCs w:val="28"/>
          <w:rtl w:val="true"/>
          <w:lang w:bidi="fa-IR"/>
        </w:rPr>
        <w:t xml:space="preserve">و خارج از ملت اسلام </w:t>
      </w:r>
      <w:r>
        <w:rPr>
          <w:rStyle w:val="FootnoteAnchor"/>
          <w:rtl w:val="true"/>
        </w:rPr>
        <w:footnoteReference w:id="2109"/>
      </w:r>
      <w:r>
        <w:rPr>
          <w:rFonts w:ascii="IRNazanin" w:hAnsi="IRNazanin" w:eastAsia="IRNazanin"/>
          <w:color w:val="111111"/>
          <w:sz w:val="28"/>
          <w:sz w:val="28"/>
          <w:szCs w:val="28"/>
          <w:rtl w:val="true"/>
          <w:lang w:bidi="fa-IR"/>
        </w:rPr>
        <w:t>مى‌شمارد، ولى هيچ مانعِ عقلى و شرعى نمى‌بيند كه خداوند بندگان صالح خويش را به‌علوم غيب كه جز لطفى از الطاف الهى است، آگاه نمايد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ذاتى بودن علم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آيات قرآن كريم </w:t>
      </w:r>
      <w:r>
        <w:rPr>
          <w:rStyle w:val="FootnoteAnchor"/>
          <w:rtl w:val="true"/>
        </w:rPr>
        <w:footnoteReference w:id="2110"/>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w:t>
      </w:r>
    </w:p>
    <w:p>
      <w:pPr>
        <w:pStyle w:val="BookText"/>
        <w:rPr/>
      </w:pP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غَيْبِهِ اَحَداً إِلَّا مَنِ ارْتَض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مِن رَّسُولٍ فَإِنَّهُ يَسْلُكُ مِن بَيْنِ يَدَيْهِ وَمِنْ خَلْفِهِ رَصَداً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غيب به‌شايستگان از بندگان عطا مى‌شود، كه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به‌جبرئيل و اكثر مفسران به‌برگزيدگان نبوت تفسير نموده‌اند </w:t>
      </w:r>
      <w:r>
        <w:rPr>
          <w:rStyle w:val="FootnoteAnchor"/>
          <w:rtl w:val="true"/>
        </w:rPr>
        <w:footnoteReference w:id="2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كه شيخ طوسى ديدگاه او را نمى‌پذيرد </w:t>
      </w:r>
      <w:r>
        <w:rPr>
          <w:rStyle w:val="FootnoteAnchor"/>
          <w:rtl w:val="true"/>
        </w:rPr>
        <w:footnoteReference w:id="2112"/>
      </w:r>
      <w:r>
        <w:rPr>
          <w:rFonts w:ascii="Amiri" w:hAnsi="Amiri" w:eastAsia="Amiri" w:cs="Amiri"/>
          <w:color w:val="111111"/>
          <w:sz w:val="28"/>
          <w:sz w:val="28"/>
          <w:szCs w:val="28"/>
          <w:rtl w:val="true"/>
          <w:lang w:bidi="ar-SA"/>
        </w:rPr>
        <w:t xml:space="preserve">، آن را به‌مطلق كسانى كه خداوند از آنها راضى باشد، تفسير مى‌كند </w:t>
      </w:r>
      <w:r>
        <w:rPr>
          <w:rStyle w:val="FootnoteAnchor"/>
          <w:rtl w:val="true"/>
        </w:rPr>
        <w:footnoteReference w:id="2113"/>
      </w:r>
      <w:r>
        <w:rPr>
          <w:rFonts w:ascii="IRNazanin" w:hAnsi="IRNazanin" w:eastAsia="IRNazanin"/>
          <w:color w:val="111111"/>
          <w:sz w:val="28"/>
          <w:sz w:val="28"/>
          <w:szCs w:val="28"/>
          <w:rtl w:val="true"/>
          <w:lang w:bidi="fa-IR"/>
        </w:rPr>
        <w:t xml:space="preserve">، زمخشرى برپايه اينكه آيه،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به‌رُسُل اختصاص داده، كرامات اولياى الهى و كهانت و تنجيم را باطل مى‌داند </w:t>
      </w:r>
      <w:r>
        <w:rPr>
          <w:rStyle w:val="FootnoteAnchor"/>
          <w:rtl w:val="true"/>
        </w:rPr>
        <w:footnoteReference w:id="2114"/>
      </w:r>
      <w:r>
        <w:rPr>
          <w:rFonts w:ascii="IRNazanin" w:hAnsi="IRNazanin" w:eastAsia="IRNazanin"/>
          <w:color w:val="111111"/>
          <w:sz w:val="28"/>
          <w:sz w:val="28"/>
          <w:szCs w:val="28"/>
          <w:rtl w:val="true"/>
          <w:lang w:bidi="fa-IR"/>
        </w:rPr>
        <w:t xml:space="preserve">ولى وى با نقل از واحدى، كرامات و الهاماتى كه از سوى اوليا صادر مى‌شود، جايز و مشمول آيه مى‌داند و علم غيب در آيه را، مخصوص پيامبران نمى‌شمارد </w:t>
      </w:r>
      <w:r>
        <w:rPr>
          <w:rStyle w:val="FootnoteAnchor"/>
          <w:rtl w:val="true"/>
        </w:rPr>
        <w:footnoteReference w:id="2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كهف،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طه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 علم غيب را براى غيرخدا ممكن مى‌داند</w:t>
      </w:r>
      <w:r>
        <w:rPr>
          <w:rFonts w:eastAsia="Amiri" w:cs="Amiri" w:ascii="Amiri" w:hAnsi="Amiri"/>
          <w:color w:val="111111"/>
          <w:sz w:val="28"/>
          <w:szCs w:val="28"/>
          <w:rtl w:val="true"/>
          <w:lang w:bidi="ar-SA"/>
        </w:rPr>
        <w:t xml:space="preserve">. </w:t>
      </w:r>
      <w:r>
        <w:rPr>
          <w:rStyle w:val="FootnoteAnchor"/>
          <w:rtl w:val="true"/>
        </w:rPr>
        <w:footnoteReference w:id="211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علم غيب براى خدا ذاتى است و براى غير او به‌تعليم خالق متعال ممكن خواهد بود </w:t>
      </w:r>
      <w:r>
        <w:rPr>
          <w:rStyle w:val="FootnoteAnchor"/>
          <w:rtl w:val="true"/>
        </w:rPr>
        <w:footnoteReference w:id="2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هركسى را شايسته بداند همانند اولياى الهى به‌ويژه افضل آنها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بخشيد و چون عموميت آيات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يونس، توسط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جن، در خصوص انبياء، منتفى مى‌شود، ممكن است امام را از دو جهت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تخصيص بيشتر را دارد و دوم اينكه امام، همان ملاك‌هاى پيامبران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است </w:t>
      </w:r>
      <w:r>
        <w:rPr>
          <w:rStyle w:val="FootnoteAnchor"/>
          <w:rtl w:val="true"/>
        </w:rPr>
        <w:footnoteReference w:id="2118"/>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عالمان شيعه نسبت به‌علم غيب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قسمت به‌تعدادى از ديدگاه‌هاى صاحب نظران شيعه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الائمّةَ مِن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قدكانوا يعرفون ضمائر بعض‌العباد و يعرفون مايكون قبل كونه، و ليس ذلك بواجب في صفاتهم و لاشرطاً في أمامتهم و إنّما اكرَمَهم الله تعالى به و أعلمهم إيّاه للُطف في طاعتهم و التمسّك بإمامتهم، و ليس ذلك بواجب عقلاً و لكنّه وَجَب لهم من جهة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اطلاق القول عليهم بأنّهم يعلمون الغيب فهو منكرٌ بَيّن الفساد؛ لانّ الوصف بذلك إنّما يستحقّه من علم الاشياء بنفسه لابعلم مستفاد، و هذا لايكون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قولي هذا، جماعة اهل الاِمامة إلّا من شَذّ عنهم من المفوّضة و مَن إنتمى إليهم من الغلاة </w:t>
      </w:r>
      <w:r>
        <w:rPr>
          <w:rFonts w:eastAsia="Amiri" w:cs="Amiri" w:ascii="Amiri" w:hAnsi="Amiri"/>
          <w:color w:val="111111"/>
          <w:sz w:val="28"/>
          <w:szCs w:val="28"/>
          <w:rtl w:val="true"/>
          <w:lang w:bidi="ar-SA"/>
        </w:rPr>
        <w:t xml:space="preserve">» </w:t>
      </w:r>
      <w:r>
        <w:rPr>
          <w:rStyle w:val="FootnoteAnchor"/>
          <w:rtl w:val="true"/>
        </w:rPr>
        <w:footnoteReference w:id="2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عالم شيعى يكى از دليل‌هاى منصوص‌بودن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جهت كه امام متولّى دين است، اين مى‌داند كه واجب است امام نسبت به‌همه احكام دين، اعم از احكام آشكار و پنهان، ريز و درشت، مشكل و آسان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عالم باشد و در غير اين صورت قبيح است عهده‌دار امور دين گردد</w:t>
      </w:r>
      <w:r>
        <w:rPr>
          <w:rFonts w:eastAsia="IRNazanin" w:cs="IRNazanin"/>
          <w:color w:val="111111"/>
          <w:sz w:val="28"/>
          <w:szCs w:val="28"/>
          <w:rtl w:val="true"/>
          <w:lang w:bidi="fa-IR"/>
        </w:rPr>
        <w:t xml:space="preserve">. </w:t>
      </w:r>
      <w:r>
        <w:rPr>
          <w:rStyle w:val="FootnoteAnchor"/>
          <w:rtl w:val="true"/>
        </w:rPr>
        <w:footnoteReference w:id="2120"/>
      </w:r>
      <w:r>
        <w:rPr>
          <w:rFonts w:ascii="Amiri" w:hAnsi="Amiri" w:eastAsia="Amiri" w:cs="Amiri"/>
          <w:color w:val="111111"/>
          <w:sz w:val="28"/>
          <w:sz w:val="28"/>
          <w:szCs w:val="28"/>
          <w:rtl w:val="true"/>
          <w:lang w:bidi="ar-SA"/>
        </w:rPr>
        <w:t xml:space="preserve">و علم به‌بواطن امور و غيب‌ها را جزئى از علم به احكام و از زير مجموعه‌هاى احاطه علمى امام نسبت به‌حكم واقعى حوادث مى‌شمارد؛ زيرا خداوند براى همه حوادث و اشياء حكم شرعى قرار داده و امام آن احكام واقعى را مى‌داند </w:t>
      </w:r>
      <w:r>
        <w:rPr>
          <w:rStyle w:val="FootnoteAnchor"/>
          <w:rtl w:val="true"/>
        </w:rPr>
        <w:footnoteReference w:id="21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بيان مطالب سيدمرتضى </w:t>
      </w:r>
      <w:r>
        <w:rPr>
          <w:rStyle w:val="FootnoteAnchor"/>
          <w:rtl w:val="true"/>
        </w:rPr>
        <w:footnoteReference w:id="2122"/>
      </w:r>
      <w:r>
        <w:rPr>
          <w:rFonts w:ascii="Amiri" w:hAnsi="Amiri" w:eastAsia="Amiri" w:cs="Amiri"/>
          <w:color w:val="111111"/>
          <w:sz w:val="28"/>
          <w:sz w:val="28"/>
          <w:szCs w:val="28"/>
          <w:rtl w:val="true"/>
          <w:lang w:bidi="ar-SA"/>
        </w:rPr>
        <w:t xml:space="preserve">، علومى را كه مربوط </w:t>
      </w:r>
    </w:p>
    <w:p>
      <w:pPr>
        <w:pStyle w:val="BookText"/>
        <w:rPr/>
      </w:pPr>
      <w:r>
        <w:rPr>
          <w:rFonts w:ascii="Amiri" w:hAnsi="Amiri" w:eastAsia="Amiri" w:cs="Amiri"/>
          <w:color w:val="111111"/>
          <w:sz w:val="28"/>
          <w:sz w:val="28"/>
          <w:szCs w:val="28"/>
          <w:rtl w:val="true"/>
          <w:lang w:bidi="ar-SA"/>
        </w:rPr>
        <w:t xml:space="preserve">به‌احكام شرعيه و دين نباشد بر امام واجب نمى‌داند </w:t>
      </w:r>
      <w:r>
        <w:rPr>
          <w:rStyle w:val="FootnoteAnchor"/>
          <w:rtl w:val="true"/>
        </w:rPr>
        <w:footnoteReference w:id="2123"/>
      </w:r>
      <w:r>
        <w:rPr>
          <w:rFonts w:ascii="Amiri" w:hAnsi="Amiri" w:eastAsia="Amiri" w:cs="Amiri"/>
          <w:color w:val="111111"/>
          <w:sz w:val="28"/>
          <w:sz w:val="28"/>
          <w:szCs w:val="28"/>
          <w:rtl w:val="true"/>
          <w:lang w:bidi="ar-SA"/>
        </w:rPr>
        <w:t xml:space="preserve">و مطلق علم به‌امور غير دينى و امور غيبى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مطلق و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ارتباط به‌دين نداشته باشد 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و امام بر آنها نيست، باطل مى‌شمارد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به‌غيب كه از صفات قديم و ذاتى خداوند است را ويژۀ خداوند مى‌داند و احدى از مخلوقات شريك آن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إعتقد أنّ غيرَالله سبحانه يشركه في هذه الصفة فهو خارج عن مِلّة الاِسلام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در روايات به‌عنوان علم غيب به‌امامان نسبت داده شده، همه از سوى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گرديده است كه خداوند او را از آنها مطلع ساخته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ائمه شيعه در منابع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احاديث ثقلين، غدير، منزلت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عليرغم محدوديت‌هاى فراوان، احاديثى در منابع اهل‌سنت در خصوص علم وسيع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به‌چشم مى‌خورد كه در مباحث قبلى به‌بخشى از اين روايات اشاره شد </w:t>
      </w:r>
      <w:r>
        <w:rPr>
          <w:rStyle w:val="FootnoteAnchor"/>
          <w:rtl w:val="true"/>
        </w:rPr>
        <w:footnoteReference w:id="2125"/>
      </w:r>
      <w:r>
        <w:rPr>
          <w:rFonts w:ascii="IRNazanin" w:hAnsi="IRNazanin" w:eastAsia="IRNazanin"/>
          <w:color w:val="111111"/>
          <w:sz w:val="28"/>
          <w:sz w:val="28"/>
          <w:szCs w:val="28"/>
          <w:rtl w:val="true"/>
          <w:lang w:bidi="fa-IR"/>
        </w:rPr>
        <w:t>كه با توجّه به‌آن روايات، احاديث كلينى، روشن مى‌گردد كه غلوِّ باطل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محتواى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الائمة معدن العلم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اهل‌سنت ديده مى‌شود؛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ضحّاك و او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آل‌محمّد مَعدِن العِلم وأصل الرّحمة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ابن‌حجر الهيتمى بعد از نقل حديث ثقلين و تصريح به‌اينكه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إعلم أنّ الحديثَ </w:t>
      </w:r>
    </w:p>
    <w:p>
      <w:pPr>
        <w:pStyle w:val="BookText"/>
        <w:rPr/>
      </w:pPr>
      <w:r>
        <w:rPr>
          <w:rFonts w:ascii="Amiri" w:hAnsi="Amiri" w:eastAsia="Amiri" w:cs="Amiri"/>
          <w:color w:val="111111"/>
          <w:sz w:val="28"/>
          <w:sz w:val="28"/>
          <w:szCs w:val="28"/>
          <w:rtl w:val="true"/>
          <w:lang w:bidi="ar-SA"/>
        </w:rPr>
        <w:t>التمسّك بذلك طُرُقاً كثيرةً وَرَدَت عن نيف و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صحابيّاً</w:t>
      </w:r>
      <w:r>
        <w:rPr>
          <w:rFonts w:eastAsia="Amiri" w:cs="Amiri" w:ascii="Amiri" w:hAnsi="Amiri"/>
          <w:color w:val="111111"/>
          <w:sz w:val="28"/>
          <w:szCs w:val="28"/>
          <w:rtl w:val="true"/>
          <w:lang w:bidi="ar-SA"/>
        </w:rPr>
        <w:t xml:space="preserve">. . .» </w:t>
      </w:r>
      <w:r>
        <w:rPr>
          <w:rStyle w:val="FootnoteAnchor"/>
          <w:rtl w:val="true"/>
        </w:rPr>
        <w:footnoteReference w:id="2126"/>
      </w:r>
      <w:r>
        <w:rPr>
          <w:rFonts w:ascii="Amiri" w:hAnsi="Amiri" w:eastAsia="Amiri" w:cs="Amiri"/>
          <w:color w:val="111111"/>
          <w:sz w:val="28"/>
          <w:sz w:val="28"/>
          <w:szCs w:val="28"/>
          <w:rtl w:val="true"/>
          <w:lang w:bidi="ar-SA"/>
        </w:rPr>
        <w:t>، در توضيح حديث مى‌آورد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الثِّقل، كلُّ نَفِيسٍ خَطيرٍ مصون، و هذان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واهل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اذ كلّ مِنهُما مَعدن للعلوم اللَّدُنِيّة و الاَسرار و الحِكَم العِلّية و الاحكام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َرعيّة، و لذا 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الاِقتداء و التّمسّك بهم وَ التَعلّم منهم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ألحمدلله الذي جَعَل فينا الحِكمة اهل‌البيت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اهل‌بيت به‌حق عارفان به‌كتاب خدا و سنت رسولند، و تا زمان ورود برحوض از كتاب‌خدا جدا نمى‌شود چنان‌كه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اهل‌بيت با ساير علما فرق دارد؛ زيرا آنها كسانى هستند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خداوند با كرامات باهره و مزاياى متكاثره، اشرف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ترغيب به تمّسك به قرآن و اهل‌بيت تا روز قيامت قطع نخواهد شد چنان‌كه كتاب‌الله چنين است </w:t>
      </w:r>
      <w:r>
        <w:rPr>
          <w:rStyle w:val="FootnoteAnchor"/>
          <w:rtl w:val="true"/>
        </w:rPr>
        <w:footnoteReference w:id="212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نه تنها در مجامع علمى كه در مباحثات و فضاى سياسى نيز علم و دانش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بوده است؛ وقتى معاويه پيمان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ملاءعام نقض كرد و با حضور در شهر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پسرش يزيد را مطرح كرد، اعتراض گروهى از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عبدالله‌بن‌جعفر را برانگيخت؛ وى با استدلال منطقى طرح معاويه را مردود شمرد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شايستۀ خلافت دانست و با خطاب به‌معاويه، آن دو را معدن علم و حكمت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وإنّك لَتَعلم أنّهُمَا معدن العلم و الكَرَم</w:t>
      </w:r>
      <w:r>
        <w:rPr>
          <w:rFonts w:eastAsia="IRNazanin" w:cs="IRNazanin"/>
          <w:color w:val="111111"/>
          <w:sz w:val="28"/>
          <w:szCs w:val="28"/>
          <w:rtl w:val="true"/>
          <w:lang w:bidi="fa-IR"/>
        </w:rPr>
        <w:t xml:space="preserve">. . . » </w:t>
      </w:r>
      <w:r>
        <w:rPr>
          <w:rStyle w:val="FootnoteAnchor"/>
          <w:rtl w:val="true"/>
        </w:rPr>
        <w:footnoteReference w:id="2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حتى در دوران عبّاسى‌ها مرجعيت علمى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جدال‌هاى سياسى دست آويز قرار مى‌گرفت؛ هنگامى كه ابومسلم، به‌خراسان اعزام شد، حاكميت او از سوى سليمان‌بن‌كثير پذيرفته نشد، او در استدلال خود در جمع نقباى </w:t>
      </w:r>
    </w:p>
    <w:p>
      <w:pPr>
        <w:pStyle w:val="BookText"/>
        <w:rPr/>
      </w:pPr>
      <w:r>
        <w:rPr>
          <w:rFonts w:ascii="IRNazanin" w:hAnsi="IRNazanin" w:eastAsia="IRNazanin"/>
          <w:color w:val="111111"/>
          <w:sz w:val="28"/>
          <w:sz w:val="28"/>
          <w:szCs w:val="28"/>
          <w:rtl w:val="true"/>
          <w:lang w:bidi="fa-IR"/>
        </w:rPr>
        <w:t>خراسان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فيكم أحدٌ بَدا له أن يَصرف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أهل‌البيت إلى غيرهم من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أفَتَشكُّون أنّهم مَعدِن العلم و أصحاب ميراث الرسول؛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مضمون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الائمه ورثة العلم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در أحاديث اهل‌سنت نيز نسبت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ابن‌بريده از پدرش حكايت مى‌كند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لكلّ نَبِيٍّ وصيّاً و وارثاً، و إنّ علياً وَصِيّي و وارثي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 توجّه به‌حديث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سخن آن حضرت در جمع بنى‌عبدالمطلب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عبدالمطّلب إنّ الله لم يبَعث رسولاً إلّا جَعَل له من أهله أخاً و وزيراً و وارثاً و و صيّاً و مُنَجزاً لعداته، و قاضياً لدينه</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فرمايش پيامبرخدا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أنتَ تبين ما اختلفوا فيه من بعدي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البته كه اين سنّت در ميان همۀ انبياى الهى 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دَاوُودَ وَقَالَ يَا اَيُّهَا النَّاسُ عُلِّمْنَا مَنطِقَ الطَّيْر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برخى از مفسران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 على كثير من 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برترى در علم و نبوت، و ارث، در اين آيه را به‌وراثت در علم و نبوت، تفسير مى‌كنند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در مباحثه‌اى كه ميان ابن‌عبّاس و نافع‌بن‌الأرزق در حضور حسين‌بن‌على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امام به‌ابن‌الأرزق، مى‌فرمايد سؤال را از من بپرس، و وى پاسخ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إياك أسأل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به‌خاطر صِغر سن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ابن‌عبّاس به‌وى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الاَرزق إنّهُ من أهل‌بيت النّبوة و هم وَرَثةُ العلم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ترديدى باقى نخواهد ماند، كه آنچه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خدايش آموخته،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به‌ارث برده و پس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به‌امامان بعدى يكى پس از ديگرى رسيده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به‌روايات 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الائمة وَرِثُوا علم النبي وجميع الأنبياء</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با توجّه به‌احاديث منقول از منابع اهل‌سنت ترديدى نيست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علم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اميرالمؤمنين آن را به‌امام بعدى منتقل مى‌كند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اينكه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علوم انبياء پيش از خودش است، كسى به‌عنوان مسلمان در آن ترديدى ندارد، اگر قرآّن ختم و پايان رسالت را با نبوت خاتم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مُحَمَّدٌ اَبَا اَحَدٍ مِّن رِّجَالِكُمْ وَلَكِن رَّسُولَ اللهِ وَخَاتَمَ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مى‌دارد، حاكى از فضيلت و بقاى شريعت او تا روز قيامت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ايشان ميراث‌دار كل انبياى الهى خواهد بود؛ چنان‌چه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مَثَلي و مَثَلَ الاَنبياءِ مِن قبلي، كمَثَلِ رَجُلٍ بَنَى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فأكمَلَها و أحسَنَها إلّا موضِعَ لَبِنةٍ، فجَعَل النّاسُ يَدخُولُونَهَا و يَتَعَجّبُون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مَوضِعُ اللَّبِنة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وُضِعت هذه اللَّبِنة؟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اللّبنةُ، وأنَا خاتم النّبيين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بلكه رسالت پيامبرخاتم رسالت‌جهانى و انبيا و امت‌هاى آنان، جزء امت خاتم محسوب مى‌گردد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زيرا وقتى از او سؤال شد كه چه زمانى نبى‌خدا بودى؟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نبيّاً وآدمُ بين الرّوح و الجَسد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كه بزرگ‌ترين نعمت‌هاى الهى به‌بندگانش محسوب مى‌شود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اختصاص به‌علوم دينى كه واجب است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ندارد بلكه شامل علوم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احاديث اين باب اشاره شده ولو</w:t>
      </w:r>
    </w:p>
    <w:p>
      <w:pPr>
        <w:pStyle w:val="BookText"/>
        <w:rPr/>
      </w:pPr>
      <w:r>
        <w:rPr>
          <w:rFonts w:ascii="Amiri" w:hAnsi="Amiri" w:eastAsia="Amiri" w:cs="Amiri"/>
          <w:color w:val="111111"/>
          <w:sz w:val="28"/>
          <w:sz w:val="28"/>
          <w:szCs w:val="28"/>
          <w:rtl w:val="true"/>
          <w:lang w:bidi="ar-SA"/>
        </w:rPr>
        <w:t xml:space="preserve">داشتنش بر امام واجب عقلى نيست </w:t>
      </w:r>
      <w:r>
        <w:rPr>
          <w:rStyle w:val="FootnoteAnchor"/>
          <w:rtl w:val="true"/>
        </w:rPr>
        <w:footnoteReference w:id="2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و از نگاه عقلى و شرعى منعى ندارد كه امام، علوم ديگر را هم داشته باشد كه به‌اعتقاد شيعه، امام شرعاً ساير علوم را از باب كرامت و لطف خدا، واجد است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مضمون احاديث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الائمة اذا شاؤُوا عَلِموُا</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نكته را فهماند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تصميم بر دانستن چيزى بگيرد، خداوند آن را به‌او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الهام يا القاء از سوى روح القُدُس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چنان‌كه در مباحث گذشته اشاره شد، الهام و القاء براى غير پيامبر در قرآن عنوان گرديده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مانعى نخواهد داشت؛ زيرا حصول علم براى امام، به‌مجرد توجّه نفس به‌معلوم، صورت مى‌گيرد؛ و علتش اين است كه نفس انسان‌هاى پاك در اثر ارتباط نزديك با خدا و تلاش فراوان براى بندگى، تقويت مى‌شود و نور الهى او را فرا مى‌گيرد و از تعلق آن به‌بدن كاسته مى‌شود، و چنين نفسى هرگاه نسبت به‌چيزى توجّه پيدا كند، خداوند گذشته و آينده و حال را به‌او اعلام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علم اولياى الهى همانند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افراد عادى متفاوت است، نَه تنها خلاف شرع و عقل نيست كه خود در تقويت باورهاى دينى مؤثّر و لازم خواهد بود و بخشى از معجزات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اخبار به‌غيب تشكيل مى‌دهد و شواهد فراوانى در تاريخ بشر نيز موجود است؛ چنانچه امام فخررازى ادعاى قطعى مى‌كند كه علم غيب در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جن اختصاص به‌پيامبر ندارد و نمونه‌هايى از اخبار غيبى كه صحت آنها به‌وقوع پيوسته را ذكر مى‌كند</w:t>
      </w:r>
      <w:r>
        <w:rPr>
          <w:rFonts w:eastAsia="IRNazanin" w:cs="IRNazanin"/>
          <w:color w:val="111111"/>
          <w:sz w:val="28"/>
          <w:szCs w:val="28"/>
          <w:rtl w:val="true"/>
          <w:lang w:bidi="fa-IR"/>
        </w:rPr>
        <w:t xml:space="preserve">. </w:t>
      </w:r>
      <w:r>
        <w:rPr>
          <w:rStyle w:val="FootnoteAnchor"/>
          <w:rtl w:val="true"/>
        </w:rPr>
        <w:footnoteReference w:id="2132"/>
      </w:r>
    </w:p>
    <w:p>
      <w:pPr>
        <w:pStyle w:val="BookText"/>
        <w:rPr/>
      </w:pPr>
      <w:r>
        <w:rPr>
          <w:rFonts w:ascii="IRNazanin" w:hAnsi="IRNazanin" w:eastAsia="IRNazanin"/>
          <w:color w:val="111111"/>
          <w:sz w:val="28"/>
          <w:sz w:val="28"/>
          <w:szCs w:val="28"/>
          <w:rtl w:val="true"/>
          <w:lang w:bidi="fa-IR"/>
        </w:rPr>
        <w:t xml:space="preserve">مجلسى نيز نتيجه جمع‌بندى ميان آيات و روايات را اين مى‌داند كه امام به‌تعليم خدا بر امور پنهانى اطلاع پيدا مى‌كند و با بررسى غيب از سطح ادراك عمومى، و غيب از نگاه دانش و فنِّى و غيب در عرصه تفكر و رياضت، به‌اين حقيقت مى‌رسد كه پيغمبر و امام به‌عنوان يك رهبر همه جانبه جامعه، مراتب غيب ادراكى و فنى را مى‌داند و بر آنها مسلط است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اينكه رواياتى كه قبلاً نسبت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عَلَّمني الف باب، يفتح كل باب ألف باب </w:t>
      </w:r>
      <w:r>
        <w:rPr>
          <w:rFonts w:eastAsia="IRNazanin" w:cs="IRNazanin"/>
          <w:color w:val="111111"/>
          <w:sz w:val="28"/>
          <w:szCs w:val="28"/>
          <w:rtl w:val="true"/>
          <w:lang w:bidi="fa-IR"/>
        </w:rPr>
        <w:t xml:space="preserve">» </w:t>
      </w:r>
      <w:r>
        <w:rPr>
          <w:rStyle w:val="FootnoteAnchor"/>
          <w:rtl w:val="true"/>
        </w:rPr>
        <w:footnoteReference w:id="2134"/>
      </w:r>
      <w:r>
        <w:rPr>
          <w:rFonts w:ascii="Amiri" w:hAnsi="Amiri" w:eastAsia="Amiri" w:cs="Amiri"/>
          <w:color w:val="111111"/>
          <w:sz w:val="28"/>
          <w:sz w:val="28"/>
          <w:szCs w:val="28"/>
          <w:rtl w:val="true"/>
          <w:lang w:bidi="ar-SA"/>
        </w:rPr>
        <w:t>، يا روايت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صدري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إملا قلبهُ علماً و فهماً و حكماً و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جبرئيل امين از اجابت آن خبر داد</w:t>
      </w:r>
      <w:r>
        <w:rPr>
          <w:rFonts w:eastAsia="Amiri" w:cs="Amiri" w:ascii="Amiri" w:hAnsi="Amiri"/>
          <w:color w:val="111111"/>
          <w:sz w:val="28"/>
          <w:szCs w:val="28"/>
          <w:rtl w:val="true"/>
          <w:lang w:bidi="ar-SA"/>
        </w:rPr>
        <w:t xml:space="preserve">» </w:t>
      </w:r>
      <w:r>
        <w:rPr>
          <w:rStyle w:val="FootnoteAnchor"/>
          <w:rtl w:val="true"/>
        </w:rPr>
        <w:footnoteReference w:id="2135"/>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به‌ده جزء تقسيم مى‌شود، نُه جزء آن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جزئش به‌انسان‌هاى ديگر اختصاص يافت</w:t>
      </w:r>
      <w:r>
        <w:rPr>
          <w:rFonts w:eastAsia="IRNazanin" w:cs="IRNazanin"/>
          <w:color w:val="111111"/>
          <w:sz w:val="28"/>
          <w:szCs w:val="28"/>
          <w:rtl w:val="true"/>
          <w:lang w:bidi="fa-IR"/>
        </w:rPr>
        <w:t xml:space="preserve">» </w:t>
      </w:r>
      <w:r>
        <w:rPr>
          <w:rStyle w:val="FootnoteAnchor"/>
          <w:rtl w:val="true"/>
        </w:rPr>
        <w:footnoteReference w:id="2136"/>
      </w:r>
      <w:r>
        <w:rPr>
          <w:rFonts w:ascii="IRNazanin" w:hAnsi="IRNazanin" w:eastAsia="IRNazanin"/>
          <w:color w:val="111111"/>
          <w:sz w:val="28"/>
          <w:sz w:val="28"/>
          <w:szCs w:val="28"/>
          <w:rtl w:val="true"/>
          <w:lang w:bidi="fa-IR"/>
        </w:rPr>
        <w:t>، همه شاهد و مؤيد اين معنا است كه خداوند هركسى را كه بخواهد، از اخبار غيب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بلندى كه امامان شيعه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عزّوجلّ 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لايعلمه إلّا هُوَ و علمٌ عَلّمه ملائكتَه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نَعلَمُهُ </w:t>
      </w:r>
      <w:r>
        <w:rPr>
          <w:rFonts w:eastAsia="IRNazanin" w:cs="IRNazanin"/>
          <w:color w:val="111111"/>
          <w:sz w:val="28"/>
          <w:szCs w:val="28"/>
          <w:rtl w:val="true"/>
          <w:lang w:bidi="fa-IR"/>
        </w:rPr>
        <w:t xml:space="preserve">» </w:t>
      </w:r>
      <w:r>
        <w:rPr>
          <w:rStyle w:val="FootnoteAnchor"/>
          <w:rtl w:val="true"/>
        </w:rPr>
        <w:footnoteReference w:id="2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منابع فريقين، علم، نورى خوانده شده كه خداوند در 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هر كه بخواهد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عن‌انس‌بن‌مالك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العلمَ ليس بكثرةِ الرّوايةِ و إنّما العلمُ نورٌ يَجعله‌الله في‌القلب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 </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به‌سند خود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حضرت در جواب جاثليق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العَرشَ خَلَقَه‌اللهُ تعالى مِن أنوارِِ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p>
    <w:p>
      <w:pPr>
        <w:pStyle w:val="BookText"/>
        <w:rPr/>
      </w:pP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 نُورٍ أبيَض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وهو العِلم الّذي حمَّلَه‌اللهُ الحَمَلةَ وذلك نُورٌ من عَظَمَتِه، فبِعَظَمَتِهِ ونَوره أبصَرَ قُلُوبُ المؤمنين</w:t>
      </w:r>
      <w:r>
        <w:rPr>
          <w:rFonts w:eastAsia="Amiri" w:cs="Amiri" w:ascii="Amiri" w:hAnsi="Amiri"/>
          <w:color w:val="111111"/>
          <w:sz w:val="28"/>
          <w:szCs w:val="28"/>
          <w:rtl w:val="true"/>
          <w:lang w:bidi="ar-SA"/>
        </w:rPr>
        <w:t xml:space="preserve">. . . »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و محتواى روايات 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متى يموتون</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مفهوم را مى‌رساند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خويش مطلع‌اند؛ چنان‌كه در حديث دوم اين باب، موسى‌بن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جمع موجّهان بغداد در زندان سندى‌بن‌شاهك، در روايت سوم، على‌بن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زمان شهادت خويش خبر مى‌دهند، حديث چهارم از علم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به‌قاتل و محل و زمان شهادتش پرده برمى‌دارد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در اين خصوص ميان بزرگان شيعه به‌ظاهر وحدت نظر وجود ندارد؛ زيرا برخى بدان جهت كه حفظ نفس عقلاً و شرعاً واجب است، رفتن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سحر به‌مسجد كوفه با اينكه مى‌دانست او را به‌شهادت مى‌رساند،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عليرغم اينكه مى‌دانست وى پايبند به‌تعهدات خود نيست،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كوفه، با اينكه علم داشت كوفيان او را تنها خواهند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همه به‌هلاكت انداختن نفس است؛ و راه حل را اين مى‌داند كه حفظ نفس در همه حالات واجب نيست و آن را از خصائص امام، مى‌شمارد</w:t>
      </w:r>
      <w:r>
        <w:rPr>
          <w:rFonts w:eastAsia="IRNazanin" w:cs="IRNazanin"/>
          <w:color w:val="111111"/>
          <w:sz w:val="28"/>
          <w:szCs w:val="28"/>
          <w:rtl w:val="true"/>
          <w:lang w:bidi="fa-IR"/>
        </w:rPr>
        <w:t xml:space="preserve">. </w:t>
      </w:r>
      <w:r>
        <w:rPr>
          <w:rStyle w:val="FootnoteAnchor"/>
          <w:rtl w:val="true"/>
        </w:rPr>
        <w:footnoteReference w:id="214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در همين ارتباط اجماعِ مبنى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هرچه اتفاق مى‌افتد مى‌داند را، نمى‌پذيرد و ادعاى برخلاف آن مى‌كند، وى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إجتمعَت الشّيعة قَطُّ على هذا القول، وإنَّما إجماعُهُم ثابتٌ على أنَّ الاِمام يَعلَمُ الحكم في كلِّ مَايكون، دُون أن يَكون عالِماً بِأعيان ما يَحدُث و يكون، على التفصيل والتمييز </w:t>
      </w:r>
      <w:r>
        <w:rPr>
          <w:rFonts w:eastAsia="IRNazanin" w:cs="IRNazanin"/>
          <w:color w:val="111111"/>
          <w:sz w:val="28"/>
          <w:szCs w:val="28"/>
          <w:rtl w:val="true"/>
          <w:lang w:bidi="fa-IR"/>
        </w:rPr>
        <w:t xml:space="preserve">» </w:t>
      </w:r>
      <w:r>
        <w:rPr>
          <w:rStyle w:val="FootnoteAnchor"/>
          <w:rtl w:val="true"/>
        </w:rPr>
        <w:footnoteReference w:id="2141"/>
      </w:r>
      <w:r>
        <w:rPr>
          <w:rFonts w:ascii="Amiri" w:hAnsi="Amiri" w:eastAsia="Amiri" w:cs="Amiri"/>
          <w:color w:val="111111"/>
          <w:sz w:val="28"/>
          <w:sz w:val="28"/>
          <w:szCs w:val="28"/>
          <w:rtl w:val="true"/>
          <w:lang w:bidi="ar-SA"/>
        </w:rPr>
        <w:t xml:space="preserve">از اين رو، وى معتقد است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 قاتل خود را به‌اجمال مى‌شناخت نَه به‌تفصيل، و در غير اين صورت مأمور به‌صبر و تسليم </w:t>
      </w:r>
    </w:p>
    <w:p>
      <w:pPr>
        <w:pStyle w:val="BookText"/>
        <w:rPr/>
      </w:pPr>
      <w:r>
        <w:rPr>
          <w:rFonts w:ascii="IRNazanin" w:hAnsi="IRNazanin" w:eastAsia="IRNazanin"/>
          <w:color w:val="111111"/>
          <w:sz w:val="28"/>
          <w:sz w:val="28"/>
          <w:szCs w:val="28"/>
          <w:rtl w:val="true"/>
          <w:lang w:bidi="fa-IR"/>
        </w:rPr>
        <w:t>به‌شهادت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پيمان شكنى پسر ابوسفيان با خبر بود ولى صلح او براى حفظ جان خود و شيعيانش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خدعه كوفيان باخبر نبود و اگر مى‌دانست مأمور به‌اين كار بود</w:t>
      </w:r>
      <w:r>
        <w:rPr>
          <w:rFonts w:eastAsia="IRNazanin" w:cs="IRNazanin"/>
          <w:color w:val="111111"/>
          <w:sz w:val="28"/>
          <w:szCs w:val="28"/>
          <w:rtl w:val="true"/>
          <w:lang w:bidi="fa-IR"/>
        </w:rPr>
        <w:t xml:space="preserve">. </w:t>
      </w:r>
      <w:r>
        <w:rPr>
          <w:rStyle w:val="FootnoteAnchor"/>
          <w:rtl w:val="true"/>
        </w:rPr>
        <w:footnoteReference w:id="2142"/>
      </w:r>
    </w:p>
    <w:p>
      <w:pPr>
        <w:pStyle w:val="BookText"/>
        <w:rPr/>
      </w:pPr>
      <w:r>
        <w:rPr>
          <w:rFonts w:ascii="IRNazanin" w:hAnsi="IRNazanin" w:eastAsia="IRNazanin"/>
          <w:color w:val="111111"/>
          <w:sz w:val="28"/>
          <w:sz w:val="28"/>
          <w:szCs w:val="28"/>
          <w:rtl w:val="true"/>
          <w:lang w:bidi="fa-IR"/>
        </w:rPr>
        <w:t xml:space="preserve">عالم ديگر شيعى به‌نحوى علم غيب ائمّه را منكر مى‌شود و گويا رواياتى كه علم غيب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مى‌كند مخالف آيات قرآن </w:t>
      </w:r>
      <w:r>
        <w:rPr>
          <w:rStyle w:val="FootnoteAnchor"/>
          <w:rtl w:val="true"/>
        </w:rPr>
        <w:footnoteReference w:id="2143"/>
      </w:r>
      <w:r>
        <w:rPr>
          <w:rFonts w:ascii="Amiri" w:hAnsi="Amiri" w:eastAsia="Amiri" w:cs="Amiri"/>
          <w:color w:val="111111"/>
          <w:sz w:val="28"/>
          <w:sz w:val="28"/>
          <w:szCs w:val="28"/>
          <w:rtl w:val="true"/>
          <w:lang w:bidi="ar-SA"/>
        </w:rPr>
        <w:t>كه دانش غيب را اختصاص به‌خدا مى‌سازد، مى‌داند</w:t>
      </w:r>
      <w:r>
        <w:rPr>
          <w:rFonts w:eastAsia="Amiri" w:cs="Amiri" w:ascii="Amiri" w:hAnsi="Amiri"/>
          <w:color w:val="111111"/>
          <w:sz w:val="28"/>
          <w:szCs w:val="28"/>
          <w:rtl w:val="true"/>
          <w:lang w:bidi="ar-SA"/>
        </w:rPr>
        <w:t xml:space="preserve">. </w:t>
      </w:r>
      <w:r>
        <w:rPr>
          <w:rStyle w:val="FootnoteAnchor"/>
          <w:rtl w:val="true"/>
        </w:rPr>
        <w:footnoteReference w:id="2144"/>
      </w:r>
    </w:p>
    <w:p>
      <w:pPr>
        <w:pStyle w:val="BookText"/>
        <w:rPr/>
      </w:pPr>
      <w:r>
        <w:rPr>
          <w:rFonts w:ascii="IRNazanin" w:hAnsi="IRNazanin" w:eastAsia="IRNazanin"/>
          <w:color w:val="111111"/>
          <w:sz w:val="28"/>
          <w:sz w:val="28"/>
          <w:szCs w:val="28"/>
          <w:rtl w:val="true"/>
          <w:lang w:bidi="fa-IR"/>
        </w:rPr>
        <w:t xml:space="preserve">برخى ديگر، با نقد ديدگاه مجلسى و شيخ مفيد، عنوان و محتواى احاديث باب مورد نظر را معقول مى‌شمارد و تأكيد مى‌كند كه چون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خويش مصلح كل بوده، و همواره درحال مبارزه با باطل قرار داشته، به‌روش‌هايى كه اتخاذ مى‌كند بينا است و در اين جبهه ايثارگرانه فداكارى و خود را تسليم پروردگارش مى‌داند كه خود از بزرگ‌ترين مقامات شهامت و مردانگى و درك سعادت به‌شمار مى‌رود؛ و اين قضيه ربطى به‌هلاكت نفس ندارد بلكه ايفاى وظيفه و جانبازى در زمانِ به‌سر رسيده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به‌همين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زمان آن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خود باخبر است و آن را با اختيار خود برمى‌گزيند و با كمال رضايت وظيفه جانبازى را به‌پايان مى‌برد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به‌مطالب گذشته و فراوانى روايات در اين خصوص، به‌نظر مى‌رسد ديدگاهِ عالمانى كه اشاره شد، دور از هم نيست؛ و ادعاى اجماع بر اثبات علم غيب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آن </w:t>
      </w:r>
      <w:r>
        <w:rPr>
          <w:rStyle w:val="FootnoteAnchor"/>
          <w:rtl w:val="true"/>
        </w:rPr>
        <w:footnoteReference w:id="2146"/>
      </w:r>
      <w:r>
        <w:rPr>
          <w:rFonts w:ascii="IRNazanin" w:hAnsi="IRNazanin" w:eastAsia="IRNazanin"/>
          <w:color w:val="111111"/>
          <w:sz w:val="28"/>
          <w:sz w:val="28"/>
          <w:szCs w:val="28"/>
          <w:rtl w:val="true"/>
          <w:lang w:bidi="fa-IR"/>
        </w:rPr>
        <w:t xml:space="preserve">در ذاتى بودن و نبودن آن باز مى‌گردد؛ مدعيان اثبات، آن را عطاى </w:t>
      </w:r>
    </w:p>
    <w:p>
      <w:pPr>
        <w:pStyle w:val="BookText"/>
        <w:rPr/>
      </w:pPr>
      <w:r>
        <w:rPr>
          <w:rFonts w:ascii="IRNazanin" w:hAnsi="IRNazanin" w:eastAsia="IRNazanin"/>
          <w:color w:val="111111"/>
          <w:sz w:val="28"/>
          <w:sz w:val="28"/>
          <w:szCs w:val="28"/>
          <w:rtl w:val="true"/>
          <w:lang w:bidi="fa-IR"/>
        </w:rPr>
        <w:t xml:space="preserve">الهى مى‌شمارند نَه استقلالى اما طرف مقابل ذاتى و استقلالى بودن آن را منتفى مى‌داند؛ زيرا؛ شيخ مفيد در اوائل المقالات از يك‌طرف، به‌صراحت كامل علم غيب امام را مى‌پذيرد ولى آن را عقلاً و اجب نمى‌شمارد بلكه واجب شرعى و الطاف الهى نسبت به‌امام را به‌خاطر اطاعت مردم از او، مى‌داند و از ديگرسو، غيب‌گويى مطلق و ذاتى كه جز از آنِ خداوند نيست، منكر مى‌شود و فاسد قلمداد مى‌كند </w:t>
      </w:r>
      <w:r>
        <w:rPr>
          <w:rStyle w:val="FootnoteAnchor"/>
          <w:rtl w:val="true"/>
        </w:rPr>
        <w:footnoteReference w:id="2147"/>
      </w:r>
      <w:r>
        <w:rPr>
          <w:rFonts w:ascii="IRNazanin" w:hAnsi="IRNazanin" w:eastAsia="IRNazanin"/>
          <w:color w:val="111111"/>
          <w:sz w:val="28"/>
          <w:sz w:val="28"/>
          <w:szCs w:val="28"/>
          <w:rtl w:val="true"/>
          <w:lang w:bidi="fa-IR"/>
        </w:rPr>
        <w:t>كه درحقيقت علم غيب با چهار شرط براى امام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لطف است نَه شرط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شرعى است نَه عقلى، ذاتى و استقلالى نيست بلكه به‌اعلام خداوند است، اما بدان جهت كه علم غيب، ظهور در استقلال دارد نبايد به‌طور مطلق در مورد امام به‌كار برود </w:t>
      </w:r>
      <w:r>
        <w:rPr>
          <w:rStyle w:val="FootnoteAnchor"/>
          <w:rtl w:val="true"/>
        </w:rPr>
        <w:footnoteReference w:id="2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عبكريه، جُز همين مطلب را با زبان ديگر نمى‌گويد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سيدمرتضى </w:t>
      </w:r>
      <w:r>
        <w:rPr>
          <w:rStyle w:val="FootnoteAnchor"/>
          <w:rtl w:val="true"/>
        </w:rPr>
        <w:footnoteReference w:id="2149"/>
      </w:r>
      <w:r>
        <w:rPr>
          <w:rFonts w:ascii="Amiri" w:hAnsi="Amiri" w:eastAsia="Amiri" w:cs="Amiri"/>
          <w:color w:val="111111"/>
          <w:sz w:val="28"/>
          <w:sz w:val="28"/>
          <w:szCs w:val="28"/>
          <w:rtl w:val="true"/>
          <w:lang w:bidi="ar-SA"/>
        </w:rPr>
        <w:t xml:space="preserve">و شيخ طوسى </w:t>
      </w:r>
      <w:r>
        <w:rPr>
          <w:rStyle w:val="FootnoteAnchor"/>
          <w:rtl w:val="true"/>
        </w:rPr>
        <w:footnoteReference w:id="2150"/>
      </w:r>
      <w:r>
        <w:rPr>
          <w:rFonts w:ascii="IRNazanin" w:hAnsi="IRNazanin" w:eastAsia="IRNazanin"/>
          <w:color w:val="111111"/>
          <w:sz w:val="28"/>
          <w:sz w:val="28"/>
          <w:szCs w:val="28"/>
          <w:rtl w:val="true"/>
          <w:lang w:bidi="fa-IR"/>
        </w:rPr>
        <w:t>همين معنا را با اين بيان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علمى كه به‌نحوى مرتبط به‌دين و احكام شرعى اشياء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عقلاً و شرعاً آن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غيبى يا غيرآن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علومى كه ارتباط به‌دين و امامت و رهبرى آن، ندارد واجب نيست امام آنها را واجد باشد ولى منع عقلى و شرعى از داشتنش وجود ندارد، با اين تفاوت كه شيخ مفيد وجوب شرعى آن را بدان جهت كه لطف است و زمينه ساز اطاعت بيشتر امام، ثابت مى‌داند و ديگران منكر آن نيستند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محمّدجوادمغنيه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دريك‌جا مطلق علم غيب امام را منكر مى‌شود </w:t>
      </w:r>
      <w:r>
        <w:rPr>
          <w:rStyle w:val="FootnoteAnchor"/>
          <w:rtl w:val="true"/>
        </w:rPr>
        <w:footnoteReference w:id="2151"/>
      </w:r>
      <w:r>
        <w:rPr>
          <w:rFonts w:ascii="Amiri" w:hAnsi="Amiri" w:eastAsia="Amiri" w:cs="Amiri"/>
          <w:color w:val="111111"/>
          <w:sz w:val="28"/>
          <w:sz w:val="28"/>
          <w:szCs w:val="28"/>
          <w:rtl w:val="true"/>
          <w:lang w:bidi="ar-SA"/>
        </w:rPr>
        <w:t>، بى‌ترديد به‌همان جهتى است كه از اطلاق آن، بوى استقلال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شايد به‌همين </w:t>
      </w:r>
    </w:p>
    <w:p>
      <w:pPr>
        <w:pStyle w:val="BookText"/>
        <w:rPr/>
      </w:pPr>
      <w:r>
        <w:rPr>
          <w:rFonts w:ascii="IRNazanin" w:hAnsi="IRNazanin" w:eastAsia="IRNazanin"/>
          <w:color w:val="111111"/>
          <w:sz w:val="28"/>
          <w:sz w:val="28"/>
          <w:szCs w:val="28"/>
          <w:rtl w:val="true"/>
          <w:lang w:bidi="fa-IR"/>
        </w:rPr>
        <w:t xml:space="preserve">جهت تعبير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كلمات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به‌خودش به‌چشم نمى‌خورد هر چند كه در پرسش سؤال‌كنندگان موجود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بيشتر با استناد به‌آيات قرآن، تبيين مى‌كند </w:t>
      </w:r>
      <w:r>
        <w:rPr>
          <w:rStyle w:val="FootnoteAnchor"/>
          <w:rtl w:val="true"/>
        </w:rPr>
        <w:footnoteReference w:id="2152"/>
      </w:r>
      <w:r>
        <w:rPr>
          <w:rFonts w:ascii="IRNazanin" w:hAnsi="IRNazanin" w:eastAsia="IRNazanin"/>
          <w:color w:val="111111"/>
          <w:sz w:val="28"/>
          <w:sz w:val="28"/>
          <w:szCs w:val="28"/>
          <w:rtl w:val="true"/>
          <w:lang w:bidi="fa-IR"/>
        </w:rPr>
        <w:t xml:space="preserve">، ولى در جاى ديگر علوم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به‌فرد، و نسبت به‌كتاب وسنّت كه منبع علوم امامان است، شامل و كامل و محيط مى‌شمارد؛ علومى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ازجبرئيل و ائمه از رسول‌خدا گرفته است </w:t>
      </w:r>
      <w:r>
        <w:rPr>
          <w:rStyle w:val="FootnoteAnchor"/>
          <w:rtl w:val="true"/>
        </w:rPr>
        <w:footnoteReference w:id="2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او معارض با كلام شيخ مفيد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توجّه به‌مطالبى كه نسبت به‌علم غيب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گرديد نكات زير مستدل و واضح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باب‌ها و متن رواياتى كه ادعا شده غلوّ باطل است و همچنين احاديث ديگرى كه در اصول‌كافى، فضائل امام را شرح مى‌دهد، هيچ‌كدام با معيارهاى غلوّ باطل منطبق نمى‌گردد و به‌امام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الوهيت نمى‌دهد بلكه امام را به‌عنوان بندة خالص ولى امام معصوم، پارسا، داراى علم و دانش وسيع و پاك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معرفى مى‌كند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به‌علم غيب، ترديدى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 بالذات از آنِ خداوند است ولى برپايه نصّ قرآن </w:t>
      </w:r>
      <w:r>
        <w:rPr>
          <w:rStyle w:val="FootnoteAnchor"/>
          <w:rtl w:val="true"/>
        </w:rPr>
        <w:footnoteReference w:id="2154"/>
      </w:r>
      <w:r>
        <w:rPr>
          <w:rFonts w:ascii="IRNazanin" w:hAnsi="IRNazanin" w:eastAsia="IRNazanin"/>
          <w:color w:val="111111"/>
          <w:sz w:val="28"/>
          <w:sz w:val="28"/>
          <w:szCs w:val="28"/>
          <w:rtl w:val="true"/>
          <w:lang w:bidi="fa-IR"/>
        </w:rPr>
        <w:t xml:space="preserve">به‌مشيت الهى به‌بندگان برگزيده عطا مى‌شود، به‌اعتقاد شيعه علوم امام به‌طور كلى به‌ويژه اخبار غيبى به‌تعليم و فراگرفته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 از جبرئيل امين آموخته </w:t>
      </w:r>
      <w:r>
        <w:rPr>
          <w:rStyle w:val="FootnoteAnchor"/>
          <w:rtl w:val="true"/>
        </w:rPr>
        <w:footnoteReference w:id="2155"/>
      </w:r>
      <w:r>
        <w:rPr>
          <w:rFonts w:ascii="IRNazanin" w:hAnsi="IRNazanin" w:eastAsia="IRNazanin"/>
          <w:color w:val="111111"/>
          <w:sz w:val="28"/>
          <w:sz w:val="28"/>
          <w:szCs w:val="28"/>
          <w:rtl w:val="true"/>
          <w:lang w:bidi="fa-IR"/>
        </w:rPr>
        <w:t xml:space="preserve">و به‌وصّى خويش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به‌امامان بعدى منتقل نموده است، چنان‌كه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مرد كلبى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اعطيتَ يا أميرالمؤمنين عِلمَ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هُوَ بِعِلمِ غَيبٍ، و إنّمَا هُوَ تَعَلُّمٌ مِن ذِي عِلمٍ، وإنّمَا عِلمُ الغيبِ عِلمُ السَّاعَةِ، وَمَا عَدَّدَهُ‌اللهُ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إِنَّ‌اللهَ عِندَهُ عِلْمُ السَّاعَةِ وَيُنَزِّلُ الْغَيْثَ وَيَعْلَمُ مَا فِى </w:t>
      </w:r>
    </w:p>
    <w:p>
      <w:pPr>
        <w:pStyle w:val="BookText"/>
        <w:rPr/>
      </w:pPr>
      <w:r>
        <w:rPr>
          <w:rFonts w:ascii="Amiri" w:hAnsi="Amiri" w:eastAsia="Amiri" w:cs="Amiri"/>
          <w:color w:val="111111"/>
          <w:sz w:val="28"/>
          <w:sz w:val="28"/>
          <w:szCs w:val="28"/>
          <w:rtl w:val="true"/>
          <w:lang w:bidi="ar-SA"/>
        </w:rPr>
        <w:t>الاَرْحَامِ وَمَا تَدْرِى نَفْسٌ مَّاذَا تَكْسِبُ غَداً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فَهَذا عِلمُ الغَيبِ الَّذِي لَايَعلَمُهُ أحَدٌ إلّاالله، وَمَا سِوَى ذَلِكَ فعِلمٌ عَلّمَهُ‌اللهُ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فَعَلَّمَنيهِ، وَدَعَا لِي بأن يَعِيَهُ صَدرِي، وَتَضطَمَّ عَلَيهِ جَوَانِحِي </w:t>
      </w:r>
      <w:r>
        <w:rPr>
          <w:rFonts w:eastAsia="Amiri" w:cs="Amiri" w:ascii="Amiri" w:hAnsi="Amiri"/>
          <w:color w:val="111111"/>
          <w:sz w:val="28"/>
          <w:szCs w:val="28"/>
          <w:rtl w:val="true"/>
          <w:lang w:bidi="ar-SA"/>
        </w:rPr>
        <w:t xml:space="preserve">» </w:t>
      </w:r>
      <w:r>
        <w:rPr>
          <w:rStyle w:val="FootnoteAnchor"/>
          <w:rtl w:val="true"/>
        </w:rPr>
        <w:footnoteReference w:id="2156"/>
      </w:r>
      <w:r>
        <w:rPr>
          <w:rFonts w:ascii="IRNazanin" w:hAnsi="IRNazanin" w:eastAsia="IRNazanin"/>
          <w:color w:val="111111"/>
          <w:sz w:val="28"/>
          <w:sz w:val="28"/>
          <w:szCs w:val="28"/>
          <w:rtl w:val="true"/>
          <w:lang w:bidi="fa-IR"/>
        </w:rPr>
        <w:t xml:space="preserve">، و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غيب مى‌داند، لطف </w:t>
      </w:r>
      <w:r>
        <w:rPr>
          <w:rStyle w:val="FootnoteAnchor"/>
          <w:rtl w:val="true"/>
        </w:rPr>
        <w:footnoteReference w:id="2157"/>
      </w:r>
      <w:r>
        <w:rPr>
          <w:rFonts w:ascii="Amiri" w:hAnsi="Amiri" w:eastAsia="Amiri" w:cs="Amiri"/>
          <w:color w:val="111111"/>
          <w:sz w:val="28"/>
          <w:sz w:val="28"/>
          <w:szCs w:val="28"/>
          <w:rtl w:val="true"/>
          <w:lang w:bidi="ar-SA"/>
        </w:rPr>
        <w:t xml:space="preserve">و اعلام و تعليم از سوى خداوند است كه از خصائص انبيا و ائمه و اولياى الهى به‌شمار مى‌آيد </w:t>
      </w:r>
      <w:r>
        <w:rPr>
          <w:rStyle w:val="FootnoteAnchor"/>
          <w:rtl w:val="true"/>
        </w:rPr>
        <w:footnoteReference w:id="2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ابن‌ابى‌الحديد آينده را به‌دو بخش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را جز خدا كسى نمى‌داند و بخش ديگر را بعضى از افراد به‌اعلام پروردگار مى‌دانند </w:t>
      </w:r>
      <w:r>
        <w:rPr>
          <w:rStyle w:val="FootnoteAnchor"/>
          <w:rtl w:val="true"/>
        </w:rPr>
        <w:footnoteReference w:id="2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ديگر اهل‌سنت الهام به‌غيب و مكاشفه از سوى ملأاعلى، جريان حقيقت بر زبان بدون قصد، تكلم فرشته بدون نبوت و القاء واقعيت از عالم ملكوت را، براى برخى افراد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و وقوعش را تأكيد مى‌كند و آن را كرامت الهى و منزلتى از منازل‌اولياء مى‌داند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اثنى‌عشر، همواره اصول و فروع دين اسلام را از كتاب‌خدا و سنت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امامان را وارثان همه جانبۀ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استخراج مى‌كنند، و آنچه در اصول كافى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صحت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از دو امانت گرانبهاى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مى‌شمارند؛ پيروى از امامانى كه به‌اجماع مسلمانان جزء و مصداق اهل‌بيت‌اند و به‌قول و عمل، تابع جدشان‌اند و همه مقرب الهى و پناهگاه و رافع مشكلات عباداند و كسى از آنها جز بندگى‌خدا، زهد، علم و قداست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سراغ ندارد </w:t>
      </w:r>
      <w:r>
        <w:rPr>
          <w:rStyle w:val="FootnoteAnchor"/>
          <w:rtl w:val="true"/>
        </w:rPr>
        <w:footnoteReference w:id="2161"/>
      </w:r>
      <w:r>
        <w:rPr>
          <w:rFonts w:ascii="IRNazanin" w:hAnsi="IRNazanin" w:eastAsia="IRNazanin"/>
          <w:color w:val="111111"/>
          <w:sz w:val="28"/>
          <w:sz w:val="28"/>
          <w:szCs w:val="28"/>
          <w:rtl w:val="true"/>
          <w:lang w:bidi="fa-IR"/>
        </w:rPr>
        <w:t xml:space="preserve">به‌چه دليل جرم محسوب گرديده و متهم به‌غلوّ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ابعاد مختلف قرآن و نشر و بيان سنت رسول‌الله و توجّه خاص‌خدا به‌آنان، نَه </w:t>
      </w:r>
    </w:p>
    <w:p>
      <w:pPr>
        <w:pStyle w:val="BookText"/>
        <w:rPr/>
      </w:pPr>
      <w:r>
        <w:rPr>
          <w:rFonts w:ascii="Amiri" w:hAnsi="Amiri" w:eastAsia="Amiri" w:cs="Amiri"/>
          <w:color w:val="111111"/>
          <w:sz w:val="28"/>
          <w:sz w:val="28"/>
          <w:szCs w:val="28"/>
          <w:rtl w:val="true"/>
          <w:lang w:bidi="ar-SA"/>
        </w:rPr>
        <w:t>شرك است و نه غلوّ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مَنطق شيعه، براى برخى همانند ناصرالقفارى و احسان الهى ظهير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قابل تحمل و درك نباشد و آن را غلو بدانند، در حقيقت خودشان را نسبت به رهبران‌شان كه معترف به‌عدم عصمت آنهايند، گرفتار غلو نموده‌اند؛ زيرا ده‌ها مورد يافت مى‌شود كه نسبت به‌آن‌ها غلوّ شده است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ابابكر؛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لوكُنتُ مُتّخذاً من أهل الاَرضِ خَليلاً، لَا تَّخذتُ أبابكر خليلاً، ولكنّه أخي و صاحبي و قد إتخذاللهُ عزّوجلّ صاحبكم خليلاً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مانند اين نقل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كه بدون وصيت از دنيا رفته بود، در خواب ابابكر، وصيت او ابلاغ شد و ابابكر آن را به‌اجرا درآورد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مناوى، در اينكه طبق اين نقل عمر افضل از ابابكر باشد را نمى پذيرد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الصّديق لايتلقّى عَن قَلبِهِ بَل عَن مشكاة النُّبوةِ و هي مَعصُومةٌ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عمربن‌خطاب؛ 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لَقَدكَان فِيمَا قَبلَكُم مِن الاُمَمِ ناسٌ محدَّثون، فإن يَكُ في اُمّتي منهم أحَدٌ، فعُمَر</w:t>
      </w:r>
      <w:r>
        <w:rPr>
          <w:rFonts w:eastAsia="IRNazanin" w:cs="IRNazanin"/>
          <w:color w:val="111111"/>
          <w:sz w:val="28"/>
          <w:szCs w:val="28"/>
          <w:rtl w:val="true"/>
          <w:lang w:bidi="fa-IR"/>
        </w:rPr>
        <w:t xml:space="preserve">! » </w:t>
      </w:r>
      <w:r>
        <w:rPr>
          <w:rStyle w:val="FootnoteAnchor"/>
          <w:rtl w:val="true"/>
        </w:rPr>
        <w:footnoteReference w:id="2163"/>
      </w:r>
      <w:r>
        <w:rPr>
          <w:rFonts w:ascii="IRNazanin" w:hAnsi="IRNazanin" w:eastAsia="IRNazanin"/>
          <w:color w:val="111111"/>
          <w:sz w:val="28"/>
          <w:sz w:val="28"/>
          <w:szCs w:val="28"/>
          <w:rtl w:val="true"/>
          <w:lang w:bidi="fa-IR"/>
        </w:rPr>
        <w:t xml:space="preserve">، مناوى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كسى مى‌داند كه به‌او الهامِ صادق و القاء و كشف از ملأِ اعلى صورت گرفته باشد يا واقعيت بر زبان او بدون قصد جارى گشته باشد يا ملائكه بدون نبوت با او سخن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مقام را كرامت خدا و منزلت جليله‌اى از منازل اولياء مى‌شمارد </w:t>
      </w:r>
      <w:r>
        <w:rPr>
          <w:rStyle w:val="FootnoteAnchor"/>
          <w:rtl w:val="true"/>
        </w:rPr>
        <w:footnoteReference w:id="2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فضيلت عمر، به‌نقل از عمّاربن </w:t>
      </w:r>
    </w:p>
    <w:p>
      <w:pPr>
        <w:pStyle w:val="BookText"/>
        <w:rPr/>
      </w:pPr>
      <w:r>
        <w:rPr>
          <w:rFonts w:ascii="IRNazanin" w:hAnsi="IRNazanin" w:eastAsia="IRNazanin"/>
          <w:color w:val="111111"/>
          <w:sz w:val="28"/>
          <w:sz w:val="28"/>
          <w:szCs w:val="28"/>
          <w:rtl w:val="true"/>
          <w:lang w:bidi="fa-IR"/>
        </w:rPr>
        <w:t>ياسر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فرمود لحظاتى پيش، جبرئيل نزد من آمد، به‌او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بِفَضَائِلِ عُمَر بن‌الخَطّاب في‌السّماءِ، فقال 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لَوحَدّثتُكَ بِفَضَائِلِ عُمَربنِ الخطاب في‌السَّماءِ، مِثلَ ما لَبِثَ نُوحٌ في قَومِهِ ألفَ‌سنةٍ إلّا خَمسِين عَاماً، ما نَفدَت فَضَائلُ عُمَر، و أنّ عُمَرَ لَحَسَنةٌ من حَسَنات أبي بكر</w:t>
      </w:r>
      <w:r>
        <w:rPr>
          <w:rFonts w:eastAsia="IRNazanin" w:cs="IRNazanin"/>
          <w:color w:val="111111"/>
          <w:sz w:val="28"/>
          <w:szCs w:val="28"/>
          <w:rtl w:val="true"/>
          <w:lang w:bidi="fa-IR"/>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دانى عمر از مدينه تا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عمر وقتى از خطاى زنى به‌نام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سارية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ايران از طريق وحى مطلع شد، از مدينه او را مخاطب قرار داد و او صداى عمر را شنيد و بر فراز كوه رفت</w:t>
      </w:r>
      <w:r>
        <w:rPr>
          <w:rFonts w:eastAsia="Amiri" w:cs="Amiri" w:ascii="Amiri" w:hAnsi="Amiri"/>
          <w:color w:val="111111"/>
          <w:sz w:val="28"/>
          <w:szCs w:val="28"/>
          <w:rtl w:val="true"/>
          <w:lang w:bidi="ar-SA"/>
        </w:rPr>
        <w:t xml:space="preserve">! </w:t>
      </w:r>
      <w:r>
        <w:rPr>
          <w:rStyle w:val="FootnoteAnchor"/>
          <w:rtl w:val="true"/>
        </w:rPr>
        <w:footnoteReference w:id="2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به نقل از عايشه و حفصةبنت‌عمر، روزى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و به‌پهلو دراز كشيد درحالى‌كه زانوها و ران‌هايش عريان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اذن ورود خواست، 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اجازه ورود خواست،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كسب اجازه نمود، پيامبر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هم‌چنان رسول خدا دراز كشيده بود و ران‌ها و زانوهايش عريان بود، اما همين كه عثمان بن‌عفان اجازه ورود خواست، پيامبر بعد از اينكه خودش را منظّم كرد، اجازه ورود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بعدها وقتى سؤال شد كه با ورود ابابكر و عمر چنان نكرد،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أستحيى مِن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تسحيى منه الملائكة</w:t>
      </w:r>
      <w:r>
        <w:rPr>
          <w:rFonts w:eastAsia="Amiri" w:cs="Amiri" w:ascii="Amiri" w:hAnsi="Amiri"/>
          <w:color w:val="111111"/>
          <w:sz w:val="28"/>
          <w:szCs w:val="28"/>
          <w:rtl w:val="true"/>
          <w:lang w:bidi="ar-SA"/>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معاويۀ بن‌ابى‌سفيان؛ از جابر، نقل شده كه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إتَّخِذ مُعاويَة كاتباً </w:t>
      </w:r>
      <w:r>
        <w:rPr>
          <w:rFonts w:eastAsia="Amiri" w:cs="Amiri" w:ascii="Amiri" w:hAnsi="Amiri"/>
          <w:color w:val="111111"/>
          <w:sz w:val="28"/>
          <w:szCs w:val="28"/>
          <w:rtl w:val="true"/>
          <w:lang w:bidi="ar-SA"/>
        </w:rPr>
        <w:t xml:space="preserve">» </w:t>
      </w:r>
      <w:r>
        <w:rPr>
          <w:rStyle w:val="FootnoteAnchor"/>
          <w:rtl w:val="true"/>
        </w:rPr>
        <w:footnoteReference w:id="2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ديگر،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جبرئيل بر من نازل </w:t>
      </w:r>
    </w:p>
    <w:p>
      <w:pPr>
        <w:pStyle w:val="BookText"/>
        <w:rPr/>
      </w:pPr>
      <w:r>
        <w:rPr>
          <w:rFonts w:ascii="IRNazanin" w:hAnsi="IRNazanin" w:eastAsia="IRNazanin"/>
          <w:color w:val="111111"/>
          <w:sz w:val="28"/>
          <w:sz w:val="28"/>
          <w:szCs w:val="28"/>
          <w:rtl w:val="true"/>
          <w:lang w:bidi="fa-IR"/>
        </w:rPr>
        <w:t>شد به‌او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تخوف عَلَيَّ مِن معاوية خيانة كما فعل عبدالله‌بن‌خطل،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هُوَ أمين </w:t>
      </w:r>
      <w:r>
        <w:rPr>
          <w:rFonts w:eastAsia="IRNazanin" w:cs="IRNazanin"/>
          <w:color w:val="111111"/>
          <w:sz w:val="28"/>
          <w:szCs w:val="28"/>
          <w:rtl w:val="true"/>
          <w:lang w:bidi="fa-IR"/>
        </w:rPr>
        <w:t xml:space="preserve">» </w:t>
      </w:r>
      <w:r>
        <w:rPr>
          <w:rStyle w:val="FootnoteAnchor"/>
          <w:rtl w:val="true"/>
        </w:rPr>
        <w:footnoteReference w:id="2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درحالى‌كه در همان كتاب در حدود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به‌اين مضمون نقل شده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معاوية عَلَى مِنبَري فَاقتُلُوه </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نسبت به‌صحابه ؛ ابن‌عبدالبرّ نسبت به اصحاب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و إن كَانَ الصّحابةُ كُفِينا البَحث عن أحوالهم، لِإجماع أهلِ الحَقِّ مِن المُسلمين و هُم أهلُ السنّةِ و الجَمَاعَةِ عَلَى أنّهُم كُلّهُم عُدُولٌ، فواجبٌ الوُقوفُ عَلَى أسمائِهم والبَحثُ عن سِيَرِهِم و أحوالِهِم لِيُهتَدَى بِهَديهم، فَهُم خَيرُ مَن سُلِكَ سَبيلَهُ واقتُدِي بِهِ </w:t>
      </w:r>
      <w:r>
        <w:rPr>
          <w:rFonts w:eastAsia="IRNazanin" w:cs="IRNazanin"/>
          <w:color w:val="111111"/>
          <w:sz w:val="28"/>
          <w:szCs w:val="28"/>
          <w:rtl w:val="true"/>
          <w:lang w:bidi="fa-IR"/>
        </w:rPr>
        <w:t xml:space="preserve">» </w:t>
      </w:r>
      <w:r>
        <w:rPr>
          <w:rStyle w:val="FootnoteAnchor"/>
          <w:rtl w:val="true"/>
        </w:rPr>
        <w:footnoteReference w:id="2171"/>
      </w:r>
      <w:r>
        <w:rPr>
          <w:rFonts w:ascii="IRNazanin" w:hAnsi="IRNazanin" w:eastAsia="IRNazanin"/>
          <w:color w:val="111111"/>
          <w:sz w:val="28"/>
          <w:sz w:val="28"/>
          <w:szCs w:val="28"/>
          <w:rtl w:val="true"/>
          <w:lang w:bidi="fa-IR"/>
        </w:rPr>
        <w:t xml:space="preserve">كه ابوريه عالم مصرى عدالت جميع صحابه را جز غلوّ و اسراف در اعتماد و افراط اين قوم، نسبت به‌صحابه چيزى ديگر نمى‌داند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توجّه به‌اين نمونه‌ها و موارد ديگر،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به‌چه دليل ابابكر، به‌مقام خُلّت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لقب خليل‌اللهى دريافت مى‌كند و فرشته با او تكلم مى‌كند و به‌او وحى مى‌شود، و عمربن‌الخطاب جزء محدَّثان اين ملت قرار مى‌گيرد و از ملأِ اعلا به‌او الهام صادق مى‌شود، و بيان فضائلش از اندازه عُمر نوح فراتر مى‌رود تا آنجايى كه فرشته الهى از بيان آن اظهار عجز مى‌كند، و خداوند حق را بر زبان او جارى مى‌سازد </w:t>
      </w:r>
      <w:r>
        <w:rPr>
          <w:rStyle w:val="FootnoteAnchor"/>
          <w:rtl w:val="true"/>
        </w:rPr>
        <w:footnoteReference w:id="2173"/>
      </w:r>
      <w:r>
        <w:rPr>
          <w:rFonts w:ascii="IRNazanin" w:hAnsi="IRNazanin" w:eastAsia="IRNazanin"/>
          <w:color w:val="111111"/>
          <w:sz w:val="28"/>
          <w:sz w:val="28"/>
          <w:szCs w:val="28"/>
          <w:rtl w:val="true"/>
          <w:lang w:bidi="fa-IR"/>
        </w:rPr>
        <w:t xml:space="preserve">و توهين به‌رسول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جعل مقام براى عثمان،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هيچ‌كدام غلو پنداشته نمى‌شود، ولى بيان فضائل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به‌زبان خود آنها كه در ده‌ها آيه وحديث بر اساس منابع خود آنان مطرح مى‌گردد، غلو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محدَّث‌بودن و غيب‌گويى عُمَر، عين بندگى و وحدانيت خداوند است، ولى همان صفت 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غلوّ و خروج از دين شناخته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754" w:name="pg1976_28493"/>
    </w:p>
    <w:p>
      <w:pPr>
        <w:pStyle w:val="BookText"/>
        <w:rPr/>
      </w:pPr>
      <w:bookmarkEnd w:id="754"/>
      <w:r>
        <w:rPr>
          <w:rFonts w:ascii="IRNazanin" w:hAnsi="IRNazanin" w:eastAsia="IRNazanin"/>
          <w:color w:val="111111"/>
          <w:sz w:val="28"/>
          <w:sz w:val="28"/>
          <w:szCs w:val="28"/>
          <w:rtl w:val="true"/>
          <w:lang w:bidi="fa-IR"/>
        </w:rPr>
        <w:t>اگر موارد ياد شده نسبت به‌پيشوايان امثال قفارى، و ظهير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غلو نيست، احاديث كافى با توجّه به‌اينكه شواهدى در منابع مورد قبول آنان دارد، به‌طريق اَولى غلو نخواهد بود؛ زيرا آنها به‌اعتقاد شيعه؛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فضل علمى و عملى آنها معترفند و اگر غلو است، حق اعتراض و متهم كردن ديگران به‌غلو وخارج دانستن از دين، موضوعيت نخواهد داشت، هر دو طرف دچار غلو گرديده‌اند</w:t>
      </w:r>
      <w:r>
        <w:rPr>
          <w:rFonts w:eastAsia="IRNazanin" w:cs="IRNazanin"/>
          <w:color w:val="111111"/>
          <w:sz w:val="28"/>
          <w:szCs w:val="28"/>
          <w:rtl w:val="true"/>
          <w:lang w:bidi="fa-IR"/>
        </w:rPr>
        <w:t>!</w:t>
      </w:r>
    </w:p>
    <w:p>
      <w:pPr>
        <w:pStyle w:val="Heading5"/>
        <w:numPr>
          <w:ilvl w:val="4"/>
          <w:numId w:val="1"/>
        </w:numPr>
        <w:rPr/>
      </w:pPr>
      <w:bookmarkStart w:id="755" w:name="__RefHeading___Toc3767401_3650668749"/>
      <w:bookmarkStart w:id="756" w:name="_Toc279"/>
      <w:bookmarkEnd w:id="755"/>
      <w:r>
        <w:rPr>
          <w:rtl w:val="true"/>
        </w:rPr>
        <w:t>نتيجه‌گيرى</w:t>
      </w:r>
      <w:bookmarkEnd w:id="756"/>
    </w:p>
    <w:p>
      <w:pPr>
        <w:pStyle w:val="BookText"/>
        <w:rPr/>
      </w:pPr>
      <w:r>
        <w:rPr>
          <w:rFonts w:ascii="IRNazanin" w:hAnsi="IRNazanin" w:eastAsia="IRNazanin"/>
          <w:color w:val="111111"/>
          <w:sz w:val="28"/>
          <w:sz w:val="28"/>
          <w:szCs w:val="28"/>
          <w:rtl w:val="true"/>
          <w:lang w:bidi="fa-IR"/>
        </w:rPr>
        <w:t xml:space="preserve">ترديدى نيست كه غلوّ به‌مفهموم نقش خدايى دادن به‌غير پروردگارِ حق، از نگاه همه مسلمانان مردود و غلات جزء مسلمانان محسوب نمى‌شوند؛ اما در اين ميان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سفارش‌هاى مؤكد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او را همانند قرآن، در اصول و فروع دين، امام و مقتداى خود مى‌دانند، از سوى گروهى از نويسندگان به‌ويژه وهابى‌ها متهم به‌غلو مى‌شوند؛ و اعتقاد به‌اصل امامت و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 به‌معصوم بودن آنان و معتقد به‌فضائل و دانش و اطلاع از غيب آنان را، مصاديق آشكار غلوِّ باطل مى‌شمارند و اصل امامت و اوصاف مربوط به‌امام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طراحى عبدالله بن‌سبأ يهودى 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بررسى و نقد مفصّلى كه ارائه شد؛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امامان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همزاد با اصل اسلام است و هيچ ربطى به‌ابن‌سبأ كه از جهات متعدد مورد ترديد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سبئيه كه ازسال‌هاى</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به‌بعد توسط طبرى تنها منبع اين اسطوره، بر سر زبان‌ها افتاد، توطئه‌اى بيش نبوده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به‌معيارهاى غلو كه توسط خود بزرگان اهل‌سنت، ارائه شده، هيچ‌كدام از عناوين باب‌ها و احاديث كافى كه ادعا شده ظهور در غلوِّ باطل دارد، با آن معيارها سازگارى ندارد؛ زيرا روايات كافى نَه به‌اهل‌بيت نقش خدايى مى‌بخشد و نَه آنها را نبى و پيامبر معرفى مى‌كند بلكه آنان را بندگان مخلَص‌خدا، ولى امام معصوم، پارسا و مطهر، آشنا به‌همه جهات دين و دنيا و اوصياى عملى و علمى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شيعه بر اين است كه خداوند از فضل و حكمت و علم و عصمت و ديگر صفات پسنديده‌اى كه به‌امامان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به‌احدى از بندگان خود جز پيامبر نداده است، و آنها عليرغم اين اوصاف همانند مخلوقات ديگرند، و اين باور، نَه تنها غلو و شرك نيست كه ايمان و توحيد مَحض است</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1976_28503"/>
      <w:bookmarkStart w:id="758" w:name="pg1976_28503"/>
      <w:bookmarkEnd w:id="758"/>
    </w:p>
    <w:p>
      <w:pPr>
        <w:pStyle w:val="Heading2"/>
        <w:numPr>
          <w:ilvl w:val="1"/>
          <w:numId w:val="1"/>
        </w:numPr>
        <w:rPr/>
      </w:pPr>
      <w:bookmarkStart w:id="759" w:name="pg1976_28503"/>
      <w:bookmarkStart w:id="760" w:name="__RefHeading___Toc3767403_3650668749"/>
      <w:bookmarkStart w:id="761" w:name="_Toc280"/>
      <w:bookmarkEnd w:id="759"/>
      <w:bookmarkEnd w:id="760"/>
      <w:r>
        <w:rPr>
          <w:rtl w:val="true"/>
        </w:rPr>
        <w:t>بخش پنجم</w:t>
      </w:r>
      <w:r>
        <w:rPr>
          <w:rtl w:val="true"/>
        </w:rPr>
        <w:t xml:space="preserve">: </w:t>
      </w:r>
      <w:r>
        <w:rPr>
          <w:rtl w:val="true"/>
        </w:rPr>
        <w:t>تكفير و مذمت صحابه در كافي</w:t>
      </w:r>
      <w:bookmarkEnd w:id="76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2" w:name="__RefHeading___Toc3767405_3650668749"/>
      <w:bookmarkStart w:id="763" w:name="_Toc281"/>
      <w:bookmarkEnd w:id="762"/>
      <w:r>
        <w:rPr>
          <w:rtl w:val="true"/>
        </w:rPr>
        <w:t>اشاره</w:t>
      </w:r>
      <w:bookmarkEnd w:id="76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4" w:name="pg1976_28508"/>
      <w:bookmarkStart w:id="765" w:name="pg1976_28508"/>
      <w:bookmarkEnd w:id="765"/>
    </w:p>
    <w:p>
      <w:pPr>
        <w:pStyle w:val="Heading3"/>
        <w:numPr>
          <w:ilvl w:val="2"/>
          <w:numId w:val="1"/>
        </w:numPr>
        <w:rPr/>
      </w:pPr>
      <w:bookmarkStart w:id="766" w:name="pg1976_28508"/>
      <w:bookmarkStart w:id="767" w:name="__RefHeading___Toc3767407_3650668749"/>
      <w:bookmarkStart w:id="768" w:name="_Toc282"/>
      <w:bookmarkEnd w:id="766"/>
      <w:bookmarkEnd w:id="767"/>
      <w:r>
        <w:rPr>
          <w:rtl w:val="true"/>
        </w:rPr>
        <w:t>مقدمه</w:t>
      </w:r>
      <w:bookmarkEnd w:id="768"/>
    </w:p>
    <w:p>
      <w:pPr>
        <w:pStyle w:val="BookText"/>
        <w:rPr/>
      </w:pPr>
      <w:r>
        <w:rPr>
          <w:rFonts w:ascii="IRNazanin" w:hAnsi="IRNazanin" w:eastAsia="IRNazanin"/>
          <w:color w:val="111111"/>
          <w:sz w:val="28"/>
          <w:sz w:val="28"/>
          <w:szCs w:val="28"/>
          <w:rtl w:val="true"/>
          <w:lang w:bidi="fa-IR"/>
        </w:rPr>
        <w:t xml:space="preserve">يكى ديگر از چالش برانگيزترين و ريشه‌دارترين بحث‌هايى كه ميان مكتب‌خلفا به‌طور عموم و وهابى‌ها به‌طور خصوص در يك‌طرف، و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طرف‌ديگر، مطرح است، مَبحث تكفير و تنقيص، تعديل و تمجيد اصحاب گرامى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174"/>
      </w:r>
      <w:r>
        <w:rPr>
          <w:rFonts w:ascii="IRNazanin" w:hAnsi="IRNazanin" w:eastAsia="IRNazanin"/>
          <w:color w:val="111111"/>
          <w:sz w:val="28"/>
          <w:sz w:val="28"/>
          <w:szCs w:val="28"/>
          <w:rtl w:val="true"/>
          <w:lang w:bidi="fa-IR"/>
        </w:rPr>
        <w:t xml:space="preserve">همه فِرَق اهل سنت به‌ويژه پيروان ابن‌تيميه اصرار دارند كه همه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عادلند و اقوال و رفتار آنان شرعاً براى امت اسلامى حجت است و جرح و تعديل آنها نَه تنها جايز نيست كه حرام و خروج از دين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فرضيه را نمى‌پذيرند و معتقدند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احترامى كه دارند، همه عادل نبودند بلكه در ميان آنها انسان‌هاى منافق و نامسلمان و كاذب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وجود داشت؛ با اين وجود مبناى اهل‌سنت كه اقوال و سيره صحابه حجت شرعى است، زير سؤال مى‌رود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بررسى و كاوش اين بحث، احتياج به‌توضيح اصطلاحات و واژه‌ها و تبيين مبناى دو طرف دارد و اينكه حق با كدام دسته است، در اين فصل مطالبى با هدف روشن شدن واقعيت و نزديك نمودن ديدگاه‌هاى دو طرف، ارائه مى‌گردد</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9" w:name="pg1976_28513"/>
      <w:bookmarkStart w:id="770" w:name="pg1976_28513"/>
      <w:bookmarkEnd w:id="770"/>
    </w:p>
    <w:p>
      <w:pPr>
        <w:pStyle w:val="Heading3"/>
        <w:numPr>
          <w:ilvl w:val="2"/>
          <w:numId w:val="1"/>
        </w:numPr>
        <w:rPr/>
      </w:pPr>
      <w:bookmarkStart w:id="771" w:name="pg1976_28513"/>
      <w:bookmarkStart w:id="772" w:name="__RefHeading___Toc3767409_3650668749"/>
      <w:bookmarkStart w:id="773" w:name="_Toc283"/>
      <w:bookmarkEnd w:id="771"/>
      <w:bookmarkEnd w:id="772"/>
      <w:r>
        <w:rPr>
          <w:rtl w:val="true"/>
        </w:rPr>
        <w:t>فصل اول</w:t>
      </w:r>
      <w:r>
        <w:rPr>
          <w:rtl w:val="true"/>
        </w:rPr>
        <w:t xml:space="preserve">: </w:t>
      </w:r>
      <w:r>
        <w:rPr>
          <w:rtl w:val="true"/>
        </w:rPr>
        <w:t>اصل شبهه تكفير صحابه</w:t>
      </w:r>
      <w:bookmarkEnd w:id="773"/>
    </w:p>
    <w:p>
      <w:pPr>
        <w:pStyle w:val="Heading4"/>
        <w:numPr>
          <w:ilvl w:val="3"/>
          <w:numId w:val="1"/>
        </w:numPr>
        <w:rPr/>
      </w:pPr>
      <w:bookmarkStart w:id="774" w:name="__RefHeading___Toc3767411_3650668749"/>
      <w:bookmarkStart w:id="775" w:name="_Toc284"/>
      <w:bookmarkEnd w:id="774"/>
      <w:r>
        <w:rPr/>
        <w:t>١</w:t>
      </w:r>
      <w:r>
        <w:rPr>
          <w:rtl w:val="true"/>
        </w:rPr>
        <w:t xml:space="preserve">. </w:t>
      </w:r>
      <w:r>
        <w:rPr>
          <w:rtl w:val="true"/>
        </w:rPr>
        <w:t>طرح اتهام</w:t>
      </w:r>
      <w:bookmarkEnd w:id="775"/>
    </w:p>
    <w:p>
      <w:pPr>
        <w:pStyle w:val="BookText"/>
        <w:rPr/>
      </w:pPr>
      <w:r>
        <w:rPr>
          <w:rFonts w:ascii="IRNazanin" w:hAnsi="IRNazanin" w:eastAsia="IRNazanin"/>
          <w:color w:val="111111"/>
          <w:sz w:val="28"/>
          <w:sz w:val="28"/>
          <w:szCs w:val="28"/>
          <w:rtl w:val="true"/>
          <w:lang w:bidi="fa-IR"/>
        </w:rPr>
        <w:t>هرچند كه اصل متهم كردن شيعه، به‌تكفير صحابه، در اكثر منابع اهل‌سنت كه به‌اين مباحث پرداخته‌اند، مطرح شده است، ولى برخى از نويسندگان وهابى، به‌جاى تحقيق و ارائه راه‌حل، به ناسزاگويى پرداخته‌اند و شايد وجود چنين عناصرى كه مواردى به‌عنوان نمونه اشاره مى‌گردد، اسباب تنش و دامن زدن به‌اختلافات ميان مسلمانان را فراهم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نويسندگان وهابى شيعه، باور آنها را نسبت به‌اصحاب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معرفى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الرافضة عَمَدُوا إلى خيار أهلِ الاَرض مِنَ الاَوّلين والآخرين بعد النبيّين والمرسلين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فجعلوهم شرار النّاس وإفتروا عليهم العظائم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وجاءوا إلى شرّ مَن إنتسب إلى الاِسلام من أهل الاهواء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الرافضة بجميع أصنافها غالِيها وإماميها و زَيدِيها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ليس من جميع الطوائف المنتسبة إلى الاِسلام مع بدعة وضلالة شرٌّ منهم، لا أجهل ولا أكذب ولا أظلم ولا أقرب إلى الكفر والفسوق والعصيان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هؤلاء كفَّرُوا الاُمّةَ كلَّها أو ضلّلوها، سوى طائفتهم الّتي يزعمون انّها الطائفة المحقّة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ديگر كه شيعه را دستاورد يهود دانسته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عقيدةُ القَوم مِن أوّلهم إلى أخرهم كَمَا رَسَمها اليهود لهم حتّى صار دينهم الذي يدينون به، دين الشَّتائم والسّباب ولكنّهم لم يكتفوا بالسَّباب والشّتائم على عدد كبير من أصحاب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هوت بهم هاوية حتّى كفَّروا جميع أصحاب رسول‌الله إلّا النَّادر منهم </w:t>
      </w:r>
      <w:r>
        <w:rPr>
          <w:rFonts w:eastAsia="IRNazanin" w:cs="IRNazanin"/>
          <w:color w:val="111111"/>
          <w:sz w:val="28"/>
          <w:szCs w:val="28"/>
          <w:rtl w:val="true"/>
          <w:lang w:bidi="fa-IR"/>
        </w:rPr>
        <w:t xml:space="preserve">» </w:t>
      </w:r>
      <w:r>
        <w:rPr>
          <w:rStyle w:val="FootnoteAnchor"/>
          <w:rtl w:val="true"/>
        </w:rPr>
        <w:footnoteReference w:id="2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ديگر بدون اينكه مدركى ارائه دهند، ادعا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إمتَلَأ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بروايات تُكفر الصحابةَ وتلعنهم وتسبّهم وهُمُ الَّذين ترضى عنهم القرآن و وعدهم بالحسنى والزُّلفى وحُسن المآب، يأتِ الكليني ليعدهم بجهنم </w:t>
      </w:r>
      <w:r>
        <w:rPr>
          <w:rFonts w:eastAsia="IRNazanin" w:cs="IRNazanin"/>
          <w:color w:val="111111"/>
          <w:sz w:val="28"/>
          <w:szCs w:val="28"/>
          <w:rtl w:val="true"/>
          <w:lang w:bidi="fa-IR"/>
        </w:rPr>
        <w:t xml:space="preserve">»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قفارى،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أنكر إمامة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از بيان اينكه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اعتقاد شيعه، كسى كه ايمان به‌امامت نداشته باشد، كفرش از يهود و نصارا شديدتر است</w:t>
      </w:r>
      <w:r>
        <w:rPr>
          <w:rFonts w:eastAsia="Amiri" w:cs="Amiri" w:ascii="Amiri" w:hAnsi="Amiri"/>
          <w:color w:val="111111"/>
          <w:sz w:val="28"/>
          <w:szCs w:val="28"/>
          <w:rtl w:val="true"/>
          <w:lang w:bidi="ar-SA"/>
        </w:rPr>
        <w:t xml:space="preserve">. . .» </w:t>
      </w:r>
      <w:r>
        <w:rPr>
          <w:rStyle w:val="FootnoteAnchor"/>
          <w:rtl w:val="true"/>
        </w:rPr>
        <w:footnoteReference w:id="2177"/>
      </w:r>
      <w:r>
        <w:rPr>
          <w:rFonts w:ascii="IRNazanin" w:hAnsi="IRNazanin" w:eastAsia="IRNazanin"/>
          <w:color w:val="111111"/>
          <w:sz w:val="28"/>
          <w:sz w:val="28"/>
          <w:szCs w:val="28"/>
          <w:rtl w:val="true"/>
          <w:lang w:bidi="fa-IR"/>
        </w:rPr>
        <w:t>اين اتهام را گسترش داده مدعى مى‌شود كه شيعه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خلفاى مسلمانان، قضاة، أئمة مسلمين، فِرَق اسلامى و امّت را كافر مى‌شمارند</w:t>
      </w:r>
      <w:r>
        <w:rPr>
          <w:rFonts w:eastAsia="IRNazanin" w:cs="IRNazanin"/>
          <w:color w:val="111111"/>
          <w:sz w:val="28"/>
          <w:szCs w:val="28"/>
          <w:rtl w:val="true"/>
          <w:lang w:bidi="fa-IR"/>
        </w:rPr>
        <w:t xml:space="preserve">» </w:t>
      </w:r>
      <w:r>
        <w:rPr>
          <w:rStyle w:val="FootnoteAnchor"/>
          <w:rtl w:val="true"/>
        </w:rPr>
        <w:footnoteReference w:id="2178"/>
      </w:r>
      <w:r>
        <w:rPr>
          <w:rFonts w:ascii="Amiri" w:hAnsi="Amiri" w:eastAsia="Amiri" w:cs="Amiri"/>
          <w:color w:val="111111"/>
          <w:sz w:val="28"/>
          <w:sz w:val="28"/>
          <w:szCs w:val="28"/>
          <w:rtl w:val="true"/>
          <w:lang w:bidi="ar-SA"/>
        </w:rPr>
        <w:t>و در خصوص اصحاب مى‌نويسد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الشِّيعةِ مَلِيئة باللّعنِ والتّكفير لمن رضي‌الله عنهم و رضوا عنه، من المهاجرين و الانصار، و أهل‌البدر، وبيعة الرضوان و سائرالصحابة أجمعين، و لايستثني منهم إلّا النّزر اليسير الذي لا يبلغ عدد أصابع اليد </w:t>
      </w:r>
      <w:r>
        <w:rPr>
          <w:rFonts w:eastAsia="Amiri" w:cs="Amiri" w:ascii="Amiri" w:hAnsi="Amiri"/>
          <w:color w:val="111111"/>
          <w:sz w:val="28"/>
          <w:szCs w:val="28"/>
          <w:rtl w:val="true"/>
          <w:lang w:bidi="ar-SA"/>
        </w:rPr>
        <w:t xml:space="preserve">» </w:t>
      </w:r>
      <w:r>
        <w:rPr>
          <w:rStyle w:val="FootnoteAnchor"/>
          <w:rtl w:val="true"/>
        </w:rPr>
        <w:footnoteReference w:id="2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نويسنده، ادعا مى‌كند نخستين كتابى كه تكفير اصحاب در آن مطرح شد، كتاب سُلَيم‌بن‌قيس بود و پس از آن، كتاب‌هاى ديگر و در رأس آنها كافى كه موثّق‌ترين كتاب‌هاى‌چهارگانه شيعه است، آن را ترويج و اشاعه داد </w:t>
      </w:r>
      <w:r>
        <w:rPr>
          <w:rStyle w:val="FootnoteAnchor"/>
          <w:rtl w:val="true"/>
        </w:rPr>
        <w:footnoteReference w:id="2180"/>
      </w:r>
      <w:r>
        <w:rPr>
          <w:rFonts w:ascii="Amiri" w:hAnsi="Amiri" w:eastAsia="Amiri" w:cs="Amiri"/>
          <w:color w:val="111111"/>
          <w:sz w:val="28"/>
          <w:sz w:val="28"/>
          <w:szCs w:val="28"/>
          <w:rtl w:val="true"/>
          <w:lang w:bidi="ar-SA"/>
        </w:rPr>
        <w:t>و از كتاب كافى به‌روايت زير استناد مى‌كند</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عن حمران‌بن‌أعين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776" w:name="pg1976_28519"/>
    </w:p>
    <w:p>
      <w:pPr>
        <w:pStyle w:val="BookText"/>
        <w:rPr/>
      </w:pPr>
      <w:bookmarkEnd w:id="776"/>
      <w:r>
        <w:rPr>
          <w:rFonts w:ascii="Amiri" w:hAnsi="Amiri" w:eastAsia="Amiri" w:cs="Amiri"/>
          <w:color w:val="111111"/>
          <w:sz w:val="28"/>
          <w:sz w:val="28"/>
          <w:szCs w:val="28"/>
          <w:rtl w:val="true"/>
          <w:lang w:bidi="ar-SA"/>
        </w:rPr>
        <w:t xml:space="preserve">لِاَبي‌جعفر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مَا أقَلّنا لو إجتَمَعنَا عَلى شاة ما أفنيناها؟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بأعجَبَ مِن ذلك، المهاجرون والانصار ذهبوا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 . » </w:t>
      </w:r>
      <w:r>
        <w:rPr>
          <w:rStyle w:val="FootnoteAnchor"/>
          <w:rtl w:val="true"/>
        </w:rPr>
        <w:footnoteReference w:id="2181"/>
      </w:r>
      <w:r>
        <w:rPr>
          <w:rFonts w:ascii="Amiri" w:hAnsi="Amiri" w:eastAsia="Amiri" w:cs="Amiri"/>
          <w:color w:val="111111"/>
          <w:sz w:val="28"/>
          <w:sz w:val="28"/>
          <w:szCs w:val="28"/>
          <w:rtl w:val="true"/>
          <w:lang w:bidi="ar-SA"/>
        </w:rPr>
        <w:t xml:space="preserve">در حاشيه كتابش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به‌نَقل از تعليقه‌اى بر اين حديث، سلمان و ابوذر و مقداد مى‌داند</w:t>
      </w:r>
      <w:r>
        <w:rPr>
          <w:rFonts w:eastAsia="Amiri" w:cs="Amiri" w:ascii="Amiri" w:hAnsi="Amiri"/>
          <w:color w:val="111111"/>
          <w:sz w:val="28"/>
          <w:szCs w:val="28"/>
          <w:rtl w:val="true"/>
          <w:lang w:bidi="ar-SA"/>
        </w:rPr>
        <w:t xml:space="preserve">. </w:t>
      </w:r>
      <w:r>
        <w:rPr>
          <w:rStyle w:val="FootnoteAnchor"/>
          <w:rtl w:val="true"/>
        </w:rPr>
        <w:footnoteReference w:id="2182"/>
      </w:r>
      <w:r>
        <w:rPr>
          <w:rFonts w:ascii="IRNazanin" w:hAnsi="IRNazanin" w:eastAsia="IRNazanin"/>
          <w:color w:val="111111"/>
          <w:sz w:val="28"/>
          <w:sz w:val="28"/>
          <w:szCs w:val="28"/>
          <w:rtl w:val="true"/>
          <w:lang w:bidi="fa-IR"/>
        </w:rPr>
        <w:t xml:space="preserve">و علت انحصارى ارتداد اصحاب به‌اعتقاد شيعه را اين مى‌داند كه چون اصحاب، ابى‌بكر را متولّى خلافت كردند، مرتدّ شدند جز تعداد اندك </w:t>
      </w:r>
      <w:r>
        <w:rPr>
          <w:rStyle w:val="FootnoteAnchor"/>
          <w:rtl w:val="true"/>
        </w:rPr>
        <w:footnoteReference w:id="2183"/>
      </w:r>
      <w:r>
        <w:rPr>
          <w:rFonts w:ascii="Amiri" w:hAnsi="Amiri" w:eastAsia="Amiri" w:cs="Amiri"/>
          <w:color w:val="111111"/>
          <w:sz w:val="28"/>
          <w:sz w:val="28"/>
          <w:szCs w:val="28"/>
          <w:rtl w:val="true"/>
          <w:lang w:bidi="ar-SA"/>
        </w:rPr>
        <w:t xml:space="preserve">و در توضيحات بعدى خود همان سه نفر را هم به‌اعتقاد شيعه، خالى از مشكل نمى‌داند </w:t>
      </w:r>
      <w:r>
        <w:rPr>
          <w:rStyle w:val="FootnoteAnchor"/>
          <w:rtl w:val="true"/>
        </w:rPr>
        <w:footnoteReference w:id="2184"/>
      </w:r>
      <w:r>
        <w:rPr>
          <w:rFonts w:ascii="IRNazanin" w:hAnsi="IRNazanin" w:eastAsia="IRNazanin"/>
          <w:color w:val="111111"/>
          <w:sz w:val="28"/>
          <w:sz w:val="28"/>
          <w:szCs w:val="28"/>
          <w:rtl w:val="true"/>
          <w:lang w:bidi="fa-IR"/>
        </w:rPr>
        <w:t>و سرانجام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الرافضة كفّر الصّحابةَ كلّهم</w:t>
      </w:r>
      <w:r>
        <w:rPr>
          <w:rFonts w:eastAsia="IRNazanin" w:cs="IRNazanin"/>
          <w:color w:val="111111"/>
          <w:sz w:val="28"/>
          <w:szCs w:val="28"/>
          <w:rtl w:val="true"/>
          <w:lang w:bidi="fa-IR"/>
        </w:rPr>
        <w:t xml:space="preserve">. . . »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3767413_3650668749"/>
      <w:bookmarkStart w:id="778" w:name="_Toc285"/>
      <w:bookmarkEnd w:id="777"/>
      <w:r>
        <w:rPr/>
        <w:t>٢</w:t>
      </w:r>
      <w:r>
        <w:rPr>
          <w:rtl w:val="true"/>
        </w:rPr>
        <w:t xml:space="preserve">. </w:t>
      </w:r>
      <w:r>
        <w:rPr>
          <w:rtl w:val="true"/>
        </w:rPr>
        <w:t>بررسى و نقد اتهام تكفيراصحاب</w:t>
      </w:r>
      <w:bookmarkEnd w:id="778"/>
    </w:p>
    <w:p>
      <w:pPr>
        <w:pStyle w:val="Heading5"/>
        <w:numPr>
          <w:ilvl w:val="4"/>
          <w:numId w:val="1"/>
        </w:numPr>
        <w:rPr/>
      </w:pPr>
      <w:bookmarkStart w:id="779" w:name="__RefHeading___Toc3767415_3650668749"/>
      <w:bookmarkStart w:id="780" w:name="_Toc286"/>
      <w:bookmarkEnd w:id="779"/>
      <w:r>
        <w:rPr>
          <w:rtl w:val="true"/>
        </w:rPr>
        <w:t>اشاره</w:t>
      </w:r>
      <w:bookmarkEnd w:id="78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ملاحظه مى‌نماييد، اين اتهام، اتهام بزرگى‌است نسبت به‌شيعه و كتاب كافى، كه تبعات و آثار منفى فراوانِ اعتقادى و فقهى و تاريخى را به‌دنبال مى‌آورد و شيعه را تك‌رو و افراطى معرفى مى‌كند؛ ولى براى اينكه بتوان به‌اين اتهام پاسخ منطقى و منصفانه داد، ايجاب مى‌كند ابتدا اصطلاحات و واژگانى به‌كار رفته در اين اتهام، تبيين و سپس به‌اصل اتهام پرداخته شود</w:t>
      </w:r>
      <w:r>
        <w:rPr>
          <w:rFonts w:eastAsia="IRNazanin" w:cs="IRNazanin"/>
          <w:color w:val="111111"/>
          <w:sz w:val="28"/>
          <w:szCs w:val="28"/>
          <w:rtl w:val="true"/>
          <w:lang w:bidi="fa-IR"/>
        </w:rPr>
        <w:t xml:space="preserve">: </w:t>
      </w:r>
      <w:bookmarkStart w:id="781" w:name="pg1976_28522"/>
    </w:p>
    <w:p>
      <w:pPr>
        <w:pStyle w:val="Heading5"/>
        <w:numPr>
          <w:ilvl w:val="4"/>
          <w:numId w:val="1"/>
        </w:numPr>
        <w:rPr/>
      </w:pPr>
      <w:bookmarkStart w:id="782" w:name="__RefHeading___Toc3767417_3650668749"/>
      <w:bookmarkStart w:id="783" w:name="_Toc287"/>
      <w:bookmarkEnd w:id="781"/>
      <w:bookmarkEnd w:id="782"/>
      <w:r>
        <w:rPr>
          <w:rtl w:val="true"/>
        </w:rPr>
        <w:t>الف</w:t>
      </w:r>
      <w:r>
        <w:rPr>
          <w:rtl w:val="true"/>
        </w:rPr>
        <w:t xml:space="preserve">) </w:t>
      </w:r>
      <w:r>
        <w:rPr>
          <w:rtl w:val="true"/>
        </w:rPr>
        <w:t xml:space="preserve">مفهوم‌شناسى </w:t>
      </w:r>
      <w:r>
        <w:rPr>
          <w:rtl w:val="true"/>
        </w:rPr>
        <w:t>«</w:t>
      </w:r>
      <w:r>
        <w:rPr>
          <w:rtl w:val="true"/>
        </w:rPr>
        <w:t>كفر</w:t>
      </w:r>
      <w:r>
        <w:rPr>
          <w:rtl w:val="true"/>
        </w:rPr>
        <w:t xml:space="preserve">» </w:t>
      </w:r>
      <w:r>
        <w:rPr>
          <w:rtl w:val="true"/>
        </w:rPr>
        <w:t xml:space="preserve">، </w:t>
      </w:r>
      <w:r>
        <w:rPr>
          <w:rtl w:val="true"/>
        </w:rPr>
        <w:t>«</w:t>
      </w:r>
      <w:r>
        <w:rPr>
          <w:rtl w:val="true"/>
        </w:rPr>
        <w:t>تكفير</w:t>
      </w:r>
      <w:r>
        <w:rPr>
          <w:rtl w:val="true"/>
        </w:rPr>
        <w:t xml:space="preserve">» </w:t>
      </w:r>
      <w:r>
        <w:rPr>
          <w:rtl w:val="true"/>
        </w:rPr>
        <w:t>و</w:t>
      </w:r>
      <w:r>
        <w:rPr>
          <w:rtl w:val="true"/>
        </w:rPr>
        <w:t>. . .</w:t>
      </w:r>
      <w:bookmarkEnd w:id="78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كُفر، به‌معناى ضِدّ يا نقيض ايمان است </w:t>
      </w:r>
      <w:r>
        <w:rPr>
          <w:rStyle w:val="FootnoteAnchor"/>
          <w:rtl w:val="true"/>
        </w:rPr>
        <w:footnoteReference w:id="2186"/>
      </w:r>
      <w:r>
        <w:rPr>
          <w:rFonts w:ascii="IRNazanin" w:hAnsi="IRNazanin" w:eastAsia="IRNazanin"/>
          <w:color w:val="111111"/>
          <w:sz w:val="28"/>
          <w:sz w:val="28"/>
          <w:szCs w:val="28"/>
          <w:rtl w:val="true"/>
          <w:lang w:bidi="fa-IR"/>
        </w:rPr>
        <w:t xml:space="preserve">و ريشه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كاف از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كَفَرَ به‌معناى سَتر و پوشش </w:t>
      </w:r>
      <w:r>
        <w:rPr>
          <w:rStyle w:val="FootnoteAnchor"/>
          <w:rtl w:val="true"/>
        </w:rPr>
        <w:footnoteReference w:id="2187"/>
      </w:r>
      <w:r>
        <w:rPr>
          <w:rFonts w:ascii="Amiri" w:hAnsi="Amiri" w:eastAsia="Amiri" w:cs="Amiri"/>
          <w:color w:val="111111"/>
          <w:sz w:val="28"/>
          <w:sz w:val="28"/>
          <w:szCs w:val="28"/>
          <w:rtl w:val="true"/>
          <w:lang w:bidi="ar-SA"/>
        </w:rPr>
        <w:t xml:space="preserve">يا سَترُالشَّىء </w:t>
      </w:r>
      <w:r>
        <w:rPr>
          <w:rStyle w:val="FootnoteAnchor"/>
          <w:rtl w:val="true"/>
        </w:rPr>
        <w:footnoteReference w:id="2188"/>
      </w:r>
      <w:r>
        <w:rPr>
          <w:rFonts w:ascii="Amiri" w:hAnsi="Amiri" w:eastAsia="Amiri" w:cs="Amiri"/>
          <w:color w:val="111111"/>
          <w:sz w:val="28"/>
          <w:sz w:val="28"/>
          <w:szCs w:val="28"/>
          <w:rtl w:val="true"/>
          <w:lang w:bidi="ar-SA"/>
        </w:rPr>
        <w:t>،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جوهرى كُفر را تغطيه و سَتر </w:t>
      </w:r>
      <w:r>
        <w:rPr>
          <w:rStyle w:val="FootnoteAnchor"/>
          <w:rtl w:val="true"/>
        </w:rPr>
        <w:footnoteReference w:id="2189"/>
      </w:r>
      <w:r>
        <w:rPr>
          <w:rFonts w:ascii="IRNazanin" w:hAnsi="IRNazanin" w:eastAsia="IRNazanin"/>
          <w:color w:val="111111"/>
          <w:sz w:val="28"/>
          <w:sz w:val="28"/>
          <w:szCs w:val="28"/>
          <w:rtl w:val="true"/>
          <w:lang w:bidi="fa-IR"/>
        </w:rPr>
        <w:t xml:space="preserve">معنا مى‌كند كه به‌اعتقاد استاد فراهيدى، هر دو به‌يك معنا يا يكى مأخود از ديگرى است </w:t>
      </w:r>
      <w:r>
        <w:rPr>
          <w:rStyle w:val="FootnoteAnchor"/>
          <w:rtl w:val="true"/>
        </w:rPr>
        <w:footnoteReference w:id="2190"/>
      </w:r>
      <w:r>
        <w:rPr>
          <w:rFonts w:ascii="IRNazanin" w:hAnsi="IRNazanin" w:eastAsia="IRNazanin"/>
          <w:color w:val="111111"/>
          <w:sz w:val="28"/>
          <w:sz w:val="28"/>
          <w:szCs w:val="28"/>
          <w:rtl w:val="true"/>
          <w:lang w:bidi="fa-IR"/>
        </w:rPr>
        <w:t>وقتى گفته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كَفَرتُ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پوشاندم آن شىء را </w:t>
      </w:r>
      <w:r>
        <w:rPr>
          <w:rStyle w:val="FootnoteAnchor"/>
          <w:rtl w:val="true"/>
        </w:rPr>
        <w:footnoteReference w:id="2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در مقابل ايمان، پوشاندن حق را، معنا مى‌دهد </w:t>
      </w:r>
      <w:r>
        <w:rPr>
          <w:rStyle w:val="FootnoteAnchor"/>
          <w:rtl w:val="true"/>
        </w:rPr>
        <w:footnoteReference w:id="2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به‌شبِ تاريك و يا كشاورز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بدان جهت است كه تاريكى شب، اشياء را مى‌پوشاند و كشاورز، بَذر را در خاك پنهان مى‌كند </w:t>
      </w:r>
      <w:r>
        <w:rPr>
          <w:rStyle w:val="FootnoteAnchor"/>
          <w:rtl w:val="true"/>
        </w:rPr>
        <w:footnoteReference w:id="2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به‌انسان، اگر كافر به‌كار مى‌رود، بدان علت است كه او نعمت‌هاى الهى را برخود مى‌پوشاند </w:t>
      </w:r>
      <w:r>
        <w:rPr>
          <w:rStyle w:val="FootnoteAnchor"/>
          <w:rtl w:val="true"/>
        </w:rPr>
        <w:footnoteReference w:id="2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اينكه، هرچند كفر به‌معناى پوشش و پوشاندن مى‌آيد ولى با توجّه به‌قيدى كه ابن اثير اضافه مى‌كند </w:t>
      </w:r>
      <w:r>
        <w:rPr>
          <w:rStyle w:val="FootnoteAnchor"/>
          <w:rtl w:val="true"/>
        </w:rPr>
        <w:footnoteReference w:id="2195"/>
      </w:r>
      <w:r>
        <w:rPr>
          <w:rFonts w:ascii="IRNazanin" w:hAnsi="IRNazanin" w:eastAsia="IRNazanin"/>
          <w:color w:val="111111"/>
          <w:sz w:val="28"/>
          <w:sz w:val="28"/>
          <w:szCs w:val="28"/>
          <w:rtl w:val="true"/>
          <w:lang w:bidi="fa-IR"/>
        </w:rPr>
        <w:t xml:space="preserve">، ستر </w:t>
      </w:r>
      <w:bookmarkStart w:id="784" w:name="pg1976_28527"/>
    </w:p>
    <w:p>
      <w:pPr>
        <w:pStyle w:val="BookText"/>
        <w:rPr/>
      </w:pPr>
      <w:bookmarkEnd w:id="784"/>
      <w:r>
        <w:rPr>
          <w:rFonts w:ascii="IRNazanin" w:hAnsi="IRNazanin" w:eastAsia="IRNazanin"/>
          <w:color w:val="111111"/>
          <w:sz w:val="28"/>
          <w:sz w:val="28"/>
          <w:szCs w:val="28"/>
          <w:rtl w:val="true"/>
          <w:lang w:bidi="fa-IR"/>
        </w:rPr>
        <w:t>و پوشاندنى كه سبب هلاكت و ضايع نمودن آن‌چيز گردد، كفر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در 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 كافر به‌طور مطلق در حوزه دين، درباره كسى به كار مى‌رود كه وحدانيت خدا يا نبوت يا شريعت و يا هر سه را انكار نمايد </w:t>
      </w:r>
      <w:r>
        <w:rPr>
          <w:rStyle w:val="FootnoteAnchor"/>
          <w:rtl w:val="true"/>
        </w:rPr>
        <w:footnoteReference w:id="2196"/>
      </w:r>
      <w:r>
        <w:rPr>
          <w:rFonts w:ascii="IRNazanin" w:hAnsi="IRNazanin" w:eastAsia="IRNazanin"/>
          <w:color w:val="111111"/>
          <w:sz w:val="28"/>
          <w:sz w:val="28"/>
          <w:szCs w:val="28"/>
          <w:rtl w:val="true"/>
          <w:lang w:bidi="fa-IR"/>
        </w:rPr>
        <w:t xml:space="preserve">و اكثر لغت‌شناسان كفر به‌اين معنا را به‌چند دسته تقسيم مى‌كنند </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انكار </w:t>
      </w:r>
      <w:r>
        <w:rPr>
          <w:rStyle w:val="FootnoteAnchor"/>
          <w:rtl w:val="true"/>
        </w:rPr>
        <w:footnoteReference w:id="2198"/>
      </w:r>
      <w:r>
        <w:rPr>
          <w:rFonts w:ascii="Amiri" w:hAnsi="Amiri" w:eastAsia="Amiri" w:cs="Amiri"/>
          <w:color w:val="111111"/>
          <w:sz w:val="28"/>
          <w:sz w:val="28"/>
          <w:szCs w:val="28"/>
          <w:rtl w:val="true"/>
          <w:lang w:bidi="ar-SA"/>
        </w:rPr>
        <w:t xml:space="preserve">كفر ِجحود </w:t>
      </w:r>
      <w:r>
        <w:rPr>
          <w:rStyle w:val="FootnoteAnchor"/>
          <w:rtl w:val="true"/>
        </w:rPr>
        <w:footnoteReference w:id="2199"/>
      </w:r>
      <w:r>
        <w:rPr>
          <w:rFonts w:ascii="Amiri" w:hAnsi="Amiri" w:eastAsia="Amiri" w:cs="Amiri"/>
          <w:color w:val="111111"/>
          <w:sz w:val="28"/>
          <w:sz w:val="28"/>
          <w:szCs w:val="28"/>
          <w:rtl w:val="true"/>
          <w:lang w:bidi="ar-SA"/>
        </w:rPr>
        <w:t xml:space="preserve">كفرِ عناد </w:t>
      </w:r>
      <w:r>
        <w:rPr>
          <w:rStyle w:val="FootnoteAnchor"/>
          <w:rtl w:val="true"/>
        </w:rPr>
        <w:footnoteReference w:id="2200"/>
      </w:r>
      <w:r>
        <w:rPr>
          <w:rFonts w:ascii="Amiri" w:hAnsi="Amiri" w:eastAsia="Amiri" w:cs="Amiri"/>
          <w:color w:val="111111"/>
          <w:sz w:val="28"/>
          <w:sz w:val="28"/>
          <w:szCs w:val="28"/>
          <w:rtl w:val="true"/>
          <w:lang w:bidi="ar-SA"/>
        </w:rPr>
        <w:t xml:space="preserve">و كفرِ نفاق </w:t>
      </w:r>
      <w:r>
        <w:rPr>
          <w:rStyle w:val="FootnoteAnchor"/>
          <w:rtl w:val="true"/>
        </w:rPr>
        <w:footnoteReference w:id="2201"/>
      </w:r>
      <w:r>
        <w:rPr>
          <w:rFonts w:ascii="Amiri" w:hAnsi="Amiri" w:eastAsia="Amiri" w:cs="Amiri"/>
          <w:color w:val="111111"/>
          <w:sz w:val="28"/>
          <w:sz w:val="28"/>
          <w:szCs w:val="28"/>
          <w:rtl w:val="true"/>
          <w:lang w:bidi="ar-SA"/>
        </w:rPr>
        <w:t xml:space="preserve">برخى تعبير كفر ملّه را كه همان ارتداد باشد، به‌كار برده است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منسوب‌كردن كسى به‌كفر؛ وقتى‌گفته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لاتكفر أحَداً من أهل‌القبلة، أي لاتنسبُهم إلى الكُفر</w:t>
      </w:r>
      <w:r>
        <w:rPr>
          <w:rFonts w:eastAsia="IRNazanin" w:cs="IRNazanin"/>
          <w:color w:val="111111"/>
          <w:sz w:val="28"/>
          <w:szCs w:val="28"/>
          <w:rtl w:val="true"/>
          <w:lang w:bidi="fa-IR"/>
        </w:rPr>
        <w:t xml:space="preserve">»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در لغت به‌معناى پوشاندنِ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اصطلاح، انكار خداوند يا نبوت يا شريعت و يا هرسه را معنا مى‌دهد</w:t>
      </w:r>
      <w:r>
        <w:rPr>
          <w:rFonts w:eastAsia="IRNazanin" w:cs="IRNazanin"/>
          <w:color w:val="111111"/>
          <w:sz w:val="28"/>
          <w:szCs w:val="28"/>
          <w:rtl w:val="true"/>
          <w:lang w:bidi="fa-IR"/>
        </w:rPr>
        <w:t>.</w:t>
      </w:r>
    </w:p>
    <w:p>
      <w:pPr>
        <w:pStyle w:val="Heading5"/>
        <w:numPr>
          <w:ilvl w:val="4"/>
          <w:numId w:val="1"/>
        </w:numPr>
        <w:rPr/>
      </w:pPr>
      <w:bookmarkStart w:id="785" w:name="__RefHeading___Toc3767419_3650668749"/>
      <w:bookmarkStart w:id="786" w:name="_Toc288"/>
      <w:bookmarkEnd w:id="785"/>
      <w:r>
        <w:rPr>
          <w:rtl w:val="true"/>
        </w:rPr>
        <w:t>ب</w:t>
      </w:r>
      <w:r>
        <w:rPr>
          <w:rtl w:val="true"/>
        </w:rPr>
        <w:t xml:space="preserve">) </w:t>
      </w:r>
      <w:r>
        <w:rPr>
          <w:rtl w:val="true"/>
        </w:rPr>
        <w:t>مفهوم اصحاب و صحابه</w:t>
      </w:r>
      <w:bookmarkEnd w:id="78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صحابه و اصحاب در 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صحابه، از ريشه صَحِبَ يصحَبُ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صاد و كسر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معناى معاشرت را مى‌دهد </w:t>
      </w:r>
      <w:r>
        <w:rPr>
          <w:rStyle w:val="FootnoteAnchor"/>
          <w:rtl w:val="true"/>
        </w:rPr>
        <w:footnoteReference w:id="2204"/>
      </w:r>
      <w:r>
        <w:rPr>
          <w:rFonts w:ascii="IRNazanin" w:hAnsi="IRNazanin" w:eastAsia="IRNazanin"/>
          <w:color w:val="111111"/>
          <w:sz w:val="28"/>
          <w:sz w:val="28"/>
          <w:szCs w:val="28"/>
          <w:rtl w:val="true"/>
          <w:lang w:bidi="fa-IR"/>
        </w:rPr>
        <w:t xml:space="preserve">و معاشرت در فرهنگ </w:t>
      </w:r>
    </w:p>
    <w:p>
      <w:pPr>
        <w:pStyle w:val="BookText"/>
        <w:rPr/>
      </w:pPr>
      <w:r>
        <w:rPr>
          <w:rFonts w:ascii="Amiri" w:hAnsi="Amiri" w:eastAsia="Amiri" w:cs="Amiri"/>
          <w:color w:val="111111"/>
          <w:sz w:val="28"/>
          <w:sz w:val="28"/>
          <w:szCs w:val="28"/>
          <w:rtl w:val="true"/>
          <w:lang w:bidi="ar-SA"/>
        </w:rPr>
        <w:t xml:space="preserve">فارسى به‌معناى هم‌صحبت و آميختن است </w:t>
      </w:r>
      <w:r>
        <w:rPr>
          <w:rStyle w:val="FootnoteAnchor"/>
          <w:rtl w:val="true"/>
        </w:rPr>
        <w:footnoteReference w:id="2205"/>
      </w:r>
      <w:r>
        <w:rPr>
          <w:rFonts w:ascii="Amiri" w:hAnsi="Amiri" w:eastAsia="Amiri" w:cs="Amiri"/>
          <w:color w:val="111111"/>
          <w:sz w:val="28"/>
          <w:sz w:val="28"/>
          <w:szCs w:val="28"/>
          <w:rtl w:val="true"/>
          <w:lang w:bidi="ar-SA"/>
        </w:rPr>
        <w:t>و جمع آن أصحاب و أصاحيب و صُحبان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يعنى عَاشَرَهُ</w:t>
      </w:r>
      <w:r>
        <w:rPr>
          <w:rFonts w:eastAsia="Amiri" w:cs="Amiri" w:ascii="Amiri" w:hAnsi="Amiri"/>
          <w:color w:val="111111"/>
          <w:sz w:val="28"/>
          <w:szCs w:val="28"/>
          <w:rtl w:val="true"/>
          <w:lang w:bidi="ar-SA"/>
        </w:rPr>
        <w:t xml:space="preserve">. </w:t>
      </w:r>
      <w:r>
        <w:rPr>
          <w:rStyle w:val="FootnoteAnchor"/>
          <w:rtl w:val="true"/>
        </w:rPr>
        <w:footnoteReference w:id="2206"/>
      </w:r>
      <w:r>
        <w:rPr>
          <w:rFonts w:ascii="Amiri" w:hAnsi="Amiri" w:eastAsia="Amiri" w:cs="Amiri"/>
          <w:color w:val="111111"/>
          <w:sz w:val="28"/>
          <w:sz w:val="28"/>
          <w:szCs w:val="28"/>
          <w:rtl w:val="true"/>
          <w:lang w:bidi="ar-SA"/>
        </w:rPr>
        <w:t xml:space="preserve">و صَحب، جمع صاحب است و صاحب، يعنى معاشر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متعدى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اصحاب يعنى جماعة الصَّحب </w:t>
      </w:r>
      <w:r>
        <w:rPr>
          <w:rStyle w:val="FootnoteAnchor"/>
          <w:rtl w:val="true"/>
        </w:rPr>
        <w:footnoteReference w:id="2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صاحب را به‌معناى ملازم معنا مى‌كند، فرق ندارد اين ملازم انسان باشد يا حيوان، مكان باشد يا زمان </w:t>
      </w:r>
      <w:r>
        <w:rPr>
          <w:rStyle w:val="FootnoteAnchor"/>
          <w:rtl w:val="true"/>
        </w:rPr>
        <w:footnoteReference w:id="2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ديگر روح اصلى اين ماده را عِشرت مى‌داند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صحابه و اَصحاب در 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به‌مفهوم اصطلاحى صحابه، اهل نظرتعاريف مختلفى ارائه داده‌اند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صَحِبَ النَّبيَّ أو رآهُ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مُسلمينِ، فَهُوَ مِن أصحَابِهِ </w:t>
      </w:r>
      <w:r>
        <w:rPr>
          <w:rFonts w:eastAsia="Amiri" w:cs="Amiri" w:ascii="Amiri" w:hAnsi="Amiri"/>
          <w:color w:val="111111"/>
          <w:sz w:val="28"/>
          <w:szCs w:val="28"/>
          <w:rtl w:val="true"/>
          <w:lang w:bidi="ar-SA"/>
        </w:rPr>
        <w:t xml:space="preserve">»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كلام سعيدبن‌المسيب </w:t>
      </w:r>
      <w:r>
        <w:rPr>
          <w:rStyle w:val="FootnoteAnchor"/>
          <w:rtl w:val="true"/>
        </w:rPr>
        <w:footnoteReference w:id="2212"/>
      </w:r>
      <w:r>
        <w:rPr>
          <w:rFonts w:ascii="Amiri" w:hAnsi="Amiri" w:eastAsia="Amiri" w:cs="Amiri"/>
          <w:color w:val="111111"/>
          <w:sz w:val="28"/>
          <w:sz w:val="28"/>
          <w:szCs w:val="28"/>
          <w:rtl w:val="true"/>
          <w:lang w:bidi="ar-SA"/>
        </w:rPr>
        <w:t>،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عمر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أهلَ العِلمِ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قَدأدرَكَ الحلم وأسلم و عقل أمرالدِّين و رضيه فهو عندنا مِمّن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ساعة من نهارٍ </w:t>
      </w:r>
      <w:r>
        <w:rPr>
          <w:rFonts w:eastAsia="Amiri" w:cs="Amiri" w:ascii="Amiri" w:hAnsi="Amiri"/>
          <w:color w:val="111111"/>
          <w:sz w:val="28"/>
          <w:szCs w:val="28"/>
          <w:rtl w:val="true"/>
          <w:lang w:bidi="ar-SA"/>
        </w:rPr>
        <w:t xml:space="preserve">»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 xml:space="preserve">. </w:t>
      </w:r>
      <w:bookmarkStart w:id="787" w:name="pg1976_28533"/>
    </w:p>
    <w:p>
      <w:pPr>
        <w:pStyle w:val="BookText"/>
        <w:rPr/>
      </w:pPr>
      <w:bookmarkEnd w:id="7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صحيح‌ترين تعريف نزد شيوخ اهل‌سنت را اين تعريف مى‌داند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به‌و ماتَ عَلَى الاِسلام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تعريف‌هاى ديگر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تعريف‌ها حتى بنا بر تعريف ابن‌حجر كه مدعى است صحيح‌ترين تعريف نزد بزرگان اهل‌سنت مانندِ بخارى و احمدبن‌حنبل محسوب مى‌گردد، گروه‌هاى زيادى حتى مرتدّان را شامل مى‌شود </w:t>
      </w:r>
      <w:r>
        <w:rPr>
          <w:rStyle w:val="FootnoteAnchor"/>
          <w:rtl w:val="true"/>
        </w:rPr>
        <w:footnoteReference w:id="2214"/>
      </w:r>
      <w:r>
        <w:rPr>
          <w:rFonts w:ascii="IRNazanin" w:hAnsi="IRNazanin" w:eastAsia="IRNazanin"/>
          <w:color w:val="111111"/>
          <w:sz w:val="28"/>
          <w:sz w:val="28"/>
          <w:szCs w:val="28"/>
          <w:rtl w:val="true"/>
          <w:lang w:bidi="fa-IR"/>
        </w:rPr>
        <w:t xml:space="preserve">، و خود وى نيز تصريح مى‌كند كه اين تعريف هر ملاقات‌كننده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مى‌گيرد؛ ملاقاتش كم باشد يا زياد، از پيامبر روايت كرده باشد يا نَه، در جنگ به‌همراه حضرت شركت كرده باشد يا نه، پيامبر را ديده، هرچند با او هم‌نشين نشده و ملاقات كرده، هرچند با چشم نديده همانند نابينا</w:t>
      </w:r>
      <w:r>
        <w:rPr>
          <w:rFonts w:eastAsia="IRNazanin" w:cs="IRNazanin"/>
          <w:color w:val="111111"/>
          <w:sz w:val="28"/>
          <w:szCs w:val="28"/>
          <w:rtl w:val="true"/>
          <w:lang w:bidi="fa-IR"/>
        </w:rPr>
        <w:t xml:space="preserve">. </w:t>
      </w:r>
      <w:r>
        <w:rPr>
          <w:rStyle w:val="FootnoteAnchor"/>
          <w:rtl w:val="true"/>
        </w:rPr>
        <w:footnoteReference w:id="2215"/>
      </w:r>
    </w:p>
    <w:p>
      <w:pPr>
        <w:pStyle w:val="BookText"/>
        <w:rPr/>
      </w:pPr>
      <w:r>
        <w:rPr>
          <w:rFonts w:ascii="IRNazanin" w:hAnsi="IRNazanin" w:eastAsia="IRNazanin"/>
          <w:color w:val="111111"/>
          <w:sz w:val="28"/>
          <w:sz w:val="28"/>
          <w:szCs w:val="28"/>
          <w:rtl w:val="true"/>
          <w:lang w:bidi="fa-IR"/>
        </w:rPr>
        <w:t xml:space="preserve">اما نقطه اختلاف شيعه با اهل‌سنت، در اصل تعريف صحابه و اصحاب نيست بلكه در اين است كه اهل‌سنت همه صحابه را عادل مى‌شمارند و اقوال و سيره آنها را حجت مى‌دانند، ولى شيعه عدالت همه را نمى‌پذيرند </w:t>
      </w:r>
      <w:r>
        <w:rPr>
          <w:rStyle w:val="FootnoteAnchor"/>
          <w:rtl w:val="true"/>
        </w:rPr>
        <w:footnoteReference w:id="2216"/>
      </w:r>
      <w:r>
        <w:rPr>
          <w:rFonts w:ascii="IRNazanin" w:hAnsi="IRNazanin" w:eastAsia="IRNazanin"/>
          <w:color w:val="111111"/>
          <w:sz w:val="28"/>
          <w:sz w:val="28"/>
          <w:szCs w:val="28"/>
          <w:rtl w:val="true"/>
          <w:lang w:bidi="fa-IR"/>
        </w:rPr>
        <w:t>كه به‌زودى مورد بررسى قرار خواهد گرفت</w:t>
      </w:r>
      <w:r>
        <w:rPr>
          <w:rFonts w:eastAsia="IRNazanin" w:cs="IRNazanin"/>
          <w:color w:val="111111"/>
          <w:sz w:val="28"/>
          <w:szCs w:val="28"/>
          <w:rtl w:val="true"/>
          <w:lang w:bidi="fa-IR"/>
        </w:rPr>
        <w:t>.</w:t>
      </w:r>
    </w:p>
    <w:p>
      <w:pPr>
        <w:pStyle w:val="Heading5"/>
        <w:numPr>
          <w:ilvl w:val="4"/>
          <w:numId w:val="1"/>
        </w:numPr>
        <w:rPr/>
      </w:pPr>
      <w:bookmarkStart w:id="788" w:name="__RefHeading___Toc3767421_3650668749"/>
      <w:bookmarkStart w:id="789" w:name="_Toc289"/>
      <w:bookmarkEnd w:id="788"/>
      <w:r>
        <w:rPr>
          <w:rtl w:val="true"/>
        </w:rPr>
        <w:t>ج</w:t>
      </w:r>
      <w:r>
        <w:rPr>
          <w:rtl w:val="true"/>
        </w:rPr>
        <w:t xml:space="preserve">) </w:t>
      </w:r>
      <w:r>
        <w:rPr>
          <w:rtl w:val="true"/>
        </w:rPr>
        <w:t>تاريخچه و علت تكفير صحابه</w:t>
      </w:r>
      <w:bookmarkEnd w:id="78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تكفير و تعديل صحابه، در آثار مكتوب قرن سوم‌هجرى به‌بعد به‌چشم مى‌خورد و در منابع مختلف مذمّت و تكفير اصحاب پيامبر به‌شيعه نسبت داده شده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ابى‌الحسن الأشعرى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بيان اينكه اماميه، اجماع دارند كه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برخلافت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و آن را اظهار و اعلان نموده است، اين نسبت را به‌شيعه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الصّحابَةَ ضَلُّوا بِتَركِهمُ الاِقتداءَ به‌بَعد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217"/>
      </w:r>
    </w:p>
    <w:p>
      <w:pPr>
        <w:pStyle w:val="BookText"/>
        <w:rPr/>
      </w:pPr>
      <w:r>
        <w:rPr>
          <w:rFonts w:ascii="IRNazanin" w:hAnsi="IRNazanin" w:eastAsia="IRNazanin"/>
          <w:color w:val="111111"/>
          <w:sz w:val="28"/>
          <w:sz w:val="28"/>
          <w:szCs w:val="28"/>
          <w:rtl w:val="true"/>
          <w:lang w:bidi="fa-IR"/>
        </w:rPr>
        <w:t xml:space="preserve">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توضيح فرقه نجات يافته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الاماميّةُ منهم فَقَد زَعَمَ أنّ الصّحابَةَ إرتَدّت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عَلِيٍّ و إبنَيهِ و مِقدادٍ وَ ثَلاثَة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منهُم </w:t>
      </w:r>
      <w:r>
        <w:rPr>
          <w:rFonts w:eastAsia="IRNazanin" w:cs="IRNazanin"/>
          <w:color w:val="111111"/>
          <w:sz w:val="28"/>
          <w:szCs w:val="28"/>
          <w:rtl w:val="true"/>
          <w:lang w:bidi="fa-IR"/>
        </w:rPr>
        <w:t xml:space="preserve">» </w:t>
      </w:r>
      <w:r>
        <w:rPr>
          <w:rStyle w:val="FootnoteAnchor"/>
          <w:rtl w:val="true"/>
        </w:rPr>
        <w:footnoteReference w:id="2218"/>
      </w:r>
      <w:r>
        <w:rPr>
          <w:rFonts w:ascii="Amiri" w:hAnsi="Amiri" w:eastAsia="Amiri" w:cs="Amiri"/>
          <w:color w:val="111111"/>
          <w:sz w:val="28"/>
          <w:sz w:val="28"/>
          <w:szCs w:val="28"/>
          <w:rtl w:val="true"/>
          <w:lang w:bidi="ar-SA"/>
        </w:rPr>
        <w:t xml:space="preserve">، قاضى عبدالجبار قريب به‌همين مضمون را بيان مى‌كند </w:t>
      </w:r>
      <w:r>
        <w:rPr>
          <w:rStyle w:val="FootnoteAnchor"/>
          <w:rtl w:val="true"/>
        </w:rPr>
        <w:footnoteReference w:id="2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به‌اين عبارت اكتفا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الاِماميّةَ تخطت عن هذه الدَّرَجَةِ إلى الوَقِيعةِ في كبار الصَّحابَةِ طَعناً و تَكفيراً، و أقلّه ظُلماً و عُدوَاناً </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إماميه و ديگر فرق شيعه معتقدند خلافت،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وصى پيامبر است، بعداً اينها دچار اختلاف شدند، رافضى‌ها ساير صحابه را بدان جهت كه آنها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داشته كافر مى‌دانند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فأمّا الإمَاميَّةُ و بَعضُ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مُعتَزلةِ فَيَقُولُون هُم مخطّئُون في تَقديمهِم غَيرَهُ لا كُفّار </w:t>
      </w:r>
      <w:r>
        <w:rPr>
          <w:rFonts w:eastAsia="IRNazanin" w:cs="IRNazanin"/>
          <w:color w:val="111111"/>
          <w:sz w:val="28"/>
          <w:szCs w:val="28"/>
          <w:rtl w:val="true"/>
          <w:lang w:bidi="fa-IR"/>
        </w:rPr>
        <w:t xml:space="preserve">. . .» </w:t>
      </w:r>
      <w:r>
        <w:rPr>
          <w:rStyle w:val="FootnoteAnchor"/>
          <w:rtl w:val="true"/>
        </w:rPr>
        <w:footnoteReference w:id="2221"/>
      </w:r>
      <w:r>
        <w:rPr>
          <w:rFonts w:ascii="IRNazanin" w:hAnsi="IRNazanin" w:eastAsia="IRNazanin"/>
          <w:color w:val="111111"/>
          <w:sz w:val="28"/>
          <w:sz w:val="28"/>
          <w:szCs w:val="28"/>
          <w:rtl w:val="true"/>
          <w:lang w:bidi="fa-IR"/>
        </w:rPr>
        <w:t>كه ناصر قفارى در خصوص اين مطلب نووى،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منابع شيعه و تكفير آنها، اطلاع نداشته است</w:t>
      </w:r>
      <w:r>
        <w:rPr>
          <w:rFonts w:eastAsia="IRNazanin" w:cs="IRNazanin"/>
          <w:color w:val="111111"/>
          <w:sz w:val="28"/>
          <w:szCs w:val="28"/>
          <w:rtl w:val="true"/>
          <w:lang w:bidi="fa-IR"/>
        </w:rPr>
        <w:t xml:space="preserve">. </w:t>
      </w:r>
      <w:r>
        <w:rPr>
          <w:rStyle w:val="FootnoteAnchor"/>
          <w:rtl w:val="true"/>
        </w:rPr>
        <w:footnoteReference w:id="2222"/>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بحث، در زمان ابن‌تيميه و بعد از او توسط پيروانش به‌اوج خود مى‌رسد و از حالت بررسى و نَقد خارج شده دامنه وسيع‌تر و حالت توهين به‌خود مى‌گيرد، و اين </w:t>
      </w:r>
      <w:bookmarkStart w:id="790" w:name="pg1976_28538"/>
    </w:p>
    <w:p>
      <w:pPr>
        <w:pStyle w:val="BookText"/>
        <w:rPr/>
      </w:pPr>
      <w:bookmarkEnd w:id="790"/>
      <w:r>
        <w:rPr>
          <w:rFonts w:ascii="Amiri" w:hAnsi="Amiri" w:eastAsia="Amiri" w:cs="Amiri"/>
          <w:color w:val="111111"/>
          <w:sz w:val="28"/>
          <w:sz w:val="28"/>
          <w:szCs w:val="28"/>
          <w:rtl w:val="true"/>
          <w:lang w:bidi="ar-SA"/>
        </w:rPr>
        <w:t xml:space="preserve">معنا در آثار ابن‌تيميه كاملاً مشهود است؛ وى در مقايسه ميان شيعه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شيعه عثمان مى‌آورد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شيعة عَلِي ففيهم مَن يُكفِّر الصّحابةَ و الاُمّةَ و يَلعن أكابر الصّحابةِ مَاهُو أعظَم من ذلك بأضعاف مضاعفة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شيعةُ عثمان متّفقة على تقديم ابي‌بكر و عمر و تفضليهما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شيعةُ عَلِي المتأخِّرون أكثرهم يذمُّونهما و يسُبُّونهما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الرافضة فمتّفقةٌ على بُغضهما و ذَمّهما و كثير منهم يكفّرونهما </w:t>
      </w:r>
      <w:r>
        <w:rPr>
          <w:rFonts w:eastAsia="Amiri" w:cs="Amiri" w:ascii="Amiri" w:hAnsi="Amiri"/>
          <w:color w:val="111111"/>
          <w:sz w:val="28"/>
          <w:szCs w:val="28"/>
          <w:rtl w:val="true"/>
          <w:lang w:bidi="ar-SA"/>
        </w:rPr>
        <w:t xml:space="preserve">. . .» </w:t>
      </w:r>
      <w:r>
        <w:rPr>
          <w:rStyle w:val="FootnoteAnchor"/>
          <w:rtl w:val="true"/>
        </w:rPr>
        <w:footnoteReference w:id="2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ملاحظه مى‌كنيد اين اتهام، در آثار پيروان ابن‌تيميه تندتر ادامه يافته </w:t>
      </w:r>
      <w:r>
        <w:rPr>
          <w:rStyle w:val="FootnoteAnchor"/>
          <w:rtl w:val="true"/>
        </w:rPr>
        <w:footnoteReference w:id="2224"/>
      </w:r>
      <w:r>
        <w:rPr>
          <w:rFonts w:ascii="IRNazanin" w:hAnsi="IRNazanin" w:eastAsia="IRNazanin"/>
          <w:color w:val="111111"/>
          <w:sz w:val="28"/>
          <w:sz w:val="28"/>
          <w:szCs w:val="28"/>
          <w:rtl w:val="true"/>
          <w:lang w:bidi="fa-IR"/>
        </w:rPr>
        <w:t>و همواره شيعه را متهم به‌تكفير صحابه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غافل از اينكه بحث ارتداد و تكفير صحابه در سخنان شخص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موثق‌ترين كتاب خود اهل‌سنت،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سعيدبن‌مسيب از ابى‌هريره بازگو مى‌كند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يَرِدُ عَلَيَّ يَومَ القيامةِ رَهطٌ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ازمردان از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نفر </w:t>
      </w:r>
      <w:r>
        <w:rPr>
          <w:rStyle w:val="FootnoteAnchor"/>
          <w:rtl w:val="true"/>
        </w:rPr>
        <w:footnoteReference w:id="2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و مانع مى‌شوند از</w:t>
      </w:r>
      <w:r>
        <w:rPr>
          <w:rFonts w:eastAsia="Amiri" w:cs="Amiri" w:ascii="Amiri" w:hAnsi="Amiri"/>
          <w:color w:val="111111"/>
          <w:sz w:val="28"/>
          <w:szCs w:val="28"/>
          <w:rtl w:val="true"/>
          <w:lang w:bidi="ar-SA"/>
        </w:rPr>
        <w:t xml:space="preserve">. . . </w:t>
      </w:r>
      <w:r>
        <w:rPr>
          <w:rStyle w:val="FootnoteAnchor"/>
          <w:rtl w:val="true"/>
        </w:rPr>
        <w:footnoteReference w:id="2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لاعَلِمَ لَكَ بِمَا أحدَثُوا بَعدَكَ، إنّهمُ إرتَدُّوا عَلَى أدبَارِهِم القَهقَرَى </w:t>
      </w:r>
      <w:r>
        <w:rPr>
          <w:rFonts w:eastAsia="Amiri" w:cs="Amiri" w:ascii="Amiri" w:hAnsi="Amiri"/>
          <w:color w:val="111111"/>
          <w:sz w:val="28"/>
          <w:szCs w:val="28"/>
          <w:rtl w:val="true"/>
          <w:lang w:bidi="ar-SA"/>
        </w:rPr>
        <w:t xml:space="preserve">» </w:t>
      </w:r>
      <w:r>
        <w:rPr>
          <w:rStyle w:val="FootnoteAnchor"/>
          <w:rtl w:val="true"/>
        </w:rPr>
        <w:footnoteReference w:id="2227"/>
      </w:r>
      <w:r>
        <w:rPr>
          <w:rFonts w:ascii="IRNazanin" w:hAnsi="IRNazanin" w:eastAsia="IRNazanin"/>
          <w:color w:val="111111"/>
          <w:sz w:val="28"/>
          <w:sz w:val="28"/>
          <w:szCs w:val="28"/>
          <w:rtl w:val="true"/>
          <w:lang w:bidi="fa-IR"/>
        </w:rPr>
        <w:t>و روايات ديگر كه به‌زودى 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اشاره شد، ريشه و علت تكفير اصحاب هم معلوم شد و آن نپذيرفتن و يا انكار امامت و ولايت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است</w:t>
      </w:r>
      <w:r>
        <w:rPr>
          <w:rFonts w:eastAsia="IRNazanin" w:cs="IRNazanin"/>
          <w:color w:val="111111"/>
          <w:sz w:val="28"/>
          <w:szCs w:val="28"/>
          <w:rtl w:val="true"/>
          <w:lang w:bidi="fa-IR"/>
        </w:rPr>
        <w:t>.</w:t>
      </w:r>
    </w:p>
    <w:p>
      <w:pPr>
        <w:pStyle w:val="Heading5"/>
        <w:numPr>
          <w:ilvl w:val="4"/>
          <w:numId w:val="1"/>
        </w:numPr>
        <w:rPr/>
      </w:pPr>
      <w:bookmarkStart w:id="791" w:name="__RefHeading___Toc3767423_3650668749"/>
      <w:bookmarkStart w:id="792" w:name="_Toc290"/>
      <w:bookmarkEnd w:id="791"/>
      <w:r>
        <w:rPr>
          <w:rtl w:val="true"/>
        </w:rPr>
        <w:t>د</w:t>
      </w:r>
      <w:r>
        <w:rPr>
          <w:rtl w:val="true"/>
        </w:rPr>
        <w:t xml:space="preserve">) </w:t>
      </w:r>
      <w:r>
        <w:rPr>
          <w:rtl w:val="true"/>
        </w:rPr>
        <w:t>منكران امامت</w:t>
      </w:r>
      <w:bookmarkEnd w:id="792"/>
    </w:p>
    <w:p>
      <w:pPr>
        <w:pStyle w:val="Heading6"/>
        <w:numPr>
          <w:ilvl w:val="5"/>
          <w:numId w:val="1"/>
        </w:numPr>
        <w:rPr/>
      </w:pPr>
      <w:bookmarkStart w:id="793" w:name="__RefHeading___Toc3767425_3650668749"/>
      <w:bookmarkStart w:id="794" w:name="_Toc291"/>
      <w:bookmarkEnd w:id="793"/>
      <w:r>
        <w:rPr>
          <w:rtl w:val="true"/>
        </w:rPr>
        <w:t>اشاره</w:t>
      </w:r>
      <w:bookmarkEnd w:id="79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عنايت به‌مباحث ارائه شده طبعاً اين سؤال ايجاد خواهد شد كه منكران امامت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حكمى خواهند داشت؛ آيا حكم مسلمان را دارند يا چنين نيست؟ كه در </w:t>
      </w:r>
    </w:p>
    <w:p>
      <w:pPr>
        <w:pStyle w:val="BookText"/>
        <w:rPr/>
      </w:pPr>
      <w:r>
        <w:rPr>
          <w:rFonts w:ascii="IRNazanin" w:hAnsi="IRNazanin" w:eastAsia="IRNazanin"/>
          <w:color w:val="111111"/>
          <w:sz w:val="28"/>
          <w:sz w:val="28"/>
          <w:szCs w:val="28"/>
          <w:rtl w:val="true"/>
          <w:lang w:bidi="fa-IR"/>
        </w:rPr>
        <w:t>اين صورت دَه‌ها مباحث فقهى جدى و مشكلات ديگرى را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قرآن‌كريم فراوان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به‌كاربرده و براساس نص آيه شريفه قَالَتِ الاَعْرَابُ آمَنَّا قُل لَّمْ تُؤْمِنُوا وَلَكِن قُولُوا اَسْلَمْنَا وَلَمَّا يَدْخُلِ الاِيمَانُ فِى قُلُوبِكُمْ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دو، تفاوت مفهومى وجود دارد، شكى نيست </w:t>
      </w:r>
      <w:r>
        <w:rPr>
          <w:rStyle w:val="FootnoteAnchor"/>
          <w:rtl w:val="true"/>
        </w:rPr>
        <w:footnoteReference w:id="2228"/>
      </w:r>
      <w:r>
        <w:rPr>
          <w:rFonts w:ascii="IRNazanin" w:hAnsi="IRNazanin" w:eastAsia="IRNazanin"/>
          <w:color w:val="111111"/>
          <w:sz w:val="28"/>
          <w:sz w:val="28"/>
          <w:szCs w:val="28"/>
          <w:rtl w:val="true"/>
          <w:lang w:bidi="fa-IR"/>
        </w:rPr>
        <w:t xml:space="preserve">براساس همين معيار، گروه‌هايى از فرق اسلامى بنابر اعتقادات خويش دسته‌بندى خواهند شد ولى بى‌ترديد مفوّضه، غلات </w:t>
      </w:r>
      <w:r>
        <w:rPr>
          <w:rStyle w:val="FootnoteAnchor"/>
          <w:rtl w:val="true"/>
        </w:rPr>
        <w:footnoteReference w:id="2229"/>
      </w:r>
      <w:r>
        <w:rPr>
          <w:rFonts w:ascii="IRNazanin" w:hAnsi="IRNazanin" w:eastAsia="IRNazanin"/>
          <w:color w:val="111111"/>
          <w:sz w:val="28"/>
          <w:sz w:val="28"/>
          <w:szCs w:val="28"/>
          <w:rtl w:val="true"/>
          <w:lang w:bidi="fa-IR"/>
        </w:rPr>
        <w:t xml:space="preserve">، خوارج و نواصب </w:t>
      </w:r>
      <w:r>
        <w:rPr>
          <w:rStyle w:val="FootnoteAnchor"/>
          <w:rtl w:val="true"/>
        </w:rPr>
        <w:footnoteReference w:id="2230"/>
      </w:r>
      <w:r>
        <w:rPr>
          <w:rFonts w:ascii="IRNazanin" w:hAnsi="IRNazanin" w:eastAsia="IRNazanin"/>
          <w:color w:val="111111"/>
          <w:sz w:val="28"/>
          <w:sz w:val="28"/>
          <w:szCs w:val="28"/>
          <w:rtl w:val="true"/>
          <w:lang w:bidi="fa-IR"/>
        </w:rPr>
        <w:t>در هيچ‌كدام از اين دو اصطلاح، داخل نيستند و كفر و نجاست آنان آشكار است</w:t>
      </w:r>
      <w:r>
        <w:rPr>
          <w:rFonts w:eastAsia="IRNazanin" w:cs="IRNazanin"/>
          <w:color w:val="111111"/>
          <w:sz w:val="28"/>
          <w:szCs w:val="28"/>
          <w:rtl w:val="true"/>
          <w:lang w:bidi="fa-IR"/>
        </w:rPr>
        <w:t xml:space="preserve">. </w:t>
      </w:r>
      <w:r>
        <w:rPr>
          <w:rStyle w:val="FootnoteAnchor"/>
          <w:rtl w:val="true"/>
        </w:rPr>
        <w:footnoteReference w:id="2231"/>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معمولاً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منابع شيعه و چه 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نقل به‌معنا شده، و چه بسا اين كار سبب تغيير پيام اصلى حديث گرديده باشد، و از ديگر سو، شرايط حاكم بر زمان، در فهم و برداشت از حديث بى‌تأثير نبوده، طبعاً ديدگاه‌هاى فقها و كارشناسان امور دينى، در كمتر مسأله‌اى از مسائل دينى هماهنگ است بلكه در اكثر مسائل، ديدگاهِ مخالف وجود دارد و اين، اختصاص به‌بخشى از مسلمانان ندارد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شيعه، امامت را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 يا مذهب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انبوهى از روايات در اين خصوص وارد شده است، كه با عنايت به محتواى </w:t>
      </w:r>
      <w:bookmarkStart w:id="795" w:name="pg1976_28544"/>
    </w:p>
    <w:p>
      <w:pPr>
        <w:pStyle w:val="BookText"/>
        <w:rPr/>
      </w:pPr>
      <w:bookmarkEnd w:id="795"/>
      <w:r>
        <w:rPr>
          <w:rFonts w:ascii="IRNazanin" w:hAnsi="IRNazanin" w:eastAsia="IRNazanin"/>
          <w:color w:val="111111"/>
          <w:sz w:val="28"/>
          <w:sz w:val="28"/>
          <w:szCs w:val="28"/>
          <w:rtl w:val="true"/>
          <w:lang w:bidi="fa-IR"/>
        </w:rPr>
        <w:t>آنها پاسخ اين سؤال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فقهى منكران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ايشان، چه خواهد بود،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فقهاى پيروان اهل‌بيت، دو ديدگاه مطرح است</w:t>
      </w:r>
      <w:r>
        <w:rPr>
          <w:rFonts w:eastAsia="IRNazanin" w:cs="IRNazanin"/>
          <w:color w:val="111111"/>
          <w:sz w:val="28"/>
          <w:szCs w:val="28"/>
          <w:rtl w:val="true"/>
          <w:lang w:bidi="fa-IR"/>
        </w:rPr>
        <w:t>:</w:t>
      </w:r>
    </w:p>
    <w:p>
      <w:pPr>
        <w:pStyle w:val="Heading6"/>
        <w:numPr>
          <w:ilvl w:val="5"/>
          <w:numId w:val="1"/>
        </w:numPr>
        <w:rPr/>
      </w:pPr>
      <w:bookmarkStart w:id="796" w:name="__RefHeading___Toc3767427_3650668749"/>
      <w:bookmarkStart w:id="797" w:name="_Toc292"/>
      <w:bookmarkEnd w:id="796"/>
      <w:r>
        <w:rPr>
          <w:rtl w:val="true"/>
        </w:rPr>
        <w:t xml:space="preserve">اول </w:t>
      </w:r>
      <w:r>
        <w:rPr>
          <w:rtl w:val="true"/>
        </w:rPr>
        <w:t xml:space="preserve">- </w:t>
      </w:r>
      <w:r>
        <w:rPr>
          <w:rtl w:val="true"/>
        </w:rPr>
        <w:t>منكران امامت محكوم به‌كفر و نجاست‌اند</w:t>
      </w:r>
      <w:bookmarkEnd w:id="797"/>
    </w:p>
    <w:p>
      <w:pPr>
        <w:pStyle w:val="BookText"/>
        <w:rPr/>
      </w:pPr>
      <w:r>
        <w:rPr>
          <w:rFonts w:ascii="Amiri" w:hAnsi="Amiri" w:eastAsia="Amiri" w:cs="Amiri"/>
          <w:color w:val="111111"/>
          <w:sz w:val="28"/>
          <w:sz w:val="28"/>
          <w:szCs w:val="28"/>
          <w:rtl w:val="true"/>
          <w:lang w:bidi="ar-SA"/>
        </w:rPr>
        <w:t xml:space="preserve">عده‌اى از قدماى شيعه با برداشتى كه از احاديث اين عرصه داشته‌اند، منكران امامت را كافر و نجس مى‌شمارند؛ محدّث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مدعى شهرت كفر مخالفان شيعه ميان قدما مى‌شود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والمشهور في كلام أصحابنا المتقدمين هو الحكم بكفرهم و نَصبهم و نجاستهم و هو المؤيّد بالرّوايات الاِماميّة </w:t>
      </w:r>
      <w:r>
        <w:rPr>
          <w:rFonts w:eastAsia="Amiri" w:cs="Amiri" w:ascii="Amiri" w:hAnsi="Amiri"/>
          <w:color w:val="111111"/>
          <w:sz w:val="28"/>
          <w:szCs w:val="28"/>
          <w:rtl w:val="true"/>
          <w:lang w:bidi="ar-SA"/>
        </w:rPr>
        <w:t xml:space="preserve">. . .» </w:t>
      </w:r>
      <w:r>
        <w:rPr>
          <w:rStyle w:val="FootnoteAnchor"/>
          <w:rtl w:val="true"/>
        </w:rPr>
        <w:footnoteReference w:id="2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ديدگاه، به‌چهره‌هاى زير منسوب شده و يا به آن تصريح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 كلام شيخ 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ولايجوزُ لِاَحَدٍ مِن أهلِ الاِيمان أن يُغَسّلَ مخالفاً للحقِّ في‌الولاء، و لايُصَلّي‌عليه إلّا أن تَدعوه ضرورة إلى ذلك من جهة التقيّةِ</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مى‌آورد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فالوَجهُ فيه أنّ المخالفَ لِأهلِ الحقِّ كافرٌ فيجب أن يَكُونَ حُكمُه حُكمَ الكفّارِ إلّا مَا خَرَجَ بالدَّليل، و إذا كان غسل الكافرِ لايجوز فيجب أن يكون غسل المخالف أيضاً غير جائزٍ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هرچند كه شيخ طوسى در المبسوط تنها مُشبّهه و مُجبّره و مُجَسّمه را نجس شمرده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النّهاية به‌اين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يَنبغي للمُؤمن أن يَغسِلَ أهلَ الخلاف، فإِن إضطُرَّ، غَسَلَهُ غُسلَ أَهلِ‌الخلاف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اكتفا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اثر ديگرش كسانى را كه با</w:t>
      </w:r>
      <w:bookmarkStart w:id="798" w:name="pg1976_28547"/>
    </w:p>
    <w:p>
      <w:pPr>
        <w:pStyle w:val="BookText"/>
        <w:rPr/>
      </w:pPr>
      <w:bookmarkEnd w:id="798"/>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به‌ستيز برخاسته و خون او را حلال شمرده‌اند، براساس حديث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حَربُكَ حَربِي و سِلمُك 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به‌اجماع شيعه، كافر مى‌داند</w:t>
      </w:r>
      <w:r>
        <w:rPr>
          <w:rFonts w:eastAsia="Amiri" w:cs="Amiri" w:ascii="Amiri" w:hAnsi="Amiri"/>
          <w:color w:val="111111"/>
          <w:sz w:val="28"/>
          <w:szCs w:val="28"/>
          <w:rtl w:val="true"/>
          <w:lang w:bidi="ar-SA"/>
        </w:rPr>
        <w:t xml:space="preserve">. </w:t>
      </w:r>
      <w:r>
        <w:rPr>
          <w:rStyle w:val="FootnoteAnchor"/>
          <w:rtl w:val="true"/>
        </w:rPr>
        <w:footnoteReference w:id="2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ديگر كافر بودن مخالفان شيعه را به عَلَم‌الهدى شريف‌المرتضى نسبت داده‌اند </w:t>
      </w:r>
      <w:r>
        <w:rPr>
          <w:rStyle w:val="FootnoteAnchor"/>
          <w:rtl w:val="true"/>
        </w:rPr>
        <w:footnoteReference w:id="2234"/>
      </w:r>
      <w:r>
        <w:rPr>
          <w:rFonts w:ascii="Amiri" w:hAnsi="Amiri" w:eastAsia="Amiri" w:cs="Amiri"/>
          <w:color w:val="111111"/>
          <w:sz w:val="28"/>
          <w:sz w:val="28"/>
          <w:szCs w:val="28"/>
          <w:rtl w:val="true"/>
          <w:lang w:bidi="ar-SA"/>
        </w:rPr>
        <w:t>كه مخالفان حق، مطلقاً كافرند؛ ولى در آثار مكتوب علم‌الهدى تنها اين عبارت يافت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انفردت به‌الاِماميّةُ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بنجاسة سُؤراليهودي والنّصراني و كلُّ كافرٍ، و خالف‌الفقهاء في ذلك </w:t>
      </w:r>
      <w:r>
        <w:rPr>
          <w:rFonts w:eastAsia="Amiri" w:cs="Amiri" w:ascii="Amiri" w:hAnsi="Amiri"/>
          <w:color w:val="111111"/>
          <w:sz w:val="28"/>
          <w:szCs w:val="28"/>
          <w:rtl w:val="true"/>
          <w:lang w:bidi="ar-SA"/>
        </w:rPr>
        <w:t xml:space="preserve">» </w:t>
      </w:r>
      <w:r>
        <w:rPr>
          <w:rStyle w:val="FootnoteAnchor"/>
          <w:rtl w:val="true"/>
        </w:rPr>
        <w:footnoteReference w:id="2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معتقد است انكار امامت، مستلزم انكار رسالت مى‌شود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واعتقادُنا فيمن جَحَدَ إمامة أميرالمؤمنين علي‌بن‌ابي‌طالب والائمة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بمنزلة من جَحَدَ نبوة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واعتقادنا فيمن أقرّ بأميرالمؤمنين و أنكَرَ واحداً من بعده من‌الائمة أنه بمنزلة مَن أقرّ بجميع الاَنبياء و أنكر نبوة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236"/>
      </w:r>
      <w:r>
        <w:rPr>
          <w:rFonts w:ascii="Amiri" w:hAnsi="Amiri" w:eastAsia="Amiri" w:cs="Amiri"/>
          <w:color w:val="111111"/>
          <w:sz w:val="28"/>
          <w:sz w:val="28"/>
          <w:szCs w:val="28"/>
          <w:rtl w:val="true"/>
          <w:lang w:bidi="ar-SA"/>
        </w:rPr>
        <w:t>، و طبعاً منكر رسالت كافر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بحرانى همين حكم را به‌الشيخ ابن‌نوبخت نسبت داده است</w:t>
      </w:r>
      <w:r>
        <w:rPr>
          <w:rFonts w:eastAsia="Amiri" w:cs="Amiri" w:ascii="Amiri" w:hAnsi="Amiri"/>
          <w:color w:val="111111"/>
          <w:sz w:val="28"/>
          <w:szCs w:val="28"/>
          <w:rtl w:val="true"/>
          <w:lang w:bidi="ar-SA"/>
        </w:rPr>
        <w:t xml:space="preserve">. </w:t>
      </w:r>
      <w:r>
        <w:rPr>
          <w:rStyle w:val="FootnoteAnchor"/>
          <w:rtl w:val="true"/>
        </w:rPr>
        <w:footnoteReference w:id="2237"/>
      </w:r>
    </w:p>
    <w:p>
      <w:pPr>
        <w:pStyle w:val="Heading6"/>
        <w:numPr>
          <w:ilvl w:val="5"/>
          <w:numId w:val="1"/>
        </w:numPr>
        <w:rPr/>
      </w:pPr>
      <w:bookmarkStart w:id="799" w:name="__RefHeading___Toc3767429_3650668749"/>
      <w:bookmarkStart w:id="800" w:name="_Toc293"/>
      <w:bookmarkEnd w:id="799"/>
      <w:r>
        <w:rPr>
          <w:rtl w:val="true"/>
        </w:rPr>
        <w:t xml:space="preserve">دوم </w:t>
      </w:r>
      <w:r>
        <w:rPr>
          <w:rtl w:val="true"/>
        </w:rPr>
        <w:t xml:space="preserve">- </w:t>
      </w:r>
      <w:r>
        <w:rPr>
          <w:rtl w:val="true"/>
        </w:rPr>
        <w:t>منكران امامت محكوم به‌اسلام</w:t>
      </w:r>
      <w:bookmarkEnd w:id="80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جمعى بلكه مشهور علماى شيعه به‌ويژه متأخران براين است كه منكران امامت، مسلمانند و آثار اظهار شهادتين برآن‌ها جارى است؛ چنان‌كه بحرانى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بين المتأخري الاَصحاب هو الحكم بإسلام المخالفين و طهارتهم، و خصّوا الكفرَ والنجاسةَ </w:t>
      </w:r>
    </w:p>
    <w:p>
      <w:pPr>
        <w:pStyle w:val="BookText"/>
        <w:rPr/>
      </w:pPr>
      <w:r>
        <w:rPr>
          <w:rFonts w:ascii="Amiri" w:hAnsi="Amiri" w:eastAsia="Amiri" w:cs="Amiri"/>
          <w:color w:val="111111"/>
          <w:sz w:val="28"/>
          <w:sz w:val="28"/>
          <w:szCs w:val="28"/>
          <w:rtl w:val="true"/>
          <w:lang w:bidi="ar-SA"/>
        </w:rPr>
        <w:t>بالنّاصب</w:t>
      </w:r>
      <w:r>
        <w:rPr>
          <w:rFonts w:eastAsia="Amiri" w:cs="Amiri" w:ascii="Amiri" w:hAnsi="Amiri"/>
          <w:color w:val="111111"/>
          <w:sz w:val="28"/>
          <w:szCs w:val="28"/>
          <w:rtl w:val="true"/>
          <w:lang w:bidi="ar-SA"/>
        </w:rPr>
        <w:t xml:space="preserve">. . . » </w:t>
      </w:r>
      <w:r>
        <w:rPr>
          <w:rStyle w:val="FootnoteAnchor"/>
          <w:rtl w:val="true"/>
        </w:rPr>
        <w:footnoteReference w:id="2238"/>
      </w:r>
      <w:r>
        <w:rPr>
          <w:rFonts w:ascii="IRNazanin" w:hAnsi="IRNazanin" w:eastAsia="IRNazanin"/>
          <w:color w:val="111111"/>
          <w:sz w:val="28"/>
          <w:sz w:val="28"/>
          <w:szCs w:val="28"/>
          <w:rtl w:val="true"/>
          <w:lang w:bidi="fa-IR"/>
        </w:rPr>
        <w:t>كه از ميان آنها به‌اشارۀ چند نمونه بسنده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نصيرالدين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فرق گذاشتن ميان دو اصطلاح اسلام و ايمان، تصريح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فَلِأنّ مَن أقرّ بالشَّهادَتَينِ كان حُكمُه حكم المسلمين، لقوله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الاَعْرَابُ آمَنَّا قُل لَّمْ تُؤْمِنُوا</w:t>
      </w:r>
      <w:r>
        <w:rPr>
          <w:rFonts w:eastAsia="IRNazanin" w:cs="IRNazanin"/>
          <w:color w:val="111111"/>
          <w:sz w:val="28"/>
          <w:szCs w:val="28"/>
          <w:rtl w:val="true"/>
          <w:lang w:bidi="fa-IR"/>
        </w:rPr>
        <w:t xml:space="preserve">. . . »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بإسلام مَن أقرَّ بالشّهادتين فقط غيرعابثٍ دون إيمانه، سواء علم منه عدم التصديق بإمامة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إلّا ماخرج بدليلٍ خارجٍ، كالنّواصِب والخوارج </w:t>
      </w:r>
      <w:r>
        <w:rPr>
          <w:rFonts w:eastAsia="Amiri" w:cs="Amiri" w:ascii="Amiri" w:hAnsi="Amiri"/>
          <w:color w:val="111111"/>
          <w:sz w:val="28"/>
          <w:szCs w:val="28"/>
          <w:rtl w:val="true"/>
          <w:lang w:bidi="ar-SA"/>
        </w:rPr>
        <w:t xml:space="preserve">» </w:t>
      </w:r>
      <w:r>
        <w:rPr>
          <w:rStyle w:val="FootnoteAnchor"/>
          <w:rtl w:val="true"/>
        </w:rPr>
        <w:footnoteReference w:id="2240"/>
      </w:r>
    </w:p>
    <w:p>
      <w:pPr>
        <w:pStyle w:val="BookText"/>
        <w:rPr/>
      </w:pPr>
      <w:r>
        <w:rPr>
          <w:rFonts w:ascii="IRNazanin" w:hAnsi="IRNazanin" w:eastAsia="IRNazanin"/>
          <w:color w:val="111111"/>
          <w:sz w:val="28"/>
          <w:sz w:val="28"/>
          <w:szCs w:val="28"/>
          <w:rtl w:val="true"/>
          <w:lang w:bidi="fa-IR"/>
        </w:rPr>
        <w:t xml:space="preserve">وى ميان دو ديدگاه شيعه </w:t>
      </w:r>
      <w:r>
        <w:rPr>
          <w:rStyle w:val="FootnoteAnchor"/>
          <w:rtl w:val="true"/>
        </w:rPr>
        <w:footnoteReference w:id="2241"/>
      </w:r>
      <w:r>
        <w:rPr>
          <w:rFonts w:ascii="IRNazanin" w:hAnsi="IRNazanin" w:eastAsia="IRNazanin"/>
          <w:color w:val="111111"/>
          <w:sz w:val="28"/>
          <w:sz w:val="28"/>
          <w:szCs w:val="28"/>
          <w:rtl w:val="true"/>
          <w:lang w:bidi="fa-IR"/>
        </w:rPr>
        <w:t xml:space="preserve">، نسبت به‌مخالفان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پيوند برقرار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أرادُوا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كونهم كافرين في نفس الامر لا في الظاهر، فالظاهرأنَّ النزاع لفظيٌّ؛ إذ القائلون بإسلامهم يريدون ما ذكرناه من الحكم بصحة جريان أكثر أحكام المسلمين عليهم في الظّاهر، لاأنَّهم مسلمون في نفس الامر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إن أرادُوا بذلك كافرين باطناً وظاهراً، فهُوَ مَمنُوع ولا دليل‌عليه، بل‌الدّليلُ قائم على إسلامهم ظاهراً،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اُمِرتُ أن أقاتلَ النَّاسَ حَتّى يَقُولُوا لا إله إلّا الله </w:t>
      </w:r>
      <w:r>
        <w:rPr>
          <w:rFonts w:eastAsia="IRNazanin" w:cs="IRNazanin"/>
          <w:color w:val="111111"/>
          <w:sz w:val="28"/>
          <w:szCs w:val="28"/>
          <w:rtl w:val="true"/>
          <w:lang w:bidi="fa-IR"/>
        </w:rPr>
        <w:t xml:space="preserve">» </w:t>
      </w:r>
      <w:r>
        <w:rPr>
          <w:rStyle w:val="FootnoteAnchor"/>
          <w:rtl w:val="true"/>
        </w:rPr>
        <w:footnoteReference w:id="2242"/>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اثر ديگرش بعد از نقل ديدگاه‌هاى‌شيخ طوسى و سيدمرتضى، مبنى بركفر مخالفان امامت دلايل آنها را ناكافى مى‌داند؛ براى اينكه اوّلاً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مخالفانِ امامت، به‌طور حقيقى اطلاق نشده بلكه اعم از حقيقت است و علامت‌هاى اطلاق مجازى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تبادر، يا تبادر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سلب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دليلى </w:t>
      </w:r>
    </w:p>
    <w:p>
      <w:pPr>
        <w:pStyle w:val="BookText"/>
        <w:rPr/>
      </w:pPr>
      <w:r>
        <w:rPr>
          <w:rFonts w:ascii="IRNazanin" w:hAnsi="IRNazanin" w:eastAsia="IRNazanin"/>
          <w:color w:val="111111"/>
          <w:sz w:val="28"/>
          <w:sz w:val="28"/>
          <w:szCs w:val="28"/>
          <w:rtl w:val="true"/>
          <w:lang w:bidi="fa-IR"/>
        </w:rPr>
        <w:t>بر نجاست آنها وجود ندارد و ادعاى اجماع شيعه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با انبوه از روايات معتبر كه مسلمان بودن آنها را با شهادتين كافى مى‌داند، سازگارى ندارد؛ از جمله حديث سماعه از ابى‌عبدالله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243"/>
      </w:r>
      <w:r>
        <w:rPr>
          <w:rFonts w:ascii="Amiri" w:hAnsi="Amiri" w:eastAsia="Amiri" w:cs="Amiri"/>
          <w:color w:val="111111"/>
          <w:sz w:val="28"/>
          <w:sz w:val="28"/>
          <w:szCs w:val="28"/>
          <w:rtl w:val="true"/>
          <w:lang w:bidi="ar-SA"/>
        </w:rPr>
        <w:t xml:space="preserve">، وقتى اسلام مخالفان به‌اثبات رسيد طهارت آنها نيز ثابت خواهد شد </w:t>
      </w:r>
      <w:r>
        <w:rPr>
          <w:rStyle w:val="FootnoteAnchor"/>
          <w:rtl w:val="true"/>
        </w:rPr>
        <w:footnoteReference w:id="2244"/>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اعتقاد به‌اينكه ايمان و اسلام دو مفهوم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الاِذعان بوجوده سبحانه، وصفاته الكمالية، وبالتَّوحيد والعدل والمعاد، والاِقرار بنبوّة نبينا وإمامة الائمّة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بجميع ما جاءبه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منها تفصيلاً وما لم يعلم اجمالاً وعدم الإتيان بما يخرجه عن الدين، كعبادة الصّنم</w:t>
      </w:r>
      <w:r>
        <w:rPr>
          <w:rFonts w:eastAsia="Amiri" w:cs="Amiri" w:ascii="Amiri" w:hAnsi="Amiri"/>
          <w:color w:val="111111"/>
          <w:sz w:val="28"/>
          <w:szCs w:val="28"/>
          <w:rtl w:val="true"/>
          <w:lang w:bidi="ar-SA"/>
        </w:rPr>
        <w:t xml:space="preserve">» </w:t>
      </w:r>
      <w:r>
        <w:rPr>
          <w:rStyle w:val="FootnoteAnchor"/>
          <w:rtl w:val="true"/>
        </w:rPr>
        <w:footnoteReference w:id="2245"/>
      </w:r>
      <w:r>
        <w:rPr>
          <w:rFonts w:ascii="Amiri" w:hAnsi="Amiri" w:eastAsia="Amiri" w:cs="Amiri"/>
          <w:color w:val="111111"/>
          <w:sz w:val="28"/>
          <w:sz w:val="28"/>
          <w:szCs w:val="28"/>
          <w:rtl w:val="true"/>
          <w:lang w:bidi="ar-SA"/>
        </w:rPr>
        <w:t xml:space="preserve">، معنا مى‌كند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والاِسلام هو الاِذعان الظاهرى بالله و برسوله، وعدم إنكار مَا عُلِمَ ضرورة من دين الاِسلام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تفسير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نواصب و غلات و مجسّمه، همه فرق اسلامى را مسلمان مى‌شمارد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يشتَرطُ فيه ولاية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الاِقرارالقلبى، فيدخل فيه المنافِقُون و جميع فرق المسلمين ممّن يظهر الشَّهادتين، عدا النَّواصب والغُلاة والمجسّمةِ</w:t>
      </w:r>
      <w:r>
        <w:rPr>
          <w:rFonts w:eastAsia="Amiri" w:cs="Amiri" w:ascii="Amiri" w:hAnsi="Amiri"/>
          <w:color w:val="111111"/>
          <w:sz w:val="28"/>
          <w:szCs w:val="28"/>
          <w:rtl w:val="true"/>
          <w:lang w:bidi="ar-SA"/>
        </w:rPr>
        <w:t xml:space="preserve">» </w:t>
      </w:r>
      <w:r>
        <w:rPr>
          <w:rStyle w:val="FootnoteAnchor"/>
          <w:rtl w:val="true"/>
        </w:rPr>
        <w:footnoteReference w:id="2246"/>
      </w:r>
      <w:r>
        <w:rPr>
          <w:rFonts w:ascii="IRNazanin" w:hAnsi="IRNazanin" w:eastAsia="IRNazanin"/>
          <w:color w:val="111111"/>
          <w:sz w:val="28"/>
          <w:sz w:val="28"/>
          <w:szCs w:val="28"/>
          <w:rtl w:val="true"/>
          <w:lang w:bidi="fa-IR"/>
        </w:rPr>
        <w:t xml:space="preserve">و در نتيجه آثار اسلام كه عبارت باشد از حرمت خون و اداء امانت و حلال بودن ازدواج، بر همگان مترتب مى‌شمارد </w:t>
      </w:r>
      <w:r>
        <w:rPr>
          <w:rStyle w:val="FootnoteAnchor"/>
          <w:rtl w:val="true"/>
        </w:rPr>
        <w:footnoteReference w:id="2247"/>
      </w:r>
      <w:r>
        <w:rPr>
          <w:rFonts w:ascii="Amiri" w:hAnsi="Amiri" w:eastAsia="Amiri" w:cs="Amiri"/>
          <w:color w:val="111111"/>
          <w:sz w:val="28"/>
          <w:sz w:val="28"/>
          <w:szCs w:val="28"/>
          <w:rtl w:val="true"/>
          <w:lang w:bidi="ar-SA"/>
        </w:rPr>
        <w:t xml:space="preserve">صاحب جواهرالكلام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 بودن وطهارت ظاهرى آنها را به‌دلايل متعدد مسلّم مى‌داند </w:t>
      </w:r>
      <w:r>
        <w:rPr>
          <w:rStyle w:val="FootnoteAnchor"/>
          <w:rtl w:val="true"/>
        </w:rPr>
        <w:footnoteReference w:id="2248"/>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مسلمان بودن همه فرق اسلامى جز خوارج و غلات و نواصب را مشهور ميان اصحاب اماميه مى‌داند </w:t>
      </w:r>
      <w:r>
        <w:rPr>
          <w:rStyle w:val="FootnoteAnchor"/>
          <w:rtl w:val="true"/>
        </w:rPr>
        <w:footnoteReference w:id="2249"/>
      </w:r>
      <w:r>
        <w:rPr>
          <w:rFonts w:ascii="IRNazanin" w:hAnsi="IRNazanin" w:eastAsia="IRNazanin"/>
          <w:color w:val="111111"/>
          <w:sz w:val="28"/>
          <w:sz w:val="28"/>
          <w:szCs w:val="28"/>
          <w:rtl w:val="true"/>
          <w:lang w:bidi="fa-IR"/>
        </w:rPr>
        <w:t xml:space="preserve">، و عام بودن اصالت طهارت بدون معارض، لزوم عسر و حرج بر فرض نجاست آنان، اجماع بر عدم پرهيز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اخبار مستفيضه بلكه متواتره بر طهارت بازار مسلمان را، دلايل اين معنا مى‌شمارد </w:t>
      </w:r>
      <w:r>
        <w:rPr>
          <w:rStyle w:val="FootnoteAnchor"/>
          <w:rtl w:val="true"/>
        </w:rPr>
        <w:footnoteReference w:id="2250"/>
      </w:r>
      <w:r>
        <w:rPr>
          <w:rFonts w:ascii="Amiri" w:hAnsi="Amiri" w:eastAsia="Amiri" w:cs="Amiri"/>
          <w:color w:val="111111"/>
          <w:sz w:val="28"/>
          <w:sz w:val="28"/>
          <w:szCs w:val="28"/>
          <w:rtl w:val="true"/>
          <w:lang w:bidi="ar-SA"/>
        </w:rPr>
        <w:t xml:space="preserve">مؤلفان زبدة الفقيه و منتقدالمنافع، نزديك به‌سخن صاحب رياض را مى‌زنند </w:t>
      </w:r>
      <w:r>
        <w:rPr>
          <w:rStyle w:val="FootnoteAnchor"/>
          <w:rtl w:val="true"/>
        </w:rPr>
        <w:footnoteReference w:id="225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مفصّل‌ترين بحث را در اين خصوص ارائه مى‌دهد، ضمن اينكه مخالفان امامت را مسلمان مى‌داند، دلايل قدما را كه مهم‌ترين آنها اجماع و انكار ضرورت دين است، ناكافى مى‌شمارد؛ اوّلاً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الاِجماع المدّعى ممنوع بالنسبة إلى ما نحنُ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يُجابُ أيضاً بأنَّ منكرَ الضرورةِ إنَّما يُحكم بكُفره إذاكان ما أنكره ضروريّاً عنده بحيث يقطع به، بل المناط القطع خاصّة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والمنكر للولاية غير قاطع بأنَّها ممّا جاء به‌النّبي، و هذا واضح على </w:t>
      </w:r>
    </w:p>
    <w:p>
      <w:pPr>
        <w:pStyle w:val="BookText"/>
        <w:rPr/>
      </w:pPr>
      <w:r>
        <w:rPr>
          <w:rFonts w:ascii="Amiri" w:hAnsi="Amiri" w:eastAsia="Amiri" w:cs="Amiri"/>
          <w:color w:val="111111"/>
          <w:sz w:val="28"/>
          <w:sz w:val="28"/>
          <w:szCs w:val="28"/>
          <w:rtl w:val="true"/>
          <w:lang w:bidi="ar-SA"/>
        </w:rPr>
        <w:t xml:space="preserve">مَن تتبّع في كتب المخالفين </w:t>
      </w:r>
      <w:r>
        <w:rPr>
          <w:rFonts w:eastAsia="Amiri" w:cs="Amiri" w:ascii="Amiri" w:hAnsi="Amiri"/>
          <w:color w:val="111111"/>
          <w:sz w:val="28"/>
          <w:szCs w:val="28"/>
          <w:rtl w:val="true"/>
          <w:lang w:bidi="ar-SA"/>
        </w:rPr>
        <w:t xml:space="preserve">» </w:t>
      </w:r>
      <w:r>
        <w:rPr>
          <w:rStyle w:val="FootnoteAnchor"/>
          <w:rtl w:val="true"/>
        </w:rPr>
        <w:footnoteReference w:id="2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مؤلف مجمع الفائدة والبرهان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انكار ضرورت دين را، اين‌گونه بيان 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والظّاهر أنّ المراد با 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روري الذي يُكفر منكره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ألّذي يثبت عنده يقيناً كونه من الدّين و لوكان بالبرهان، ولم يكن مجمعاً عليه؛ إذ الظّاهر أنّ دليل كفره، هو انكار الشريعة و إنكار صدق النّبي مثلا في ذلك الامر مع ثبوته يقيناً عنده </w:t>
      </w:r>
      <w:r>
        <w:rPr>
          <w:rFonts w:eastAsia="IRNazanin" w:cs="IRNazanin"/>
          <w:color w:val="111111"/>
          <w:sz w:val="28"/>
          <w:szCs w:val="28"/>
          <w:rtl w:val="true"/>
          <w:lang w:bidi="fa-IR"/>
        </w:rPr>
        <w:t xml:space="preserve">»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عالمان تأثيرگذار ديگر شيعه، هم‌چون صاحب العروة الوثقى، مخالفان شيعه را در صورتى كه ناصبى و معاند و دشنام دهنده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Style w:val="FootnoteAnchor"/>
          <w:rtl w:val="true"/>
        </w:rPr>
        <w:footnoteReference w:id="2254"/>
      </w:r>
      <w:r>
        <w:rPr>
          <w:rFonts w:ascii="Amiri" w:hAnsi="Amiri" w:eastAsia="Amiri" w:cs="Amiri"/>
          <w:color w:val="111111"/>
          <w:sz w:val="28"/>
          <w:sz w:val="28"/>
          <w:szCs w:val="28"/>
          <w:rtl w:val="true"/>
          <w:lang w:bidi="ar-SA"/>
        </w:rPr>
        <w:t xml:space="preserve">، السيدالحكيم </w:t>
      </w:r>
      <w:r>
        <w:rPr>
          <w:rStyle w:val="FootnoteAnchor"/>
          <w:rtl w:val="true"/>
        </w:rPr>
        <w:footnoteReference w:id="2255"/>
      </w:r>
      <w:r>
        <w:rPr>
          <w:rFonts w:ascii="Amiri" w:hAnsi="Amiri" w:eastAsia="Amiri" w:cs="Amiri"/>
          <w:color w:val="111111"/>
          <w:sz w:val="28"/>
          <w:sz w:val="28"/>
          <w:szCs w:val="28"/>
          <w:rtl w:val="true"/>
          <w:lang w:bidi="ar-SA"/>
        </w:rPr>
        <w:t xml:space="preserve">و الامام الخمينى </w:t>
      </w:r>
      <w:r>
        <w:rPr>
          <w:rStyle w:val="FootnoteAnchor"/>
          <w:rtl w:val="true"/>
        </w:rPr>
        <w:footnoteReference w:id="2256"/>
      </w:r>
      <w:r>
        <w:rPr>
          <w:rFonts w:ascii="Amiri" w:hAnsi="Amiri" w:eastAsia="Amiri" w:cs="Amiri"/>
          <w:color w:val="111111"/>
          <w:sz w:val="28"/>
          <w:sz w:val="28"/>
          <w:szCs w:val="28"/>
          <w:rtl w:val="true"/>
          <w:lang w:bidi="ar-SA"/>
        </w:rPr>
        <w:t xml:space="preserve">و السيدالخوئى </w:t>
      </w:r>
      <w:r>
        <w:rPr>
          <w:rStyle w:val="FootnoteAnchor"/>
          <w:rtl w:val="true"/>
        </w:rPr>
        <w:footnoteReference w:id="2257"/>
      </w:r>
      <w:r>
        <w:rPr>
          <w:rFonts w:ascii="Amiri" w:hAnsi="Amiri" w:eastAsia="Amiri" w:cs="Amiri"/>
          <w:color w:val="111111"/>
          <w:sz w:val="28"/>
          <w:sz w:val="28"/>
          <w:szCs w:val="28"/>
          <w:rtl w:val="true"/>
          <w:lang w:bidi="ar-SA"/>
        </w:rPr>
        <w:t>، مسلمانان را طاهر مى‌دانند و آن را مشهور ميان اصحاب مى‌شمارند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منكران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خوارج و غلات و نواصب از ديدگاه اكثر فقهاى شيعه بلكه مشهور ميان آنان، در فرضى كه انكار امامت سبب انكار رسالت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مسلمان‌اند و حكم اسلام بر آنها جارى خواهد شد و دلايل برخى قدماى شيعه مبنى بر تكفير مخالفان شيعه، نزد اكثر به‌ويژه متأخران، ناكافى است؛ و با توجّه به‌اينكه احتمال دارد قدما بر اساس شرايط زمان خويش، مفهوم اسلام را مرادف مفهوم ايمان گرفته و سرانجام چنان حكمى را نتيجه گرفته باشند، بعيد نخواهد بود كه </w:t>
      </w:r>
      <w:bookmarkStart w:id="801" w:name="pg1976_28564"/>
    </w:p>
    <w:p>
      <w:pPr>
        <w:pStyle w:val="BookText"/>
        <w:rPr/>
      </w:pPr>
      <w:bookmarkEnd w:id="801"/>
      <w:r>
        <w:rPr>
          <w:rFonts w:ascii="IRNazanin" w:hAnsi="IRNazanin" w:eastAsia="IRNazanin"/>
          <w:color w:val="111111"/>
          <w:sz w:val="28"/>
          <w:sz w:val="28"/>
          <w:szCs w:val="28"/>
          <w:rtl w:val="true"/>
          <w:lang w:bidi="fa-IR"/>
        </w:rPr>
        <w:t xml:space="preserve">بى‌ترديد با پذيرفتن تفاوت آن دو مفهوم، مى‌توان گفت مخالفان امامت، مؤمن به‌ولايت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 و طبعاً از برخى امتيازات ايمان، محروم خواهند شد ولى در مسلمان بودن آنها به‌اتفاق متقدمان و متأخران شيعه، شكى نخواهد بود</w:t>
      </w:r>
      <w:r>
        <w:rPr>
          <w:rFonts w:eastAsia="IRNazanin" w:cs="IRNazanin"/>
          <w:color w:val="111111"/>
          <w:sz w:val="28"/>
          <w:szCs w:val="28"/>
          <w:rtl w:val="true"/>
          <w:lang w:bidi="fa-IR"/>
        </w:rPr>
        <w:t>.</w:t>
      </w:r>
    </w:p>
    <w:p>
      <w:pPr>
        <w:pStyle w:val="Heading6"/>
        <w:numPr>
          <w:ilvl w:val="5"/>
          <w:numId w:val="1"/>
        </w:numPr>
        <w:rPr/>
      </w:pPr>
      <w:bookmarkStart w:id="802" w:name="__RefHeading___Toc3767431_3650668749"/>
      <w:bookmarkStart w:id="803" w:name="_Toc294"/>
      <w:bookmarkEnd w:id="802"/>
      <w:r>
        <w:rPr>
          <w:rtl w:val="true"/>
        </w:rPr>
        <w:t xml:space="preserve">سوم </w:t>
      </w:r>
      <w:r>
        <w:rPr>
          <w:rtl w:val="true"/>
        </w:rPr>
        <w:t xml:space="preserve">- </w:t>
      </w:r>
      <w:r>
        <w:rPr>
          <w:rtl w:val="true"/>
        </w:rPr>
        <w:t>كلينى و حكم مخالفان امامت</w:t>
      </w:r>
      <w:bookmarkEnd w:id="80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به‌روايات اصول كافى، به‌ويژه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كتاب‌الإيمان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اين نتيجه به‌دست مى‌آيد كه كلينى، ميان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بوده و در هر دو محور احاديثى را گرد 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مخالفان شيعه مسلمان‌اند، با در نظر داشت روايات 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الاسلام يُحقَنُ به‌الدّم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ترديدى باقى نخواهد ماند؛ زيرا اين باب كه مشتمل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در اين معنا مشترك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ألاِسلامُ يُحقَنُ به‌الدَّم و تُؤَدَّى به‌الامانة، و يُستَحلُّ به‌الفروج؛ والثَّواب علي‌الإيمان </w:t>
      </w:r>
      <w:r>
        <w:rPr>
          <w:rFonts w:eastAsia="IRNazanin" w:cs="IRNazanin"/>
          <w:color w:val="111111"/>
          <w:sz w:val="28"/>
          <w:szCs w:val="28"/>
          <w:rtl w:val="true"/>
          <w:lang w:bidi="fa-IR"/>
        </w:rPr>
        <w:t xml:space="preserve">» </w:t>
      </w:r>
      <w:r>
        <w:rPr>
          <w:rStyle w:val="FootnoteAnchor"/>
          <w:rtl w:val="true"/>
        </w:rPr>
        <w:footnoteReference w:id="2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چهارم، در پاسخ به‌اين سؤال كه تفاوت اسلام و ايمان چيست؟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ألاِسلامُ هُوَالظّاهِرُالَّذي عَلَيه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لاإلهَ إلّا الله وَحدَهُ لاشَرِيكَ لَهُ، وأنَّ محمّداً عَبدُهُ و رَسُوله، و إقامُ الصَلاةِ، وإيتاءُ الزّكاة، و حجُّ البيت، وصيامُ شهر رمضان، فهذا الاِسلام،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ألاِيمانُ معرفةُ هذا الامرِ مَعَ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أقَرَّ بِهَا و لم يَعرِف هَذا الامرَ، كانَ مُسلِماً و كانَ ضآلّاً </w:t>
      </w:r>
      <w:r>
        <w:rPr>
          <w:rFonts w:eastAsia="IRNazanin" w:cs="IRNazanin"/>
          <w:color w:val="111111"/>
          <w:sz w:val="28"/>
          <w:szCs w:val="28"/>
          <w:rtl w:val="true"/>
          <w:lang w:bidi="fa-IR"/>
        </w:rPr>
        <w:t xml:space="preserve">» </w:t>
      </w:r>
      <w:r>
        <w:rPr>
          <w:rStyle w:val="FootnoteAnchor"/>
          <w:rtl w:val="true"/>
        </w:rPr>
        <w:footnoteReference w:id="2259"/>
      </w:r>
      <w:r>
        <w:rPr>
          <w:rFonts w:ascii="Amiri" w:hAnsi="Amiri" w:eastAsia="Amiri" w:cs="Amiri"/>
          <w:color w:val="111111"/>
          <w:sz w:val="28"/>
          <w:sz w:val="28"/>
          <w:szCs w:val="28"/>
          <w:rtl w:val="true"/>
          <w:lang w:bidi="ar-SA"/>
        </w:rPr>
        <w:t xml:space="preserve">اين روايات؛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است در اينكه آنان مسلمانند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مراد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ألاِسلام هوالظّاهر الذي عليه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مخالفان شيعه غير از خوارج و غلات و نواصب باشند</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4" w:name="pg1976_28570"/>
      <w:bookmarkStart w:id="805" w:name="pg1976_28570"/>
      <w:bookmarkEnd w:id="805"/>
    </w:p>
    <w:p>
      <w:pPr>
        <w:pStyle w:val="Heading3"/>
        <w:numPr>
          <w:ilvl w:val="2"/>
          <w:numId w:val="1"/>
        </w:numPr>
        <w:rPr/>
      </w:pPr>
      <w:bookmarkStart w:id="806" w:name="pg1976_28570"/>
      <w:bookmarkStart w:id="807" w:name="__RefHeading___Toc3767433_3650668749"/>
      <w:bookmarkStart w:id="808" w:name="_Toc295"/>
      <w:bookmarkEnd w:id="806"/>
      <w:bookmarkEnd w:id="807"/>
      <w:r>
        <w:rPr>
          <w:rtl w:val="true"/>
        </w:rPr>
        <w:t>فصل دوم</w:t>
      </w:r>
      <w:r>
        <w:rPr>
          <w:rtl w:val="true"/>
        </w:rPr>
        <w:t xml:space="preserve">: </w:t>
      </w:r>
      <w:r>
        <w:rPr>
          <w:rtl w:val="true"/>
        </w:rPr>
        <w:t>عادل يا فاسق بودن صحابه</w:t>
      </w:r>
      <w:bookmarkEnd w:id="808"/>
    </w:p>
    <w:p>
      <w:pPr>
        <w:pStyle w:val="Heading4"/>
        <w:numPr>
          <w:ilvl w:val="3"/>
          <w:numId w:val="1"/>
        </w:numPr>
        <w:rPr/>
      </w:pPr>
      <w:bookmarkStart w:id="809" w:name="__RefHeading___Toc3767435_3650668749"/>
      <w:bookmarkStart w:id="810" w:name="_Toc296"/>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 xml:space="preserve">ترديدى نيست كه يكى از مهم‌ترين انگيزه‌هاى اهميت دادن افراطى به‌صحابه و عادل شمردن همۀ آنها اگر نگوييم سياسى و بايكوت نمودن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 باب روايات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بود</w:t>
      </w:r>
      <w:r>
        <w:rPr>
          <w:rFonts w:eastAsia="IRNazanin" w:cs="IRNazanin"/>
          <w:color w:val="111111"/>
          <w:sz w:val="28"/>
          <w:szCs w:val="28"/>
          <w:rtl w:val="true"/>
          <w:lang w:bidi="fa-IR"/>
        </w:rPr>
        <w:t xml:space="preserve">) </w:t>
      </w:r>
      <w:r>
        <w:rPr>
          <w:rStyle w:val="FootnoteAnchor"/>
          <w:rtl w:val="true"/>
        </w:rPr>
        <w:footnoteReference w:id="2260"/>
      </w:r>
      <w:r>
        <w:rPr>
          <w:rFonts w:ascii="IRNazanin" w:hAnsi="IRNazanin" w:eastAsia="IRNazanin"/>
          <w:color w:val="111111"/>
          <w:sz w:val="28"/>
          <w:sz w:val="28"/>
          <w:szCs w:val="28"/>
          <w:rtl w:val="true"/>
          <w:lang w:bidi="fa-IR"/>
        </w:rPr>
        <w:t xml:space="preserve">، به‌طور قطع براى تصحيح و مشروع شمردن اعمال صحابه و در رأس آنها حاكميت ابوبكر و عمر و عثمان، بر مسلمانان طراحى گرديده است؛ زيرا طبع قضيه و افكار عمومى اقتضا مى‌كرد كه اگر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به‌ادعاى اهل‌سنت براى خود جانشين تعيين نكرده، بايد پس از او، شايسته‌ترين فرد، از جهات مختلف كه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زمام امور را به‌عهده گرفته و سكّاندار امت اسلامى مى‌شد؛ هر چند در ابتدا فرصت اين تحليل از مردم گرفته شد و باور مسلمانان بر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هم در شرايطى كه هنوز جسد مطهر پيامبر، به‌خاك سپرده نشده بود، به‌تاراج رفت؛ ولى بعدها چنين مباحثى از جمله شرايط رهبرى و اينكه حاكمان بر سر اقتدار، واجد آن است يا نَه، خواه ناخواه به‌سراغ امت و يا دست‌كم به‌سراغ اهل درك جامعه مى‌آمد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همين جهت حرمت صحابه و عدالت آن‌ها، به‌جدّى‌ترين مباحث اعتقادى </w:t>
      </w:r>
      <w:bookmarkStart w:id="811" w:name="pg1976_28574"/>
    </w:p>
    <w:p>
      <w:pPr>
        <w:pStyle w:val="BookText"/>
        <w:rPr/>
      </w:pPr>
      <w:bookmarkEnd w:id="811"/>
      <w:r>
        <w:rPr>
          <w:rFonts w:ascii="IRNazanin" w:hAnsi="IRNazanin" w:eastAsia="IRNazanin"/>
          <w:color w:val="111111"/>
          <w:sz w:val="28"/>
          <w:sz w:val="28"/>
          <w:szCs w:val="28"/>
          <w:rtl w:val="true"/>
          <w:lang w:bidi="fa-IR"/>
        </w:rPr>
        <w:t>اهل‌سنت به‌ويژه وهابى‌ها كه تبعات منفى و آثار فراوان فقهى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در پى‌مى‌آورد، </w:t>
      </w:r>
      <w:r>
        <w:rPr>
          <w:rStyle w:val="FootnoteAnchor"/>
          <w:rtl w:val="true"/>
        </w:rPr>
        <w:footnoteReference w:id="2261"/>
      </w:r>
      <w:r>
        <w:rPr>
          <w:rFonts w:ascii="IRNazanin" w:hAnsi="IRNazanin" w:eastAsia="IRNazanin"/>
          <w:color w:val="111111"/>
          <w:sz w:val="28"/>
          <w:sz w:val="28"/>
          <w:szCs w:val="28"/>
          <w:rtl w:val="true"/>
          <w:lang w:bidi="fa-IR"/>
        </w:rPr>
        <w:t xml:space="preserve">تبديل گرديده است كه در اين قسمت ابتدا ديدگاه قاطبه اهل‌سنت و سپس ديدگاه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روايات كافى مورد بررسى قرار مى‌گيرد</w:t>
      </w:r>
      <w:r>
        <w:rPr>
          <w:rFonts w:eastAsia="IRNazanin" w:cs="IRNazanin"/>
          <w:color w:val="111111"/>
          <w:sz w:val="28"/>
          <w:szCs w:val="28"/>
          <w:rtl w:val="true"/>
          <w:lang w:bidi="fa-IR"/>
        </w:rPr>
        <w:t>:</w:t>
      </w:r>
    </w:p>
    <w:p>
      <w:pPr>
        <w:pStyle w:val="Heading4"/>
        <w:numPr>
          <w:ilvl w:val="3"/>
          <w:numId w:val="1"/>
        </w:numPr>
        <w:rPr/>
      </w:pPr>
      <w:bookmarkStart w:id="812" w:name="__RefHeading___Toc3767437_3650668749"/>
      <w:bookmarkStart w:id="813" w:name="_Toc297"/>
      <w:bookmarkEnd w:id="812"/>
      <w:r>
        <w:rPr/>
        <w:t>١</w:t>
      </w:r>
      <w:r>
        <w:rPr>
          <w:rtl w:val="true"/>
        </w:rPr>
        <w:t xml:space="preserve">. </w:t>
      </w:r>
      <w:r>
        <w:rPr>
          <w:rtl w:val="true"/>
        </w:rPr>
        <w:t>ديدگاه جمهور اهل‌سنّت نسبت به‌عدالت صحابه</w:t>
      </w:r>
      <w:bookmarkEnd w:id="813"/>
    </w:p>
    <w:p>
      <w:pPr>
        <w:pStyle w:val="Heading5"/>
        <w:numPr>
          <w:ilvl w:val="4"/>
          <w:numId w:val="1"/>
        </w:numPr>
        <w:rPr/>
      </w:pPr>
      <w:bookmarkStart w:id="814" w:name="__RefHeading___Toc3767439_3650668749"/>
      <w:bookmarkStart w:id="815" w:name="_Toc298"/>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 xml:space="preserve">در ميان پيروان اهل‌سنّت، چند ديدگاه نسبت به‌عدالت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جمهور اهل‌سنت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إتَّفق الجمهور مِن الائمّة على عدالة الصّحابة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والمختارإنّما هُوَ مذهب الجمهور مِنَ الأئمّة</w:t>
      </w:r>
      <w:r>
        <w:rPr>
          <w:rFonts w:eastAsia="Amiri" w:cs="Amiri" w:ascii="Amiri" w:hAnsi="Amiri"/>
          <w:color w:val="111111"/>
          <w:sz w:val="28"/>
          <w:szCs w:val="28"/>
          <w:rtl w:val="true"/>
          <w:lang w:bidi="ar-SA"/>
        </w:rPr>
        <w:t xml:space="preserve">» </w:t>
      </w:r>
      <w:r>
        <w:rPr>
          <w:rStyle w:val="FootnoteAnchor"/>
          <w:rtl w:val="true"/>
        </w:rPr>
        <w:footnoteReference w:id="2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تا زمانى صحابه را عادل مى‌شمارند كه در فتنه و اختلاف ميان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مشاركت نكرده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مَن قال إنَّهم لم يزالوا عدولاً إلى حين ما وَقَعَ من الاختلاف والفتن فيما بينهم </w:t>
      </w:r>
      <w:r>
        <w:rPr>
          <w:rFonts w:eastAsia="IRNazanin" w:cs="IRNazanin"/>
          <w:color w:val="111111"/>
          <w:sz w:val="28"/>
          <w:szCs w:val="28"/>
          <w:rtl w:val="true"/>
          <w:lang w:bidi="fa-IR"/>
        </w:rPr>
        <w:t xml:space="preserve">» </w:t>
      </w:r>
      <w:r>
        <w:rPr>
          <w:rStyle w:val="FootnoteAnchor"/>
          <w:rtl w:val="true"/>
        </w:rPr>
        <w:footnoteReference w:id="22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قتالگران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عادل‌اند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مَن قال بأنَّ كلَّ مَن قاتَلَ عَلِيّاً عَالِماً منهم، فهو فاسقٌ مردودُ الرِّوايةِ والشَّهَادةِ، لخروجهم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الحقّ </w:t>
      </w:r>
      <w:r>
        <w:rPr>
          <w:rFonts w:eastAsia="IRNazanin" w:cs="IRNazanin"/>
          <w:color w:val="111111"/>
          <w:sz w:val="28"/>
          <w:szCs w:val="28"/>
          <w:rtl w:val="true"/>
          <w:lang w:bidi="fa-IR"/>
        </w:rPr>
        <w:t xml:space="preserve">» </w:t>
      </w:r>
      <w:r>
        <w:rPr>
          <w:rStyle w:val="FootnoteAnchor"/>
          <w:rtl w:val="true"/>
        </w:rPr>
        <w:footnoteReference w:id="2264"/>
      </w:r>
      <w:r>
        <w:rPr>
          <w:rFonts w:ascii="IRNazanin" w:hAnsi="IRNazanin" w:eastAsia="IRNazanin"/>
          <w:color w:val="111111"/>
          <w:sz w:val="28"/>
          <w:sz w:val="28"/>
          <w:szCs w:val="28"/>
          <w:rtl w:val="true"/>
          <w:lang w:bidi="fa-IR"/>
        </w:rPr>
        <w:t>غزالى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جماهير المعتزلة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عائشة و طلحة و الزبير و جميع أهل العراق والشّام فسّاقٌ بقتال </w:t>
      </w:r>
      <w:bookmarkStart w:id="816" w:name="pg1976_28577"/>
    </w:p>
    <w:p>
      <w:pPr>
        <w:pStyle w:val="BookText"/>
        <w:rPr/>
      </w:pPr>
      <w:bookmarkEnd w:id="816"/>
      <w:r>
        <w:rPr>
          <w:rFonts w:ascii="IRNazanin" w:hAnsi="IRNazanin" w:eastAsia="IRNazanin"/>
          <w:color w:val="111111"/>
          <w:sz w:val="28"/>
          <w:sz w:val="28"/>
          <w:szCs w:val="28"/>
          <w:rtl w:val="true"/>
          <w:lang w:bidi="fa-IR"/>
        </w:rPr>
        <w:t xml:space="preserve">الإمام الحقّ </w:t>
      </w:r>
      <w:r>
        <w:rPr>
          <w:rFonts w:eastAsia="IRNazanin" w:cs="IRNazanin"/>
          <w:color w:val="111111"/>
          <w:sz w:val="28"/>
          <w:szCs w:val="28"/>
          <w:rtl w:val="true"/>
          <w:lang w:bidi="fa-IR"/>
        </w:rPr>
        <w:t xml:space="preserve">» </w:t>
      </w:r>
      <w:r>
        <w:rPr>
          <w:rStyle w:val="FootnoteAnchor"/>
          <w:rtl w:val="true"/>
        </w:rPr>
        <w:footnoteReference w:id="2265"/>
      </w:r>
      <w:r>
        <w:rPr>
          <w:rFonts w:ascii="Amiri" w:hAnsi="Amiri" w:eastAsia="Amiri" w:cs="Amiri"/>
          <w:color w:val="111111"/>
          <w:sz w:val="28"/>
          <w:sz w:val="28"/>
          <w:szCs w:val="28"/>
          <w:rtl w:val="true"/>
          <w:lang w:bidi="ar-SA"/>
        </w:rPr>
        <w:t xml:space="preserve">برخى بدان جهت كه فاسق آنها نامشخص است، همه را فاسق مى‌شمارند </w:t>
      </w:r>
      <w:r>
        <w:rPr>
          <w:rStyle w:val="FootnoteAnchor"/>
          <w:rtl w:val="true"/>
        </w:rPr>
        <w:footnoteReference w:id="2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ديگر به‌ابن‌حاجب نسبت داده كه صحابه در داشتن عدالت و نداشتن آن، با غير صحابه فرق نمى‌كنند بايد عدالت آنها مورد بررسى قرارگيرد </w:t>
      </w:r>
      <w:r>
        <w:rPr>
          <w:rStyle w:val="FootnoteAnchor"/>
          <w:rtl w:val="true"/>
        </w:rPr>
        <w:footnoteReference w:id="2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اصل اولى را برعدالت نهاده، شهادت و حديث فرد فرد صحابه را تا زمانى كه فسقش ثابت نشود و كسى ديگر مخالف وى نباشد، مى‌پذيرند؛ زيرا فسق، در اين افراد مشكوك است </w:t>
      </w:r>
      <w:r>
        <w:rPr>
          <w:rStyle w:val="FootnoteAnchor"/>
          <w:rtl w:val="true"/>
        </w:rPr>
        <w:footnoteReference w:id="2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نسبت به‌عدالت صحابه اجماعى كه برخى مدعى شده‌اند، در ميان خود اهل سنت وجود ندارد</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3767441_3650668749"/>
      <w:bookmarkStart w:id="818" w:name="_Toc299"/>
      <w:bookmarkEnd w:id="817"/>
      <w:r>
        <w:rPr>
          <w:rtl w:val="true"/>
        </w:rPr>
        <w:t>الف</w:t>
      </w:r>
      <w:r>
        <w:rPr>
          <w:rtl w:val="true"/>
        </w:rPr>
        <w:t xml:space="preserve">) </w:t>
      </w:r>
      <w:r>
        <w:rPr>
          <w:rtl w:val="true"/>
        </w:rPr>
        <w:t>دلايل عدالت اصحاب</w:t>
      </w:r>
      <w:bookmarkEnd w:id="818"/>
    </w:p>
    <w:p>
      <w:pPr>
        <w:pStyle w:val="Heading6"/>
        <w:numPr>
          <w:ilvl w:val="5"/>
          <w:numId w:val="1"/>
        </w:numPr>
        <w:rPr/>
      </w:pPr>
      <w:bookmarkStart w:id="819" w:name="__RefHeading___Toc3767443_3650668749"/>
      <w:bookmarkStart w:id="820" w:name="_Toc300"/>
      <w:bookmarkEnd w:id="819"/>
      <w:r>
        <w:rPr>
          <w:rtl w:val="true"/>
        </w:rPr>
        <w:t>اشاره</w:t>
      </w:r>
      <w:bookmarkEnd w:id="82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آنچه گفته شد، غالب بلكه قريب به‌اتفاق اهل سنّت همه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مفهومى كه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عادل مى‌شمارند و منش و روش آنها را حجت شرعى </w:t>
      </w:r>
      <w:bookmarkStart w:id="821" w:name="pg1976_28580"/>
    </w:p>
    <w:p>
      <w:pPr>
        <w:pStyle w:val="BookText"/>
        <w:rPr/>
      </w:pPr>
      <w:bookmarkEnd w:id="821"/>
      <w:r>
        <w:rPr>
          <w:rFonts w:ascii="IRNazanin" w:hAnsi="IRNazanin" w:eastAsia="IRNazanin"/>
          <w:color w:val="111111"/>
          <w:sz w:val="28"/>
          <w:sz w:val="28"/>
          <w:szCs w:val="28"/>
          <w:rtl w:val="true"/>
          <w:lang w:bidi="fa-IR"/>
        </w:rPr>
        <w:t xml:space="preserve">مى‌دانند </w:t>
      </w:r>
      <w:r>
        <w:rPr>
          <w:rStyle w:val="FootnoteAnchor"/>
          <w:rtl w:val="true"/>
        </w:rPr>
        <w:footnoteReference w:id="2269"/>
      </w:r>
      <w:r>
        <w:rPr>
          <w:rFonts w:ascii="IRNazanin" w:hAnsi="IRNazanin" w:eastAsia="IRNazanin"/>
          <w:color w:val="111111"/>
          <w:sz w:val="28"/>
          <w:sz w:val="28"/>
          <w:szCs w:val="28"/>
          <w:rtl w:val="true"/>
          <w:lang w:bidi="fa-IR"/>
        </w:rPr>
        <w:t xml:space="preserve">اينان به آيات و روايات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كرده‌اند كه به اختصار، از هركدام به‌چند نمونه از شاخص‌ترين آنها اكتفا مى‌شود</w:t>
      </w:r>
      <w:r>
        <w:rPr>
          <w:rFonts w:eastAsia="IRNazanin" w:cs="IRNazanin"/>
          <w:color w:val="111111"/>
          <w:sz w:val="28"/>
          <w:szCs w:val="28"/>
          <w:rtl w:val="true"/>
          <w:lang w:bidi="fa-IR"/>
        </w:rPr>
        <w:t>:</w:t>
      </w:r>
    </w:p>
    <w:p>
      <w:pPr>
        <w:pStyle w:val="Heading6"/>
        <w:numPr>
          <w:ilvl w:val="5"/>
          <w:numId w:val="1"/>
        </w:numPr>
        <w:rPr/>
      </w:pPr>
      <w:bookmarkStart w:id="822" w:name="__RefHeading___Toc3767445_3650668749"/>
      <w:bookmarkStart w:id="823" w:name="_Toc301"/>
      <w:bookmarkEnd w:id="822"/>
      <w:r>
        <w:rPr>
          <w:rtl w:val="true"/>
        </w:rPr>
        <w:t>آيات قرآن كريم</w:t>
      </w:r>
      <w:bookmarkEnd w:id="8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كُنتُمْ خَيْرَ اُمَّةٍ اُخْرِجَتْ لِلنَّاسِ تَاْمُرُونَ بِالْمَعْرُوفِ وَتَنْهَوْنَ عَنِ الْمُنكَرِ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Style w:val="FootnoteAnchor"/>
          <w:rtl w:val="true"/>
        </w:rPr>
        <w:footnoteReference w:id="2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جَعَلْنَاكُمْ اُمَّةً وَسَطاً لِّتَكُونُواْ شُهَدَاء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النَّاسِ وَيَكُونَ الرَّسُولُ عَلَيْكُمْ شَهِيداً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Style w:val="FootnoteAnchor"/>
          <w:rtl w:val="true"/>
        </w:rPr>
        <w:footnoteReference w:id="2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Style w:val="FootnoteAnchor"/>
          <w:rtl w:val="true"/>
        </w:rPr>
        <w:footnoteReference w:id="2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وَالسَّابِقُونَ الاَوَّلُونَ مِنَ الْمُهَاجِرِينَ وَالاَنصَارِ وَالَّذِينَ اتَّبَعُوهُم بِإِحْسَانٍ رَّضِيَ اللهُ عَنْهُمْ وَرَضُواْ عَنْهُ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Style w:val="FootnoteAnchor"/>
          <w:rtl w:val="true"/>
        </w:rPr>
        <w:footnoteReference w:id="227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كه مدعيان عدالت صحابه، تنها به‌ذكر آيات اكتفا كرده و چگونگى دلالت آنها را توضيح نداده‌اند، ولى نحوه دلالت آيات بر عدالت اصحاب اين خواهد بود كه چون در آيه نخست، اصحاب مورد خطاب قرار گرفته و از بهترين‌هاى اين امت خوانده شده و در آيه دوم آنها را شاهدان بر مردم دانسته، و در آيه سوم رضايت خداوند از آنها </w:t>
      </w:r>
      <w:bookmarkStart w:id="824" w:name="pg1976_28583"/>
    </w:p>
    <w:p>
      <w:pPr>
        <w:pStyle w:val="BookText"/>
        <w:rPr/>
      </w:pPr>
      <w:bookmarkEnd w:id="824"/>
      <w:r>
        <w:rPr>
          <w:rFonts w:ascii="IRNazanin" w:hAnsi="IRNazanin" w:eastAsia="IRNazanin"/>
          <w:color w:val="111111"/>
          <w:sz w:val="28"/>
          <w:sz w:val="28"/>
          <w:szCs w:val="28"/>
          <w:rtl w:val="true"/>
          <w:lang w:bidi="fa-IR"/>
        </w:rPr>
        <w:t>اعلام شده و بالاخره اصحاب مصاديق آيه چهارم قرار گرفته‌اند، همه دال بر عدالت آنهايند؛ زيرا افرادى كه واجد اين ويژگى‌ها باشند، در عدالت آنها ترديدى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را كه خداوند عادل قرار دهد، نياز به‌تعديل بشر نخواهد داشت </w:t>
      </w:r>
      <w:r>
        <w:rPr>
          <w:rStyle w:val="FootnoteAnchor"/>
          <w:rtl w:val="true"/>
        </w:rPr>
        <w:footnoteReference w:id="2274"/>
      </w:r>
    </w:p>
    <w:p>
      <w:pPr>
        <w:pStyle w:val="Heading6"/>
        <w:numPr>
          <w:ilvl w:val="5"/>
          <w:numId w:val="1"/>
        </w:numPr>
        <w:rPr/>
      </w:pPr>
      <w:bookmarkStart w:id="825" w:name="__RefHeading___Toc3767447_3650668749"/>
      <w:bookmarkStart w:id="826" w:name="_Toc302"/>
      <w:bookmarkEnd w:id="825"/>
      <w:r>
        <w:rPr>
          <w:rtl w:val="true"/>
        </w:rPr>
        <w:t>احاديث و عدالت همه صحابه</w:t>
      </w:r>
      <w:bookmarkEnd w:id="8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عن‌عبدالله‌بن‌مغفّل، قال،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أللهَ أللهَ في أصحابي، أللهَ أللهَ في أصحَابي، لاتَتّخذُوهُم غَرَضاً بَعدِي، فَمَن أحَبَّهُم فَبِحُبِّي أحَبَّهُم، و مَن أبغَضَهمُ فَبِبُغضِ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أبغَضَهُم، و مَن آذاهُم فَقَد آذاني، و مَن آذاني فَقَد آذَى‌اللهَ، و مَن آذى‌اللهَ فَيُوشِكُ أن‌يُأخَذَهُ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إنّ أصحَابي بِمَنزِلَةِ النُّجُومِ في السّمَاءِ فَأيُّما أَخَذتُم به‌إهتَدَيتمُ</w:t>
      </w:r>
      <w:r>
        <w:rPr>
          <w:rFonts w:eastAsia="Amiri" w:cs="Amiri" w:ascii="Amiri" w:hAnsi="Amiri"/>
          <w:color w:val="111111"/>
          <w:sz w:val="28"/>
          <w:szCs w:val="28"/>
          <w:rtl w:val="true"/>
          <w:lang w:bidi="ar-SA"/>
        </w:rPr>
        <w:t xml:space="preserve">. . .»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ابي‌سعيدالخدري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أصحَابِي، فَلَو أنَّ أحَدَكم أنفَقَ مِثلَ أُحُدٍ ذَهَباً، مَا بَلَغَ مُدَّ أحَدِهِم لانَصِيفَه</w:t>
      </w:r>
      <w:r>
        <w:rPr>
          <w:rFonts w:eastAsia="Amiri" w:cs="Amiri" w:ascii="Amiri" w:hAnsi="Amiri"/>
          <w:color w:val="111111"/>
          <w:sz w:val="28"/>
          <w:szCs w:val="28"/>
          <w:rtl w:val="true"/>
          <w:lang w:bidi="ar-SA"/>
        </w:rPr>
        <w:t xml:space="preserve">» </w:t>
      </w:r>
      <w:r>
        <w:rPr>
          <w:rStyle w:val="FootnoteAnchor"/>
          <w:rtl w:val="true"/>
        </w:rPr>
        <w:footnoteReference w:id="2276"/>
      </w:r>
      <w:r>
        <w:rPr>
          <w:rFonts w:ascii="Amiri" w:hAnsi="Amiri" w:eastAsia="Amiri" w:cs="Amiri"/>
          <w:color w:val="111111"/>
          <w:sz w:val="28"/>
          <w:sz w:val="28"/>
          <w:szCs w:val="28"/>
          <w:rtl w:val="true"/>
          <w:lang w:bidi="ar-SA"/>
        </w:rPr>
        <w:t xml:space="preserve">اهل سنت اين روايات را مطابق آيات قرآن مى‌دانند و طهارة اصحاب و قطع به‌عدالت و نزاهت آنها را ثابت مى‌كنند و با وجود اثبات عدالت آنها از سوى‌خداوند، نياز به‌تعديل كسى نخواهند داشت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 xml:space="preserve">. </w:t>
      </w:r>
      <w:bookmarkStart w:id="827" w:name="pg1976_28586"/>
    </w:p>
    <w:p>
      <w:pPr>
        <w:pStyle w:val="Heading5"/>
        <w:numPr>
          <w:ilvl w:val="4"/>
          <w:numId w:val="1"/>
        </w:numPr>
        <w:rPr/>
      </w:pPr>
      <w:bookmarkStart w:id="828" w:name="__RefHeading___Toc3767449_3650668749"/>
      <w:bookmarkStart w:id="829" w:name="_Toc303"/>
      <w:bookmarkEnd w:id="827"/>
      <w:bookmarkEnd w:id="828"/>
      <w:r>
        <w:rPr>
          <w:rtl w:val="true"/>
        </w:rPr>
        <w:t>ب</w:t>
      </w:r>
      <w:r>
        <w:rPr>
          <w:rtl w:val="true"/>
        </w:rPr>
        <w:t xml:space="preserve">) </w:t>
      </w:r>
      <w:r>
        <w:rPr>
          <w:rtl w:val="true"/>
        </w:rPr>
        <w:t>بررسى و نقد دلايل عدالت كل صحابه</w:t>
      </w:r>
      <w:bookmarkEnd w:id="829"/>
    </w:p>
    <w:p>
      <w:pPr>
        <w:pStyle w:val="Heading6"/>
        <w:numPr>
          <w:ilvl w:val="5"/>
          <w:numId w:val="1"/>
        </w:numPr>
        <w:rPr/>
      </w:pPr>
      <w:bookmarkStart w:id="830" w:name="__RefHeading___Toc3767451_3650668749"/>
      <w:bookmarkStart w:id="831" w:name="_Toc304"/>
      <w:bookmarkEnd w:id="830"/>
      <w:r>
        <w:rPr>
          <w:rtl w:val="true"/>
        </w:rPr>
        <w:t>بررسى آيات قرآن بر عدالت اصحاب</w:t>
      </w:r>
      <w:bookmarkEnd w:id="831"/>
    </w:p>
    <w:p>
      <w:pPr>
        <w:pStyle w:val="BookText"/>
        <w:rPr/>
      </w:pPr>
      <w:r>
        <w:rPr>
          <w:rFonts w:ascii="IRNazanin" w:hAnsi="IRNazanin" w:eastAsia="IRNazanin"/>
          <w:color w:val="111111"/>
          <w:sz w:val="28"/>
          <w:sz w:val="28"/>
          <w:szCs w:val="28"/>
          <w:rtl w:val="true"/>
          <w:lang w:bidi="fa-IR"/>
        </w:rPr>
        <w:t>ترديدى نيست كه گذشته از نصّ كتاب خدا بر اينكه آيات قرآن مورد سوء استفاده برخى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الَّذِينَ في قُلُوبِهِمْ زَيْغٌ فَيَتَّبِعُونَ مَا تَشَابَهَ مِنْهُ ابْتِغَاء الْفِتْنَةِ وَابْتِغَاء تَاْوِيلِهِ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اكثر بلكه همه آيات الهى حتى محكمات آن كلى و نيازمند تفسير و توضيح است؛ ازاين‌رو براى فهم قرآن، دانش تفسير قرآن، ايجاد شد تا بتواند با شكافتن آيات، مقاصد الهى را همانند دُرهاى گران‌بها صيد كنند؛ به‌همين جهت برخى از مفسران قرائت بدون تفسير را، به‌گروهى تشبيه مى‌كنندكه شب‌هنگام نامه‌اى از سوى پادشاه، به‌آن‌ها رسيده ولى آنها فاقد چراغ باشند تا آن را بخوانند </w:t>
      </w:r>
      <w:r>
        <w:rPr>
          <w:rStyle w:val="FootnoteAnchor"/>
          <w:rtl w:val="true"/>
        </w:rPr>
        <w:footnoteReference w:id="2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ديگر در بيان علت احتياج به‌تفسير،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قرآن عظيم، امر دشوارى است كه جز با توفيق خداى لطيف و خبير نصيب كسى نمى‌شود، حتى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فصاحت عالى و باطن‌هاى نورانى كه از نور نبوت تغذيه مى‌شدند، فراوان براى فهم آيات به‌پيامبر مراجعه مى‌كردند</w:t>
      </w:r>
      <w:r>
        <w:rPr>
          <w:rFonts w:eastAsia="IRNazanin" w:cs="IRNazanin"/>
          <w:color w:val="111111"/>
          <w:sz w:val="28"/>
          <w:szCs w:val="28"/>
          <w:rtl w:val="true"/>
          <w:lang w:bidi="fa-IR"/>
        </w:rPr>
        <w:t xml:space="preserve">. . .» </w:t>
      </w:r>
      <w:r>
        <w:rPr>
          <w:rStyle w:val="FootnoteAnchor"/>
          <w:rtl w:val="true"/>
        </w:rPr>
        <w:footnoteReference w:id="2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مقدمه، آيات عنوان شده به‌هيچ وجه، عدالت كل صحابه را، اثبات نمى‌كند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نخست؛ گذشته از اختلاف نظرى كه در تأويل آن وجود دارد </w:t>
      </w:r>
      <w:r>
        <w:rPr>
          <w:rStyle w:val="FootnoteAnchor"/>
          <w:rtl w:val="true"/>
        </w:rPr>
        <w:footnoteReference w:id="2280"/>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به‌اصحاب ندارد بلكه كثيرى از مفسّران، آن را خطاب به‌همه مسلمانان مى‌دانند؛ ابن‌كثير تصريح مى‌كند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والصّحيحُ أنّ هذه الآية عامّة في جميع الاُمّة، كل قرنٍ بحَسَبه </w:t>
      </w:r>
      <w:r>
        <w:rPr>
          <w:rFonts w:eastAsia="Amiri" w:cs="Amiri" w:ascii="Amiri" w:hAnsi="Amiri"/>
          <w:color w:val="111111"/>
          <w:sz w:val="28"/>
          <w:szCs w:val="28"/>
          <w:rtl w:val="true"/>
          <w:lang w:bidi="ar-SA"/>
        </w:rPr>
        <w:t xml:space="preserve">. . .»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بودن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مشروط به‌دوام أمر نمودن به‌معروف و نهى كردن از منكر است، هرگاه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منتفى گردد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منتفى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به‌تعبير قرطبى، اين جمله مدح براى امت است و تا زمانى امت واجد اين صفت خواهند بود، كه عملاً بر دوام آن پايدار باشند، هرگاه تغيير و انحرافى در آنها رخ دهد، اين مدح از آنها باز ستانده و مستحق مذمت و هلاكت مى‌گردد </w:t>
      </w:r>
      <w:r>
        <w:rPr>
          <w:rStyle w:val="FootnoteAnchor"/>
          <w:rtl w:val="true"/>
        </w:rPr>
        <w:footnoteReference w:id="2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رازى نيز با توجّه به‌اينكه جمله كُنتُم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 بيان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مى‌داند، تصريح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يقتضى كونهم آمرين بكل معروف و ناهين عن كل منكر، و متى كانوا كذلك كان اجماعهم حقاً و صدقاً لامحالة فكان حجةٌ</w:t>
      </w:r>
      <w:r>
        <w:rPr>
          <w:rFonts w:eastAsia="Amiri" w:cs="Amiri" w:ascii="Amiri" w:hAnsi="Amiri"/>
          <w:color w:val="111111"/>
          <w:sz w:val="28"/>
          <w:szCs w:val="28"/>
          <w:rtl w:val="true"/>
          <w:lang w:bidi="ar-SA"/>
        </w:rPr>
        <w:t xml:space="preserve">» </w:t>
      </w:r>
      <w:r>
        <w:rPr>
          <w:rStyle w:val="FootnoteAnchor"/>
          <w:rtl w:val="true"/>
        </w:rPr>
        <w:footnoteReference w:id="2283"/>
      </w:r>
      <w:r>
        <w:rPr>
          <w:rFonts w:ascii="Amiri" w:hAnsi="Amiri" w:eastAsia="Amiri" w:cs="Amiri"/>
          <w:color w:val="111111"/>
          <w:sz w:val="28"/>
          <w:sz w:val="28"/>
          <w:szCs w:val="28"/>
          <w:rtl w:val="true"/>
          <w:lang w:bidi="ar-SA"/>
        </w:rPr>
        <w:t>و در غير اين صورت بهتر بودن آنها منتفى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هر كسى از اصحاب و غير اصحاب، داراى چنين اوصافى باشد، مورد قبول همه فرقه‌هاى اسلامى از جمله شيعه خواهد بود و به‌وى اقتدا مى‌كنند، ولى اين يك فرض و كبراى كلى است بحث ما در صغرا و مصداق آن است </w:t>
      </w:r>
      <w:r>
        <w:rPr>
          <w:rStyle w:val="FootnoteAnchor"/>
          <w:rtl w:val="true"/>
        </w:rPr>
        <w:footnoteReference w:id="2284"/>
      </w:r>
      <w:r>
        <w:rPr>
          <w:rFonts w:ascii="Amiri" w:hAnsi="Amiri" w:eastAsia="Amiri" w:cs="Amiri"/>
          <w:color w:val="111111"/>
          <w:sz w:val="28"/>
          <w:sz w:val="28"/>
          <w:szCs w:val="28"/>
          <w:rtl w:val="true"/>
          <w:lang w:bidi="ar-SA"/>
        </w:rPr>
        <w:t>كه از آيه استفاده نمى‌شود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آيه؛ همانند آيه قبلى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جَعَلناكُم اُمّة وَسَطاً به‌امت اسلامى است </w:t>
      </w:r>
      <w:r>
        <w:rPr>
          <w:rStyle w:val="FootnoteAnchor"/>
          <w:rtl w:val="true"/>
        </w:rPr>
        <w:footnoteReference w:id="2285"/>
      </w:r>
      <w:r>
        <w:rPr>
          <w:rFonts w:ascii="IRNazanin" w:hAnsi="IRNazanin" w:eastAsia="IRNazanin"/>
          <w:color w:val="111111"/>
          <w:sz w:val="28"/>
          <w:sz w:val="28"/>
          <w:szCs w:val="28"/>
          <w:rtl w:val="true"/>
          <w:lang w:bidi="fa-IR"/>
        </w:rPr>
        <w:t xml:space="preserve">نَه اصحاب؛ به‌همين جهت، ابن‌كثير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به‌معناى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خيارالاُمَم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اينكه امت اسلامى از أكمل شرايع و أقوم مناهيح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برخوردار است، مى‌گيرد </w:t>
      </w:r>
      <w:r>
        <w:rPr>
          <w:rStyle w:val="FootnoteAnchor"/>
          <w:rtl w:val="true"/>
        </w:rPr>
        <w:footnoteReference w:id="2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فخررازى امت اسلامى را وسط ميان يهود و نصارا در افراط و تفريط، معنا مى‌كند </w:t>
      </w:r>
      <w:r>
        <w:rPr>
          <w:rStyle w:val="FootnoteAnchor"/>
          <w:rtl w:val="true"/>
        </w:rPr>
        <w:footnoteReference w:id="2287"/>
      </w:r>
      <w:r>
        <w:rPr>
          <w:rFonts w:ascii="IRNazanin" w:hAnsi="IRNazanin" w:eastAsia="IRNazanin"/>
          <w:color w:val="111111"/>
          <w:sz w:val="28"/>
          <w:sz w:val="28"/>
          <w:szCs w:val="28"/>
          <w:rtl w:val="true"/>
          <w:lang w:bidi="fa-IR"/>
        </w:rPr>
        <w:t xml:space="preserve">و لذا </w:t>
      </w:r>
    </w:p>
    <w:p>
      <w:pPr>
        <w:pStyle w:val="BookText"/>
        <w:rPr/>
      </w:pPr>
      <w:r>
        <w:rPr>
          <w:rFonts w:ascii="IRNazanin" w:hAnsi="IRNazanin" w:eastAsia="IRNazanin"/>
          <w:color w:val="111111"/>
          <w:sz w:val="28"/>
          <w:sz w:val="28"/>
          <w:szCs w:val="28"/>
          <w:rtl w:val="true"/>
          <w:lang w:bidi="fa-IR"/>
        </w:rPr>
        <w:t>اختصاص به‌اصحاب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آيه خطاب است به‌مجموع افراد امت به‌لحاظ مجموعه بودن آن‌ها، نَه افراد؛ و در اين صورت اجتماع همه افراد امت، نسبت به‌امرى، دليل بر عدالت آن‌ها خواهد بود و در غير اين صورت حتى اگر يك نفر مخالفت نمايد، اين صفت از امت منتفى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فخررازى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لانسلّم فإنَّ قوله تعالى وَكَذلِكَ جَعَلْنَاكُمْ اُمَّةً وَسَطاً يقتضي أنّه تعالى جَعَل كلّ واحد منهم عند اجتماعه مع غيره بهذه الصّفة، و عندنا أنَّهم في كلِّ أمر إجتمعوا عليه فإنّ كل واحد منهم عَدلاً في ذلك الامر، بل اذا اختلفوا فعند ذلك قد يفعلون القبيح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لمجموعهم لا لكل واحد منهم وَحده </w:t>
      </w:r>
      <w:r>
        <w:rPr>
          <w:rFonts w:eastAsia="IRNazanin" w:cs="IRNazanin"/>
          <w:color w:val="111111"/>
          <w:sz w:val="28"/>
          <w:szCs w:val="28"/>
          <w:rtl w:val="true"/>
          <w:lang w:bidi="fa-IR"/>
        </w:rPr>
        <w:t xml:space="preserve">. . .» </w:t>
      </w:r>
      <w:r>
        <w:rPr>
          <w:rStyle w:val="FootnoteAnchor"/>
          <w:rtl w:val="true"/>
        </w:rPr>
        <w:footnoteReference w:id="2288"/>
      </w:r>
      <w:r>
        <w:rPr>
          <w:rFonts w:ascii="IRNazanin" w:hAnsi="IRNazanin" w:eastAsia="IRNazanin"/>
          <w:color w:val="111111"/>
          <w:sz w:val="28"/>
          <w:sz w:val="28"/>
          <w:szCs w:val="28"/>
          <w:rtl w:val="true"/>
          <w:lang w:bidi="fa-IR"/>
        </w:rPr>
        <w:t>و حتى اگر آيه را در مورد اصحاب بدانيم، آنان با توجّه به‌اختلافات و مبادرت آنان به‌جنگ و قتال، فاقد اين صفت‌اند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ثابت نشدن عدالت جميع صحابه با سومين آيه ، خيلى روشن‌تر است؛ زيرا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اختصاص دارد به‌اهل‌بيعت رضوان </w:t>
      </w:r>
      <w:r>
        <w:rPr>
          <w:rStyle w:val="FootnoteAnchor"/>
          <w:rtl w:val="true"/>
        </w:rPr>
        <w:footnoteReference w:id="2289"/>
      </w:r>
      <w:r>
        <w:rPr>
          <w:rFonts w:ascii="IRNazanin" w:hAnsi="IRNazanin" w:eastAsia="IRNazanin"/>
          <w:color w:val="111111"/>
          <w:sz w:val="28"/>
          <w:sz w:val="28"/>
          <w:szCs w:val="28"/>
          <w:rtl w:val="true"/>
          <w:lang w:bidi="fa-IR"/>
        </w:rPr>
        <w:t xml:space="preserve">و بيعت شجره؛ توضيح آنكه در سال ششم هجرت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به‌همراهى</w:t>
      </w:r>
      <w:r>
        <w:rPr>
          <w:rFonts w:eastAsia="IRNazanin" w:cs="IRNazanin"/>
          <w:color w:val="111111"/>
          <w:sz w:val="28"/>
          <w:szCs w:val="28"/>
          <w:lang w:bidi="fa-IR"/>
        </w:rPr>
        <w:t>13</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مسلمان آهنگ زيارت بيت‌الله‌الحرام را كردند، ولى در محلّى به‌نام حُدَيبِيه منجر به‌انعقاد صلح با كفار قريش شد، و اين بيعت تاريخى از سوى حاضران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Style w:val="FootnoteAnchor"/>
          <w:rtl w:val="true"/>
        </w:rPr>
        <w:footnoteReference w:id="2290"/>
      </w:r>
      <w:r>
        <w:rPr>
          <w:rFonts w:ascii="Amiri" w:hAnsi="Amiri" w:eastAsia="Amiri" w:cs="Amiri"/>
          <w:color w:val="111111"/>
          <w:sz w:val="28"/>
          <w:sz w:val="28"/>
          <w:szCs w:val="28"/>
          <w:rtl w:val="true"/>
          <w:lang w:bidi="ar-SA"/>
        </w:rPr>
        <w:t xml:space="preserve">از اين رو آيه ارتباطى به‌ساير اصحاب ندارد؛ يعنى دليل اخصّ از مدعا است </w:t>
      </w:r>
      <w:r>
        <w:rPr>
          <w:rStyle w:val="FootnoteAnchor"/>
          <w:rtl w:val="true"/>
        </w:rPr>
        <w:footnoteReference w:id="2291"/>
      </w:r>
      <w:r>
        <w:rPr>
          <w:rFonts w:ascii="IRNazanin" w:hAnsi="IRNazanin" w:eastAsia="IRNazanin"/>
          <w:color w:val="111111"/>
          <w:sz w:val="28"/>
          <w:sz w:val="28"/>
          <w:szCs w:val="28"/>
          <w:rtl w:val="true"/>
          <w:lang w:bidi="fa-IR"/>
        </w:rPr>
        <w:t xml:space="preserve">و در هيچ تفسير مشهور اهل‌سنت و </w:t>
      </w:r>
    </w:p>
    <w:p>
      <w:pPr>
        <w:pStyle w:val="BookText"/>
        <w:rPr/>
      </w:pPr>
      <w:r>
        <w:rPr>
          <w:rFonts w:ascii="IRNazanin" w:hAnsi="IRNazanin" w:eastAsia="IRNazanin"/>
          <w:color w:val="111111"/>
          <w:sz w:val="28"/>
          <w:sz w:val="28"/>
          <w:szCs w:val="28"/>
          <w:rtl w:val="true"/>
          <w:lang w:bidi="fa-IR"/>
        </w:rPr>
        <w:t>مورد قبول وهابى‌ها، آيه را شامل همه صحابه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آيه قيدها و شرطهايى گنجانده شده كه بر همه صحابه تطبيق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رضايت خداوند از مؤمنانى كه زير درخت، با مايه گذاشتن از جان خويش، بيعت كردند؛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بيعت آنها بر محتواى آيه دهم سوره فتح إِنَّ الَّذِينَ يُبَايِعُونَكَ إِنَّمَا يُبَايِعُونَ‌اللهَ يَدُاللهِ فَوْقَ اَيْدِيهِمْ فَمَن نَّكَثَ فَإِنَّمَا يَنكُثُ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نَفْسِهِ وَمَنْ اَوْفَى بِمَا عَاهَدَ عَلَيْهُ اللهَ فَسَيُؤْتِيهِ اَجْراً عَظِيماً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مشروط به‌وفاى به‌عهد و عدم نكث، باشد </w:t>
      </w:r>
      <w:r>
        <w:rPr>
          <w:rStyle w:val="FootnoteAnchor"/>
          <w:rtl w:val="true"/>
        </w:rPr>
        <w:footnoteReference w:id="2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رضايت خدا، ويژه آن‌هايى است كه وصف ايمان و كمال ايمان بر آنها صدق كند؛ يعنى مؤمنى باشد كه آيه إِنَّمَا الْمُؤْمِنُونَ الَّذِينَ آمَنُوا بِاللهِ وَرَسُولِهِ ثُمَّ لَمْ يَرْتَابُوا وَجَاهَدُوا بِاَمْوَالِهِمْ وَاَنفُسِهِمْ فِى سَبِيلِ اللهِ اُوْلَئِكَ هُمُ الصَّادِقُونَ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مى‌كند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هر كسى داراى چنين اوصافى باشد كه آيه شريفه بيان مى‌دارد، نَه تنها مورد قبول شيعه است كه قابل اقتدا خواهد بود، درحالى‌كه حتى از ميان همين اصحاب بيعت رضوان، جدّبن‌قيس بيعتش را شكست </w:t>
      </w:r>
      <w:r>
        <w:rPr>
          <w:rStyle w:val="FootnoteAnchor"/>
          <w:rtl w:val="true"/>
        </w:rPr>
        <w:footnoteReference w:id="2294"/>
      </w:r>
      <w:r>
        <w:rPr>
          <w:rFonts w:ascii="IRNazanin" w:hAnsi="IRNazanin" w:eastAsia="IRNazanin"/>
          <w:color w:val="111111"/>
          <w:sz w:val="28"/>
          <w:sz w:val="28"/>
          <w:szCs w:val="28"/>
          <w:rtl w:val="true"/>
          <w:lang w:bidi="fa-IR"/>
        </w:rPr>
        <w:t>و عمربن‌الخطاب دچار ترديد شد و به‌خاطر همين صلح، بر پيامبر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وساطت ابوبكر و دلجويى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آرام گرفت</w:t>
      </w:r>
      <w:r>
        <w:rPr>
          <w:rFonts w:eastAsia="IRNazanin" w:cs="IRNazanin"/>
          <w:color w:val="111111"/>
          <w:sz w:val="28"/>
          <w:szCs w:val="28"/>
          <w:rtl w:val="true"/>
          <w:lang w:bidi="fa-IR"/>
        </w:rPr>
        <w:t xml:space="preserve">! </w:t>
      </w:r>
      <w:r>
        <w:rPr>
          <w:rStyle w:val="FootnoteAnchor"/>
          <w:rtl w:val="true"/>
        </w:rPr>
        <w:footnoteReference w:id="2295"/>
      </w:r>
      <w:r>
        <w:rPr>
          <w:rFonts w:ascii="IRNazanin" w:hAnsi="IRNazanin" w:eastAsia="IRNazanin"/>
          <w:color w:val="111111"/>
          <w:sz w:val="28"/>
          <w:sz w:val="28"/>
          <w:szCs w:val="28"/>
          <w:rtl w:val="true"/>
          <w:lang w:bidi="fa-IR"/>
        </w:rPr>
        <w:t xml:space="preserve">و بر فرض عام بودن آيه، عصمت صحابه از گناه را ثابت نمى‌كند، و منافاتى ندارد كه خداوند به‌دليلى از كسى راضى باشد ولى به‌خاطر كارى كه از او سر زده اعمال او را حبط نمايد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ازميان كسانى كه در بيعت شجره حضور داشتند، برخى از آنها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به‌قتال پرداختند و با وى به دشمنى برخاستند و خودشان را مصداق صريح روايات زير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عن‌على‌بن‌ربيعة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على‌منبركم هذايقول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 إلى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أَُقاتلَ النّاكثين والقاسِطين والماَرقين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أحبَّني فقَد أحَبَّ اللهَ، و مَن أبغَضَ عَلِيّاً فقد أبغَضَنِي، و من أبغَضَنِي فقَد أبغَضَ‌اللهَ</w:t>
      </w:r>
      <w:r>
        <w:rPr>
          <w:rFonts w:eastAsia="Amiri" w:cs="Amiri" w:ascii="Amiri" w:hAnsi="Amiri"/>
          <w:color w:val="111111"/>
          <w:sz w:val="28"/>
          <w:szCs w:val="28"/>
          <w:rtl w:val="true"/>
          <w:lang w:bidi="ar-SA"/>
        </w:rPr>
        <w:t xml:space="preserve">»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 قال‌علي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فَلَقَ الحَبّةَ وبَرَأ النَّسَمَةَ إنّه لَعَهِدَ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 إلى أن‌لا يحِبُّنى إلّا مُؤمنٌ ولا يبغِضُنى إلّا مُنَافِقٌ</w:t>
      </w:r>
      <w:r>
        <w:rPr>
          <w:rFonts w:eastAsia="Amiri" w:cs="Amiri" w:ascii="Amiri" w:hAnsi="Amiri"/>
          <w:color w:val="111111"/>
          <w:sz w:val="28"/>
          <w:szCs w:val="28"/>
          <w:rtl w:val="true"/>
          <w:lang w:bidi="ar-SA"/>
        </w:rPr>
        <w:t xml:space="preserve">»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همه، جمعى از آنها در رديف بَدنام‌ترين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فئه‌باغيه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ستقاتلكَ الفئةُ الباغيةُ وأنتَ عَلَى‌الحَقِّ، فمَن لَم يَنص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 يَومئذٍ فلَيسَ منّي </w:t>
      </w:r>
      <w:r>
        <w:rPr>
          <w:rFonts w:eastAsia="IRNazanin" w:cs="IRNazanin"/>
          <w:color w:val="111111"/>
          <w:sz w:val="28"/>
          <w:szCs w:val="28"/>
          <w:rtl w:val="true"/>
          <w:lang w:bidi="fa-IR"/>
        </w:rPr>
        <w:t xml:space="preserve">» </w:t>
      </w:r>
      <w:r>
        <w:rPr>
          <w:rStyle w:val="FootnoteAnchor"/>
          <w:rtl w:val="true"/>
        </w:rPr>
        <w:footnoteReference w:id="2299"/>
      </w:r>
      <w:r>
        <w:rPr>
          <w:rFonts w:ascii="IRNazanin" w:hAnsi="IRNazanin" w:eastAsia="IRNazanin"/>
          <w:color w:val="111111"/>
          <w:sz w:val="28"/>
          <w:sz w:val="28"/>
          <w:szCs w:val="28"/>
          <w:rtl w:val="true"/>
          <w:lang w:bidi="fa-IR"/>
        </w:rPr>
        <w:t xml:space="preserve">و شهادت عماربن‌ياسر به‌دست همين گروه </w:t>
      </w:r>
      <w:r>
        <w:rPr>
          <w:rStyle w:val="FootnoteAnchor"/>
          <w:rtl w:val="true"/>
        </w:rPr>
        <w:footnoteReference w:id="2300"/>
      </w:r>
      <w:r>
        <w:rPr>
          <w:rFonts w:ascii="IRNazanin" w:hAnsi="IRNazanin" w:eastAsia="IRNazanin"/>
          <w:color w:val="111111"/>
          <w:sz w:val="28"/>
          <w:sz w:val="28"/>
          <w:szCs w:val="28"/>
          <w:rtl w:val="true"/>
          <w:lang w:bidi="fa-IR"/>
        </w:rPr>
        <w:t xml:space="preserve">، و ابن‌غادية المُزنى، قاتل عمّار در ميان همين گروه </w:t>
      </w:r>
      <w:r>
        <w:rPr>
          <w:rStyle w:val="FootnoteAnchor"/>
          <w:rtl w:val="true"/>
        </w:rPr>
        <w:footnoteReference w:id="2301"/>
      </w:r>
      <w:r>
        <w:rPr>
          <w:rFonts w:ascii="IRNazanin" w:hAnsi="IRNazanin" w:eastAsia="IRNazanin"/>
          <w:color w:val="111111"/>
          <w:sz w:val="28"/>
          <w:sz w:val="28"/>
          <w:szCs w:val="28"/>
          <w:rtl w:val="true"/>
          <w:lang w:bidi="fa-IR"/>
        </w:rPr>
        <w:t>، از انكارناپذيرترين شواهد برعدم عدالت همه اصحاب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آيه ، نيز عدالت همه اصحاب را ثابت نمى‌كند؛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الاَوّلون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عموم صحابه كه برخى مدعى شده‌اند آيه عدالت يك‌صد هزار نفر را ثابت مى‌كند </w:t>
      </w:r>
      <w:r>
        <w:rPr>
          <w:rStyle w:val="FootnoteAnchor"/>
          <w:rtl w:val="true"/>
        </w:rPr>
        <w:footnoteReference w:id="2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اهل بَدر، نمازگزاران به‌دو قبله، اصحاب بيعت رضوان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اختلاف شديدى وجود دارد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نحوه استدلالِ به آيه، گفته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من المهاجرين براى بيان جنس است، يعنى خداوند از جنس سابقين و اوّلين، راضى است و رضايت خدا، همان عدالت خواهد بود </w:t>
      </w:r>
      <w:r>
        <w:rPr>
          <w:rStyle w:val="FootnoteAnchor"/>
          <w:rtl w:val="true"/>
        </w:rPr>
        <w:footnoteReference w:id="2304"/>
      </w:r>
      <w:r>
        <w:rPr>
          <w:rFonts w:ascii="IRNazanin" w:hAnsi="IRNazanin" w:eastAsia="IRNazanin"/>
          <w:color w:val="111111"/>
          <w:sz w:val="28"/>
          <w:sz w:val="28"/>
          <w:szCs w:val="28"/>
          <w:rtl w:val="true"/>
          <w:lang w:bidi="fa-IR"/>
        </w:rPr>
        <w:t xml:space="preserve">در جواب بايد گفت بر فرض پذيرفتن بيانيه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جنس را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معناى آيه اين خواهد شد كه خداوند از خصوص چنين سبقت گيرندگان اوّلى به‌شهادت راضى است نَه از همه </w:t>
      </w:r>
      <w:r>
        <w:rPr>
          <w:rStyle w:val="FootnoteAnchor"/>
          <w:rtl w:val="true"/>
        </w:rPr>
        <w:footnoteReference w:id="2305"/>
      </w:r>
      <w:r>
        <w:rPr>
          <w:rFonts w:ascii="IRNazanin" w:hAnsi="IRNazanin" w:eastAsia="IRNazanin"/>
          <w:color w:val="111111"/>
          <w:sz w:val="28"/>
          <w:sz w:val="28"/>
          <w:szCs w:val="28"/>
          <w:rtl w:val="true"/>
          <w:lang w:bidi="fa-IR"/>
        </w:rPr>
        <w:t>چنان‌كه بخارى حتى اصحاب بيعت شجره را به‌صالحان و اهل رذايل و اَوباش تقسيم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 أصحَابِ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يُقبَضُ الصَّالِحُونَ، الأوّلُ فَالأوّل، وَ تَبقَى حُفَالَةٌ كحُفَالَةِ التَّمرِ و الشَّعِيرِ </w:t>
      </w:r>
      <w:r>
        <w:rPr>
          <w:rStyle w:val="FootnoteAnchor"/>
          <w:rtl w:val="true"/>
        </w:rPr>
        <w:footnoteReference w:id="2306"/>
      </w:r>
      <w:r>
        <w:rPr>
          <w:rFonts w:ascii="Amiri" w:hAnsi="Amiri" w:eastAsia="Amiri" w:cs="Amiri"/>
          <w:color w:val="111111"/>
          <w:sz w:val="28"/>
          <w:sz w:val="28"/>
          <w:szCs w:val="28"/>
          <w:rtl w:val="true"/>
          <w:lang w:bidi="ar-SA"/>
        </w:rPr>
        <w:t xml:space="preserve">، لا يَعبَأُ اللهُ بِهِم شَيئاً </w:t>
      </w:r>
      <w:r>
        <w:rPr>
          <w:rFonts w:eastAsia="Amiri" w:cs="Amiri" w:ascii="Amiri" w:hAnsi="Amiri"/>
          <w:color w:val="111111"/>
          <w:sz w:val="28"/>
          <w:szCs w:val="28"/>
          <w:rtl w:val="true"/>
          <w:lang w:bidi="ar-SA"/>
        </w:rPr>
        <w:t xml:space="preserve">»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رضايت خداوند، مطلق نيست بلكه اين رضايت مشروط است به‌دوام عهد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انحراف تا آخر عمر، در حالى‌كه بى‌ترديد عده بسيارى از آنها حتى در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برگشتند؛ مرتد و نصرانى شدند عبدالله‌بن جَحش از مسلمانان اوّلى، دو بار مهاجرت به‌حبشه و هجرت به‌مدينه و شاهدِ بَدر و أُحُد و </w:t>
      </w:r>
      <w:bookmarkStart w:id="832" w:name="pg1976_28604"/>
    </w:p>
    <w:p>
      <w:pPr>
        <w:pStyle w:val="BookText"/>
        <w:rPr/>
      </w:pPr>
      <w:bookmarkEnd w:id="832"/>
      <w:r>
        <w:rPr>
          <w:rFonts w:ascii="Amiri" w:hAnsi="Amiri" w:eastAsia="Amiri" w:cs="Amiri"/>
          <w:color w:val="111111"/>
          <w:sz w:val="28"/>
          <w:sz w:val="28"/>
          <w:szCs w:val="28"/>
          <w:rtl w:val="true"/>
          <w:lang w:bidi="ar-SA"/>
        </w:rPr>
        <w:t xml:space="preserve">همسر سابق أمّ‌حبيبه، يكى از زوجات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308"/>
      </w:r>
      <w:r>
        <w:rPr>
          <w:rFonts w:ascii="Amiri" w:hAnsi="Amiri" w:eastAsia="Amiri" w:cs="Amiri"/>
          <w:color w:val="111111"/>
          <w:sz w:val="28"/>
          <w:sz w:val="28"/>
          <w:szCs w:val="28"/>
          <w:rtl w:val="true"/>
          <w:lang w:bidi="ar-SA"/>
        </w:rPr>
        <w:t xml:space="preserve">، و مشرك‌شدن عبدالله‌سعدبن ابى‌سرح، اهل هجرت، كاتب وحى و برادر رضاعى عثمان‌بن‌عفان و اعلام مهدورالدّم بودن او در روز فتح، توسط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309"/>
      </w:r>
      <w:r>
        <w:rPr>
          <w:rFonts w:ascii="Amiri" w:hAnsi="Amiri" w:eastAsia="Amiri" w:cs="Amiri"/>
          <w:color w:val="111111"/>
          <w:sz w:val="28"/>
          <w:sz w:val="28"/>
          <w:szCs w:val="28"/>
          <w:rtl w:val="true"/>
          <w:lang w:bidi="ar-SA"/>
        </w:rPr>
        <w:t>، شاهد زنده اين ادعا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اينكه بخارى از علاءبن‌المسيب و او از پدرش نقل مى‌كند كه به‌براء ابن‌عاذب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لكَ، صَحِبتَ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بايَعتَهُ تَحتَ الشّجرةِ،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إنّكَ لا تَدرِي مَا أحدَثنَا بَعدَهُ </w:t>
      </w:r>
      <w:r>
        <w:rPr>
          <w:rFonts w:eastAsia="IRNazanin" w:cs="IRNazanin"/>
          <w:color w:val="111111"/>
          <w:sz w:val="28"/>
          <w:szCs w:val="28"/>
          <w:rtl w:val="true"/>
          <w:lang w:bidi="fa-IR"/>
        </w:rPr>
        <w:t xml:space="preserve">!» </w:t>
      </w:r>
      <w:r>
        <w:rPr>
          <w:rStyle w:val="FootnoteAnchor"/>
          <w:rtl w:val="true"/>
        </w:rPr>
        <w:footnoteReference w:id="2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وجود چگونه معقول است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تعريفى كه بزرگان اهل‌سنت ارائه دادند، عادل باشند</w:t>
      </w:r>
      <w:r>
        <w:rPr>
          <w:rFonts w:eastAsia="IRNazanin" w:cs="IRNazanin"/>
          <w:color w:val="111111"/>
          <w:sz w:val="28"/>
          <w:szCs w:val="28"/>
          <w:rtl w:val="true"/>
          <w:lang w:bidi="fa-IR"/>
        </w:rPr>
        <w:t xml:space="preserve">!»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3" w:name="__RefHeading___Toc3767453_3650668749"/>
      <w:bookmarkStart w:id="834" w:name="_Toc305"/>
      <w:bookmarkEnd w:id="833"/>
      <w:r>
        <w:rPr>
          <w:rtl w:val="true"/>
        </w:rPr>
        <w:t>بررسى و چالش احاديث بر عدالت همه صحابه</w:t>
      </w:r>
      <w:bookmarkEnd w:id="834"/>
    </w:p>
    <w:p>
      <w:pPr>
        <w:pStyle w:val="BookText"/>
        <w:rPr/>
      </w:pPr>
      <w:r>
        <w:rPr>
          <w:rFonts w:ascii="IRNazanin" w:hAnsi="IRNazanin" w:eastAsia="IRNazanin"/>
          <w:color w:val="111111"/>
          <w:sz w:val="28"/>
          <w:sz w:val="28"/>
          <w:szCs w:val="28"/>
          <w:rtl w:val="true"/>
          <w:lang w:bidi="fa-IR"/>
        </w:rPr>
        <w:t>احاديثى كه ادعا شده بر عدالت عموم صحابه دلالت مى‌كند، همانند آيات قرآن اين مدعا را ثابت نمى‌كند؛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احاديثى كه براى اثبات عدالت صحابه مورد استناد قرار گرفته و يا مى‌گيرد، حجيتش متوقف بر اين است كه وثاقت و عدالت راويانش ثابت شود چنانچه ابن‌حجر، شرط اوّل صحابى بودن را عدالت آنها مى‌داند </w:t>
      </w:r>
      <w:r>
        <w:rPr>
          <w:rStyle w:val="FootnoteAnchor"/>
          <w:rtl w:val="true"/>
        </w:rPr>
        <w:footnoteReference w:id="23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روات حديث، صحابه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عدالت صحابه متوقف است بر حجيت روايات، و حجيت روايات متوقف است بر عدالت صحابه، و اين، دور است و باطل </w:t>
      </w:r>
      <w:r>
        <w:rPr>
          <w:rStyle w:val="FootnoteAnchor"/>
          <w:rtl w:val="true"/>
        </w:rPr>
        <w:footnoteReference w:id="231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حديث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أللهَ في‌أصحابي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به‌اعتقاد شيعه ساخته و پرداخته بنى‌اُميه بوده و به‌هدف شكستن انحصار اوصاف منحصر به‌فردِ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p>
    <w:p>
      <w:pPr>
        <w:pStyle w:val="BookText"/>
        <w:rPr/>
      </w:pP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صورت گرفته است </w:t>
      </w:r>
      <w:r>
        <w:rPr>
          <w:rStyle w:val="FootnoteAnchor"/>
          <w:rtl w:val="true"/>
        </w:rPr>
        <w:footnoteReference w:id="2314"/>
      </w:r>
      <w:r>
        <w:rPr>
          <w:rFonts w:ascii="IRNazanin" w:hAnsi="IRNazanin" w:eastAsia="IRNazanin"/>
          <w:color w:val="111111"/>
          <w:sz w:val="28"/>
          <w:sz w:val="28"/>
          <w:szCs w:val="28"/>
          <w:rtl w:val="true"/>
          <w:lang w:bidi="fa-IR"/>
        </w:rPr>
        <w:t xml:space="preserve">و متن حديث نيز گوياى اين است كه كپى‌بردارى از حديث اُمّ سلمه در خصوص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315"/>
      </w:r>
      <w:r>
        <w:rPr>
          <w:rFonts w:ascii="IRNazanin" w:hAnsi="IRNazanin" w:eastAsia="IRNazanin"/>
          <w:color w:val="111111"/>
          <w:sz w:val="28"/>
          <w:sz w:val="28"/>
          <w:szCs w:val="28"/>
          <w:rtl w:val="true"/>
          <w:lang w:bidi="fa-IR"/>
        </w:rPr>
        <w:t>، است كه در صفحات گذشته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شاطبى بعد از نقل حديث مورد نظر،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كَان بهذه المثابَة حَقيقٌ أن يتَّخذَ قُدوَةٌ، و تُجعلُ سيرته قبلة </w:t>
      </w:r>
      <w:r>
        <w:rPr>
          <w:rFonts w:eastAsia="IRNazanin" w:cs="IRNazanin"/>
          <w:color w:val="111111"/>
          <w:sz w:val="28"/>
          <w:szCs w:val="28"/>
          <w:rtl w:val="true"/>
          <w:lang w:bidi="fa-IR"/>
        </w:rPr>
        <w:t xml:space="preserve">» </w:t>
      </w:r>
      <w:r>
        <w:rPr>
          <w:rStyle w:val="FootnoteAnchor"/>
          <w:rtl w:val="true"/>
        </w:rPr>
        <w:footnoteReference w:id="2316"/>
      </w:r>
      <w:r>
        <w:rPr>
          <w:rFonts w:ascii="IRNazanin" w:hAnsi="IRNazanin" w:eastAsia="IRNazanin"/>
          <w:color w:val="111111"/>
          <w:sz w:val="28"/>
          <w:sz w:val="28"/>
          <w:szCs w:val="28"/>
          <w:rtl w:val="true"/>
          <w:lang w:bidi="fa-IR"/>
        </w:rPr>
        <w:t xml:space="preserve">، شيعه هم معتقد است هر صحابى كه دوستى او دوستى‌خدا و رسول او محسوب گردد و دشمنى او دشمنى‌خدا و رسول او، قلمداد شود، بايد به‌عدالتش اعتقاد داشت و به‌سيره و منش او اقتدا كرد؛ ولى آيا اين ملاك در همه اصحاب وجود داشته است؟ </w:t>
      </w:r>
      <w:r>
        <w:rPr>
          <w:rStyle w:val="FootnoteAnchor"/>
          <w:rtl w:val="true"/>
        </w:rPr>
        <w:footnoteReference w:id="2317"/>
      </w:r>
      <w:r>
        <w:rPr>
          <w:rFonts w:ascii="IRNazanin" w:hAnsi="IRNazanin" w:eastAsia="IRNazanin"/>
          <w:color w:val="111111"/>
          <w:sz w:val="28"/>
          <w:sz w:val="28"/>
          <w:szCs w:val="28"/>
          <w:rtl w:val="true"/>
          <w:lang w:bidi="fa-IR"/>
        </w:rPr>
        <w:t xml:space="preserve">چه كسى مى‌تواند ادعا كند كه محبت معاويه محبت‌خدا و رسول اوست؟ ترديدى نيست كه اين ملاك جز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روايت نيز خالى از اشكال نيست؛ ذهبى در مورد عبدالرحمان‌بن زياد </w:t>
      </w:r>
      <w:r>
        <w:rPr>
          <w:rStyle w:val="FootnoteAnchor"/>
          <w:rtl w:val="true"/>
        </w:rPr>
        <w:footnoteReference w:id="2318"/>
      </w:r>
      <w:r>
        <w:rPr>
          <w:rFonts w:ascii="IRNazanin" w:hAnsi="IRNazanin" w:eastAsia="IRNazanin"/>
          <w:color w:val="111111"/>
          <w:sz w:val="28"/>
          <w:sz w:val="28"/>
          <w:szCs w:val="28"/>
          <w:rtl w:val="true"/>
          <w:lang w:bidi="fa-IR"/>
        </w:rPr>
        <w:t>كه آن را از عبدالله‌بن‌مغفّل، نقل مى‌كند،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تفرّد عنه عبيدةبن أبي‌رائطة، قال ابن‌معين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لاأعرفه</w:t>
      </w:r>
      <w:r>
        <w:rPr>
          <w:rFonts w:eastAsia="IRNazanin" w:cs="IRNazanin"/>
          <w:color w:val="111111"/>
          <w:sz w:val="28"/>
          <w:szCs w:val="28"/>
          <w:rtl w:val="true"/>
          <w:lang w:bidi="fa-IR"/>
        </w:rPr>
        <w:t xml:space="preserve">» </w:t>
      </w:r>
      <w:r>
        <w:rPr>
          <w:rStyle w:val="FootnoteAnchor"/>
          <w:rtl w:val="true"/>
        </w:rPr>
        <w:footnoteReference w:id="2319"/>
      </w:r>
      <w:r>
        <w:rPr>
          <w:rFonts w:ascii="IRNazanin" w:hAnsi="IRNazanin" w:eastAsia="IRNazanin"/>
          <w:color w:val="111111"/>
          <w:sz w:val="28"/>
          <w:sz w:val="28"/>
          <w:szCs w:val="28"/>
          <w:rtl w:val="true"/>
          <w:lang w:bidi="fa-IR"/>
        </w:rPr>
        <w:t>و از عبدالله‌بن‌مغفّل و عبيدةبن ابى رائطه چيزى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ابن‌حجر از عبدالرحمان بن‌زياد و عبدالله‌بن مغفّل در لسان‌الميزان اسم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همين روايت را ابومعمر از انس‌بن‌مالك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ابن‌حجر در مورد ابومعمر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حيّان لايحلُّ ذِكره إلّا للقَدحِ فيه </w:t>
      </w:r>
      <w:r>
        <w:rPr>
          <w:rFonts w:eastAsia="IRNazanin" w:cs="IRNazanin"/>
          <w:color w:val="111111"/>
          <w:sz w:val="28"/>
          <w:szCs w:val="28"/>
          <w:rtl w:val="true"/>
          <w:lang w:bidi="fa-IR"/>
        </w:rPr>
        <w:t xml:space="preserve">»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كالنُّجوم فأيَّهم إقتديتُم إهتَدَيتُم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اكثر منابع تفسيرى، اصولى و حتى اخلاقى به‌ويژه در باب عدالت صحابه به‌اين حديث استناد شده </w:t>
      </w:r>
      <w:r>
        <w:rPr>
          <w:rStyle w:val="FootnoteAnchor"/>
          <w:rtl w:val="true"/>
        </w:rPr>
        <w:footnoteReference w:id="2321"/>
      </w:r>
      <w:r>
        <w:rPr>
          <w:rFonts w:ascii="IRNazanin" w:hAnsi="IRNazanin" w:eastAsia="IRNazanin"/>
          <w:color w:val="111111"/>
          <w:sz w:val="28"/>
          <w:sz w:val="28"/>
          <w:szCs w:val="28"/>
          <w:rtl w:val="true"/>
          <w:lang w:bidi="fa-IR"/>
        </w:rPr>
        <w:t>، حتى نزد بزرگان اهل‌سنت فاقد اعتبار است؛ ابن‌عبدالبرّ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ابوبكرالبزّاز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لايَصِحُّ عَن‌النَّبي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 در حاشيه تفسير كشّاف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فى تخريج أحاديث الكشاف در تعليقه بر همين حديث كه زمخشرى در متن مى‌آورد، همه احاديث به‌اين مضمون را تضعيف مى‌كند و تعابير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لايثبت عن المالك، مجهول، مُتّهم بالوضع، كاذبٌ، متروكٌ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 از رجال شناسان نسبت به‌اين مضمون نقل مى‌كند و از بيهقى اين جمله را مى‌آورد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المتن مشهورٌ و أسانيدها كُلّهَا ضعيفةٌ </w:t>
      </w:r>
      <w:r>
        <w:rPr>
          <w:rFonts w:eastAsia="Amiri" w:cs="Amiri" w:ascii="Amiri" w:hAnsi="Amiri"/>
          <w:color w:val="111111"/>
          <w:sz w:val="28"/>
          <w:szCs w:val="28"/>
          <w:rtl w:val="true"/>
          <w:lang w:bidi="ar-SA"/>
        </w:rPr>
        <w:t xml:space="preserve">» </w:t>
      </w:r>
      <w:r>
        <w:rPr>
          <w:rStyle w:val="FootnoteAnchor"/>
          <w:rtl w:val="true"/>
        </w:rPr>
        <w:footnoteReference w:id="2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اين حديث جعفربن‌عبدالواحد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كه وى به‌اتفاق كاذب، و وضّاع است؛ به نقل از 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حديث است </w:t>
      </w:r>
      <w:r>
        <w:rPr>
          <w:rStyle w:val="FootnoteAnchor"/>
          <w:rtl w:val="true"/>
        </w:rPr>
        <w:footnoteReference w:id="2324"/>
      </w:r>
      <w:r>
        <w:rPr>
          <w:rFonts w:ascii="IRNazanin" w:hAnsi="IRNazanin" w:eastAsia="IRNazanin"/>
          <w:color w:val="111111"/>
          <w:sz w:val="28"/>
          <w:sz w:val="28"/>
          <w:szCs w:val="28"/>
          <w:rtl w:val="true"/>
          <w:lang w:bidi="fa-IR"/>
        </w:rPr>
        <w:t>ابى‌زُرعه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أحاديث لا أصلَ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ابن‌عدى او را سارق حديث دانسته و همه احاديث وى را باطل مى‌شمارد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محتواى حديث نيز خالى از اشكال نيست؛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نشده در چه چيزى به اصحاب اقتدا نمايند؟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نمى‌كند كه بعد از وفات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به‌آن‌ها هدايت را در پى‌دارد؛ احتمال دارد مقصود بعد از حالى از حالات باشد؛ چنان‌كه نقل شده روزى عده‌اى به‌همراه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بودند، وقتى به‌سرِ دو راهى رسيدند، همراهان حضرت پرسيدند از كدام مسير بروند؟ پيامبر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إقتدَوا بالّذَين مِن بَعدي </w:t>
      </w:r>
      <w:r>
        <w:rPr>
          <w:rFonts w:eastAsia="IRNazanin" w:cs="IRNazanin"/>
          <w:color w:val="111111"/>
          <w:sz w:val="28"/>
          <w:szCs w:val="28"/>
          <w:rtl w:val="true"/>
          <w:lang w:bidi="fa-IR"/>
        </w:rPr>
        <w:t xml:space="preserve">» </w:t>
      </w:r>
      <w:r>
        <w:rPr>
          <w:rStyle w:val="FootnoteAnchor"/>
          <w:rtl w:val="true"/>
        </w:rPr>
        <w:footnoteReference w:id="2326"/>
      </w:r>
      <w:r>
        <w:rPr>
          <w:rFonts w:ascii="Amiri" w:hAnsi="Amiri" w:eastAsia="Amiri" w:cs="Amiri"/>
          <w:color w:val="111111"/>
          <w:sz w:val="28"/>
          <w:sz w:val="28"/>
          <w:szCs w:val="28"/>
          <w:rtl w:val="true"/>
          <w:lang w:bidi="ar-SA"/>
        </w:rPr>
        <w:t xml:space="preserve">به‌دو نفر بعد از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عبارت بودند از ابوبكر و عمر كه عقب مانده </w:t>
      </w:r>
    </w:p>
    <w:p>
      <w:pPr>
        <w:pStyle w:val="BookText"/>
        <w:rPr/>
      </w:pP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انتخاب مسير، اقتدا نمايند </w:t>
      </w:r>
      <w:r>
        <w:rPr>
          <w:rStyle w:val="FootnoteAnchor"/>
          <w:rtl w:val="true"/>
        </w:rPr>
        <w:footnoteReference w:id="2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بعيد نيست حديث اصحابى كالنّجوم از همين باب باشد، بنابراين دليلى بر اقتداى صحابه به‌طور مطلق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سومين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أصحَابي</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ارتباطى به‌عدالت صحابه ندارد، بلكه مربوط به‌واقعه‌اى خاص است؛ نقل است كه در يكى از غزوات ميان عبدالرحمان بن عوف و خالدبن وليد بگو مگوى شديد رخ داد؛ وقتى خبر به‌حضرت رسيد،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لاتَسُبّوا أصحَابي</w:t>
      </w:r>
      <w:r>
        <w:rPr>
          <w:rFonts w:eastAsia="IRNazanin" w:cs="IRNazanin"/>
          <w:color w:val="111111"/>
          <w:sz w:val="28"/>
          <w:szCs w:val="28"/>
          <w:rtl w:val="true"/>
          <w:lang w:bidi="fa-IR"/>
        </w:rPr>
        <w:t xml:space="preserve">. . .» </w:t>
      </w:r>
      <w:r>
        <w:rPr>
          <w:rStyle w:val="FootnoteAnchor"/>
          <w:rtl w:val="true"/>
        </w:rPr>
        <w:footnoteReference w:id="2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مورد ابا صالح ذكوان مولى لاُمّ سلمه،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فرد حديث من طريق أبي‌حمزة ميمون القصّاب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عنها </w:t>
      </w:r>
      <w:r>
        <w:rPr>
          <w:rFonts w:eastAsia="IRNazanin" w:cs="IRNazanin"/>
          <w:color w:val="111111"/>
          <w:sz w:val="28"/>
          <w:szCs w:val="28"/>
          <w:rtl w:val="true"/>
          <w:lang w:bidi="fa-IR"/>
        </w:rPr>
        <w:t xml:space="preserve">-. . . » </w:t>
      </w:r>
      <w:r>
        <w:rPr>
          <w:rStyle w:val="FootnoteAnchor"/>
          <w:rtl w:val="true"/>
        </w:rPr>
        <w:footnoteReference w:id="2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و دو حديث قبلى آن، معارض است با حديث‌هاى متعدد ديگر كه با عدالت أصحاب هرگز سازگارى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 تنها به‌يك روايت كه ابى‌سعيد الخدرى نيز نقل كرده اشاره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سعيد الخُدري، سمعتُه و هو يزيد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لَيَرِدَنَّ عَلَيَّ أقوامٌ أعرِفُهُم ويَعرِفُونِي، ثُمَّ يُحَالُ بينِي و بَينَهُم </w:t>
      </w:r>
      <w:r>
        <w:rPr>
          <w:rStyle w:val="FootnoteAnchor"/>
          <w:rtl w:val="true"/>
        </w:rPr>
        <w:footnoteReference w:id="2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لاتَدرِي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غَيَّرَ بَعدِي </w:t>
      </w:r>
      <w:r>
        <w:rPr>
          <w:rFonts w:eastAsia="Amiri" w:cs="Amiri" w:ascii="Amiri" w:hAnsi="Amiri"/>
          <w:color w:val="111111"/>
          <w:sz w:val="28"/>
          <w:szCs w:val="28"/>
          <w:rtl w:val="true"/>
          <w:lang w:bidi="ar-SA"/>
        </w:rPr>
        <w:t xml:space="preserve">»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براساس روايات مورد نظر به‌ويژه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أصحابي‌كالنُّجوم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قطع نظر از ايراداتى كه اشاره شد و فرض صحت آن‌ها، بايد همه صحابه نه تنها عادل، كه معصوم از گناه و خطا باشند، درحالى‌كه احدى چنين چيزى نگفته است؛ براى اينكه در ميان آنها كسانى بودند كه متظاهر به‌فسق بودند، و در فتنه‌هايى كه جان هزاران انسان مسلمان را گرفت سهيم بودند و از قاتلان عثمان به‌شمار مى‌آمدند</w:t>
      </w:r>
      <w:r>
        <w:rPr>
          <w:rFonts w:eastAsia="IRNazanin" w:cs="IRNazanin"/>
          <w:color w:val="111111"/>
          <w:sz w:val="28"/>
          <w:szCs w:val="28"/>
          <w:rtl w:val="true"/>
          <w:lang w:bidi="fa-IR"/>
        </w:rPr>
        <w:t xml:space="preserve">! </w:t>
      </w:r>
      <w:r>
        <w:rPr>
          <w:rStyle w:val="FootnoteAnchor"/>
          <w:rtl w:val="true"/>
        </w:rPr>
        <w:footnoteReference w:id="2332"/>
      </w:r>
      <w:bookmarkStart w:id="835" w:name="pg1976_28618"/>
    </w:p>
    <w:p>
      <w:pPr>
        <w:pStyle w:val="Heading4"/>
        <w:numPr>
          <w:ilvl w:val="3"/>
          <w:numId w:val="1"/>
        </w:numPr>
        <w:rPr/>
      </w:pPr>
      <w:bookmarkStart w:id="836" w:name="__RefHeading___Toc3767455_3650668749"/>
      <w:bookmarkStart w:id="837" w:name="_Toc306"/>
      <w:bookmarkEnd w:id="835"/>
      <w:bookmarkEnd w:id="836"/>
      <w:r>
        <w:rPr/>
        <w:t>٢</w:t>
      </w:r>
      <w:r>
        <w:rPr>
          <w:rtl w:val="true"/>
        </w:rPr>
        <w:t xml:space="preserve">. </w:t>
      </w:r>
      <w:r>
        <w:rPr>
          <w:rtl w:val="true"/>
        </w:rPr>
        <w:t>ديدگاه شيعه نسبت به‌عدالت صحابه</w:t>
      </w:r>
      <w:bookmarkEnd w:id="837"/>
    </w:p>
    <w:p>
      <w:pPr>
        <w:pStyle w:val="Heading5"/>
        <w:numPr>
          <w:ilvl w:val="4"/>
          <w:numId w:val="1"/>
        </w:numPr>
        <w:rPr/>
      </w:pPr>
      <w:bookmarkStart w:id="838" w:name="__RefHeading___Toc3767457_3650668749"/>
      <w:bookmarkStart w:id="839" w:name="_Toc307"/>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 xml:space="preserve">شيعه اماميه عليرغم اينكه صحابى بودن را يك‌ارزش و توفيق الهى و قابل احترام مى‌شمارند، آن را ملاك مصونيت از خطا و معصيت نمى‌دانند؛ همان‌گونه كه غير صحابه مى‌تواند عادل و فاسق و حتى كافر باشند، اصحاب را نيز از اين تقسيم مستثنا نمى‌كنند </w:t>
      </w:r>
      <w:r>
        <w:rPr>
          <w:rStyle w:val="FootnoteAnchor"/>
          <w:rtl w:val="true"/>
        </w:rPr>
        <w:footnoteReference w:id="2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عادلانه‌ترين و منصفانه‌ترين نظر را نسبت به‌صحابه ارائه داده است؛ نَه مرتكب افراط جمهور اهل‌سنت گرديده كه همه را عادل مى‌دانند </w:t>
      </w:r>
      <w:r>
        <w:rPr>
          <w:rStyle w:val="FootnoteAnchor"/>
          <w:rtl w:val="true"/>
        </w:rPr>
        <w:footnoteReference w:id="2334"/>
      </w:r>
      <w:r>
        <w:rPr>
          <w:rFonts w:ascii="Amiri" w:hAnsi="Amiri" w:eastAsia="Amiri" w:cs="Amiri"/>
          <w:color w:val="111111"/>
          <w:sz w:val="28"/>
          <w:sz w:val="28"/>
          <w:szCs w:val="28"/>
          <w:rtl w:val="true"/>
          <w:lang w:bidi="ar-SA"/>
        </w:rPr>
        <w:t xml:space="preserve">و نَه خود را به‌دام تفريط فرقه كامليه </w:t>
      </w:r>
      <w:r>
        <w:rPr>
          <w:rStyle w:val="FootnoteAnchor"/>
          <w:rtl w:val="true"/>
        </w:rPr>
        <w:footnoteReference w:id="2335"/>
      </w:r>
      <w:r>
        <w:rPr>
          <w:rFonts w:ascii="IRNazanin" w:hAnsi="IRNazanin" w:eastAsia="IRNazanin"/>
          <w:color w:val="111111"/>
          <w:sz w:val="28"/>
          <w:sz w:val="28"/>
          <w:szCs w:val="28"/>
          <w:rtl w:val="true"/>
          <w:lang w:bidi="fa-IR"/>
        </w:rPr>
        <w:t xml:space="preserve">كه همه اصحاب حتى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كافر مى‌پندارند، گرفتار نموده‌اند </w:t>
      </w:r>
      <w:r>
        <w:rPr>
          <w:rStyle w:val="FootnoteAnchor"/>
          <w:rtl w:val="true"/>
        </w:rPr>
        <w:footnoteReference w:id="2336"/>
      </w:r>
      <w:r>
        <w:rPr>
          <w:rFonts w:ascii="IRNazanin" w:hAnsi="IRNazanin" w:eastAsia="IRNazanin"/>
          <w:color w:val="111111"/>
          <w:sz w:val="28"/>
          <w:sz w:val="28"/>
          <w:szCs w:val="28"/>
          <w:rtl w:val="true"/>
          <w:lang w:bidi="fa-IR"/>
        </w:rPr>
        <w:t xml:space="preserve">زيرا، اصحاب، به‌مفهومى كه در ابتداى اين بحث اشاره شد، فراگير همه كسانى خواهد شد كه به‌نحوى حضور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باشند، و ترديدى نيست كه در ميان آنها انسان‌هاى عادلِ كامل، مؤمن به‌تمام معنا و اولياى‌خدا، اهل بغى و منافق و مجهول‌الحال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حضور داشتند </w:t>
      </w:r>
      <w:r>
        <w:rPr>
          <w:rStyle w:val="FootnoteAnchor"/>
          <w:rtl w:val="true"/>
        </w:rPr>
        <w:footnoteReference w:id="2337"/>
      </w:r>
      <w:r>
        <w:rPr>
          <w:rFonts w:ascii="IRNazanin" w:hAnsi="IRNazanin" w:eastAsia="IRNazanin"/>
          <w:color w:val="111111"/>
          <w:sz w:val="28"/>
          <w:sz w:val="28"/>
          <w:szCs w:val="28"/>
          <w:rtl w:val="true"/>
          <w:lang w:bidi="fa-IR"/>
        </w:rPr>
        <w:t>و هيچ خردى نمى‌پذيرد كه همه آن مجموعه عادل و سخنان و سيره‌شان حجت شرعى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موضع شيعه در قبال صحابه روشن‌تر ارائه گردد، لازم است به‌چند نكته توجه شود</w:t>
      </w:r>
      <w:r>
        <w:rPr>
          <w:rFonts w:eastAsia="IRNazanin" w:cs="IRNazanin"/>
          <w:color w:val="111111"/>
          <w:sz w:val="28"/>
          <w:szCs w:val="28"/>
          <w:rtl w:val="true"/>
          <w:lang w:bidi="fa-IR"/>
        </w:rPr>
        <w:t>:</w:t>
      </w:r>
    </w:p>
    <w:p>
      <w:pPr>
        <w:pStyle w:val="Heading5"/>
        <w:numPr>
          <w:ilvl w:val="4"/>
          <w:numId w:val="1"/>
        </w:numPr>
        <w:rPr/>
      </w:pPr>
      <w:bookmarkStart w:id="840" w:name="__RefHeading___Toc3767459_3650668749"/>
      <w:bookmarkStart w:id="841" w:name="_Toc308"/>
      <w:bookmarkEnd w:id="840"/>
      <w:r>
        <w:rPr>
          <w:rtl w:val="true"/>
        </w:rPr>
        <w:t>الف</w:t>
      </w:r>
      <w:r>
        <w:rPr>
          <w:rtl w:val="true"/>
        </w:rPr>
        <w:t xml:space="preserve">) </w:t>
      </w:r>
      <w:r>
        <w:rPr>
          <w:rtl w:val="true"/>
        </w:rPr>
        <w:t>ملاك ارزيابى صحابى واقعى</w:t>
      </w:r>
      <w:bookmarkEnd w:id="841"/>
    </w:p>
    <w:p>
      <w:pPr>
        <w:pStyle w:val="Heading6"/>
        <w:numPr>
          <w:ilvl w:val="5"/>
          <w:numId w:val="1"/>
        </w:numPr>
        <w:rPr/>
      </w:pPr>
      <w:bookmarkStart w:id="842" w:name="__RefHeading___Toc3767461_3650668749"/>
      <w:bookmarkStart w:id="843" w:name="_Toc309"/>
      <w:bookmarkEnd w:id="842"/>
      <w:r>
        <w:rPr>
          <w:rtl w:val="true"/>
        </w:rPr>
        <w:t>اشاره</w:t>
      </w:r>
      <w:bookmarkEnd w:id="84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دستيابى به‌حقيقت مطلب و پرهيز از داورى‌هاى غيرمنصفانه، بايد مطمئن‌ترين مسير را پيمود تا در حق احدى از صحابه گرامى نَه اجحاف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اعتماد </w:t>
      </w:r>
      <w:bookmarkStart w:id="844" w:name="pg1976_28621"/>
    </w:p>
    <w:p>
      <w:pPr>
        <w:pStyle w:val="BookText"/>
        <w:rPr/>
      </w:pPr>
      <w:bookmarkEnd w:id="844"/>
      <w:r>
        <w:rPr>
          <w:rFonts w:ascii="IRNazanin" w:hAnsi="IRNazanin" w:eastAsia="IRNazanin"/>
          <w:color w:val="111111"/>
          <w:sz w:val="28"/>
          <w:sz w:val="28"/>
          <w:szCs w:val="28"/>
          <w:rtl w:val="true"/>
          <w:lang w:bidi="fa-IR"/>
        </w:rPr>
        <w:t xml:space="preserve">اسراف‌گرايانه و قدّيسانه صورت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به‌قول ابوريه، از اين طريق زمينه طعن دشمنان به‌دين اسلام فراهم نيايد</w:t>
      </w:r>
      <w:r>
        <w:rPr>
          <w:rFonts w:eastAsia="IRNazanin" w:cs="IRNazanin"/>
          <w:color w:val="111111"/>
          <w:sz w:val="28"/>
          <w:szCs w:val="28"/>
          <w:rtl w:val="true"/>
          <w:lang w:bidi="fa-IR"/>
        </w:rPr>
        <w:t xml:space="preserve">. </w:t>
      </w:r>
      <w:r>
        <w:rPr>
          <w:rStyle w:val="FootnoteAnchor"/>
          <w:rtl w:val="true"/>
        </w:rPr>
        <w:footnoteReference w:id="2338"/>
      </w:r>
      <w:r>
        <w:rPr>
          <w:rFonts w:ascii="IRNazanin" w:hAnsi="IRNazanin" w:eastAsia="IRNazanin"/>
          <w:color w:val="111111"/>
          <w:sz w:val="28"/>
          <w:sz w:val="28"/>
          <w:szCs w:val="28"/>
          <w:rtl w:val="true"/>
          <w:lang w:bidi="fa-IR"/>
        </w:rPr>
        <w:t>شايسته‌ترين ملاك براى ارزيابى صحابه كه هم اختلافات ميان طرفداران عدالت كل صحابه و مخالفان آن، به‌صلح گرايد و هم حق كسى تضييع نگردد، عبارتند از</w:t>
      </w:r>
      <w:r>
        <w:rPr>
          <w:rFonts w:eastAsia="IRNazanin" w:cs="IRNazanin"/>
          <w:color w:val="111111"/>
          <w:sz w:val="28"/>
          <w:szCs w:val="28"/>
          <w:rtl w:val="true"/>
          <w:lang w:bidi="fa-IR"/>
        </w:rPr>
        <w:t>:</w:t>
      </w:r>
    </w:p>
    <w:p>
      <w:pPr>
        <w:pStyle w:val="Heading6"/>
        <w:numPr>
          <w:ilvl w:val="5"/>
          <w:numId w:val="1"/>
        </w:numPr>
        <w:rPr/>
      </w:pPr>
      <w:bookmarkStart w:id="845" w:name="__RefHeading___Toc3767463_3650668749"/>
      <w:bookmarkStart w:id="846" w:name="_Toc310"/>
      <w:bookmarkEnd w:id="845"/>
      <w:r>
        <w:rPr>
          <w:rtl w:val="true"/>
        </w:rPr>
        <w:t xml:space="preserve">يك </w:t>
      </w:r>
      <w:r>
        <w:rPr>
          <w:rtl w:val="true"/>
        </w:rPr>
        <w:t xml:space="preserve">- </w:t>
      </w:r>
      <w:r>
        <w:rPr>
          <w:rtl w:val="true"/>
        </w:rPr>
        <w:t xml:space="preserve">چهره‌هاى مورد تأييد رسول‌الله </w:t>
      </w:r>
      <w:r>
        <w:rPr>
          <w:rtl w:val="true"/>
        </w:rPr>
        <w:t>(</w:t>
      </w:r>
      <w:r>
        <w:rPr>
          <w:rtl w:val="true"/>
        </w:rPr>
        <w:t>ص</w:t>
      </w:r>
      <w:r>
        <w:rPr>
          <w:rtl w:val="true"/>
        </w:rPr>
        <w:t>)</w:t>
      </w:r>
      <w:bookmarkEnd w:id="846"/>
    </w:p>
    <w:p>
      <w:pPr>
        <w:pStyle w:val="BookText"/>
        <w:rPr/>
      </w:pPr>
      <w:r>
        <w:rPr>
          <w:rFonts w:ascii="IRNazanin" w:hAnsi="IRNazanin" w:eastAsia="IRNazanin"/>
          <w:color w:val="111111"/>
          <w:sz w:val="28"/>
          <w:sz w:val="28"/>
          <w:szCs w:val="28"/>
          <w:rtl w:val="true"/>
          <w:lang w:bidi="fa-IR"/>
        </w:rPr>
        <w:t xml:space="preserve">بى‌ترديد ارائه شاخص‌هاى كلى همانند رواياتى كه بر عدالت اصحاب ادعا شد، حلّال مشكل اين بحث نخواهد بود، بلكه بايد به سراغ شاخص‌هاى برجسته‌تر و چهره‌هاى مورد تأييد صاحب اين دين، رفت و آن را ملاك ارزيابى بقيه اصحاب قرار داد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منابع مورد قبول وهابى‌ها در معرفى او از زبان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 شكى را باقى نگذاشته است و در قسمت‌هاى اين تحقيق مورد اشاره قرار گرفت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w:t>
      </w:r>
      <w:r>
        <w:rPr>
          <w:rStyle w:val="FootnoteAnchor"/>
          <w:rtl w:val="true"/>
        </w:rPr>
        <w:footnoteReference w:id="2340"/>
      </w:r>
      <w:r>
        <w:rPr>
          <w:rFonts w:ascii="Amiri" w:hAnsi="Amiri" w:eastAsia="Amiri" w:cs="Amiri"/>
          <w:color w:val="111111"/>
          <w:sz w:val="28"/>
          <w:sz w:val="28"/>
          <w:szCs w:val="28"/>
          <w:rtl w:val="true"/>
          <w:lang w:bidi="ar-SA"/>
        </w:rPr>
        <w:t xml:space="preserve">آينه تمام‌نما؛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اين يار مظلومش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أظَلّتِ الخَضرَاءُ ولاأقَلّتِ الغَبراءُ عَلَى ذِي لهَجَةٍ أصدق مِن أبي‌ذرّ </w:t>
      </w:r>
      <w:r>
        <w:rPr>
          <w:rFonts w:eastAsia="Amiri" w:cs="Amiri" w:ascii="Amiri" w:hAnsi="Amiri"/>
          <w:color w:val="111111"/>
          <w:sz w:val="28"/>
          <w:szCs w:val="28"/>
          <w:rtl w:val="true"/>
          <w:lang w:bidi="ar-SA"/>
        </w:rPr>
        <w:t xml:space="preserve">» </w:t>
      </w:r>
      <w:r>
        <w:rPr>
          <w:rStyle w:val="FootnoteAnchor"/>
          <w:rtl w:val="true"/>
        </w:rPr>
        <w:footnoteReference w:id="2341"/>
      </w:r>
      <w:r>
        <w:rPr>
          <w:rFonts w:ascii="IRNazanin" w:hAnsi="IRNazanin" w:eastAsia="IRNazanin"/>
          <w:color w:val="111111"/>
          <w:sz w:val="28"/>
          <w:sz w:val="28"/>
          <w:szCs w:val="28"/>
          <w:rtl w:val="true"/>
          <w:lang w:bidi="fa-IR"/>
        </w:rPr>
        <w:t>كسى كه وقتى عبدالله‌بن‌مسعود جنازه او را در وسط بيابان در مسير عبور مسافران يافت، اشك ريخت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تَمشِي وَحدَكَ، و تمَوُتُ وَحدَكَ و تُبعَثُ وَحدَكَ </w:t>
      </w:r>
      <w:r>
        <w:rPr>
          <w:rFonts w:eastAsia="IRNazanin" w:cs="IRNazanin"/>
          <w:color w:val="111111"/>
          <w:sz w:val="28"/>
          <w:szCs w:val="28"/>
          <w:rtl w:val="true"/>
          <w:lang w:bidi="fa-IR"/>
        </w:rPr>
        <w:t xml:space="preserve">. . . !» </w:t>
      </w:r>
      <w:r>
        <w:rPr>
          <w:rStyle w:val="FootnoteAnchor"/>
          <w:rtl w:val="true"/>
        </w:rPr>
        <w:footnoteReference w:id="2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بن ياسر؛ دورنمايى از ثبات قدم و ايمان و پايدارى او بر آرمان‌هاى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شفاف بود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مرگ و شهادت او در راه خدا پرده برداشت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تَقتلُهُ الفئةُ الباغيةُ، يدعُوهُم إلَى الجَنّةِ وَ يَدعُونَهُ إلَى النّارِ </w:t>
      </w:r>
      <w:r>
        <w:rPr>
          <w:rFonts w:eastAsia="IRNazanin" w:cs="IRNazanin"/>
          <w:color w:val="111111"/>
          <w:sz w:val="28"/>
          <w:szCs w:val="28"/>
          <w:rtl w:val="true"/>
          <w:lang w:bidi="fa-IR"/>
        </w:rPr>
        <w:t xml:space="preserve">» </w:t>
      </w:r>
      <w:r>
        <w:rPr>
          <w:rStyle w:val="FootnoteAnchor"/>
          <w:rtl w:val="true"/>
        </w:rPr>
        <w:footnoteReference w:id="2343"/>
      </w:r>
      <w:r>
        <w:rPr>
          <w:rFonts w:ascii="IRNazanin" w:hAnsi="IRNazanin" w:eastAsia="IRNazanin"/>
          <w:color w:val="111111"/>
          <w:sz w:val="28"/>
          <w:sz w:val="28"/>
          <w:szCs w:val="28"/>
          <w:rtl w:val="true"/>
          <w:lang w:bidi="fa-IR"/>
        </w:rPr>
        <w:t xml:space="preserve">و حتى از قاتل او، خبر داد و اهل جهنّم خواند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خزيمۀ بن‌ثابت‌الانصارى؛ ايمان عميق وى به‌رسول‌الله و آرمان‌هاى او، سبب مى‌شود كه برخلاف معمول، شهادت كسى همانند خزيمه، به‌ج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دو شاهد قلمداد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شهادةَ رَجُلَين </w:t>
      </w:r>
      <w:r>
        <w:rPr>
          <w:rFonts w:eastAsia="Amiri" w:cs="Amiri" w:ascii="Amiri" w:hAnsi="Amiri"/>
          <w:color w:val="111111"/>
          <w:sz w:val="28"/>
          <w:szCs w:val="28"/>
          <w:rtl w:val="true"/>
          <w:lang w:bidi="ar-SA"/>
        </w:rPr>
        <w:t xml:space="preserve">»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حذيفۀ بن‌يمان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برخى از ياران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حذيفه آن‌چنان جايگاه ويژه‌اى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نه تنها احاديث او را به‌آشكارا تصديق كرد كه به‌ديگران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حَدَّثكمُ حُذيفةُ فصَدِّ قوُهُ </w:t>
      </w:r>
      <w:r>
        <w:rPr>
          <w:rFonts w:eastAsia="IRNazanin" w:cs="IRNazanin"/>
          <w:color w:val="111111"/>
          <w:sz w:val="28"/>
          <w:szCs w:val="28"/>
          <w:rtl w:val="true"/>
          <w:lang w:bidi="fa-IR"/>
        </w:rPr>
        <w:t xml:space="preserve">»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عمربن‌الخطاب او را ملاك شناخت منافقين زمان خود قرار داده بود؛ هرگاه حذيفه در تشييع جنازه كسى شركت مى‌كرد، عمر نيز شركت مى‌كرد و عدم حضور او را دليل بر منافق بودن ميت مى‌گرفت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مَعروفٌ في الصّحابةِ بِصاحبِ سرّ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حذيفة به‌دو فرزندش صفوان و سعيد سفارش كرد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كنند و آن دو به‌وصيت پدرشان عمل كردند و در صفين به‌درجه شهادت نايل آمدند </w:t>
      </w:r>
      <w:r>
        <w:rPr>
          <w:rStyle w:val="FootnoteAnchor"/>
          <w:rtl w:val="true"/>
        </w:rPr>
        <w:footnoteReference w:id="2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اصحاب ناب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bookmarkStart w:id="847" w:name="pg1976_28628"/>
    </w:p>
    <w:p>
      <w:pPr>
        <w:pStyle w:val="Heading6"/>
        <w:numPr>
          <w:ilvl w:val="5"/>
          <w:numId w:val="1"/>
        </w:numPr>
        <w:rPr/>
      </w:pPr>
      <w:bookmarkStart w:id="848" w:name="__RefHeading___Toc3767465_3650668749"/>
      <w:bookmarkStart w:id="849" w:name="_Toc311"/>
      <w:bookmarkEnd w:id="847"/>
      <w:bookmarkEnd w:id="848"/>
      <w:r>
        <w:rPr>
          <w:rtl w:val="true"/>
        </w:rPr>
        <w:t xml:space="preserve">دو </w:t>
      </w:r>
      <w:r>
        <w:rPr>
          <w:rtl w:val="true"/>
        </w:rPr>
        <w:t xml:space="preserve">- </w:t>
      </w:r>
      <w:r>
        <w:rPr>
          <w:rtl w:val="true"/>
        </w:rPr>
        <w:t>عمل، محك ارزيابى</w:t>
      </w:r>
      <w:bookmarkEnd w:id="849"/>
    </w:p>
    <w:p>
      <w:pPr>
        <w:pStyle w:val="BookText"/>
        <w:rPr/>
      </w:pPr>
      <w:r>
        <w:rPr>
          <w:rFonts w:ascii="IRNazanin" w:hAnsi="IRNazanin" w:eastAsia="IRNazanin"/>
          <w:color w:val="111111"/>
          <w:sz w:val="28"/>
          <w:sz w:val="28"/>
          <w:szCs w:val="28"/>
          <w:rtl w:val="true"/>
          <w:lang w:bidi="fa-IR"/>
        </w:rPr>
        <w:t xml:space="preserve">دومين ملاك ارزيابى براى انسان‌ها عموماً و براى اصحاب خصوصاً، اعمال شايسته و كرده‌هاى آنها در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خواهد بود؛ زيرا اسلام، آيين شعار نيست بلكه آيين شعور و عمل است و كتاب آسمانى آن اعتقاد راسخ و عمل صالح را دو بال ترقّى و سعادت مى‌داند و بيش از</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بار تعبير آمنوا وعَمِلوا الصّالحات را كنار هم به‌كار برده است و در سخنان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دينى نيز نسبت به‌عمل صالح و ماندگار، تأكيد شده است و عمل صالح را مظهر عدالت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على‌بن‌موسى‌الرضا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پدرانش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عامَل النّاسَ فلم يظلمهُم، وحَدَّثهُم فَلم يكذِّبهُم، و وَعَدَهم فلم يخلفهم، فهو مَن‌كَملَت مُروءتُه، و ظَهَرت عدالته، و وجَبَت أُخُوّته، و حَرُمَت غَيبَتُه </w:t>
      </w:r>
      <w:r>
        <w:rPr>
          <w:rFonts w:eastAsia="IRNazanin" w:cs="IRNazanin"/>
          <w:color w:val="111111"/>
          <w:sz w:val="28"/>
          <w:szCs w:val="28"/>
          <w:rtl w:val="true"/>
          <w:lang w:bidi="fa-IR"/>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مدعى همراهى آن حضرت‌اند و از او حديث نقل مى‌كنند، به‌چهار دسته تقسيم نموده و تنها يكى از آنها را از نظر صدق كلام و عمل شايسته، قابل اعتماد مى‌داند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وقد كُذِبَ عَلَى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عَلَى‌عَهدِهِ حَتّى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الكذّابةُ، فمَن كَذَبَ عَلَيَّ مُتَعَمِّداً فَليَتَبَوّأْ مَقعَدَهُ مِن‌النّارِ، ثُمَّ كُذِبَ عَلَيهِ مِن بَعدِهِ، وإنّما أتاكُمُ الحَدِيثُ من أربعةٍ ليسَ 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منافقٍ يُظهِرُ الاِيمانَ، مُتَصنِّعٍ بالاِسلامِ لايَتَأَثَّمُ ولايَتَحَرَّجُ أن‌يَكذِبَ عَلَى رَسُولِ‌اللهِ مُتَعمِّداً؛ فَلَو علِمَ النّاسُ أنَّهَ منافِقٌ كذّابٌ، لم يقبلُوا منه ولم يُصَدِّقوُه، ولكنَّهم قالُوا قد صَحِبَ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ورآهُ وسَمِعَ مِنهُ؛ و أخَذُوا عَنهُ، و هُم لا يَعرِفُونَ حالَهُ، وقَد أخبَرَهُ اللهُ عَنِ‌المنافقين بما أخبره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رَجُلٍ سَمِعَ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لم يَحمِلهُ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وَجهِهِ و وَهِمَ فيه، ولم يتعَمَّد كِذباً، فهُوَ في يَدِهِ، يَقُولُ به ويَروِيهِ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عَلِمَ المُسلمُونَ أنَّهُ وَهِمَ، لم يَقبَلُوهُ و لَو عَلِم هوأنَّه وَهَمٌ لَرَفَضَهُ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ثالثٍ سَمِع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أمَرَ به‌ثُمَّ نَهَى‌عَنهُ وهُوَ لايَعلمُ، أو سَمِعَهُ يَنهَى عن شيئٍ ثُمَّ أمَرَ به </w:t>
      </w:r>
    </w:p>
    <w:p>
      <w:pPr>
        <w:pStyle w:val="BookText"/>
        <w:rPr/>
      </w:pPr>
      <w:r>
        <w:rPr>
          <w:rFonts w:ascii="Amiri" w:hAnsi="Amiri" w:eastAsia="Amiri" w:cs="Amiri"/>
          <w:color w:val="111111"/>
          <w:sz w:val="28"/>
          <w:sz w:val="28"/>
          <w:szCs w:val="28"/>
          <w:rtl w:val="true"/>
          <w:lang w:bidi="ar-SA"/>
        </w:rPr>
        <w:t>وهُوَ لايَعلَم، فَحَفِظَ مَنسُوخَهُ و لَم يَحفَظِ النّاسخَ، فَلو عَلِم أنَّه مَنسُوخٌ لَرَفَضَهُ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 آخَرَ رابعٍ لم يَكذِب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 للكِذبِ؛ خَوفاً مِنَ‌اللهِ و تَعظِيماً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يَنسَهُ، بَل حَفِظَ مَا سمِعَ عَلَى وجهِهِ فَجَاءَ به‌كَمَا سَمِعَ، لم يَزِد فيه ولَم يَنقُص، وعَلِم النّاسِخَ من المنسُوخِ</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لَيسَ كُلُّ أصحَابِ رسول‌اللهِ كَانَ يَسألُهُ عنِ الشّئِ فَيُفهَم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كنتُ أدخُلُ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دَخلةً وكلَّ لَيلَةٍ دَخلةً فَيُخَلِّينِي فِيهَا، أدُورُ مَعَهُ حَيثُ دارَ</w:t>
      </w:r>
      <w:r>
        <w:rPr>
          <w:rFonts w:eastAsia="Amiri" w:cs="Amiri" w:ascii="Amiri" w:hAnsi="Amiri"/>
          <w:color w:val="111111"/>
          <w:sz w:val="28"/>
          <w:szCs w:val="28"/>
          <w:rtl w:val="true"/>
          <w:lang w:bidi="ar-SA"/>
        </w:rPr>
        <w:t xml:space="preserve">. . .» </w:t>
      </w:r>
      <w:r>
        <w:rPr>
          <w:rStyle w:val="FootnoteAnchor"/>
          <w:rtl w:val="true"/>
        </w:rPr>
        <w:footnoteReference w:id="2349"/>
      </w:r>
    </w:p>
    <w:p>
      <w:pPr>
        <w:pStyle w:val="BookText"/>
        <w:rPr/>
      </w:pPr>
      <w:r>
        <w:rPr>
          <w:rFonts w:ascii="IRNazanin" w:hAnsi="IRNazanin" w:eastAsia="IRNazanin"/>
          <w:color w:val="111111"/>
          <w:sz w:val="28"/>
          <w:sz w:val="28"/>
          <w:szCs w:val="28"/>
          <w:rtl w:val="true"/>
          <w:lang w:bidi="fa-IR"/>
        </w:rPr>
        <w:t>چه اينكه بعد از رسول‌خدا، در ميان مسلمانان عملاً ملاك ارزش، صحابى بودن نبود بلكه عمل و رفتار اشخاص محك قرار مى‌گرفت؛ از عمربن‌الخطاب نقل شده كه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أناساً كانُوا يؤخَذُون بالوَحي في‌عهد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الوَحيَ قد إنقَطَعَ، و إنّما آخُذَكم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نأخذكم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بما ظَهَر مِن أعمالِكم، فَمَن أظهَرَ لَنا خيراًً آمنّاهُ و قَرَّبناهُ و ليسَ إلينا من سريرته شئٌ، ألله يُحَاسِبه في سريرته، و مَن أظهَرَ لنا سُوءاً لم نأمنه و لم نُصَدّقه و إن‌قال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سَرِيرَتي حَسَنَةٌ </w:t>
      </w:r>
      <w:r>
        <w:rPr>
          <w:rFonts w:eastAsia="IRNazanin" w:cs="IRNazanin"/>
          <w:color w:val="111111"/>
          <w:sz w:val="28"/>
          <w:szCs w:val="28"/>
          <w:rtl w:val="true"/>
          <w:lang w:bidi="fa-IR"/>
        </w:rPr>
        <w:t xml:space="preserve">» </w:t>
      </w:r>
      <w:r>
        <w:rPr>
          <w:rStyle w:val="FootnoteAnchor"/>
          <w:rtl w:val="true"/>
        </w:rPr>
        <w:footnoteReference w:id="2350"/>
      </w:r>
    </w:p>
    <w:p>
      <w:pPr>
        <w:pStyle w:val="BookText"/>
        <w:rPr/>
      </w:pPr>
      <w:r>
        <w:rPr>
          <w:rFonts w:ascii="IRNazanin" w:hAnsi="IRNazanin" w:eastAsia="IRNazanin"/>
          <w:color w:val="111111"/>
          <w:sz w:val="28"/>
          <w:sz w:val="28"/>
          <w:szCs w:val="28"/>
          <w:rtl w:val="true"/>
          <w:lang w:bidi="fa-IR"/>
        </w:rPr>
        <w:t xml:space="preserve">با توجّه به‌اين نكته، در ميان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حضور داشتند كه نه تنها اعتقاد و عمل صالح نداشتند و حرمت هم‌نشينى حضرت را نگه نداشتند كه مايه ننگ و آزار او بودند، به نمونه‌هاى زير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مرتد شدن كاتب وحى؛ مردى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نَه تنها جزء اصحاب كه كاتب وحى بود، رسول‌الله به او املاء مى‌كرد كه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 ديگر پيامبر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سميعاً بصيراً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اين شخص مرتد شد و به‌مشركان پيوست؛ پيامبر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الأرضَ لا 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مردن</w:t>
      </w:r>
    </w:p>
    <w:p>
      <w:pPr>
        <w:pStyle w:val="BookText"/>
        <w:rPr/>
      </w:pPr>
      <w:r>
        <w:rPr>
          <w:rFonts w:ascii="IRNazanin" w:hAnsi="IRNazanin" w:eastAsia="IRNazanin"/>
          <w:color w:val="111111"/>
          <w:sz w:val="28"/>
          <w:sz w:val="28"/>
          <w:szCs w:val="28"/>
          <w:rtl w:val="true"/>
          <w:lang w:bidi="fa-IR"/>
        </w:rPr>
        <w:t>جنازه او را دفن كردند ولى زمين او را نپذيرفت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أتى الأرضَ‌الَّتي مَاتَ فيها ذلك الرّجل فوَجَده منبوذاً </w:t>
      </w:r>
      <w:r>
        <w:rPr>
          <w:rFonts w:eastAsia="IRNazanin" w:cs="IRNazanin"/>
          <w:color w:val="111111"/>
          <w:sz w:val="28"/>
          <w:szCs w:val="28"/>
          <w:rtl w:val="true"/>
          <w:lang w:bidi="fa-IR"/>
        </w:rPr>
        <w:t xml:space="preserve">» </w:t>
      </w:r>
      <w:r>
        <w:rPr>
          <w:rStyle w:val="FootnoteAnchor"/>
          <w:rtl w:val="true"/>
        </w:rPr>
        <w:footnoteReference w:id="2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وليد بن عقبة بن أبى‌معيط؛ گروهى ديگر از اصحاب درصدد بودند آبروى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و حرمت او را زير سؤال ببرند، مانند وليدبن‌عُقبه كه پيامبرخدا، وى را به‌عنوان نماينده خود جهت جمع‌آورى صدقات بنى‌مُصطَلق فرستاد، ولى وى نَه تنها نرفت كه بازگشت و به دروغ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مرتد شده‌اند و از پرداخت صدقات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حضرت سپاهى براى قتال با آنها اعزام نمايد،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إِن جَاءكُمْ فَاسِقٌ بِنَبَاٍ فَتَبَيَّنُوا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Style w:val="FootnoteAnchor"/>
          <w:rtl w:val="true"/>
        </w:rPr>
        <w:footnoteReference w:id="2352"/>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ابن‌عبدالبرّ تصريح مى‌كند كه آيه در شأن وليدبن‌عقبه نازل شد </w:t>
      </w:r>
      <w:r>
        <w:rPr>
          <w:rStyle w:val="FootnoteAnchor"/>
          <w:rtl w:val="true"/>
        </w:rPr>
        <w:footnoteReference w:id="2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در زمان خلافت عثمان، به‌عنوان والى كوفه برگزيده و مرتكب شرب خمر شد و در اثر مستى نماز صبح را با مردم چهار ركعت خواند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حدّ جارى كرد </w:t>
      </w:r>
      <w:r>
        <w:rPr>
          <w:rStyle w:val="FootnoteAnchor"/>
          <w:rtl w:val="true"/>
        </w:rPr>
        <w:footnoteReference w:id="23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ثَعلبة بن‌حاطب بن عَمروبن عُبيدبن أمية؛ گروهى را، فقر و تنگ‌دستى مجبور كرده بود تا جزء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ثعلبه نَه صحابى كه همواره ملازم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بَدر بود و همه اوقات نماز را در مسجد سپرى مى‌كرد، ولى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اصرار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دعاى آن حضرت صاحب ثروت شد، ابتدا حضورش در مسجد كمرنگ‌تر و سپس قطع شد، سرانجام كارش به‌جايى رسيد كه وقتى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كارگزارانش را براى جمع </w:t>
      </w:r>
    </w:p>
    <w:p>
      <w:pPr>
        <w:pStyle w:val="BookText"/>
        <w:rPr/>
      </w:pPr>
      <w:r>
        <w:rPr>
          <w:rFonts w:ascii="IRNazanin" w:hAnsi="IRNazanin" w:eastAsia="IRNazanin"/>
          <w:color w:val="111111"/>
          <w:sz w:val="28"/>
          <w:sz w:val="28"/>
          <w:szCs w:val="28"/>
          <w:rtl w:val="true"/>
          <w:lang w:bidi="fa-IR"/>
        </w:rPr>
        <w:t>آورى زكات نزد او فرستاد، وى به‌جاى سپاس از حضرت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هذه إلّا جِزيةٌ، ما هذه إلّا أُخت جِزيةٌ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حكم خدا و رسولش ايراد گرفت و آيه وَمِنْهُم مَّنْ عَاهَدَ اللهَ لَئِنْ آتَانَا مِن فَضْلِهِ لَنَصَّدَّقَنَّ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 او نازل گشت </w:t>
      </w:r>
      <w:r>
        <w:rPr>
          <w:rStyle w:val="FootnoteAnchor"/>
          <w:rtl w:val="true"/>
        </w:rPr>
        <w:footnoteReference w:id="23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سَمُرة بنُ جندب؛ دسته‌اى از اصحاب نه تنها كلام و سيره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به‌فراموشى سپردند كه مرتكب حديث‌سازى و دروغ‌پردازى گرديدند؛ سَمُرة بن‌جندب ابن‌هلال‌بن‌جريح، يكى از دَه‌ها نمونه‌اى است، كه جزء اصحاب بود و در چند غزوه شركت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ولى حتى در زمان حضور رسول‌الله پايبند به‌شريعت او نشد؛ وقتى مرد انصارى از داخل شدن بدون اجازه او، به‌خانه‌اش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 حضرت از او خواست با اطلاع قبلى براى وارسى كردن درختش وارد شود، وى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درختى همانند آن در خارج از حياط منزل مرد انصارى را قبول نكرد حتى از پذيرفتن پيشنهاد درختى از درختان بهشتى، با ضمانت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با ناراحتى به‌انصارى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فَاقلَعها وَإِرِم بها، فإنَّه لا ضَرَرَ و لا ضِرار فى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صحابى، آلت دست معاويه قرار گرفت و با گرفتن صدهزار دِرهم به‌رسول‌خدا دروغ بست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يُعْجِبُكَ قَوْلُهُ فِى الْحَيَاةِ الدُّنْيَا وَيُشْهِدُ الله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مَا فِى قَلْبِهِ وَهُوَ اَلَدُّ الْخِصَامِ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وَمِنَ النَّاسِ مَن 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رِى نَفْسَهُ ابْتِغَاء مَرْضَاتِ اللهِ وَاللهُ رَؤُوفٌ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ابن ملجم قاتل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2356"/>
      </w:r>
      <w:r>
        <w:rPr>
          <w:rFonts w:ascii="IRNazanin" w:hAnsi="IRNazanin" w:eastAsia="IRNazanin"/>
          <w:color w:val="111111"/>
          <w:sz w:val="28"/>
          <w:sz w:val="28"/>
          <w:szCs w:val="28"/>
          <w:rtl w:val="true"/>
          <w:lang w:bidi="fa-IR"/>
        </w:rPr>
        <w:t>و همين صحابى عدالت 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جانشين زيادبن‌ابيه در بصره شد، </w:t>
      </w:r>
      <w:r>
        <w:rPr>
          <w:rFonts w:eastAsia="IRNazanin" w:cs="IRNazanin"/>
          <w:color w:val="111111"/>
          <w:sz w:val="28"/>
          <w:szCs w:val="28"/>
          <w:lang w:bidi="fa-IR"/>
        </w:rPr>
        <w:t>8</w:t>
      </w:r>
      <w:r>
        <w:rPr>
          <w:rFonts w:ascii="IRNazanin" w:hAnsi="IRNazanin" w:eastAsia="IRNazanin"/>
          <w:color w:val="111111"/>
          <w:sz w:val="28"/>
          <w:sz w:val="28"/>
          <w:szCs w:val="28"/>
          <w:lang w:bidi="fa-IR"/>
        </w:rPr>
        <w:t>٠٠٠</w:t>
      </w:r>
      <w:r>
        <w:rPr>
          <w:rFonts w:ascii="IRNazanin" w:hAnsi="IRNazanin" w:eastAsia="IRNazanin"/>
          <w:color w:val="111111"/>
          <w:sz w:val="28"/>
          <w:sz w:val="28"/>
          <w:szCs w:val="28"/>
          <w:rtl w:val="true"/>
          <w:lang w:bidi="fa-IR"/>
        </w:rPr>
        <w:t xml:space="preserve"> نفر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معمولاً از هواداران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كشت </w:t>
      </w:r>
      <w:r>
        <w:rPr>
          <w:rStyle w:val="FootnoteAnchor"/>
          <w:rtl w:val="true"/>
        </w:rPr>
        <w:footnoteReference w:id="2357"/>
      </w:r>
      <w:r>
        <w:rPr>
          <w:rFonts w:ascii="IRNazanin" w:hAnsi="IRNazanin" w:eastAsia="IRNazanin"/>
          <w:color w:val="111111"/>
          <w:sz w:val="28"/>
          <w:sz w:val="28"/>
          <w:szCs w:val="28"/>
          <w:rtl w:val="true"/>
          <w:lang w:bidi="fa-IR"/>
        </w:rPr>
        <w:t xml:space="preserve">، ابى‌سوّار العدوى مى‌گويد سمرة بن جندب در يك صبح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قوم مرا كه همه حافظ قرآن بودند، كشت</w:t>
      </w:r>
      <w:r>
        <w:rPr>
          <w:rFonts w:eastAsia="IRNazanin" w:cs="IRNazanin"/>
          <w:color w:val="111111"/>
          <w:sz w:val="28"/>
          <w:szCs w:val="28"/>
          <w:rtl w:val="true"/>
          <w:lang w:bidi="fa-IR"/>
        </w:rPr>
        <w:t xml:space="preserve">! </w:t>
      </w:r>
      <w:r>
        <w:rPr>
          <w:rStyle w:val="FootnoteAnchor"/>
          <w:rtl w:val="true"/>
        </w:rPr>
        <w:footnoteReference w:id="2358"/>
      </w:r>
    </w:p>
    <w:p>
      <w:pPr>
        <w:pStyle w:val="BookText"/>
        <w:rPr/>
      </w:pPr>
      <w:r>
        <w:rPr>
          <w:rFonts w:ascii="IRNazanin" w:hAnsi="IRNazanin" w:eastAsia="IRNazanin"/>
          <w:color w:val="111111"/>
          <w:sz w:val="28"/>
          <w:sz w:val="28"/>
          <w:szCs w:val="28"/>
          <w:rtl w:val="true"/>
          <w:lang w:bidi="fa-IR"/>
        </w:rPr>
        <w:t xml:space="preserve">با توجّه به‌آنچه به‌عنوان مشت نمونه خروار، ارائه شد </w:t>
      </w:r>
      <w:r>
        <w:rPr>
          <w:rStyle w:val="FootnoteAnchor"/>
          <w:rtl w:val="true"/>
        </w:rPr>
        <w:footnoteReference w:id="2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خردمندى كه ذرّه‌اى از خِرد و انصاف انسانى بهره‌مند باشد، ترديدى نخواهد كرد كه گروه نخست در مقايسه با گروه دوم تفاوتش همانند تفاوت آسمان و زمين است، آيا هر دو گروه را مى‌توان به‌يك چشم ديد؟ به‌راستى اينكه ابن‌حزم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قدامة بن‌مظعون </w:t>
      </w:r>
      <w:r>
        <w:rPr>
          <w:rStyle w:val="FootnoteAnchor"/>
          <w:rtl w:val="true"/>
        </w:rPr>
        <w:footnoteReference w:id="2360"/>
      </w:r>
      <w:r>
        <w:rPr>
          <w:rFonts w:ascii="Amiri" w:hAnsi="Amiri" w:eastAsia="Amiri" w:cs="Amiri"/>
          <w:color w:val="111111"/>
          <w:sz w:val="28"/>
          <w:sz w:val="28"/>
          <w:szCs w:val="28"/>
          <w:rtl w:val="true"/>
          <w:lang w:bidi="ar-SA"/>
        </w:rPr>
        <w:t xml:space="preserve">و سَمُرةبن جندب و مغيرة بن شعبة </w:t>
      </w:r>
      <w:r>
        <w:rPr>
          <w:rStyle w:val="FootnoteAnchor"/>
          <w:rtl w:val="true"/>
        </w:rPr>
        <w:footnoteReference w:id="2361"/>
      </w:r>
      <w:r>
        <w:rPr>
          <w:rFonts w:ascii="Amiri" w:hAnsi="Amiri" w:eastAsia="Amiri" w:cs="Amiri"/>
          <w:color w:val="111111"/>
          <w:sz w:val="28"/>
          <w:sz w:val="28"/>
          <w:szCs w:val="28"/>
          <w:rtl w:val="true"/>
          <w:lang w:bidi="ar-SA"/>
        </w:rPr>
        <w:t xml:space="preserve">و ابوبكرة الثقفى </w:t>
      </w:r>
      <w:r>
        <w:rPr>
          <w:rStyle w:val="FootnoteAnchor"/>
          <w:rtl w:val="true"/>
        </w:rPr>
        <w:footnoteReference w:id="2362"/>
      </w:r>
      <w:r>
        <w:rPr>
          <w:rFonts w:ascii="IRNazanin" w:hAnsi="IRNazanin" w:eastAsia="IRNazanin"/>
          <w:color w:val="111111"/>
          <w:sz w:val="28"/>
          <w:sz w:val="28"/>
          <w:szCs w:val="28"/>
          <w:rtl w:val="true"/>
          <w:lang w:bidi="fa-IR"/>
        </w:rPr>
        <w:t xml:space="preserve">، از افاضل ائمه‌اند و همچنين جنگ‌افروزان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جمل و صفين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همه عادلند و اهل تأويل و مأجورند هرچند خطاكارند</w:t>
      </w:r>
      <w:r>
        <w:rPr>
          <w:rFonts w:eastAsia="IRNazanin" w:cs="IRNazanin"/>
          <w:color w:val="111111"/>
          <w:sz w:val="28"/>
          <w:szCs w:val="28"/>
          <w:rtl w:val="true"/>
          <w:lang w:bidi="fa-IR"/>
        </w:rPr>
        <w:t xml:space="preserve">!» </w:t>
      </w:r>
      <w:r>
        <w:rPr>
          <w:rStyle w:val="FootnoteAnchor"/>
          <w:rtl w:val="true"/>
        </w:rPr>
        <w:footnoteReference w:id="2363"/>
      </w:r>
      <w:r>
        <w:rPr>
          <w:rFonts w:ascii="IRNazanin" w:hAnsi="IRNazanin" w:eastAsia="IRNazanin"/>
          <w:color w:val="111111"/>
          <w:sz w:val="28"/>
          <w:sz w:val="28"/>
          <w:szCs w:val="28"/>
          <w:rtl w:val="true"/>
          <w:lang w:bidi="fa-IR"/>
        </w:rPr>
        <w:t>، با على و اباذر و عمّار و سلمان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يك رديف و همه عادل‌اند؟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پس ابليس نيز اجتهاد كرد و بايد عادل و كار او در اغواى انسان‌ها عادلانه باشد و به‌گفته ابوريه جز كفر هيچ امر ِديگرى نتواند بر معيار صحابى بودن، ضرر برساند و عنوان صحابى بودن بالاتر از ايمان محسوب شود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اينكه تفاوت ميان اصحاب از جهات مختلف، غير قابل انكار است، قطعاً همه </w:t>
      </w:r>
      <w:bookmarkStart w:id="850" w:name="pg1976_28641"/>
    </w:p>
    <w:p>
      <w:pPr>
        <w:pStyle w:val="BookText"/>
        <w:rPr/>
      </w:pPr>
      <w:bookmarkEnd w:id="850"/>
      <w:r>
        <w:rPr>
          <w:rFonts w:ascii="IRNazanin" w:hAnsi="IRNazanin" w:eastAsia="IRNazanin"/>
          <w:color w:val="111111"/>
          <w:sz w:val="28"/>
          <w:sz w:val="28"/>
          <w:szCs w:val="28"/>
          <w:rtl w:val="true"/>
          <w:lang w:bidi="fa-IR"/>
        </w:rPr>
        <w:t xml:space="preserve">آنچه صحابه روايت و حكايت كرده‌اند، حجت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اگر با اين معيار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ارزيابى قرار گيرند، بسيارى از اختلافات ميان اهل‌سنت و شيعه، فروكش نموده و به‌تفاهم خواهند رسيد</w:t>
      </w:r>
      <w:r>
        <w:rPr>
          <w:rFonts w:eastAsia="IRNazanin" w:cs="IRNazanin"/>
          <w:color w:val="111111"/>
          <w:sz w:val="28"/>
          <w:szCs w:val="28"/>
          <w:rtl w:val="true"/>
          <w:lang w:bidi="fa-IR"/>
        </w:rPr>
        <w:t>.</w:t>
      </w:r>
    </w:p>
    <w:p>
      <w:pPr>
        <w:pStyle w:val="Heading5"/>
        <w:numPr>
          <w:ilvl w:val="4"/>
          <w:numId w:val="1"/>
        </w:numPr>
        <w:rPr/>
      </w:pPr>
      <w:bookmarkStart w:id="851" w:name="__RefHeading___Toc3767467_3650668749"/>
      <w:bookmarkStart w:id="852" w:name="_Toc312"/>
      <w:bookmarkEnd w:id="851"/>
      <w:r>
        <w:rPr>
          <w:rtl w:val="true"/>
        </w:rPr>
        <w:t>ب</w:t>
      </w:r>
      <w:r>
        <w:rPr>
          <w:rtl w:val="true"/>
        </w:rPr>
        <w:t xml:space="preserve">) </w:t>
      </w:r>
      <w:r>
        <w:rPr>
          <w:rtl w:val="true"/>
        </w:rPr>
        <w:t>خطا بودن ادعاى اجماع</w:t>
      </w:r>
      <w:bookmarkEnd w:id="852"/>
    </w:p>
    <w:p>
      <w:pPr>
        <w:pStyle w:val="BookText"/>
        <w:rPr/>
      </w:pPr>
      <w:r>
        <w:rPr>
          <w:rFonts w:ascii="IRNazanin" w:hAnsi="IRNazanin" w:eastAsia="IRNazanin"/>
          <w:color w:val="111111"/>
          <w:sz w:val="28"/>
          <w:sz w:val="28"/>
          <w:szCs w:val="28"/>
          <w:rtl w:val="true"/>
          <w:lang w:bidi="fa-IR"/>
        </w:rPr>
        <w:t xml:space="preserve">عده‌اى از بزرگان اهل‌سنت مدعى‌اند كه اهل‌سنت بر عدالت همه اصحاب اجماع دارند </w:t>
      </w:r>
      <w:r>
        <w:rPr>
          <w:rStyle w:val="FootnoteAnchor"/>
          <w:rtl w:val="true"/>
        </w:rPr>
        <w:footnoteReference w:id="2365"/>
      </w:r>
      <w:r>
        <w:rPr>
          <w:rFonts w:ascii="IRNazanin" w:hAnsi="IRNazanin" w:eastAsia="IRNazanin"/>
          <w:color w:val="111111"/>
          <w:sz w:val="28"/>
          <w:sz w:val="28"/>
          <w:szCs w:val="28"/>
          <w:rtl w:val="true"/>
          <w:lang w:bidi="fa-IR"/>
        </w:rPr>
        <w:t xml:space="preserve">برخى ديگر اغراق‌آميزانه تصريح مى‌كنند كه بحث از عدالت، در غير صحابى مطرح است و در مورد صحابه چون عدالتش از سوى خدا ثابت شده و خداوند آنها را عادل قرار داده، معنا نخواهد داشت </w:t>
      </w:r>
      <w:r>
        <w:rPr>
          <w:rStyle w:val="FootnoteAnchor"/>
          <w:rtl w:val="true"/>
        </w:rPr>
        <w:footnoteReference w:id="2366"/>
      </w:r>
      <w:r>
        <w:rPr>
          <w:rFonts w:ascii="IRNazanin" w:hAnsi="IRNazanin" w:eastAsia="IRNazanin"/>
          <w:color w:val="111111"/>
          <w:sz w:val="28"/>
          <w:sz w:val="28"/>
          <w:szCs w:val="28"/>
          <w:rtl w:val="true"/>
          <w:lang w:bidi="fa-IR"/>
        </w:rPr>
        <w:t>اين ادعا از نگاه شيعه نَه تنها مقبول نيست كه دليلى بر اثبات آن وجود ندارد؛ زيرا همان‌گونه كه ديديد دلايل و شواهدى كه بر عدالت جميع اصحاب ارائه گرديده بود هيچ‌كدام اين مدعا را اثبات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جمع كثيرى از عالمان اهل‌سنت ادعاى اجماع را نمى‌پذيرند؛ براى روشن شدن مطلب به‌ذكر چند نمونه از مخالفان اجماع،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عالم اهل‌سنت در ضمن ردّ تعريف بخارى براى 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تصريح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لَسنَا نَعني بقولِنَا الصّحابةُ عُدُولٌ، كلُّ‌مَن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يوماًما أو زارَهُ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أو إجتمَعَ به‌لِغرضٍ و إنصَرَفَ عن‌كَثَبٍ وإنّما نَعني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الاُمِّيَّ الَّذِى يَجِدُونَهُ مَكْتُوباً عِندَهُمْ فِى التَّوْرَاةِ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فَالَّذِينَ آمَنُواْ به‌وَعَزَّرُوهُ وَنَصَرُوهُ وَاتَّبَعُواْ النُّورَالَّذِي اُنزِلَ مَعَهُ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هرچند كه ابن‌حجر ديدگاه مازرى را نمى‌پسندد و مى‌گويد گروهى از</w:t>
      </w:r>
    </w:p>
    <w:p>
      <w:pPr>
        <w:pStyle w:val="BookText"/>
        <w:rPr/>
      </w:pPr>
      <w:r>
        <w:rPr>
          <w:rFonts w:ascii="IRNazanin" w:hAnsi="IRNazanin" w:eastAsia="IRNazanin"/>
          <w:color w:val="111111"/>
          <w:sz w:val="28"/>
          <w:sz w:val="28"/>
          <w:szCs w:val="28"/>
          <w:rtl w:val="true"/>
          <w:lang w:bidi="fa-IR"/>
        </w:rPr>
        <w:t xml:space="preserve">فضلا، آن را مورد اعتراض قرارداده وگفته‌اند جمع كثيرى از مشهورين صحابه و اهل روايت، از حكم به‌عدالت صحابه مانند وائل‌بن‌حجر، مالك‌بن حويرث و عثمان‌بن أبى‌العاص، خارج شده و جمع اندكى باقى خواهند ماند </w:t>
      </w:r>
      <w:r>
        <w:rPr>
          <w:rStyle w:val="FootnoteAnchor"/>
          <w:rtl w:val="true"/>
        </w:rPr>
        <w:footnoteReference w:id="2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عالم مشهور اهل‌سنت نه تنها اجماع بر عدالت همه اصحاب را قبول ندارد، بلكه همانند شيعه، عده‌اى از آنها را خارج از طريق حق و فاسق مى‌شمارد؛ وى به‌صراحت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آنچه در كتاب‌هاى تاريخى به‌ثبت رسيده و از زبان اهل ثقه از درگيرى و مشاجرات ميان اصحاب نقل شده، به‌ظاهر مى‌رساند كه بعضى از آنها از مسير حق منحرف و به‌حدّ ظلم و فسق رسيده‌اند و دليل آن جز حِقد و عناد، حسد و لداد و خواهش‌هاى نفسانى به‌ملك و رياست و تمايل به‌لذّات و شهوات،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ليس كُلّ صحابي معصوماً و لا كلُّ مَن لقي‌النَّبيَّ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بالخير مَوسوماً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علما از باب حُسن ظن محمل‌ها و تأويل‌ها براى كارهاى آنها ذكر نموده‌اند تا با محفوظ ماندن آنها از تفسيق و تضليل، عقايد و باورهاى مسلمانان نسبت به‌كبار صحابه به‌ويژه مهاجران و انصار،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ظلم و شناعتى كه بعد از آن‌ها در حق اهل‌بيت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 آن‌چنان بديهى است كه قابل پوشاندن و اشتباه خواندن نيست؛ جماد و نبات بر آن گواه و اهل زمين و آسمان بر آن گريان‌اند، كوه، از آن منهدم و صخره‌ها فرو مى‌پاشد و بد رفتارى آنها نسبت به‌اهل بيت، ماه‌ها و روزگار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فَلَعنَةُالله على مَن باشَرَ، أو رَضِي، أو سَعَى، و لعذاب الآخِرة أشَدّ و أبقَى </w:t>
      </w:r>
      <w:r>
        <w:rPr>
          <w:rFonts w:eastAsia="IRNazanin" w:cs="IRNazanin"/>
          <w:color w:val="111111"/>
          <w:sz w:val="28"/>
          <w:szCs w:val="28"/>
          <w:rtl w:val="true"/>
          <w:lang w:bidi="fa-IR"/>
        </w:rPr>
        <w:t xml:space="preserve">» </w:t>
      </w:r>
      <w:r>
        <w:rPr>
          <w:rStyle w:val="FootnoteAnchor"/>
          <w:rtl w:val="true"/>
        </w:rPr>
        <w:footnoteReference w:id="236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عبدالرّحمان الإيجى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اينكه تعظيم و پرهيز از قدح همه اصحاب را واجب مى‌شمارد، در خصوص فتنه‌ها و جنگ‌هايى كه ميان اصحاب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قطعاً باعث سقوط عدالت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از شأن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انسان‌هاى </w:t>
      </w:r>
    </w:p>
    <w:p>
      <w:pPr>
        <w:pStyle w:val="BookText"/>
        <w:rPr/>
      </w:pPr>
      <w:r>
        <w:rPr>
          <w:rFonts w:ascii="IRNazanin" w:hAnsi="IRNazanin" w:eastAsia="IRNazanin"/>
          <w:color w:val="111111"/>
          <w:sz w:val="28"/>
          <w:sz w:val="28"/>
          <w:szCs w:val="28"/>
          <w:rtl w:val="true"/>
          <w:lang w:bidi="fa-IR"/>
        </w:rPr>
        <w:t>عادى به‌دور مى‌داند و توجيهات زير را از سوى دسته‌هاى مسلمان، نسبت به‌اعمال خلاف عقل و شرع صحابه،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هشاميه از معتزله، و قوع آن حوادث را منكراند، كه وى انكار اين گروه را مكابره و انكار متواتر بودنِ قتل عثمان و وقايع جمل و صفين، مى‌داند؛ طايفه‌اى از اهل‌سنت كه معترف به‌وقوع آن حوادث‌اند، از اينكه مسبّبان آن را خطاكار و يا مصيب بدانند، سكوت كرده‌اند؛ عَمريه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عمروبن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طرف حوادث را فاسق مى‌خوانند؛ واصليه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واصل‌بن‌عطا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طرف را بدون تعيين مصداق فاسق و طرف ديگر را بدون تعيين، عادل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جمهور امت، قاتلان عثمان و محاربان با على‌بن‌ابى‌طالب را خطاكار مى‌دانند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لِاَنّهُمَا إمامانِ فيَحرُمُ القتلُ و المخالفةُ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منتها قاضى ابوبكر، اين خطاى آنها را موجب تفسيق نمى‌داند ولى باقى امت آنها را تفسيق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مَن ذَهَبَ إلى التفسيق كالشّيعةِ و كثيرٌ من أصحابنا </w:t>
      </w:r>
      <w:r>
        <w:rPr>
          <w:rFonts w:eastAsia="IRNazanin" w:cs="IRNazanin"/>
          <w:color w:val="111111"/>
          <w:sz w:val="28"/>
          <w:szCs w:val="28"/>
          <w:rtl w:val="true"/>
          <w:lang w:bidi="fa-IR"/>
        </w:rPr>
        <w:t xml:space="preserve">» </w:t>
      </w:r>
      <w:r>
        <w:rPr>
          <w:rStyle w:val="FootnoteAnchor"/>
          <w:rtl w:val="true"/>
        </w:rPr>
        <w:footnoteReference w:id="2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با اين وجود باز ادعاى اجماع بر عدالت همه صحابه ممكن است؟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ابوريه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محقق مصرى كه بحث مفصّلى در نقد عدالت اصحاب وپيامدهاى آن ارائه مى‌دهد ادعاى اجماع را از ريشه مى‌زند، و زيربناى عدالت همه اصحاب را ويران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إختلف المسلمون في هذه العدالة إختلافاً كثيراً،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لعَمرك إسرافٌ في الثّقة، وإفراطٌ في التقدير، ثُمَّ هو غير ذلك يتعارض مع ما جاء في الكتاب والسُّنّة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القويّة، ولايتفق والطبائع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بعدالة جميع الصحابة، و تقديس كتب الحديث يرجع إليهما كُلُّ ما أصاب الاِسلام من طعنات أعدائه، وضيق صدور ذي الفكر من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عدالةَ جميع الصّحابة تستلزم ولاريب الثقة بمايَروَون، وما رَوَوهُ قد حملته الحديث بما فيه من غثاء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نحن رفعنا صوتنا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البَلاءَ الّذي يُصِيبُ الاِسلام إنَّما يرجع إلى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عدالة </w:t>
      </w:r>
      <w:bookmarkStart w:id="853" w:name="pg1976_28647"/>
    </w:p>
    <w:p>
      <w:pPr>
        <w:pStyle w:val="BookText"/>
        <w:rPr/>
      </w:pPr>
      <w:bookmarkEnd w:id="853"/>
      <w:r>
        <w:rPr>
          <w:rFonts w:ascii="Amiri" w:hAnsi="Amiri" w:eastAsia="Amiri" w:cs="Amiri"/>
          <w:color w:val="111111"/>
          <w:sz w:val="28"/>
          <w:sz w:val="28"/>
          <w:szCs w:val="28"/>
          <w:rtl w:val="true"/>
          <w:lang w:bidi="ar-SA"/>
        </w:rPr>
        <w:t xml:space="preserve">الصّحابة المطلقة، والثقة العمياء بكُتُبِ الحديث التي تجمع بين الغَثِّ والسَّمين </w:t>
      </w:r>
      <w:r>
        <w:rPr>
          <w:rFonts w:eastAsia="Amiri" w:cs="Amiri" w:ascii="Amiri" w:hAnsi="Amiri"/>
          <w:color w:val="111111"/>
          <w:sz w:val="28"/>
          <w:szCs w:val="28"/>
          <w:rtl w:val="true"/>
          <w:lang w:bidi="ar-SA"/>
        </w:rPr>
        <w:t xml:space="preserve">» </w:t>
      </w:r>
      <w:r>
        <w:rPr>
          <w:rStyle w:val="FootnoteAnchor"/>
          <w:rtl w:val="true"/>
        </w:rPr>
        <w:footnoteReference w:id="2370"/>
      </w:r>
    </w:p>
    <w:p>
      <w:pPr>
        <w:pStyle w:val="BookText"/>
        <w:rPr/>
      </w:pPr>
      <w:r>
        <w:rPr>
          <w:rFonts w:ascii="IRNazanin" w:hAnsi="IRNazanin" w:eastAsia="IRNazanin"/>
          <w:color w:val="111111"/>
          <w:sz w:val="28"/>
          <w:sz w:val="28"/>
          <w:szCs w:val="28"/>
          <w:rtl w:val="true"/>
          <w:lang w:bidi="fa-IR"/>
        </w:rPr>
        <w:t xml:space="preserve">وى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ألاَخذ بعدالة جميع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ديدگاه شيعه را تأييد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جمهور اهل‌سنت جميع صحابه را عادل مى‌دانند و جرح و تعديل را در مورد آنها روا نمى‌دارند و همه آنها را معصوم از خطا و سهو و نسيان مى‌پندارند، ولى كثيرى از اهل تحقيق، عدالت مطلقه براى همه صحابه را نمى‌پذيرند و همان‌گونه كه علامه مسقبلى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أغلبية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عموم صحابه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همان طورى كه غير صحابى دچار اشتباه و خطا و نسيان مى‌گردد، اصحاب نيز به‌لحاظ اينكه همه بشرند، دچار خواهند شد و چه اينكه در ميان اصحاب عده كثيرى منافق و كاذب و گروهى مرتد شدند و روايات دال بر ارتداد اين‌گروه را ذكر مى‌كند </w:t>
      </w:r>
      <w:r>
        <w:rPr>
          <w:rStyle w:val="FootnoteAnchor"/>
          <w:rtl w:val="true"/>
        </w:rPr>
        <w:footnoteReference w:id="2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انديشمند اهل‌سنّت سوره توبه را، سوره افشاكنندۀ چهرۀ منافقان اصحاب رسول الله دانسته و حدود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عنوان از معاصى و كارهاى منافقانه آنها و اهل تبوك را استخراج مى‌كند </w:t>
      </w:r>
      <w:r>
        <w:rPr>
          <w:rStyle w:val="FootnoteAnchor"/>
          <w:rtl w:val="true"/>
        </w:rPr>
        <w:footnoteReference w:id="2372"/>
      </w:r>
    </w:p>
    <w:p>
      <w:pPr>
        <w:pStyle w:val="BookText"/>
        <w:rPr/>
      </w:pPr>
      <w:r>
        <w:rPr>
          <w:rFonts w:ascii="IRNazanin" w:hAnsi="IRNazanin" w:eastAsia="IRNazanin"/>
          <w:color w:val="111111"/>
          <w:sz w:val="28"/>
          <w:sz w:val="28"/>
          <w:szCs w:val="28"/>
          <w:rtl w:val="true"/>
          <w:lang w:bidi="fa-IR"/>
        </w:rPr>
        <w:t>بنابراين، ادعاى اجماع بر عدالت همه صحابه، گذشته از ناسازگارى آن، با منطق و خرد انسانى نه تنها از سوى شيعيان كه از سوى برخى بزرگان تأثيرگذار خود اهل‌سنت مردود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بيشتر به‌منابع مفصّل‌تر مراجعه نماييد </w:t>
      </w:r>
      <w:r>
        <w:rPr>
          <w:rStyle w:val="FootnoteAnchor"/>
          <w:rtl w:val="true"/>
        </w:rPr>
        <w:footnoteReference w:id="2373"/>
      </w:r>
    </w:p>
    <w:p>
      <w:pPr>
        <w:pStyle w:val="Heading4"/>
        <w:numPr>
          <w:ilvl w:val="3"/>
          <w:numId w:val="1"/>
        </w:numPr>
        <w:rPr/>
      </w:pPr>
      <w:bookmarkStart w:id="854" w:name="__RefHeading___Toc3767469_3650668749"/>
      <w:bookmarkStart w:id="855" w:name="_Toc313"/>
      <w:bookmarkEnd w:id="854"/>
      <w:r>
        <w:rPr/>
        <w:t>٣</w:t>
      </w:r>
      <w:r>
        <w:rPr>
          <w:rtl w:val="true"/>
        </w:rPr>
        <w:t xml:space="preserve">. </w:t>
      </w:r>
      <w:r>
        <w:rPr>
          <w:rtl w:val="true"/>
        </w:rPr>
        <w:t>نقش كافى در مذمت و تكفير صحابه</w:t>
      </w:r>
      <w:bookmarkEnd w:id="855"/>
    </w:p>
    <w:p>
      <w:pPr>
        <w:pStyle w:val="Heading5"/>
        <w:numPr>
          <w:ilvl w:val="4"/>
          <w:numId w:val="1"/>
        </w:numPr>
        <w:rPr/>
      </w:pPr>
      <w:bookmarkStart w:id="856" w:name="__RefHeading___Toc3767471_3650668749"/>
      <w:bookmarkStart w:id="857" w:name="_Toc314"/>
      <w:bookmarkEnd w:id="856"/>
      <w:r>
        <w:rPr>
          <w:rtl w:val="true"/>
        </w:rPr>
        <w:t>اشاره</w:t>
      </w:r>
      <w:bookmarkEnd w:id="857"/>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به‌مباحث گذشته و روشن شدن مبانى بحث در خصوص صحابه، در اين قسمت بايد ديد مرحوم كلينى در كتاب كافى چه مقدار در تكفير و مذمت صحابه نقش داشته كه اين‌گونه فرياد برخى از نويسندگان وهابى را در آورده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كافى پُر </w:t>
      </w:r>
    </w:p>
    <w:p>
      <w:pPr>
        <w:pStyle w:val="BookText"/>
        <w:rPr/>
      </w:pPr>
      <w:r>
        <w:rPr>
          <w:rFonts w:ascii="Amiri" w:hAnsi="Amiri" w:eastAsia="Amiri" w:cs="Amiri"/>
          <w:color w:val="111111"/>
          <w:sz w:val="28"/>
          <w:sz w:val="28"/>
          <w:szCs w:val="28"/>
          <w:rtl w:val="true"/>
          <w:lang w:bidi="ar-SA"/>
        </w:rPr>
        <w:t>است از تكفير و لعن و سبّ صحابه</w:t>
      </w:r>
      <w:r>
        <w:rPr>
          <w:rFonts w:eastAsia="Amiri" w:cs="Amiri" w:ascii="Amiri" w:hAnsi="Amiri"/>
          <w:color w:val="111111"/>
          <w:sz w:val="28"/>
          <w:szCs w:val="28"/>
          <w:rtl w:val="true"/>
          <w:lang w:bidi="ar-SA"/>
        </w:rPr>
        <w:t xml:space="preserve">» </w:t>
      </w:r>
      <w:r>
        <w:rPr>
          <w:rStyle w:val="FootnoteAnchor"/>
          <w:rtl w:val="true"/>
        </w:rPr>
        <w:footnoteReference w:id="2374"/>
      </w:r>
      <w:r>
        <w:rPr>
          <w:rFonts w:ascii="IRNazanin" w:hAnsi="IRNazanin" w:eastAsia="IRNazanin"/>
          <w:color w:val="111111"/>
          <w:sz w:val="28"/>
          <w:sz w:val="28"/>
          <w:szCs w:val="28"/>
          <w:rtl w:val="true"/>
          <w:lang w:bidi="fa-IR"/>
        </w:rPr>
        <w:t>آيا تنها در كافى حديث تكفير اصحاب نقل شده يا در منابع خود اهل‌سنت نيز چنين رواياتى به‌چشم مى‌خورد؟</w:t>
      </w:r>
    </w:p>
    <w:p>
      <w:pPr>
        <w:pStyle w:val="BookText"/>
        <w:rPr/>
      </w:pPr>
      <w:r>
        <w:rPr>
          <w:rFonts w:ascii="IRNazanin" w:hAnsi="IRNazanin" w:eastAsia="IRNazanin"/>
          <w:color w:val="111111"/>
          <w:sz w:val="28"/>
          <w:sz w:val="28"/>
          <w:szCs w:val="28"/>
          <w:rtl w:val="true"/>
          <w:lang w:bidi="fa-IR"/>
        </w:rPr>
        <w:t>با جست‌وجويى كه در اين كتاب، انجام شد، روايات زير به‌سرنوشت اصحاب پس از رسول‌الله اشاره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بن‌كثير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وَلاَ لِيَهْدِيَهُمْ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فلانٍ و فلان و فلان 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الامر وكفروا حيثُ عُرِضَت عَلَيهِم الوَلايةُ، حين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آمَنُوا بِالبَيعَةِ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كَفَرُوا حيثُ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يُقِرّوا بالبَيعةِ، ثّمَّ ازدادُوا كُفراً بِأخذِهم مَن بايعَهُ بالبيعةِ لهم، فهؤُلاءِ لَم يَبقَ فيهم مِن الايمان شَيءٌ</w:t>
      </w:r>
      <w:r>
        <w:rPr>
          <w:rFonts w:eastAsia="Amiri" w:cs="Amiri" w:ascii="Amiri" w:hAnsi="Amiri"/>
          <w:color w:val="111111"/>
          <w:sz w:val="28"/>
          <w:szCs w:val="28"/>
          <w:rtl w:val="true"/>
          <w:lang w:bidi="ar-SA"/>
        </w:rPr>
        <w:t xml:space="preserve">» </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به‌همان سند قبلى،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اَدْبَارِهِم مِّن بَعْدِ مَا تَبَيَّنَ لَهُمُ الْهُدَى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و فلانٌ و فلانٌ، إرتَدُّوا عَنِ الإيمانِ في تَركِ الولايةِ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w:t>
      </w:r>
      <w:r>
        <w:rPr>
          <w:rStyle w:val="FootnoteAnchor"/>
          <w:rtl w:val="true"/>
        </w:rPr>
        <w:footnoteReference w:id="2376"/>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معاويۀ بن وهب مى‌گويد به‌سوى مكه مى رفتيم پيرمردى خداجو و خداپرست به همراهِ ما بود كه مذهب شيعه را فرا نگرفته بود و در مسير راه نمازش را، كامل خواند، از قضا پيرمرد مريض شد؛ به برادرزاده شيعى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مذهب شيعه را به‌عموى خود معرّفى مى‌نمودى شايد خدا او را نجات دهد؛ همه اهل كاروان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او به‌همان حال خوبى كه دارد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برادرزاده‌اش بى‌صبرانه به‌عمويش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إرتَدُّوا بَعدَ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نَفَراً يسِيراً وكانَ لِعَلِى‌بن‌ابى‌طالب مِن الطّاعةِ 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بَعدَ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و الطّاعَةُ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پيرمرد نَفَسى تازه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bookmarkStart w:id="858" w:name="pg1976_28651"/>
    </w:p>
    <w:p>
      <w:pPr>
        <w:pStyle w:val="BookText"/>
        <w:rPr/>
      </w:pPr>
      <w:bookmarkEnd w:id="858"/>
      <w:r>
        <w:rPr>
          <w:rFonts w:ascii="IRNazanin" w:hAnsi="IRNazanin" w:eastAsia="IRNazanin"/>
          <w:color w:val="111111"/>
          <w:sz w:val="28"/>
          <w:sz w:val="28"/>
          <w:szCs w:val="28"/>
          <w:rtl w:val="true"/>
          <w:lang w:bidi="fa-IR"/>
        </w:rPr>
        <w:t>بر همين عقيده‌ام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شرفياب شديم و داستان را با امام در ميان گذاشتيم،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از اهل بهشت</w:t>
      </w:r>
      <w:r>
        <w:rPr>
          <w:rFonts w:eastAsia="IRNazanin" w:cs="IRNazanin"/>
          <w:color w:val="111111"/>
          <w:sz w:val="28"/>
          <w:szCs w:val="28"/>
          <w:rtl w:val="true"/>
          <w:lang w:bidi="fa-IR"/>
        </w:rPr>
        <w:t xml:space="preserve">!»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حمران‌بن‌أعين‌گويد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به‌فدايت، ما چه بسيار اندك هستيم، اگر همه بر سر يك‌گوسفند گردهم آييم نمى‌توانيم آن را تمام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أُحَدِّثُكَ بأعجَبَ من ذلك، المهاجرون و الانصارُ ذَهَبُوا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واشاره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w:t>
      </w:r>
      <w:r>
        <w:rPr>
          <w:rFonts w:eastAsia="IRNazanin" w:cs="IRNazanin"/>
          <w:color w:val="111111"/>
          <w:sz w:val="28"/>
          <w:szCs w:val="28"/>
          <w:rtl w:val="true"/>
          <w:lang w:bidi="fa-IR"/>
        </w:rPr>
        <w:t xml:space="preserve">»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كشّى روايت را از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به‌اين عبارت نقل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إرتَدَّ النَّاسُ إلّا ثَلاثةَ نَفَرٍ، سلمان و ابوذر و المقداد</w:t>
      </w:r>
      <w:r>
        <w:rPr>
          <w:rFonts w:eastAsia="Amiri" w:cs="Amiri" w:ascii="Amiri" w:hAnsi="Amiri"/>
          <w:color w:val="111111"/>
          <w:sz w:val="28"/>
          <w:szCs w:val="28"/>
          <w:rtl w:val="true"/>
          <w:lang w:bidi="ar-SA"/>
        </w:rPr>
        <w:t xml:space="preserve">. . . »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عبدالرّحيم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النّاسَ يَفزَعُونَ اذا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إرتَدُّوا؛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عبدالرَّحيم إنّ‌النَّاسَ عَادُوا بَعدَ مَا قُبِضَ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الجَاهِليّةِ، إنّ الأنصارَ إعتَزَلَت فلم تَعتَزِل بِخَيرٍ، جَعَلُوا يُبَايِعُونَ سَعداً و هُم يَرتَجِزُونَ ارتِجَازَ الجَاهِليَّةِ؛ يا سَعدُ أنتَ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مُرَجَّي، وَشَعرُكَ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مُرَجَّلُ، وَفحلُكَ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مُرَجَّمُ </w:t>
      </w:r>
      <w:r>
        <w:rPr>
          <w:rFonts w:eastAsia="IRNazanin" w:cs="IRNazanin"/>
          <w:color w:val="111111"/>
          <w:sz w:val="28"/>
          <w:szCs w:val="28"/>
          <w:rtl w:val="true"/>
          <w:lang w:bidi="fa-IR"/>
        </w:rPr>
        <w:t xml:space="preserve">»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3767473_3650668749"/>
      <w:bookmarkStart w:id="860" w:name="_Toc315"/>
      <w:bookmarkEnd w:id="859"/>
      <w:r>
        <w:rPr>
          <w:rtl w:val="true"/>
        </w:rPr>
        <w:t>بررسى و تبيين روايات</w:t>
      </w:r>
      <w:bookmarkEnd w:id="860"/>
    </w:p>
    <w:p>
      <w:pPr>
        <w:pStyle w:val="Heading6"/>
        <w:numPr>
          <w:ilvl w:val="5"/>
          <w:numId w:val="1"/>
        </w:numPr>
        <w:rPr/>
      </w:pPr>
      <w:bookmarkStart w:id="861" w:name="__RefHeading___Toc3767475_3650668749"/>
      <w:bookmarkStart w:id="862" w:name="_Toc316"/>
      <w:bookmarkEnd w:id="861"/>
      <w:r>
        <w:rPr>
          <w:rtl w:val="true"/>
        </w:rPr>
        <w:t>اشاره</w:t>
      </w:r>
      <w:bookmarkEnd w:id="86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اشاره شد، مجموع رواياتى است كه در كتاب اصول و روضۀ كافى در ارتباط با مذمت و ارتداد صحابه نقل شده است؛ اين روايات هر چند از نظر سند ضعيف به‌حساب مى‌آيد </w:t>
      </w:r>
      <w:r>
        <w:rPr>
          <w:rStyle w:val="FootnoteAnchor"/>
          <w:rtl w:val="true"/>
        </w:rPr>
        <w:footnoteReference w:id="2381"/>
      </w:r>
      <w:r>
        <w:rPr>
          <w:rFonts w:ascii="IRNazanin" w:hAnsi="IRNazanin" w:eastAsia="IRNazanin"/>
          <w:color w:val="111111"/>
          <w:sz w:val="28"/>
          <w:sz w:val="28"/>
          <w:szCs w:val="28"/>
          <w:rtl w:val="true"/>
          <w:lang w:bidi="fa-IR"/>
        </w:rPr>
        <w:t xml:space="preserve">ولى يك مطلب را خاطر نشان مى‌سازد و آن اينكه بعد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عده‌اى اندك از آن تعهد و پيمانى كه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خلافت و امامت على‌بن‌ابى‌طالب در غدير بسته بودند، بازگشتند و مسيرى غير آنچه </w:t>
      </w:r>
      <w:bookmarkStart w:id="863" w:name="pg1976_28654"/>
    </w:p>
    <w:p>
      <w:pPr>
        <w:pStyle w:val="BookText"/>
        <w:rPr/>
      </w:pPr>
      <w:bookmarkEnd w:id="863"/>
      <w:r>
        <w:rPr>
          <w:rFonts w:ascii="IRNazanin" w:hAnsi="IRNazanin" w:eastAsia="IRNazanin"/>
          <w:color w:val="111111"/>
          <w:sz w:val="28"/>
          <w:sz w:val="28"/>
          <w:szCs w:val="28"/>
          <w:rtl w:val="true"/>
          <w:lang w:bidi="fa-IR"/>
        </w:rPr>
        <w:t>مورد نظر پيامبر بود،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و رفع اعتراض منتقدان بر كلينى و كتاب اصول كافى، تذكر چند نكته لازم است</w:t>
      </w:r>
      <w:r>
        <w:rPr>
          <w:rFonts w:eastAsia="IRNazanin" w:cs="IRNazanin"/>
          <w:color w:val="111111"/>
          <w:sz w:val="28"/>
          <w:szCs w:val="28"/>
          <w:rtl w:val="true"/>
          <w:lang w:bidi="fa-IR"/>
        </w:rPr>
        <w:t>:</w:t>
      </w:r>
    </w:p>
    <w:p>
      <w:pPr>
        <w:pStyle w:val="Heading6"/>
        <w:numPr>
          <w:ilvl w:val="5"/>
          <w:numId w:val="1"/>
        </w:numPr>
        <w:rPr/>
      </w:pPr>
      <w:bookmarkStart w:id="864" w:name="__RefHeading___Toc3767477_3650668749"/>
      <w:bookmarkStart w:id="865" w:name="_Toc317"/>
      <w:bookmarkEnd w:id="864"/>
      <w:r>
        <w:rPr>
          <w:rtl w:val="true"/>
        </w:rPr>
        <w:t>الف</w:t>
      </w:r>
      <w:r>
        <w:rPr>
          <w:rtl w:val="true"/>
        </w:rPr>
        <w:t xml:space="preserve">) </w:t>
      </w:r>
      <w:r>
        <w:rPr>
          <w:rtl w:val="true"/>
        </w:rPr>
        <w:t>اختلاف در شأن نزول آيات</w:t>
      </w:r>
      <w:bookmarkEnd w:id="865"/>
    </w:p>
    <w:p>
      <w:pPr>
        <w:pStyle w:val="BookText"/>
        <w:rPr/>
      </w:pPr>
      <w:r>
        <w:rPr>
          <w:rFonts w:ascii="IRNazanin" w:hAnsi="IRNazanin" w:eastAsia="IRNazanin"/>
          <w:color w:val="111111"/>
          <w:sz w:val="28"/>
          <w:sz w:val="28"/>
          <w:szCs w:val="28"/>
          <w:rtl w:val="true"/>
          <w:lang w:bidi="fa-IR"/>
        </w:rPr>
        <w:t xml:space="preserve">همان‌گونه كه در بحث متهم‌كردن كلينى به تحريف قرآن، بررسى شد، روايات يك و دو، در صدد تفسير و تبيين آيات قرآن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كسى كه امام و مُفِسّر و براساس حديث صريح و متواتر ثقلين، عِدل قرآن است، آيات را به سرپيچى و پشت‌كردن مسلمانان به‌دستور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غديرخم تفسير مى‌كند؛ هر چند كه ميان مفسران در شأن نزول آيات اختلاف‌نظرهايى وجود دارد و بيشتر مورد نزول آنها را منافقين مى‌دانند </w:t>
      </w:r>
      <w:r>
        <w:rPr>
          <w:rStyle w:val="FootnoteAnchor"/>
          <w:rtl w:val="true"/>
        </w:rPr>
        <w:footnoteReference w:id="2382"/>
      </w:r>
      <w:r>
        <w:rPr>
          <w:rFonts w:ascii="IRNazanin" w:hAnsi="IRNazanin" w:eastAsia="IRNazanin"/>
          <w:color w:val="111111"/>
          <w:sz w:val="28"/>
          <w:sz w:val="28"/>
          <w:szCs w:val="28"/>
          <w:rtl w:val="true"/>
          <w:lang w:bidi="fa-IR"/>
        </w:rPr>
        <w:t xml:space="preserve">در حديث نخست، اگر دو آيه در هم آميخته مورد استناد قرارگرفته، بدان جهت است كه بفهماند موضوع هر دو آيه، يكى است و يا يكى تفسير ديگرى است </w:t>
      </w:r>
      <w:r>
        <w:rPr>
          <w:rStyle w:val="FootnoteAnchor"/>
          <w:rtl w:val="true"/>
        </w:rPr>
        <w:footnoteReference w:id="2383"/>
      </w:r>
      <w:r>
        <w:rPr>
          <w:rFonts w:ascii="Amiri" w:hAnsi="Amiri" w:eastAsia="Amiri" w:cs="Amiri"/>
          <w:color w:val="111111"/>
          <w:sz w:val="28"/>
          <w:sz w:val="28"/>
          <w:szCs w:val="28"/>
          <w:rtl w:val="true"/>
          <w:lang w:bidi="ar-SA"/>
        </w:rPr>
        <w:t xml:space="preserve">نَه اينكه ادامه آيه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جملۀ لن‌تقبل توبتهم باشد تا تصور تحريف برود</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3767479_3650668749"/>
      <w:bookmarkStart w:id="867" w:name="_Toc318"/>
      <w:bookmarkEnd w:id="866"/>
      <w:r>
        <w:rPr>
          <w:rtl w:val="true"/>
        </w:rPr>
        <w:t>ب</w:t>
      </w:r>
      <w:r>
        <w:rPr>
          <w:rtl w:val="true"/>
        </w:rPr>
        <w:t xml:space="preserve">) </w:t>
      </w:r>
      <w:r>
        <w:rPr>
          <w:rtl w:val="true"/>
        </w:rPr>
        <w:t>مساوى نبودن ارتداد با خروج از دين</w:t>
      </w:r>
      <w:bookmarkEnd w:id="86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مساوى نبودن ارتداد با خروج از دين </w:t>
      </w:r>
      <w:r>
        <w:rPr>
          <w:rStyle w:val="FootnoteAnchor"/>
          <w:rtl w:val="true"/>
        </w:rPr>
        <w:footnoteReference w:id="238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به‌شواهدى كه در متن روايات وجود دارد، مقصود از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إرتداد</w:t>
      </w:r>
      <w:r>
        <w:rPr>
          <w:rFonts w:eastAsia="Amiri" w:cs="Amiri" w:ascii="Amiri" w:hAnsi="Amiri"/>
          <w:color w:val="111111"/>
          <w:sz w:val="28"/>
          <w:szCs w:val="28"/>
          <w:rtl w:val="true"/>
          <w:lang w:bidi="ar-SA"/>
        </w:rPr>
        <w:t xml:space="preserve">» </w:t>
      </w:r>
      <w:r>
        <w:rPr>
          <w:rStyle w:val="FootnoteAnchor"/>
          <w:rtl w:val="true"/>
        </w:rPr>
        <w:footnoteReference w:id="2385"/>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به‌معناى خروج از دين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Style w:val="FootnoteAnchor"/>
          <w:rtl w:val="true"/>
        </w:rPr>
        <w:footnoteReference w:id="2386"/>
      </w:r>
      <w:r>
        <w:rPr>
          <w:rFonts w:ascii="IRNazanin" w:hAnsi="IRNazanin" w:eastAsia="IRNazanin"/>
          <w:color w:val="111111"/>
          <w:sz w:val="28"/>
          <w:sz w:val="28"/>
          <w:szCs w:val="28"/>
          <w:rtl w:val="true"/>
          <w:lang w:bidi="fa-IR"/>
        </w:rPr>
        <w:t xml:space="preserve">، اسلام نيست بلكه روح اصلى روايات اين است كه بعد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مسلمانان از تعهّد و پيمانى‌كه با رسول‌خدا در مورد خلافت و جانشينى او بسته بودند، بازگشتند و به‌ولايت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نياوردند </w:t>
      </w:r>
      <w:r>
        <w:rPr>
          <w:rStyle w:val="FootnoteAnchor"/>
          <w:rtl w:val="true"/>
        </w:rPr>
        <w:footnoteReference w:id="2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از اسلام نيز خارج شدند يا نَه، روايات ساكت است؛ چه اينكه واژۀ ارتداد، در ابتداى حكومت ابوبكر به‌معناى سر باز زدن از پرداخت زكات به‌نشانه اعتراض بر حكومت او، به‌كار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وإرتدت العرب منعُوا الزّكاةَ </w:t>
      </w:r>
      <w:r>
        <w:rPr>
          <w:rFonts w:eastAsia="IRNazanin" w:cs="IRNazanin"/>
          <w:color w:val="111111"/>
          <w:sz w:val="28"/>
          <w:szCs w:val="28"/>
          <w:rtl w:val="true"/>
          <w:lang w:bidi="fa-IR"/>
        </w:rPr>
        <w:t xml:space="preserve">» </w:t>
      </w:r>
      <w:r>
        <w:rPr>
          <w:rStyle w:val="FootnoteAnchor"/>
          <w:rtl w:val="true"/>
        </w:rPr>
        <w:footnoteReference w:id="2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ابن‌أثير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به‌دو گروه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صنفى از دين خارج شدند مانند اصحاب مُسَيلمةالكذّاب و يا از اسلام برگشتند و به‌جاهليت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دوم از اهل ردّه، از اسلام خارج نشدند بلكه تنها فرض بودن زكات را منكر شدند و آيه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اَمْوَالِهِمْ صَدَقَةً تُطَهِّرُهُمْ وَتُزَكِّيهِم بِهَا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مخصوص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و به‌همين جهت عمربن‌الخطاب در مورد قتال با آنها ترديد داشت</w:t>
      </w:r>
      <w:r>
        <w:rPr>
          <w:rFonts w:eastAsia="IRNazanin" w:cs="IRNazanin"/>
          <w:color w:val="111111"/>
          <w:sz w:val="28"/>
          <w:szCs w:val="28"/>
          <w:rtl w:val="true"/>
          <w:lang w:bidi="fa-IR"/>
        </w:rPr>
        <w:t xml:space="preserve">. </w:t>
      </w:r>
      <w:r>
        <w:rPr>
          <w:rStyle w:val="FootnoteAnchor"/>
          <w:rtl w:val="true"/>
        </w:rPr>
        <w:footnoteReference w:id="2389"/>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اين معنا با توجّه به‌عبارات زير در كافى كاملاً روشن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وكفروا حيثُ عُرِضَت عليهم الولاية حين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آمنوا بالبيعة لِاَميرالمؤمنين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390"/>
      </w:r>
      <w:r>
        <w:rPr>
          <w:rFonts w:ascii="Amiri" w:hAnsi="Amiri" w:eastAsia="Amiri" w:cs="Amiri"/>
          <w:color w:val="111111"/>
          <w:sz w:val="28"/>
          <w:sz w:val="28"/>
          <w:szCs w:val="28"/>
          <w:rtl w:val="true"/>
          <w:lang w:bidi="ar-SA"/>
        </w:rPr>
        <w:t>ثُمّ كَفَروُا حيثُ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يقِرّوا بالبيعة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در روايت نخست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إرتَدّوا عن الاِيمان في ترك ولاية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حديث دوم، و عبارت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كان لعلي‌بن‌ابي‌طالب مِن الطّاعةِ مَا كان لرسول‌الله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بعدَ رسول الله الحقُّ والطاعةُ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سوم، وتعبير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ألمهاجرون والانصار ذَهَبُوا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چهارم،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عادُوا بعدَ ما قُبِض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الجاهلية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يعنى رها نمودن شايستگى‌هاى دينى وارزشى و رجوع به قبيله‌گرايى و شيخ‌پرستى، در حديث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ناگفته پيداست كه اين قضيه در همان لحظات نخست رحلت جانكاه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هنوز بدن مطهرش درميان امت اسلامى بود، به‌وقوع پيوست و نطفه اختلاف و انحراف و پشت كردن به‌وصايا ودستورات پيامبرخدا در سقيفه بنى‌ساعده، منعقد گشت وهنوز كه هنوز است اين نطفه نا مبارك زايش ورويش مى‌كند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مقصود كلينى از نقل روايات عنوان شده، تكفير صحابه به‌معناى </w:t>
      </w:r>
      <w:bookmarkStart w:id="868" w:name="pg1976_28660"/>
    </w:p>
    <w:p>
      <w:pPr>
        <w:pStyle w:val="BookText"/>
        <w:rPr/>
      </w:pPr>
      <w:bookmarkEnd w:id="868"/>
      <w:r>
        <w:rPr>
          <w:rFonts w:ascii="IRNazanin" w:hAnsi="IRNazanin" w:eastAsia="IRNazanin"/>
          <w:color w:val="111111"/>
          <w:sz w:val="28"/>
          <w:sz w:val="28"/>
          <w:szCs w:val="28"/>
          <w:rtl w:val="true"/>
          <w:lang w:bidi="fa-IR"/>
        </w:rPr>
        <w:t>خروج از دين نبوده است؛ براى اينكه وى در جاى ديگر از كتابش</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تحت عنوان دو باب مى‌آورد مبنى بر اينكه 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ايمان به‌ولايت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اسلام را مى‌آورد و خون و مال و جان و ناموس او در سايۀ اسلام محفوظ است، هر چند او مؤمن به‌معناى خاص محسوب نمى‌شود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9" w:name="__RefHeading___Toc3767481_3650668749"/>
      <w:bookmarkStart w:id="870" w:name="_Toc319"/>
      <w:bookmarkEnd w:id="869"/>
      <w:r>
        <w:rPr>
          <w:rtl w:val="true"/>
        </w:rPr>
        <w:t>ج</w:t>
      </w:r>
      <w:r>
        <w:rPr>
          <w:rtl w:val="true"/>
        </w:rPr>
        <w:t xml:space="preserve">) </w:t>
      </w:r>
      <w:r>
        <w:rPr>
          <w:rtl w:val="true"/>
        </w:rPr>
        <w:t>استثناى سه نفر به‌عنوان سمبل</w:t>
      </w:r>
      <w:bookmarkEnd w:id="87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چهارم كه سه نفر از حكم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المهاجرون و الانصار ذهبوا الّا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است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عمق فاجعه را با اين عبارت بيان نمايد كه به‌نوعى همه، جز سه نفر، برآن تعهد و بيعت خويش باقى نماندند؛ زيرا بى‌ترديد افراد ديگر مانند ابن‌عبّاس، بنى‌هاشم و فرزندان 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كنار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شاخص‌ترين و باوفاترين صحابى و يار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مى‌شدند، چنان‌كه ابن‌حجر از ترمذى و حاكم اين روايت صحيح را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اِنّ‌اللهَ أمَرَنِي ِبحُبِّ أربَعَةٍ، و أخبَرَني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يُحبُّهم، قيل 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مِنهُم، يَقُولُ ذلكَ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أبوذر و المقداد و سلمان </w:t>
      </w:r>
      <w:r>
        <w:rPr>
          <w:rFonts w:eastAsia="IRNazanin" w:cs="IRNazanin"/>
          <w:color w:val="111111"/>
          <w:sz w:val="28"/>
          <w:szCs w:val="28"/>
          <w:rtl w:val="true"/>
          <w:lang w:bidi="fa-IR"/>
        </w:rPr>
        <w:t xml:space="preserve">» </w:t>
      </w:r>
      <w:r>
        <w:rPr>
          <w:rStyle w:val="FootnoteAnchor"/>
          <w:rtl w:val="true"/>
        </w:rPr>
        <w:footnoteReference w:id="2392"/>
      </w:r>
      <w:r>
        <w:rPr>
          <w:rFonts w:ascii="IRNazanin" w:hAnsi="IRNazanin" w:eastAsia="IRNazanin"/>
          <w:color w:val="111111"/>
          <w:sz w:val="28"/>
          <w:sz w:val="28"/>
          <w:szCs w:val="28"/>
          <w:rtl w:val="true"/>
          <w:lang w:bidi="fa-IR"/>
        </w:rPr>
        <w:t>و در حقيقت اين‌ها سمبل و ملاك ارزيابى باقى اصحاب و به‌طور كلى حق و باطل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معاصر اهل‌سنت نيز غير از بنى‌هاشم، همين سه نفر و عمار و حذيفه را از خالص‌ترين و صادقانه‌ترين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بزرگان شيعه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مى‌برد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 xml:space="preserve">. </w:t>
      </w:r>
      <w:bookmarkStart w:id="871" w:name="pg1976_28662"/>
    </w:p>
    <w:p>
      <w:pPr>
        <w:pStyle w:val="BookText"/>
        <w:rPr/>
      </w:pPr>
      <w:bookmarkEnd w:id="871"/>
      <w:r>
        <w:rPr>
          <w:rFonts w:ascii="IRNazanin" w:hAnsi="IRNazanin" w:eastAsia="IRNazanin"/>
          <w:color w:val="111111"/>
          <w:sz w:val="28"/>
          <w:sz w:val="28"/>
          <w:szCs w:val="28"/>
          <w:rtl w:val="true"/>
          <w:lang w:bidi="fa-IR"/>
        </w:rPr>
        <w:t>بنابراين، اينكه قفارى با استفاده از اين روايات،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فالحُكم بالرّدة في هذه النّصوص شامل للصحابة و أهل البيت النّبوي من زوجات رسول‌الله و قرابته </w:t>
      </w:r>
      <w:r>
        <w:rPr>
          <w:rFonts w:eastAsia="IRNazanin" w:cs="IRNazanin"/>
          <w:color w:val="111111"/>
          <w:sz w:val="28"/>
          <w:szCs w:val="28"/>
          <w:rtl w:val="true"/>
          <w:lang w:bidi="fa-IR"/>
        </w:rPr>
        <w:t xml:space="preserve">. . .» </w:t>
      </w:r>
      <w:r>
        <w:rPr>
          <w:rStyle w:val="FootnoteAnchor"/>
          <w:rtl w:val="true"/>
        </w:rPr>
        <w:footnoteReference w:id="2394"/>
      </w:r>
      <w:r>
        <w:rPr>
          <w:rFonts w:ascii="IRNazanin" w:hAnsi="IRNazanin" w:eastAsia="IRNazanin"/>
          <w:color w:val="111111"/>
          <w:sz w:val="28"/>
          <w:sz w:val="28"/>
          <w:szCs w:val="28"/>
          <w:rtl w:val="true"/>
          <w:lang w:bidi="fa-IR"/>
        </w:rPr>
        <w:t xml:space="preserve">، برداشت كاملاً انحرافى و نادرست است و با توضيحى كه داده شد استثناء چند نفر، به‌عنوان مثال است 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حصر اضافى است نه حقيقى</w:t>
      </w:r>
      <w:r>
        <w:rPr>
          <w:rFonts w:eastAsia="IRNazanin" w:cs="IRNazanin"/>
          <w:color w:val="111111"/>
          <w:sz w:val="28"/>
          <w:szCs w:val="28"/>
          <w:rtl w:val="true"/>
          <w:lang w:bidi="fa-IR"/>
        </w:rPr>
        <w:t>.</w:t>
      </w:r>
    </w:p>
    <w:p>
      <w:pPr>
        <w:pStyle w:val="Heading4"/>
        <w:numPr>
          <w:ilvl w:val="3"/>
          <w:numId w:val="1"/>
        </w:numPr>
        <w:rPr/>
      </w:pPr>
      <w:bookmarkStart w:id="872" w:name="__RefHeading___Toc3767483_3650668749"/>
      <w:bookmarkStart w:id="873" w:name="_Toc320"/>
      <w:bookmarkEnd w:id="872"/>
      <w:r>
        <w:rPr/>
        <w:t>۴</w:t>
      </w:r>
      <w:r>
        <w:rPr>
          <w:rtl w:val="true"/>
        </w:rPr>
        <w:t xml:space="preserve">. </w:t>
      </w:r>
      <w:r>
        <w:rPr>
          <w:rtl w:val="true"/>
        </w:rPr>
        <w:t>نقش منابع اهل‌سنت در مرتد خواندن و تكفير صحابه</w:t>
      </w:r>
      <w:bookmarkEnd w:id="873"/>
    </w:p>
    <w:p>
      <w:pPr>
        <w:pStyle w:val="Heading5"/>
        <w:numPr>
          <w:ilvl w:val="4"/>
          <w:numId w:val="1"/>
        </w:numPr>
        <w:rPr/>
      </w:pPr>
      <w:bookmarkStart w:id="874" w:name="__RefHeading___Toc3767485_3650668749"/>
      <w:bookmarkStart w:id="875" w:name="_Toc321"/>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 xml:space="preserve">چنانچه منتقدان بر اصول كافى پا فشارى نمايند كه كلينى با نقل آن روايات، اعتقاد به‌مذمت و تكفير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تكفير به‌معناى خروج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ترويج و بنيان نهاده است، در پاسخ بايد گفت از قضا بيشترين نقش در تكفير و ارتداد صحابه را مهم‌ترين منابع مورد پسند وهابى‌ها ايفا نموده است و ده‌ها روايت را از زبان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سوء عاقبت براى اصحاب بر شمرده است كه به‌متن چند نمونه از آنها بسنده مى‌گردد</w:t>
      </w:r>
      <w:r>
        <w:rPr>
          <w:rFonts w:eastAsia="IRNazanin" w:cs="IRNazanin"/>
          <w:color w:val="111111"/>
          <w:sz w:val="28"/>
          <w:szCs w:val="28"/>
          <w:rtl w:val="true"/>
          <w:lang w:bidi="fa-IR"/>
        </w:rPr>
        <w:t>:</w:t>
      </w:r>
    </w:p>
    <w:p>
      <w:pPr>
        <w:pStyle w:val="Heading5"/>
        <w:numPr>
          <w:ilvl w:val="4"/>
          <w:numId w:val="1"/>
        </w:numPr>
        <w:rPr/>
      </w:pPr>
      <w:bookmarkStart w:id="876" w:name="__RefHeading___Toc3767487_3650668749"/>
      <w:bookmarkStart w:id="877" w:name="_Toc322"/>
      <w:bookmarkEnd w:id="876"/>
      <w:r>
        <w:rPr>
          <w:rtl w:val="true"/>
        </w:rPr>
        <w:t>الف</w:t>
      </w:r>
      <w:r>
        <w:rPr>
          <w:rtl w:val="true"/>
        </w:rPr>
        <w:t xml:space="preserve">) </w:t>
      </w:r>
      <w:r>
        <w:rPr>
          <w:rtl w:val="true"/>
        </w:rPr>
        <w:t>اصحاب دربند كشيده شده</w:t>
      </w:r>
      <w:bookmarkEnd w:id="87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مى‌گويد روزى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موعظانه خود به‌اصحاب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تُحشَرُونَ إلى‌اللهِ حُفَاةً عُرَاةً غُرلاً، كَمَا بَدَأنَا أوّلَ خَلقٍ نُعِيدُهُ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ألا وَإنَّهُ سَيُجاءُ بِرِجَالٍ مِن أُمَّتِي فَيُؤخَذُ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أصحَابِي،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العَبدُ الصَّالِحُ</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وَكُنتُ عَلَيْهِمْ شَهِيداً مَّا دُمْتُ فِيهِمْ فَلَمَّا تَوَفَّيْتَنِى كُنتَ اَنتَ الرَّقِيبَ عَلَيْهِمْ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يَزَالُوا مُرتَدِّينَ عَلَى أعقَابِهِم مُنذُ فَارَقتَهُم </w:t>
      </w:r>
      <w:r>
        <w:rPr>
          <w:rFonts w:eastAsia="IRNazanin" w:cs="IRNazanin"/>
          <w:color w:val="111111"/>
          <w:sz w:val="28"/>
          <w:szCs w:val="28"/>
          <w:rtl w:val="true"/>
          <w:lang w:bidi="fa-IR"/>
        </w:rPr>
        <w:t xml:space="preserve">» </w:t>
      </w:r>
      <w:r>
        <w:rPr>
          <w:rStyle w:val="FootnoteAnchor"/>
          <w:rtl w:val="true"/>
        </w:rPr>
        <w:footnoteReference w:id="2395"/>
      </w:r>
      <w:bookmarkStart w:id="878" w:name="pg1976_28664"/>
    </w:p>
    <w:p>
      <w:pPr>
        <w:pStyle w:val="Heading5"/>
        <w:numPr>
          <w:ilvl w:val="4"/>
          <w:numId w:val="1"/>
        </w:numPr>
        <w:rPr/>
      </w:pPr>
      <w:bookmarkStart w:id="879" w:name="__RefHeading___Toc3767489_3650668749"/>
      <w:bookmarkStart w:id="880" w:name="_Toc323"/>
      <w:bookmarkEnd w:id="878"/>
      <w:bookmarkEnd w:id="879"/>
      <w:r>
        <w:rPr>
          <w:rtl w:val="true"/>
        </w:rPr>
        <w:t>ب</w:t>
      </w:r>
      <w:r>
        <w:rPr>
          <w:rtl w:val="true"/>
        </w:rPr>
        <w:t xml:space="preserve">) </w:t>
      </w:r>
      <w:r>
        <w:rPr>
          <w:rtl w:val="true"/>
        </w:rPr>
        <w:t>عدم اجازه ورود بر حوض</w:t>
      </w:r>
      <w:bookmarkEnd w:id="880"/>
    </w:p>
    <w:p>
      <w:pPr>
        <w:pStyle w:val="BookText"/>
        <w:rPr/>
      </w:pPr>
      <w:r>
        <w:rPr>
          <w:rFonts w:ascii="Amiri" w:hAnsi="Amiri" w:eastAsia="Amiri" w:cs="Amiri"/>
          <w:color w:val="111111"/>
          <w:sz w:val="28"/>
          <w:sz w:val="28"/>
          <w:szCs w:val="28"/>
          <w:rtl w:val="true"/>
          <w:lang w:bidi="ar-SA"/>
        </w:rPr>
        <w:t xml:space="preserve">ابن أبى‌مُلَيكه از اسماء و او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على حَوضِي أنتَظِرُ مَن يَرِدُ عَلَيَّ، فَيُؤخَذُ بِنَاسٍ مِن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 مَشَوا عَلَى القَهقَرَى </w:t>
      </w:r>
      <w:r>
        <w:rPr>
          <w:rFonts w:eastAsia="Amiri" w:cs="Amiri" w:ascii="Amiri" w:hAnsi="Amiri"/>
          <w:color w:val="111111"/>
          <w:sz w:val="28"/>
          <w:szCs w:val="28"/>
          <w:rtl w:val="true"/>
          <w:lang w:bidi="ar-SA"/>
        </w:rPr>
        <w:t xml:space="preserve">» </w:t>
      </w:r>
      <w:r>
        <w:rPr>
          <w:rStyle w:val="FootnoteAnchor"/>
          <w:rtl w:val="true"/>
        </w:rPr>
        <w:footnoteReference w:id="2396"/>
      </w:r>
    </w:p>
    <w:p>
      <w:pPr>
        <w:pStyle w:val="BookText"/>
        <w:rPr/>
      </w:pPr>
      <w:r>
        <w:rPr>
          <w:rFonts w:ascii="IRNazanin" w:hAnsi="IRNazanin" w:eastAsia="IRNazanin"/>
          <w:color w:val="111111"/>
          <w:sz w:val="28"/>
          <w:sz w:val="28"/>
          <w:szCs w:val="28"/>
          <w:rtl w:val="true"/>
          <w:lang w:bidi="fa-IR"/>
        </w:rPr>
        <w:t>در جاى ديگر، همين حديث را به‌اين عبارت نقل مى‌كند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مِنّي ومِن أُمَّتي،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شَعَرتَ مَا عَمِلُوا بَعدَكَ، وَاللهِ مَا بَرِحُوا يَرجِعُونَ عَلَى أعقَابِهِم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فكانَ ابن‌أبي‌مَليكة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َإنَّا نعُوذُ بِكَ أن نَرجِعَ عَلَى أعقَابِنَا، أونُفتَنُ عَن دِينِنَا</w:t>
      </w:r>
      <w:r>
        <w:rPr>
          <w:rFonts w:eastAsia="IRNazanin" w:cs="IRNazanin"/>
          <w:color w:val="111111"/>
          <w:sz w:val="28"/>
          <w:szCs w:val="28"/>
          <w:rtl w:val="true"/>
          <w:lang w:bidi="fa-IR"/>
        </w:rPr>
        <w:t xml:space="preserve">» </w:t>
      </w:r>
      <w:r>
        <w:rPr>
          <w:rStyle w:val="FootnoteAnchor"/>
          <w:rtl w:val="true"/>
        </w:rPr>
        <w:footnoteReference w:id="2397"/>
      </w:r>
    </w:p>
    <w:p>
      <w:pPr>
        <w:pStyle w:val="Heading5"/>
        <w:numPr>
          <w:ilvl w:val="4"/>
          <w:numId w:val="1"/>
        </w:numPr>
        <w:rPr/>
      </w:pPr>
      <w:bookmarkStart w:id="881" w:name="__RefHeading___Toc3767491_3650668749"/>
      <w:bookmarkStart w:id="882" w:name="_Toc324"/>
      <w:bookmarkEnd w:id="881"/>
      <w:r>
        <w:rPr>
          <w:rtl w:val="true"/>
        </w:rPr>
        <w:t>ج</w:t>
      </w:r>
      <w:r>
        <w:rPr>
          <w:rtl w:val="true"/>
        </w:rPr>
        <w:t xml:space="preserve">) </w:t>
      </w:r>
      <w:r>
        <w:rPr>
          <w:rtl w:val="true"/>
        </w:rPr>
        <w:t>دُور باد</w:t>
      </w:r>
      <w:r>
        <w:rPr>
          <w:rtl w:val="true"/>
        </w:rPr>
        <w:t xml:space="preserve">! </w:t>
      </w:r>
      <w:r>
        <w:rPr>
          <w:rtl w:val="true"/>
        </w:rPr>
        <w:t>دُور باد</w:t>
      </w:r>
      <w:r>
        <w:rPr>
          <w:rtl w:val="true"/>
        </w:rPr>
        <w:t>!</w:t>
      </w:r>
      <w:bookmarkEnd w:id="882"/>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سهل‌بن‌سعد مى‌گويد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فَرَطُكُم </w:t>
      </w:r>
      <w:r>
        <w:rPr>
          <w:rStyle w:val="FootnoteAnchor"/>
          <w:rtl w:val="true"/>
        </w:rPr>
        <w:footnoteReference w:id="2398"/>
      </w:r>
      <w:r>
        <w:rPr>
          <w:rFonts w:ascii="IRNazanin" w:hAnsi="IRNazanin" w:eastAsia="IRNazanin"/>
          <w:color w:val="111111"/>
          <w:sz w:val="28"/>
          <w:sz w:val="28"/>
          <w:szCs w:val="28"/>
          <w:rtl w:val="true"/>
          <w:lang w:bidi="fa-IR"/>
        </w:rPr>
        <w:t xml:space="preserve">عَلَى الحَوضِ، مَن وَرَدَهُ شَرِبَ مِنهُ، و مَن شَرِبَ مِنهُ لم يَظمَأ بَعدَه أبَداً، لَيَرِدَنَّ عَلَيَّ أقوامٌ أعرِفُهُم ويَعرِفُونِي، ثُمَّ يُحَالُ بَينِي وبَينَهُم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ابوحازم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حديث را نعمان‌بن أبى‌عياش از من شنيد، گفت آن را از سهل شنيدى؟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ابى‌سعيدالخدرى اين جمله را نيز بر آن مى‌افزود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بَدَّلُوا بَعدَكَ،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لِمَن بَدَّلَ بَعدِي </w:t>
      </w:r>
      <w:r>
        <w:rPr>
          <w:rFonts w:eastAsia="IRNazanin" w:cs="IRNazanin"/>
          <w:color w:val="111111"/>
          <w:sz w:val="28"/>
          <w:szCs w:val="28"/>
          <w:rtl w:val="true"/>
          <w:lang w:bidi="fa-IR"/>
        </w:rPr>
        <w:t xml:space="preserve">» </w:t>
      </w:r>
      <w:r>
        <w:rPr>
          <w:rStyle w:val="FootnoteAnchor"/>
          <w:rtl w:val="true"/>
        </w:rPr>
        <w:footnoteReference w:id="2399"/>
      </w:r>
      <w:bookmarkStart w:id="883" w:name="pg1976_28666"/>
    </w:p>
    <w:p>
      <w:pPr>
        <w:pStyle w:val="Heading5"/>
        <w:numPr>
          <w:ilvl w:val="4"/>
          <w:numId w:val="1"/>
        </w:numPr>
        <w:rPr/>
      </w:pPr>
      <w:bookmarkStart w:id="884" w:name="__RefHeading___Toc3767493_3650668749"/>
      <w:bookmarkStart w:id="885" w:name="_Toc325"/>
      <w:bookmarkEnd w:id="883"/>
      <w:bookmarkEnd w:id="884"/>
      <w:r>
        <w:rPr>
          <w:rtl w:val="true"/>
        </w:rPr>
        <w:t>د</w:t>
      </w:r>
      <w:r>
        <w:rPr>
          <w:rtl w:val="true"/>
        </w:rPr>
        <w:t xml:space="preserve">) </w:t>
      </w:r>
      <w:r>
        <w:rPr>
          <w:rtl w:val="true"/>
        </w:rPr>
        <w:t>ارتكاب جنايت</w:t>
      </w:r>
      <w:bookmarkEnd w:id="885"/>
    </w:p>
    <w:p>
      <w:pPr>
        <w:pStyle w:val="BookText"/>
        <w:rPr/>
      </w:pPr>
      <w:r>
        <w:rPr>
          <w:rFonts w:ascii="Amiri" w:hAnsi="Amiri" w:eastAsia="Amiri" w:cs="Amiri"/>
          <w:color w:val="111111"/>
          <w:sz w:val="28"/>
          <w:sz w:val="28"/>
          <w:szCs w:val="28"/>
          <w:rtl w:val="true"/>
          <w:lang w:bidi="ar-SA"/>
        </w:rPr>
        <w:t xml:space="preserve">أبى‌وائل از عبدالله، و او از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فَرَطُكُم عَلَى‌الحَوضِ، فلَيُرفَعَنَّ إليَّ رِجَالٌ مِنكُم، حَتَّى إذا أهوَيتُ لِأُناوِلهُمُ إختُلِجُوا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لاتَدرِي مَا أحدَثُوا بَعدَكَ </w:t>
      </w:r>
      <w:r>
        <w:rPr>
          <w:rFonts w:eastAsia="Amiri" w:cs="Amiri" w:ascii="Amiri" w:hAnsi="Amiri"/>
          <w:color w:val="111111"/>
          <w:sz w:val="28"/>
          <w:szCs w:val="28"/>
          <w:rtl w:val="true"/>
          <w:lang w:bidi="ar-SA"/>
        </w:rPr>
        <w:t xml:space="preserve">» </w:t>
      </w:r>
      <w:r>
        <w:rPr>
          <w:rStyle w:val="FootnoteAnchor"/>
          <w:rtl w:val="true"/>
        </w:rPr>
        <w:footnoteReference w:id="2400"/>
      </w:r>
    </w:p>
    <w:p>
      <w:pPr>
        <w:pStyle w:val="Heading5"/>
        <w:numPr>
          <w:ilvl w:val="4"/>
          <w:numId w:val="1"/>
        </w:numPr>
        <w:rPr/>
      </w:pPr>
      <w:bookmarkStart w:id="886" w:name="__RefHeading___Toc3767495_3650668749"/>
      <w:bookmarkStart w:id="887" w:name="_Toc326"/>
      <w:bookmarkEnd w:id="886"/>
      <w:r>
        <w:rPr>
          <w:rtl w:val="true"/>
        </w:rPr>
        <w:t>ه</w:t>
      </w:r>
      <w:r>
        <w:rPr>
          <w:rtl w:val="true"/>
        </w:rPr>
        <w:t xml:space="preserve">) </w:t>
      </w:r>
      <w:r>
        <w:rPr>
          <w:rtl w:val="true"/>
        </w:rPr>
        <w:t>بازگشت به‌قهقرى</w:t>
      </w:r>
      <w:bookmarkEnd w:id="887"/>
    </w:p>
    <w:p>
      <w:pPr>
        <w:pStyle w:val="BookText"/>
        <w:rPr/>
      </w:pPr>
      <w:r>
        <w:rPr>
          <w:rFonts w:ascii="Amiri" w:hAnsi="Amiri" w:eastAsia="Amiri" w:cs="Amiri"/>
          <w:color w:val="111111"/>
          <w:sz w:val="28"/>
          <w:sz w:val="28"/>
          <w:szCs w:val="28"/>
          <w:rtl w:val="true"/>
          <w:lang w:bidi="ar-SA"/>
        </w:rPr>
        <w:t xml:space="preserve">سعيدبن‌مسيب از ابى‌هريره و او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مى‌كند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عَلَيَّ يَومَ القيَامَةِ رَهطٌ </w:t>
      </w:r>
      <w:r>
        <w:rPr>
          <w:rStyle w:val="FootnoteAnchor"/>
          <w:rtl w:val="true"/>
        </w:rPr>
        <w:footnoteReference w:id="2401"/>
      </w:r>
      <w:r>
        <w:rPr>
          <w:rFonts w:ascii="Amiri" w:hAnsi="Amiri" w:eastAsia="Amiri" w:cs="Amiri"/>
          <w:color w:val="111111"/>
          <w:sz w:val="28"/>
          <w:sz w:val="28"/>
          <w:szCs w:val="28"/>
          <w:rtl w:val="true"/>
          <w:lang w:bidi="ar-SA"/>
        </w:rPr>
        <w:t xml:space="preserve">مِن أصحَابي، فَيُجلَونَ </w:t>
      </w:r>
      <w:r>
        <w:rPr>
          <w:rStyle w:val="FootnoteAnchor"/>
          <w:rtl w:val="true"/>
        </w:rPr>
        <w:footnoteReference w:id="2402"/>
      </w:r>
      <w:r>
        <w:rPr>
          <w:rFonts w:ascii="Amiri" w:hAnsi="Amiri" w:eastAsia="Amiri" w:cs="Amiri"/>
          <w:color w:val="111111"/>
          <w:sz w:val="28"/>
          <w:sz w:val="28"/>
          <w:szCs w:val="28"/>
          <w:rtl w:val="true"/>
          <w:lang w:bidi="ar-SA"/>
        </w:rPr>
        <w:t>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لاعِلمَ لَكَ بِمَا أحدَثُوا بَعدَكَ، إنّهُمَ ارتَدُّوا عَلَى أدبَارِهِمُ القَهقَرَى </w:t>
      </w:r>
      <w:r>
        <w:rPr>
          <w:rFonts w:eastAsia="Amiri" w:cs="Amiri" w:ascii="Amiri" w:hAnsi="Amiri"/>
          <w:color w:val="111111"/>
          <w:sz w:val="28"/>
          <w:szCs w:val="28"/>
          <w:rtl w:val="true"/>
          <w:lang w:bidi="ar-SA"/>
        </w:rPr>
        <w:t xml:space="preserve">» </w:t>
      </w:r>
      <w:r>
        <w:rPr>
          <w:rStyle w:val="FootnoteAnchor"/>
          <w:rtl w:val="true"/>
        </w:rPr>
        <w:footnoteReference w:id="2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درنقلى ديگر بعد از متن ياد شده، اين جمله را اضافه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إذا زُمرَةٌ، حَتّىَ إذا عَرَفتُهُم خَرَجَ رَجُلٌ مِن بَينِي وبَينِهِم،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بَعدَكَ عَلَى أدبَارِهِمُ القَهقَرَى، فلا أُرَاهُ يَخلُصُ مِنهُم إلاّ مِثلُ هَمَلِ النَّعَم </w:t>
      </w:r>
      <w:r>
        <w:rPr>
          <w:rFonts w:eastAsia="IRNazanin" w:cs="IRNazanin"/>
          <w:color w:val="111111"/>
          <w:sz w:val="28"/>
          <w:szCs w:val="28"/>
          <w:rtl w:val="true"/>
          <w:lang w:bidi="fa-IR"/>
        </w:rPr>
        <w:t xml:space="preserve">»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3767497_3650668749"/>
      <w:bookmarkStart w:id="889" w:name="_Toc327"/>
      <w:bookmarkEnd w:id="888"/>
      <w:r>
        <w:rPr>
          <w:rtl w:val="true"/>
        </w:rPr>
        <w:t>و</w:t>
      </w:r>
      <w:r>
        <w:rPr>
          <w:rtl w:val="true"/>
        </w:rPr>
        <w:t xml:space="preserve">) </w:t>
      </w:r>
      <w:r>
        <w:rPr>
          <w:rtl w:val="true"/>
        </w:rPr>
        <w:t>به كفر باز نگرديد</w:t>
      </w:r>
      <w:r>
        <w:rPr>
          <w:rtl w:val="true"/>
        </w:rPr>
        <w:t>!</w:t>
      </w:r>
      <w:bookmarkEnd w:id="88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لاتَرتَدُّوا بَعدِي كُفّاراً، يَضرِبُ بَعضُكم رِقَابَ بعضٍ </w:t>
      </w:r>
      <w:r>
        <w:rPr>
          <w:rFonts w:eastAsia="IRNazanin" w:cs="IRNazanin"/>
          <w:color w:val="111111"/>
          <w:sz w:val="28"/>
          <w:szCs w:val="28"/>
          <w:rtl w:val="true"/>
          <w:lang w:bidi="fa-IR"/>
        </w:rPr>
        <w:t xml:space="preserve">» </w:t>
      </w:r>
      <w:r>
        <w:rPr>
          <w:rStyle w:val="FootnoteAnchor"/>
          <w:rtl w:val="true"/>
        </w:rPr>
        <w:footnoteReference w:id="2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ابن‌جرير از جدش بازگو مى‌كند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90" w:name="pg1976_28668"/>
    </w:p>
    <w:p>
      <w:pPr>
        <w:pStyle w:val="BookText"/>
        <w:rPr/>
      </w:pPr>
      <w:bookmarkEnd w:id="890"/>
      <w:r>
        <w:rPr>
          <w:rFonts w:ascii="Amiri" w:hAnsi="Amiri" w:eastAsia="Amiri" w:cs="Amiri"/>
          <w:color w:val="111111"/>
          <w:sz w:val="28"/>
          <w:sz w:val="28"/>
          <w:szCs w:val="28"/>
          <w:rtl w:val="true"/>
          <w:lang w:bidi="ar-SA"/>
        </w:rPr>
        <w:t>در حجة الوداع،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إستَنصِتِ النّاسَ،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لاتَرجِعُوا بَعدِي كُفّاراً، يَضرِبُ بَعضُكُم رِقَاب بَعضٍ </w:t>
      </w:r>
      <w:r>
        <w:rPr>
          <w:rFonts w:eastAsia="Amiri" w:cs="Amiri" w:ascii="Amiri" w:hAnsi="Amiri"/>
          <w:color w:val="111111"/>
          <w:sz w:val="28"/>
          <w:szCs w:val="28"/>
          <w:rtl w:val="true"/>
          <w:lang w:bidi="ar-SA"/>
        </w:rPr>
        <w:t xml:space="preserve">» </w:t>
      </w:r>
      <w:r>
        <w:rPr>
          <w:rStyle w:val="FootnoteAnchor"/>
          <w:rtl w:val="true"/>
        </w:rPr>
        <w:footnoteReference w:id="2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ديگر،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غديرخم، در بخشى از خطابه‌اش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دِماءَكُم، وأموالَكُم، وأعرَاضَكُم، و أبشَارَكمُ، عَلَيكُم حَرَامٌ، كحُرمَةِ يومِكُم هَذَا، في شَهرِكُم هَذَا؛ ألا هَل بَلَّغتُ؟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أللَّهُمَّ إشهَد، فَليُبَلِّغِ الشَّاهدُ الغائِبَ، فإنّه رُبَّ مُبلّغٍ يُبَلِّغُهُ مَن هُوَ أوعَى‌لَهُ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لاتَرجِعُوا بَعدِي كُفّاراً، يَضرِبُ بعضُكُم رِقَابَ بعضٍ</w:t>
      </w:r>
      <w:r>
        <w:rPr>
          <w:rFonts w:eastAsia="IRNazanin" w:cs="IRNazanin"/>
          <w:color w:val="111111"/>
          <w:sz w:val="28"/>
          <w:szCs w:val="28"/>
          <w:rtl w:val="true"/>
          <w:lang w:bidi="fa-IR"/>
        </w:rPr>
        <w:t xml:space="preserve">»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3767499_3650668749"/>
      <w:bookmarkStart w:id="892" w:name="_Toc328"/>
      <w:bookmarkEnd w:id="891"/>
      <w:r>
        <w:rPr>
          <w:rtl w:val="true"/>
        </w:rPr>
        <w:t>ز</w:t>
      </w:r>
      <w:r>
        <w:rPr>
          <w:rtl w:val="true"/>
        </w:rPr>
        <w:t xml:space="preserve">) </w:t>
      </w:r>
      <w:r>
        <w:rPr>
          <w:rtl w:val="true"/>
        </w:rPr>
        <w:t>پيروى از دين يهود و نصارى</w:t>
      </w:r>
      <w:r>
        <w:rPr>
          <w:rtl w:val="true"/>
        </w:rPr>
        <w:t>!</w:t>
      </w:r>
      <w:bookmarkEnd w:id="892"/>
    </w:p>
    <w:p>
      <w:pPr>
        <w:pStyle w:val="BookText"/>
        <w:rPr/>
      </w:pPr>
      <w:r>
        <w:rPr>
          <w:rFonts w:ascii="Amiri" w:hAnsi="Amiri" w:eastAsia="Amiri" w:cs="Amiri"/>
          <w:color w:val="111111"/>
          <w:sz w:val="28"/>
          <w:sz w:val="28"/>
          <w:szCs w:val="28"/>
          <w:rtl w:val="true"/>
          <w:lang w:bidi="ar-SA"/>
        </w:rPr>
        <w:t xml:space="preserve">أبوهريره از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سُنَّةَ مَن كَانَ قَبلَكُم بَاعاً بِباعٍ، و ذِراعاً بِذِراعٍ، وَشِبراً بِشِبرٍ، حَتَّى لَودَخَلُوا في جُحرِ ضَبٍّ، لَدَخَلتُم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إذاً؟</w:t>
      </w:r>
      <w:r>
        <w:rPr>
          <w:rFonts w:eastAsia="Amiri" w:cs="Amiri" w:ascii="Amiri" w:hAnsi="Amiri"/>
          <w:color w:val="111111"/>
          <w:sz w:val="28"/>
          <w:szCs w:val="28"/>
          <w:rtl w:val="true"/>
          <w:lang w:bidi="ar-SA"/>
        </w:rPr>
        <w:t xml:space="preserve">» </w:t>
      </w:r>
      <w:r>
        <w:rPr>
          <w:rStyle w:val="FootnoteAnchor"/>
          <w:rtl w:val="true"/>
        </w:rPr>
        <w:footnoteReference w:id="2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روايت را هيتمى از احمدبن‌حنبل و طبرانى به‌اين عبارت حكايت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لو دَخَلُوا جُحرَضَبٍّ لَاتَّبَعتُمُوهُ،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إلّا اليَهُودُ والنَّصَارَى </w:t>
      </w:r>
      <w:r>
        <w:rPr>
          <w:rFonts w:eastAsia="Amiri" w:cs="Amiri" w:ascii="Amiri" w:hAnsi="Amiri"/>
          <w:color w:val="111111"/>
          <w:sz w:val="28"/>
          <w:szCs w:val="28"/>
          <w:rtl w:val="true"/>
          <w:lang w:bidi="ar-SA"/>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احاديث، كه به‌عنوان نمونه ذكر شد؛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صريح است در مذمت و ارتداد صحابه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به‌اصول كافى، و هم تعبيراتش شديدتر و هشدارهايش جدى‌تر؛ و چنانچه اشكال تكفير صحابه بر كلينى وارد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بخارى كه آن را صحيح‌ترين كتاب بعد از كتاب‌خدا مى‌شمارند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وى براى نوشتن </w:t>
      </w:r>
    </w:p>
    <w:p>
      <w:pPr>
        <w:pStyle w:val="BookText"/>
        <w:rPr/>
      </w:pPr>
      <w:r>
        <w:rPr>
          <w:rFonts w:ascii="IRNazanin" w:hAnsi="IRNazanin" w:eastAsia="IRNazanin"/>
          <w:color w:val="111111"/>
          <w:sz w:val="28"/>
          <w:sz w:val="28"/>
          <w:szCs w:val="28"/>
          <w:rtl w:val="true"/>
          <w:lang w:bidi="fa-IR"/>
        </w:rPr>
        <w:t xml:space="preserve">هر حديثش غسل كرده و دو ركعت نماز گزارده، و آن را ميان خود و خدايش حجت شرعى قرار داده </w:t>
      </w:r>
      <w:r>
        <w:rPr>
          <w:rStyle w:val="FootnoteAnchor"/>
          <w:rtl w:val="true"/>
        </w:rPr>
        <w:footnoteReference w:id="2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به‌مراتب شديدتر و به‌طريق اولى وارد است؛ زيرا وى همه صحابه را عادل مى‌داند و نظر او براى وهابى‌ها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روايات با عدالت همه اصحاب كه باور بخارى است سازگارى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برخى از نويسندگان افراطى وهابى در بحثى كه به‌عنوان مناظره‌اى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خود و طرف شيعه مطرح مى‌كنند، با استفاده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جهت تبرئه كردن بخارى از تكفير صحابه،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لاتَدرِي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به‌سند ابى‌سعيد الخدرى </w:t>
      </w:r>
      <w:r>
        <w:rPr>
          <w:rStyle w:val="FootnoteAnchor"/>
          <w:rtl w:val="true"/>
        </w:rPr>
        <w:footnoteReference w:id="2411"/>
      </w:r>
      <w:r>
        <w:rPr>
          <w:rFonts w:ascii="IRNazanin" w:hAnsi="IRNazanin" w:eastAsia="IRNazanin"/>
          <w:color w:val="111111"/>
          <w:sz w:val="28"/>
          <w:sz w:val="28"/>
          <w:szCs w:val="28"/>
          <w:rtl w:val="true"/>
          <w:lang w:bidi="fa-IR"/>
        </w:rPr>
        <w:t xml:space="preserve">در حديث چهارم را، دليل بر عليه شيعه مى‌داند؛ زيرا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نسبت به‌فاطمه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مورد 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مِنّي أو وَلَداي</w:t>
      </w:r>
      <w:r>
        <w:rPr>
          <w:rFonts w:eastAsia="Amiri" w:cs="Amiri" w:ascii="Amiri" w:hAnsi="Amiri"/>
          <w:color w:val="111111"/>
          <w:sz w:val="28"/>
          <w:szCs w:val="28"/>
          <w:rtl w:val="true"/>
          <w:lang w:bidi="ar-SA"/>
        </w:rPr>
        <w:t xml:space="preserve">. . . » </w:t>
      </w:r>
      <w:r>
        <w:rPr>
          <w:rStyle w:val="FootnoteAnchor"/>
          <w:rtl w:val="true"/>
        </w:rPr>
        <w:footnoteReference w:id="2412"/>
      </w:r>
      <w:r>
        <w:rPr>
          <w:rFonts w:ascii="IRNazanin" w:hAnsi="IRNazanin" w:eastAsia="IRNazanin"/>
          <w:color w:val="111111"/>
          <w:sz w:val="28"/>
          <w:sz w:val="28"/>
          <w:szCs w:val="28"/>
          <w:rtl w:val="true"/>
          <w:lang w:bidi="fa-IR"/>
        </w:rPr>
        <w:t xml:space="preserve">پس مراد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بايد به‌حال اين نويسنده تأسُّف خورد؛ براى اينكه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هيچ‌گاه متعهد نيست كه طبق ميل خود روايت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تغيير ندهد؛ به‌عنوان نمونه وى نخستين حديث كتابش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الاَعمَالُ بِالنِّيَّاتِ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هفت‌جا هفت‌گونه متن نقل نموده است</w:t>
      </w:r>
      <w:r>
        <w:rPr>
          <w:rFonts w:eastAsia="IRNazanin" w:cs="IRNazanin"/>
          <w:color w:val="111111"/>
          <w:sz w:val="28"/>
          <w:szCs w:val="28"/>
          <w:rtl w:val="true"/>
          <w:lang w:bidi="fa-IR"/>
        </w:rPr>
        <w:t xml:space="preserve">! </w:t>
      </w:r>
      <w:r>
        <w:rPr>
          <w:rStyle w:val="FootnoteAnchor"/>
          <w:rtl w:val="true"/>
        </w:rPr>
        <w:footnoteReference w:id="2413"/>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تكفير صحابه، محدود به‌اين روايت نمى‌شود، بلكه ده‌ها حديث به‌اين مضمون موجود است؛ چه اينكه همه احاديثى كه از بخارى و غيرآن نقل شد، حتى احاديث قبل و بعد همين حديث،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حديث، در سه منبع ديگر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عاقلى سخن وى را در مورد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صدها آيه و حديث در </w:t>
      </w:r>
    </w:p>
    <w:p>
      <w:pPr>
        <w:pStyle w:val="BookText"/>
        <w:rPr/>
      </w:pPr>
      <w:r>
        <w:rPr>
          <w:rFonts w:ascii="IRNazanin" w:hAnsi="IRNazanin" w:eastAsia="IRNazanin"/>
          <w:color w:val="111111"/>
          <w:sz w:val="28"/>
          <w:sz w:val="28"/>
          <w:szCs w:val="28"/>
          <w:rtl w:val="true"/>
          <w:lang w:bidi="fa-IR"/>
        </w:rPr>
        <w:t>فضيلت‌شان وارد شده و در عمل چشمه‌سار فضل‌اند، نمى‌پذيرند؛ و شاهد انكارناپذيرش حديث متواتر ثقلين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يفتَرِقا حَتّى يَرِدا عَلَيَّ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خود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شخص نسبت به‌حديث پنجم كه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رفته، آن را به‌معناى سه تا ده نفر معنا مى‌كند و اين نتيجه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شيعه، كه مى‌گويد اكثر صحابه جز</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نفر، مرتد شدند در حالى‌كه تعداد صحابه تنها در حجةالوداع قريب </w:t>
      </w:r>
      <w:r>
        <w:rPr>
          <w:rFonts w:eastAsia="IRNazanin" w:cs="IRNazanin"/>
          <w:color w:val="111111"/>
          <w:sz w:val="28"/>
          <w:szCs w:val="28"/>
          <w:lang w:bidi="fa-IR"/>
        </w:rPr>
        <w:t>10</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هزار نفر بودند، دروغى بيش نمى‌داند </w:t>
      </w:r>
      <w:r>
        <w:rPr>
          <w:rStyle w:val="FootnoteAnchor"/>
          <w:rtl w:val="true"/>
        </w:rPr>
        <w:footnoteReference w:id="2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به‌مباحث گذشته روشن شد كه ارتداد به‌معناى خروج از دين نيست بلكه به‌معناى انكار تعهد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شكستن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به‌خلافت است و همان جمعيت </w:t>
      </w:r>
      <w:r>
        <w:rPr>
          <w:rFonts w:eastAsia="IRNazanin" w:cs="IRNazanin"/>
          <w:color w:val="111111"/>
          <w:sz w:val="28"/>
          <w:szCs w:val="28"/>
          <w:lang w:bidi="fa-IR"/>
        </w:rPr>
        <w:t>10</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هزار نفرى، از جمله عُمَر، در روز تاريخى غدير با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ولى با كنار رفتن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ناديده گرفتند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واژه‌شناس خود اهل‌سنت اين‌گونه معنى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وأصل الكلمة مِنَ الرَّهط، و هم عشيرة الرّجل و أهله و الرهط من‌الرِّجال مادون 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و قيل إلى الأربعين و لاتكون فيهم إمرأة </w:t>
      </w:r>
      <w:r>
        <w:rPr>
          <w:rFonts w:eastAsia="IRNazanin" w:cs="IRNazanin"/>
          <w:color w:val="111111"/>
          <w:sz w:val="28"/>
          <w:szCs w:val="28"/>
          <w:rtl w:val="true"/>
          <w:lang w:bidi="fa-IR"/>
        </w:rPr>
        <w:t xml:space="preserve">» </w:t>
      </w:r>
      <w:r>
        <w:rPr>
          <w:rStyle w:val="FootnoteAnchor"/>
          <w:rtl w:val="true"/>
        </w:rPr>
        <w:footnoteReference w:id="2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همان كتاب بخارى، كه وى او را خادم سنّت پيامبر مى‌خواند و تكفير صحابه را از سوى او حاشا مى‌كند </w:t>
      </w:r>
      <w:r>
        <w:rPr>
          <w:rStyle w:val="FootnoteAnchor"/>
          <w:rtl w:val="true"/>
        </w:rPr>
        <w:footnoteReference w:id="2417"/>
      </w:r>
      <w:r>
        <w:rPr>
          <w:rFonts w:ascii="IRNazanin" w:hAnsi="IRNazanin" w:eastAsia="IRNazanin"/>
          <w:color w:val="111111"/>
          <w:sz w:val="28"/>
          <w:sz w:val="28"/>
          <w:szCs w:val="28"/>
          <w:rtl w:val="true"/>
          <w:lang w:bidi="fa-IR"/>
        </w:rPr>
        <w:t xml:space="preserve">، در حديث ديگر به‌لفظ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لَيَرِدَنّ عَلَيَّ أقوامٌ أعرِفُهم و يَعرِفُوني</w:t>
      </w:r>
      <w:r>
        <w:rPr>
          <w:rFonts w:eastAsia="IRNazanin" w:cs="IRNazanin"/>
          <w:color w:val="111111"/>
          <w:sz w:val="28"/>
          <w:szCs w:val="28"/>
          <w:rtl w:val="true"/>
          <w:lang w:bidi="fa-IR"/>
        </w:rPr>
        <w:t xml:space="preserve">. . . » </w:t>
      </w:r>
      <w:r>
        <w:rPr>
          <w:rStyle w:val="FootnoteAnchor"/>
          <w:rtl w:val="true"/>
        </w:rPr>
        <w:footnoteReference w:id="2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بخارى پايبند دقت در متن حديث نيست،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به‌معناى فوج و جماعتى از مردم تغيير مى‌دهد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نقل‌هاى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Style w:val="FootnoteAnchor"/>
          <w:rtl w:val="true"/>
        </w:rPr>
        <w:footnoteReference w:id="24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مِن أصحابي </w:t>
      </w:r>
      <w:r>
        <w:rPr>
          <w:rFonts w:eastAsia="Amiri" w:cs="Amiri" w:ascii="Amiri" w:hAnsi="Amiri"/>
          <w:color w:val="111111"/>
          <w:sz w:val="28"/>
          <w:szCs w:val="28"/>
          <w:rtl w:val="true"/>
          <w:lang w:bidi="ar-SA"/>
        </w:rPr>
        <w:t xml:space="preserve">» </w:t>
      </w:r>
      <w:r>
        <w:rPr>
          <w:rStyle w:val="FootnoteAnchor"/>
          <w:rtl w:val="true"/>
        </w:rPr>
        <w:footnoteReference w:id="2421"/>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نسبت به‌كتاب بخارى كه اين‌گونه با سنّت رسول‌الله بازى مى‌كند چگونه مى‌شود اعتماد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 مفهومى‌كه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حديث ارتداد صحابه محدود به‌اين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 ارتداد بزرگان صحابه به‌هر مقدارى كه باشد انكارناپذير است و اگر جمعى كثير ديگر همانند مذمت شدگان سوره توبه، منافقون، اصحاب مسجد ضرار و سران توطئه ترور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422"/>
      </w:r>
      <w:r>
        <w:rPr>
          <w:rFonts w:ascii="IRNazanin" w:hAnsi="IRNazanin" w:eastAsia="IRNazanin"/>
          <w:color w:val="111111"/>
          <w:sz w:val="28"/>
          <w:sz w:val="28"/>
          <w:szCs w:val="28"/>
          <w:rtl w:val="true"/>
          <w:lang w:bidi="fa-IR"/>
        </w:rPr>
        <w:t>هنگام بازگشت از تبوك، منافقين معلوم‌الحال و جمع بسيارى مجهول‌الحال كه به‌نصّ آيه قرآن وَمِمَّنْ حَوْلَكُم مِّنَ الاَعْرَابِ مُنَافِقُونَ وَمِنْ اَهْلِ الْمَدِينَةِ مَرَدُواْ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النِّفَاقِ لاَ تَعْلَمُهُمْ نَحْنُ نَعْلَمُهُمْ سَنُعَذِّبُهُم مَّرَّتَيْنِ ثُمَّ يُرَدُّونَ إِلَى عَذَابٍ عَظِيمٍ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براى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بودند، در جمع مرتدشدگان صحابه، اضافه گردد، نتيجه‌اش جز ويرانى بنيان عدالت همه صحابه و بطلان اجماع بر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صورت باز هم، همه اقوال صحابه حجت است؟ و ديدگاه شيعه ناصواب؟ </w:t>
      </w:r>
      <w:r>
        <w:rPr>
          <w:rFonts w:eastAsia="IRNazanin" w:cs="IRNazanin"/>
          <w:color w:val="111111"/>
          <w:sz w:val="28"/>
          <w:szCs w:val="28"/>
          <w:rtl w:val="true"/>
          <w:lang w:bidi="fa-IR"/>
        </w:rPr>
        <w:t xml:space="preserve">! </w:t>
      </w:r>
      <w:bookmarkStart w:id="893" w:name="pg1976_28676"/>
    </w:p>
    <w:p>
      <w:pPr>
        <w:pStyle w:val="Heading3"/>
        <w:numPr>
          <w:ilvl w:val="2"/>
          <w:numId w:val="1"/>
        </w:numPr>
        <w:rPr/>
      </w:pPr>
      <w:bookmarkStart w:id="894" w:name="__RefHeading___Toc3767501_3650668749"/>
      <w:bookmarkStart w:id="895" w:name="_Toc329"/>
      <w:bookmarkEnd w:id="893"/>
      <w:bookmarkEnd w:id="894"/>
      <w:r>
        <w:rPr>
          <w:rtl w:val="true"/>
        </w:rPr>
        <w:t>فصل سوم</w:t>
      </w:r>
      <w:r>
        <w:rPr>
          <w:rtl w:val="true"/>
        </w:rPr>
        <w:t xml:space="preserve">: </w:t>
      </w:r>
      <w:r>
        <w:rPr>
          <w:rtl w:val="true"/>
        </w:rPr>
        <w:t>تكفير، سَبّ و مُعذّب بودن شيخين</w:t>
      </w:r>
      <w:bookmarkEnd w:id="895"/>
    </w:p>
    <w:p>
      <w:pPr>
        <w:pStyle w:val="Heading4"/>
        <w:numPr>
          <w:ilvl w:val="3"/>
          <w:numId w:val="1"/>
        </w:numPr>
        <w:rPr/>
      </w:pPr>
      <w:bookmarkStart w:id="896" w:name="__RefHeading___Toc3767503_3650668749"/>
      <w:bookmarkStart w:id="897" w:name="_Toc330"/>
      <w:bookmarkEnd w:id="896"/>
      <w:r>
        <w:rPr>
          <w:rtl w:val="true"/>
        </w:rPr>
        <w:t>اشاره</w:t>
      </w:r>
      <w:bookmarkEnd w:id="897"/>
    </w:p>
    <w:p>
      <w:pPr>
        <w:pStyle w:val="BookText"/>
        <w:rPr/>
      </w:pPr>
      <w:r>
        <w:rPr>
          <w:rFonts w:ascii="IRNazanin" w:hAnsi="IRNazanin" w:eastAsia="IRNazanin"/>
          <w:color w:val="111111"/>
          <w:sz w:val="28"/>
          <w:sz w:val="28"/>
          <w:szCs w:val="28"/>
          <w:rtl w:val="true"/>
          <w:lang w:bidi="fa-IR"/>
        </w:rPr>
        <w:t>بخش ديگر از اشكالات بر كلينى و كتاب او، تكفير، سبّ و معذَّب بودن شَيخَين را شكل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در بسيارى از آثار مكتوب وهابيان ديده مى‌شود و شيعه را نَه تنها به‌خاطر آن، مورد انتقاد قرار مى‌دهند كه كافر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اين اتهام مورد بررسى و نقد قرار گرفته و راهكارهاى برون رفت از اين اتهام ارائه مى‌گردد</w:t>
      </w:r>
      <w:r>
        <w:rPr>
          <w:rFonts w:eastAsia="IRNazanin" w:cs="IRNazanin"/>
          <w:color w:val="111111"/>
          <w:sz w:val="28"/>
          <w:szCs w:val="28"/>
          <w:rtl w:val="true"/>
          <w:lang w:bidi="fa-IR"/>
        </w:rPr>
        <w:t>:</w:t>
      </w:r>
    </w:p>
    <w:p>
      <w:pPr>
        <w:pStyle w:val="Heading4"/>
        <w:numPr>
          <w:ilvl w:val="3"/>
          <w:numId w:val="1"/>
        </w:numPr>
        <w:rPr/>
      </w:pPr>
      <w:bookmarkStart w:id="898" w:name="__RefHeading___Toc3767505_3650668749"/>
      <w:bookmarkStart w:id="899" w:name="_Toc331"/>
      <w:bookmarkEnd w:id="898"/>
      <w:r>
        <w:rPr/>
        <w:t>١</w:t>
      </w:r>
      <w:r>
        <w:rPr>
          <w:rtl w:val="true"/>
        </w:rPr>
        <w:t xml:space="preserve">. </w:t>
      </w:r>
      <w:r>
        <w:rPr>
          <w:rtl w:val="true"/>
        </w:rPr>
        <w:t>طرح اشكال تكفير و</w:t>
      </w:r>
      <w:r>
        <w:rPr>
          <w:rtl w:val="true"/>
        </w:rPr>
        <w:t>. . .</w:t>
      </w:r>
      <w:bookmarkEnd w:id="899"/>
    </w:p>
    <w:p>
      <w:pPr>
        <w:pStyle w:val="BookText"/>
        <w:rPr/>
      </w:pPr>
      <w:r>
        <w:rPr>
          <w:rFonts w:ascii="IRNazanin" w:hAnsi="IRNazanin" w:eastAsia="IRNazanin"/>
          <w:color w:val="111111"/>
          <w:sz w:val="28"/>
          <w:sz w:val="28"/>
          <w:szCs w:val="28"/>
          <w:rtl w:val="true"/>
          <w:lang w:bidi="fa-IR"/>
        </w:rPr>
        <w:t xml:space="preserve">ترديدى نيست كه از نگاهِ اهل‌سنت به‌طور عموم شَيخَين، بدان جهت كه پس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حاكميتِ مسلمانان را به‌ترتيب به‌دست گرفتند، از نخبگان و سران صحابه شناخته مى‌شدند؛ و طبعاً براى آن دو در مقايسه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ويژگى‌ها و فضايلى برمى‌شمردند تا افكار عمومى آن روز را قانع و براى نسل‌هاى بعدى چهره‌هاى موجه‌اى وانمود كنند؛ از اين رو، كوچك‌ترين خرده‌گيرى و نقد آنها را برنمى‌تابند و آن را جزء توهين‌ها و تكفيرها به‌شمار 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مى‌نويسند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الاماميّةُ يعتبرون عامّةَ الصّحابةِ كفّاراً مُرتدّين و عَلَى رَأسِهم الخلفاء الرّاشدون ابوبكر وعمر و عثمان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إمتَلَأَت كُتُبُهم بمئات النّصوص، بل آلاف</w:t>
      </w:r>
      <w:bookmarkStart w:id="900" w:name="pg1976_28678"/>
    </w:p>
    <w:p>
      <w:pPr>
        <w:pStyle w:val="BookText"/>
        <w:rPr/>
      </w:pPr>
      <w:bookmarkEnd w:id="900"/>
      <w:r>
        <w:rPr>
          <w:rFonts w:ascii="Amiri" w:hAnsi="Amiri" w:eastAsia="Amiri" w:cs="Amiri"/>
          <w:color w:val="111111"/>
          <w:sz w:val="28"/>
          <w:sz w:val="28"/>
          <w:szCs w:val="28"/>
          <w:rtl w:val="true"/>
          <w:lang w:bidi="ar-SA"/>
        </w:rPr>
        <w:t xml:space="preserve">النُّصوص‌الَّتي تدلُّ على مُعتَقَدِهم الضّالّ الكافر في صحابة الرَّسول </w:t>
      </w:r>
      <w:r>
        <w:rPr>
          <w:rFonts w:eastAsia="Amiri" w:cs="Amiri" w:ascii="Amiri" w:hAnsi="Amiri"/>
          <w:color w:val="111111"/>
          <w:sz w:val="28"/>
          <w:szCs w:val="28"/>
          <w:rtl w:val="true"/>
          <w:lang w:bidi="ar-SA"/>
        </w:rPr>
        <w:t xml:space="preserve">»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عبدالهادى 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مدعى است كلينى دركتاب خود كه نزد شيعه از نظر اعتبار همانند بخارى نزد اهل‌سنت است، نامه طولانى از هفتمين امام معصوم خود نقل مى‌كند </w:t>
      </w:r>
      <w:r>
        <w:rPr>
          <w:rStyle w:val="FootnoteAnchor"/>
          <w:rtl w:val="true"/>
        </w:rPr>
        <w:footnoteReference w:id="2424"/>
      </w:r>
      <w:r>
        <w:rPr>
          <w:rFonts w:ascii="IRNazanin" w:hAnsi="IRNazanin" w:eastAsia="IRNazanin"/>
          <w:color w:val="111111"/>
          <w:sz w:val="28"/>
          <w:sz w:val="28"/>
          <w:szCs w:val="28"/>
          <w:rtl w:val="true"/>
          <w:lang w:bidi="fa-IR"/>
        </w:rPr>
        <w:t>كه در آن شيخين را كافر خوانده است و ترجمه حديث را به اين صورت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جان خودم سوگند كه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منافق بودند، ايشان كلام خدا را ردّ كردند و رسول خدا را تمسخر نمودند، و آنها هر دو كافر هستند و بر هر دو باد لعنت خدا و ملائكه و مردمان همگى</w:t>
      </w:r>
      <w:r>
        <w:rPr>
          <w:rFonts w:eastAsia="IRNazanin" w:cs="IRNazanin"/>
          <w:color w:val="111111"/>
          <w:sz w:val="28"/>
          <w:szCs w:val="28"/>
          <w:rtl w:val="true"/>
          <w:lang w:bidi="fa-IR"/>
        </w:rPr>
        <w:t xml:space="preserve">» </w:t>
      </w:r>
      <w:r>
        <w:rPr>
          <w:rStyle w:val="FootnoteAnchor"/>
          <w:rtl w:val="true"/>
        </w:rPr>
        <w:footnoteReference w:id="2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معنا را ناصر القفارى </w:t>
      </w:r>
      <w:r>
        <w:rPr>
          <w:rStyle w:val="FootnoteAnchor"/>
          <w:rtl w:val="true"/>
        </w:rPr>
        <w:footnoteReference w:id="2426"/>
      </w:r>
      <w:r>
        <w:rPr>
          <w:rFonts w:ascii="Amiri" w:hAnsi="Amiri" w:eastAsia="Amiri" w:cs="Amiri"/>
          <w:color w:val="111111"/>
          <w:sz w:val="28"/>
          <w:sz w:val="28"/>
          <w:szCs w:val="28"/>
          <w:rtl w:val="true"/>
          <w:lang w:bidi="ar-SA"/>
        </w:rPr>
        <w:t xml:space="preserve">، دكتر عواج </w:t>
      </w:r>
      <w:r>
        <w:rPr>
          <w:rStyle w:val="FootnoteAnchor"/>
          <w:rtl w:val="true"/>
        </w:rPr>
        <w:footnoteReference w:id="2427"/>
      </w:r>
      <w:r>
        <w:rPr>
          <w:rFonts w:ascii="IRNazanin" w:hAnsi="IRNazanin" w:eastAsia="IRNazanin"/>
          <w:color w:val="111111"/>
          <w:sz w:val="28"/>
          <w:sz w:val="28"/>
          <w:szCs w:val="28"/>
          <w:rtl w:val="true"/>
          <w:lang w:bidi="fa-IR"/>
        </w:rPr>
        <w:t xml:space="preserve">، و ابى‌الفتوح </w:t>
      </w:r>
      <w:r>
        <w:rPr>
          <w:rStyle w:val="FootnoteAnchor"/>
          <w:rtl w:val="true"/>
        </w:rPr>
        <w:footnoteReference w:id="2428"/>
      </w:r>
      <w:r>
        <w:rPr>
          <w:rFonts w:ascii="IRNazanin" w:hAnsi="IRNazanin" w:eastAsia="IRNazanin"/>
          <w:color w:val="111111"/>
          <w:sz w:val="28"/>
          <w:sz w:val="28"/>
          <w:szCs w:val="28"/>
          <w:rtl w:val="true"/>
          <w:lang w:bidi="fa-IR"/>
        </w:rPr>
        <w:t>ادعا نموده‌اند</w:t>
      </w:r>
      <w:r>
        <w:rPr>
          <w:rFonts w:eastAsia="IRNazanin" w:cs="IRNazanin"/>
          <w:color w:val="111111"/>
          <w:sz w:val="28"/>
          <w:szCs w:val="28"/>
          <w:rtl w:val="true"/>
          <w:lang w:bidi="fa-IR"/>
        </w:rPr>
        <w:t>.</w:t>
      </w:r>
    </w:p>
    <w:p>
      <w:pPr>
        <w:pStyle w:val="Heading4"/>
        <w:numPr>
          <w:ilvl w:val="3"/>
          <w:numId w:val="1"/>
        </w:numPr>
        <w:rPr/>
      </w:pPr>
      <w:bookmarkStart w:id="901" w:name="__RefHeading___Toc3767507_3650668749"/>
      <w:bookmarkStart w:id="902" w:name="_Toc332"/>
      <w:bookmarkEnd w:id="901"/>
      <w:r>
        <w:rPr/>
        <w:t>٢</w:t>
      </w:r>
      <w:r>
        <w:rPr>
          <w:rtl w:val="true"/>
        </w:rPr>
        <w:t xml:space="preserve">. </w:t>
      </w:r>
      <w:r>
        <w:rPr>
          <w:rtl w:val="true"/>
        </w:rPr>
        <w:t>ارزيابى و نقد اين اشكال</w:t>
      </w:r>
      <w:bookmarkEnd w:id="902"/>
    </w:p>
    <w:p>
      <w:pPr>
        <w:pStyle w:val="Heading5"/>
        <w:numPr>
          <w:ilvl w:val="4"/>
          <w:numId w:val="1"/>
        </w:numPr>
        <w:rPr/>
      </w:pPr>
      <w:bookmarkStart w:id="903" w:name="__RefHeading___Toc3767509_3650668749"/>
      <w:bookmarkStart w:id="904" w:name="_Toc333"/>
      <w:bookmarkEnd w:id="903"/>
      <w:r>
        <w:rPr>
          <w:rtl w:val="true"/>
        </w:rPr>
        <w:t>اشاره</w:t>
      </w:r>
      <w:bookmarkEnd w:id="90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گذشته اين نكته روشن شد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به‌عموم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مرتدين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خروج از دين نيست، بلكه با توجّه به روايات ابواب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الاِسلام يُحقَنُ به الدّم و أنّ الاِيمان يشارك الاِسلام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كافى </w:t>
      </w:r>
      <w:r>
        <w:rPr>
          <w:rStyle w:val="FootnoteAnchor"/>
          <w:rtl w:val="true"/>
        </w:rPr>
        <w:footnoteReference w:id="2429"/>
      </w:r>
      <w:r>
        <w:rPr>
          <w:rFonts w:ascii="IRNazanin" w:hAnsi="IRNazanin" w:eastAsia="IRNazanin"/>
          <w:color w:val="111111"/>
          <w:sz w:val="28"/>
          <w:sz w:val="28"/>
          <w:szCs w:val="28"/>
          <w:rtl w:val="true"/>
          <w:lang w:bidi="fa-IR"/>
        </w:rPr>
        <w:t xml:space="preserve">، و همچنين رواياتى كه در بحث قبلى مورد بررسى قرار گرفت، مقصود ايمان نياوردن به‌ولايت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bookmarkStart w:id="905" w:name="pg1976_28680"/>
    </w:p>
    <w:p>
      <w:pPr>
        <w:pStyle w:val="BookText"/>
        <w:rPr/>
      </w:pPr>
      <w:bookmarkEnd w:id="905"/>
      <w:r>
        <w:rPr>
          <w:rFonts w:ascii="IRNazanin" w:hAnsi="IRNazanin" w:eastAsia="IRNazanin"/>
          <w:color w:val="111111"/>
          <w:sz w:val="28"/>
          <w:sz w:val="28"/>
          <w:szCs w:val="28"/>
          <w:rtl w:val="true"/>
          <w:lang w:bidi="fa-IR"/>
        </w:rPr>
        <w:t xml:space="preserve">شيخين كه در رأس امور مسلمانان قرار گرفتند و با همكارى همديگر، امامت و وصايت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مسير اصليش منحرف ساختند، همين معنا صادق است؛ يعنى آن دو مسلمان بوده‌اند هر چند مقصر اصلى نسبت به‌پيامدها، اختلافات، كشتارها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بعد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همين دونفرند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و بررسى روايات كافى در اين خصوص، اشاره به‌چند نكته شايسته است</w:t>
      </w:r>
      <w:r>
        <w:rPr>
          <w:rFonts w:eastAsia="IRNazanin" w:cs="IRNazanin"/>
          <w:color w:val="111111"/>
          <w:sz w:val="28"/>
          <w:szCs w:val="28"/>
          <w:rtl w:val="true"/>
          <w:lang w:bidi="fa-IR"/>
        </w:rPr>
        <w:t>:</w:t>
      </w:r>
    </w:p>
    <w:p>
      <w:pPr>
        <w:pStyle w:val="Heading5"/>
        <w:numPr>
          <w:ilvl w:val="4"/>
          <w:numId w:val="1"/>
        </w:numPr>
        <w:rPr/>
      </w:pPr>
      <w:bookmarkStart w:id="906" w:name="__RefHeading___Toc3767511_3650668749"/>
      <w:bookmarkStart w:id="907" w:name="_Toc334"/>
      <w:bookmarkEnd w:id="906"/>
      <w:r>
        <w:rPr>
          <w:rtl w:val="true"/>
        </w:rPr>
        <w:t>الف</w:t>
      </w:r>
      <w:r>
        <w:rPr>
          <w:rtl w:val="true"/>
        </w:rPr>
        <w:t xml:space="preserve">) </w:t>
      </w:r>
      <w:r>
        <w:rPr>
          <w:rtl w:val="true"/>
        </w:rPr>
        <w:t>ادعاى بى‌دليل</w:t>
      </w:r>
      <w:bookmarkEnd w:id="907"/>
    </w:p>
    <w:p>
      <w:pPr>
        <w:pStyle w:val="BookText"/>
        <w:rPr/>
      </w:pPr>
      <w:r>
        <w:rPr>
          <w:rFonts w:ascii="Amiri" w:hAnsi="Amiri" w:eastAsia="Amiri" w:cs="Amiri"/>
          <w:color w:val="111111"/>
          <w:sz w:val="28"/>
          <w:sz w:val="28"/>
          <w:szCs w:val="28"/>
          <w:rtl w:val="true"/>
          <w:lang w:bidi="ar-SA"/>
        </w:rPr>
        <w:t>ا دعاى انتصارالحق، مبنى بر اينكه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عامَّةُ الصّحابةِ كفّاراً مُرتدّين وعلى رأسهم الخلفاء الراشدون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در كتاب‌هاى شيعه صدها بلكه هزاران حديث در تكفير، وجود دارد</w:t>
      </w:r>
      <w:r>
        <w:rPr>
          <w:rFonts w:eastAsia="Amiri" w:cs="Amiri" w:ascii="Amiri" w:hAnsi="Amiri"/>
          <w:color w:val="111111"/>
          <w:sz w:val="28"/>
          <w:szCs w:val="28"/>
          <w:rtl w:val="true"/>
          <w:lang w:bidi="ar-SA"/>
        </w:rPr>
        <w:t xml:space="preserve">. . .» </w:t>
      </w:r>
      <w:r>
        <w:rPr>
          <w:rStyle w:val="FootnoteAnchor"/>
          <w:rtl w:val="true"/>
        </w:rPr>
        <w:footnoteReference w:id="2430"/>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از آن صدها بلكه هزاران نصّ ادعايى او كه تكفير به‌معناى خروج از دين باشد، ارائه نمى‌دهد و آنچه را وى به‌عنوان دليل از منابع شيعه استناد مى‌كند، دوچيز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سه نفر،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أهل ردّة بعدالنَّبيّ إلاّ ثَلاثةً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مهاجر و انصار جز سه نفر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 والأنصار ذَهَبُوا إلّا ثلاثة </w:t>
      </w:r>
      <w:r>
        <w:rPr>
          <w:rFonts w:eastAsia="IRNazanin" w:cs="IRNazanin"/>
          <w:color w:val="111111"/>
          <w:sz w:val="28"/>
          <w:szCs w:val="28"/>
          <w:rtl w:val="true"/>
          <w:lang w:bidi="fa-IR"/>
        </w:rPr>
        <w:t xml:space="preserve">) </w:t>
      </w:r>
      <w:r>
        <w:rPr>
          <w:rStyle w:val="FootnoteAnchor"/>
          <w:rtl w:val="true"/>
        </w:rPr>
        <w:footnoteReference w:id="2431"/>
      </w:r>
      <w:r>
        <w:rPr>
          <w:rFonts w:ascii="IRNazanin" w:hAnsi="IRNazanin" w:eastAsia="IRNazanin"/>
          <w:color w:val="111111"/>
          <w:sz w:val="28"/>
          <w:sz w:val="28"/>
          <w:szCs w:val="28"/>
          <w:rtl w:val="true"/>
          <w:lang w:bidi="fa-IR"/>
        </w:rPr>
        <w:t xml:space="preserve">هر دو حديث، از ابى‌جعفر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حقيقت يك حديث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مباحث گذشته مفصّل بيان شد كه مراد حديث، خروج از تعهّد و پيمان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خلافت است نه خروج از اسلام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دالّ بر اينكه وقتى محمدبن‌ابى‌بكر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 برائت و بيزارى از پدرش و عمربن‌الخطاب را ضميمه آن كرد؛ و براساس يك گزارش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أنّكَ إمام مُفتَرَضُ الطّاعَةِ و أنّ أبِي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محمّدبن‌ابي‌بكر على البرائة مِنَ‌الثَّاني </w:t>
      </w:r>
      <w:r>
        <w:rPr>
          <w:rFonts w:eastAsia="IRNazanin" w:cs="IRNazanin"/>
          <w:color w:val="111111"/>
          <w:sz w:val="28"/>
          <w:szCs w:val="28"/>
          <w:rtl w:val="true"/>
          <w:lang w:bidi="fa-IR"/>
        </w:rPr>
        <w:t xml:space="preserve">» </w:t>
      </w:r>
      <w:r>
        <w:rPr>
          <w:rStyle w:val="FootnoteAnchor"/>
          <w:rtl w:val="true"/>
        </w:rPr>
        <w:footnoteReference w:id="2432"/>
      </w:r>
      <w:bookmarkStart w:id="908" w:name="pg1976_28682"/>
    </w:p>
    <w:p>
      <w:pPr>
        <w:pStyle w:val="BookText"/>
        <w:rPr/>
      </w:pPr>
      <w:bookmarkEnd w:id="908"/>
      <w:r>
        <w:rPr>
          <w:rFonts w:ascii="IRNazanin" w:hAnsi="IRNazanin" w:eastAsia="IRNazanin"/>
          <w:color w:val="111111"/>
          <w:sz w:val="28"/>
          <w:sz w:val="28"/>
          <w:szCs w:val="28"/>
          <w:rtl w:val="true"/>
          <w:lang w:bidi="fa-IR"/>
        </w:rPr>
        <w:t>همان‌گونه كه ملاحظه مى‌كنيد، هيچ‌كدام از اين روايات بر تكفير آن دو دلالت نمى‌كند؛ زيرا بيزارى و برائت از اعمال و رفتار كسى و حتى در آتش بودن كسى امرى است و كافر بودن آن، امرى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فرض بودن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قابل ترديد است، مفهومش تكفير شيخين نخواهد بود؛ جهنّمى بودن كسى هرگز ملازم با كافر بودن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حديث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433"/>
      </w:r>
      <w:r>
        <w:rPr>
          <w:rFonts w:ascii="IRNazanin" w:hAnsi="IRNazanin" w:eastAsia="IRNazanin"/>
          <w:color w:val="111111"/>
          <w:sz w:val="28"/>
          <w:sz w:val="28"/>
          <w:szCs w:val="28"/>
          <w:rtl w:val="true"/>
          <w:lang w:bidi="fa-IR"/>
        </w:rPr>
        <w:t>كه مورد استناد برخى در تكفير شيخين قرارگرفته، خيلى واضح است؛ زيرا متن روايت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إرتَدُّوا عَنِ الإيمان في تَركِ ولاية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ايمان به‌ولايت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مى‌گويد نَه خروج از اسلام را؛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بدان جهت كه از بنى‌اميه، دشمن ديرينه بنى‌هاشم، براى محروم نمودن آنها از خلافت و جلوگيرى از خُمس، كمك گرفتند، مصداق و تفسير آيه شريفه دانسته است كه باز ارتباطى به‌تكفير كسى ندارد بلكه بيان واقعيت تاريخى است كه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Heading5"/>
        <w:numPr>
          <w:ilvl w:val="4"/>
          <w:numId w:val="1"/>
        </w:numPr>
        <w:rPr/>
      </w:pPr>
      <w:bookmarkStart w:id="909" w:name="__RefHeading___Toc3767513_3650668749"/>
      <w:bookmarkStart w:id="910" w:name="_Toc335"/>
      <w:bookmarkEnd w:id="909"/>
      <w:r>
        <w:rPr>
          <w:rtl w:val="true"/>
        </w:rPr>
        <w:t>ب</w:t>
      </w:r>
      <w:r>
        <w:rPr>
          <w:rtl w:val="true"/>
        </w:rPr>
        <w:t xml:space="preserve">) </w:t>
      </w:r>
      <w:r>
        <w:rPr>
          <w:rtl w:val="true"/>
        </w:rPr>
        <w:t xml:space="preserve">نامه امام ابى‌الحسن موسى </w:t>
      </w:r>
      <w:r>
        <w:rPr>
          <w:rtl w:val="true"/>
        </w:rPr>
        <w:t>(</w:t>
      </w:r>
      <w:r>
        <w:rPr>
          <w:rtl w:val="true"/>
        </w:rPr>
        <w:t>ع</w:t>
      </w:r>
      <w:r>
        <w:rPr>
          <w:rtl w:val="true"/>
        </w:rPr>
        <w:t>)</w:t>
      </w:r>
      <w:bookmarkEnd w:id="91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رساله كه از نظر سند صحيحه است </w:t>
      </w:r>
      <w:r>
        <w:rPr>
          <w:rStyle w:val="FootnoteAnchor"/>
          <w:rtl w:val="true"/>
        </w:rPr>
        <w:footnoteReference w:id="2434"/>
      </w:r>
      <w:r>
        <w:rPr>
          <w:rFonts w:ascii="Amiri" w:hAnsi="Amiri" w:eastAsia="Amiri" w:cs="Amiri"/>
          <w:color w:val="111111"/>
          <w:sz w:val="28"/>
          <w:sz w:val="28"/>
          <w:szCs w:val="28"/>
          <w:rtl w:val="true"/>
          <w:lang w:bidi="ar-SA"/>
        </w:rPr>
        <w:t xml:space="preserve">، در جواب سؤالات على‌بن سُويد </w:t>
      </w:r>
      <w:r>
        <w:rPr>
          <w:rStyle w:val="FootnoteAnchor"/>
          <w:rtl w:val="true"/>
        </w:rPr>
        <w:footnoteReference w:id="2435"/>
      </w:r>
      <w:r>
        <w:rPr>
          <w:rFonts w:ascii="IRNazanin" w:hAnsi="IRNazanin" w:eastAsia="IRNazanin"/>
          <w:color w:val="111111"/>
          <w:sz w:val="28"/>
          <w:sz w:val="28"/>
          <w:szCs w:val="28"/>
          <w:rtl w:val="true"/>
          <w:lang w:bidi="fa-IR"/>
        </w:rPr>
        <w:t xml:space="preserve">در زندان هارون‌الرّشيد، نگارش يافته است؛ در بخشى از اين نامه به‌اين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سؤال به‌صورت كنايى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غصب خلافت از سوى ابوبكر و عُمَر و بالاتر از آن گرفتن بيعت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به‌اجبار، موجب كفر مى‌شود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از </w:t>
      </w:r>
      <w:bookmarkStart w:id="911" w:name="pg1976_28684"/>
    </w:p>
    <w:p>
      <w:pPr>
        <w:pStyle w:val="BookText"/>
        <w:rPr/>
      </w:pPr>
      <w:bookmarkEnd w:id="911"/>
      <w:r>
        <w:rPr>
          <w:rFonts w:ascii="IRNazanin" w:hAnsi="IRNazanin" w:eastAsia="IRNazanin"/>
          <w:color w:val="111111"/>
          <w:sz w:val="28"/>
          <w:sz w:val="28"/>
          <w:szCs w:val="28"/>
          <w:rtl w:val="true"/>
          <w:lang w:bidi="fa-IR"/>
        </w:rPr>
        <w:t xml:space="preserve">كسانى دانسته است كه پيش از امر خلافت و در زمان حيات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دچار نفاق بوده‌اند و آيات قرآن نسبت به‌خلافت را مردود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استهزاء قرار مى‌دادند و سرانجام آن دو را فاقد ايمان واقعى به‌حقيقت ايمان به‌پيامبر و آنچه او آورده كه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آن است، معرفى مى‌كند </w:t>
      </w:r>
      <w:r>
        <w:rPr>
          <w:rStyle w:val="FootnoteAnchor"/>
          <w:rtl w:val="true"/>
        </w:rPr>
        <w:footnoteReference w:id="2436"/>
      </w:r>
      <w:r>
        <w:rPr>
          <w:rFonts w:ascii="IRNazanin" w:hAnsi="IRNazanin" w:eastAsia="IRNazanin"/>
          <w:color w:val="111111"/>
          <w:sz w:val="28"/>
          <w:sz w:val="28"/>
          <w:szCs w:val="28"/>
          <w:rtl w:val="true"/>
          <w:lang w:bidi="fa-IR"/>
        </w:rPr>
        <w:t xml:space="preserve">در اين حديث نيز شيخين را هرچند منافق خوانده ولى خارج از اسلام ندانسته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به‌قرائن بحث‌هاى قبلى خروج از ايمان به‌امامت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12" w:name="__RefHeading___Toc3767515_3650668749"/>
      <w:bookmarkStart w:id="913" w:name="_Toc336"/>
      <w:bookmarkEnd w:id="912"/>
      <w:r>
        <w:rPr>
          <w:rtl w:val="true"/>
        </w:rPr>
        <w:t>ج</w:t>
      </w:r>
      <w:r>
        <w:rPr>
          <w:rtl w:val="true"/>
        </w:rPr>
        <w:t xml:space="preserve">) </w:t>
      </w:r>
      <w:r>
        <w:rPr>
          <w:rtl w:val="true"/>
        </w:rPr>
        <w:t>عدم ايمان واقعى شيخين</w:t>
      </w:r>
      <w:bookmarkEnd w:id="913"/>
    </w:p>
    <w:p>
      <w:pPr>
        <w:pStyle w:val="BookText"/>
        <w:rPr/>
      </w:pPr>
      <w:r>
        <w:rPr>
          <w:rFonts w:ascii="IRNazanin" w:hAnsi="IRNazanin" w:eastAsia="IRNazanin"/>
          <w:color w:val="111111"/>
          <w:sz w:val="28"/>
          <w:sz w:val="28"/>
          <w:szCs w:val="28"/>
          <w:rtl w:val="true"/>
          <w:lang w:bidi="fa-IR"/>
        </w:rPr>
        <w:t xml:space="preserve">گذشته از اينكه حديث از زبان امامِ معصوم، عالم، متّقى و مُفَسِّر قرآن و از همه بالاتر عِدل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حديث صحيح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شواهدى هم برنفاق و تسليم نبودن آن دو در منابع دو طرف به‌چشم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 چهره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ابن‌حجرالعسقلانى، اسفنديار بن‌الموفّق الكندى الكوفى را اين‌گونه معرفى نموده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يَتَشَيّع وكانَ مُتواضعاً، عابداً كثيرالتَّلاوة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از ابن‌الجوزى،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از عدول بغداد كه در مجلس اسفنديار در كوفه حضور داشتند، از او شنيدند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وَجهُ ابي‌بكر و عُمَر،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رَاَوْهُ زُلْفَةً سِيئَتْ وُجُوهُ الَّذِينَ كَفَرُوا وَقِيلَ هَذَا الَّذِى كُنتُم به‌تَدَّعُونَ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2437"/>
      </w:r>
      <w:r>
        <w:rPr>
          <w:rFonts w:ascii="IRNazanin" w:hAnsi="IRNazanin" w:eastAsia="IRNazanin"/>
          <w:color w:val="111111"/>
          <w:sz w:val="28"/>
          <w:sz w:val="28"/>
          <w:szCs w:val="28"/>
          <w:rtl w:val="true"/>
          <w:lang w:bidi="fa-IR"/>
        </w:rPr>
        <w:t xml:space="preserve">راستى كسى كه به‌حقيقت، ايمان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آورده باشد و نفاق نداشته باشد، چرا چهره‌اش دگرگون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مورد مذمت خداوند قرار گيرد؟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اباحفص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غديرخم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به‌همه حاضران به‌ويژه به‌سران صحابه از جمله ابوبكر و عمر و سلمان و أباذر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دستور داد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كنند و بيعت نمايند </w:t>
      </w:r>
      <w:r>
        <w:rPr>
          <w:rStyle w:val="FootnoteAnchor"/>
          <w:rtl w:val="true"/>
        </w:rPr>
        <w:footnoteReference w:id="2438"/>
      </w:r>
      <w:r>
        <w:rPr>
          <w:rFonts w:ascii="Amiri" w:hAnsi="Amiri" w:eastAsia="Amiri" w:cs="Amiri"/>
          <w:color w:val="111111"/>
          <w:sz w:val="28"/>
          <w:sz w:val="28"/>
          <w:szCs w:val="28"/>
          <w:rtl w:val="true"/>
          <w:lang w:bidi="ar-SA"/>
        </w:rPr>
        <w:t xml:space="preserve">عمربن‌الخطاب با اين جملات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 بخٍّ يا ابن‌أبي‌طالب، أصبَحتَ مَولايَ ومَولى كُلَّ مؤمن ٍ ومؤمِنة </w:t>
      </w:r>
      <w:r>
        <w:rPr>
          <w:rFonts w:eastAsia="Amiri" w:cs="Amiri" w:ascii="Amiri" w:hAnsi="Amiri"/>
          <w:color w:val="111111"/>
          <w:sz w:val="28"/>
          <w:szCs w:val="28"/>
          <w:rtl w:val="true"/>
          <w:lang w:bidi="ar-SA"/>
        </w:rPr>
        <w:t xml:space="preserve">» </w:t>
      </w:r>
      <w:r>
        <w:rPr>
          <w:rStyle w:val="FootnoteAnchor"/>
          <w:rtl w:val="true"/>
        </w:rPr>
        <w:footnoteReference w:id="2439"/>
      </w:r>
      <w:r>
        <w:rPr>
          <w:rFonts w:ascii="IRNazanin" w:hAnsi="IRNazanin" w:eastAsia="IRNazanin"/>
          <w:color w:val="111111"/>
          <w:sz w:val="28"/>
          <w:sz w:val="28"/>
          <w:szCs w:val="28"/>
          <w:rtl w:val="true"/>
          <w:lang w:bidi="fa-IR"/>
        </w:rPr>
        <w:t>، پيامبر خدا با ديدن چنين صحنه‌اى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 يا أباحفص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دَعَوتَه بما أمَرَكَ الله أن تدعُوه بِإمرةِ المؤمنين،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مولانا ومَولى المؤمنين؟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440"/>
      </w:r>
      <w:r>
        <w:rPr>
          <w:rFonts w:ascii="IRNazanin" w:hAnsi="IRNazanin" w:eastAsia="IRNazanin"/>
          <w:color w:val="111111"/>
          <w:sz w:val="28"/>
          <w:sz w:val="28"/>
          <w:szCs w:val="28"/>
          <w:rtl w:val="true"/>
          <w:lang w:bidi="fa-IR"/>
        </w:rPr>
        <w:t>در اين گزارش ضمن اينكه امامت و لقب اميرالمؤمنين را به‌دستور خداوند مى‌داند، سرپيچى عمر، از فرمان آن حضرت كه عين دستور خدا بوده را، نيز به‌طور واضح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ترديدى نيست كه سرپيچى و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أباحفص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 خالصانه او سازگارى ندارد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غالب‌شدن حُبّ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وأجمع الجماهير على متن الحديث من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عيد غديرخم بِإتفاق الجميع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مَن‌كنتُ مولاه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كلام عمر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ياأباالحسن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اصبحتَ مولاي، و مولى كلَّ‌مولى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اين‌گونه تشريح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تسليم و رضى و 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هذا غَلَبَ الهَوى لِحُبِّ الرياسة، وحَملَ عَمُودَ الخلافة، وعقود النبوّة، و خفقان الهوى في قَعقَعةِ الرّايات، و أشباك إزدحام الخيول، و فتحِ الامصار، و سقاهم كأس‌الهوى؛ فعادوا إلى الخلاف الاوّل، وراءظهورهم وإشتروا به‌ثَمَناً قليلاً </w:t>
      </w:r>
      <w:r>
        <w:rPr>
          <w:rFonts w:eastAsia="IRNazanin" w:cs="IRNazanin"/>
          <w:color w:val="111111"/>
          <w:sz w:val="28"/>
          <w:szCs w:val="28"/>
          <w:rtl w:val="true"/>
          <w:lang w:bidi="fa-IR"/>
        </w:rPr>
        <w:t xml:space="preserve">!» </w:t>
      </w:r>
      <w:r>
        <w:rPr>
          <w:rStyle w:val="FootnoteAnchor"/>
          <w:rtl w:val="true"/>
        </w:rPr>
        <w:footnoteReference w:id="2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از عبدالرحمان بن‌الجوزى، در توجيه كلام غزّالى، نسبت به مقصر بودن صحابه به‌ويژه شيخين در مورد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عبارت را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عنه </w:t>
      </w:r>
    </w:p>
    <w:p>
      <w:pPr>
        <w:pStyle w:val="BookText"/>
        <w:rPr/>
      </w:pPr>
      <w:r>
        <w:rPr>
          <w:rFonts w:ascii="Amiri" w:hAnsi="Amiri" w:eastAsia="Amiri" w:cs="Amiri"/>
          <w:color w:val="111111"/>
          <w:sz w:val="28"/>
          <w:sz w:val="28"/>
          <w:szCs w:val="28"/>
          <w:rtl w:val="true"/>
          <w:lang w:bidi="ar-SA"/>
        </w:rPr>
        <w:t xml:space="preserve">وتَبَعَ الحقَّ، فإنّ الرَّجُلَ من بُحُورالعلم، والله أعلم </w:t>
      </w:r>
      <w:r>
        <w:rPr>
          <w:rFonts w:eastAsia="Amiri" w:cs="Amiri" w:ascii="Amiri" w:hAnsi="Amiri"/>
          <w:color w:val="111111"/>
          <w:sz w:val="28"/>
          <w:szCs w:val="28"/>
          <w:rtl w:val="true"/>
          <w:lang w:bidi="ar-SA"/>
        </w:rPr>
        <w:t xml:space="preserve">!» </w:t>
      </w:r>
      <w:r>
        <w:rPr>
          <w:rStyle w:val="FootnoteAnchor"/>
          <w:rtl w:val="true"/>
        </w:rPr>
        <w:footnoteReference w:id="2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دركجا و در كدام كتابش از اين عقيده‌اش برگشته، دليل ارائه نمى‌دهد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هذيان‌گويى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لحظات عمرش را سپرى مى‌كرد و به شدت نگران آينده اسلام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إئتُوا بِدَوَاةٍ وبيضَآءَ؛ لَأزيلَ لكُم إشكالَ الامرِ، وأذكُرُ لَكُم 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 الرّجُلَ فَإنّه لَيَهجُر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خود اندوه وحُزن ابن‌عبّاس و هتاكى اصحاب در حضور آن حضرت را با اين عبارت گزارش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سعيدبن‌جبير عن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تَسيلُ دُمُوعُهُ، حَتَّى رأيت ُ عَلَى خَدَّيهِ كَأنّهَا نظام اللُؤلُؤ،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إئتُوني بالكَتِفِ والدَّواةِ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أواللَّوحِ والدَّواةِ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لَكُم كِتَاباً لَن تَضِلُّوا بَعدَهُ أبَداً،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يَهجُرُ </w:t>
      </w:r>
      <w:r>
        <w:rPr>
          <w:rFonts w:eastAsia="IRNazanin" w:cs="IRNazanin"/>
          <w:color w:val="111111"/>
          <w:sz w:val="28"/>
          <w:szCs w:val="28"/>
          <w:rtl w:val="true"/>
          <w:lang w:bidi="fa-IR"/>
        </w:rPr>
        <w:t xml:space="preserve">» </w:t>
      </w:r>
      <w:r>
        <w:rPr>
          <w:rStyle w:val="FootnoteAnchor"/>
          <w:rtl w:val="true"/>
        </w:rPr>
        <w:footnoteReference w:id="2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اين داستان دردناك را و اينكه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نَبِيَّ‌اللهِ لَيَجهُر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مفصّل نقل مى‌كند، و در گزارشى از جابر بن عبدالله‌انصارى مى‌آورد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صحيفه‌اى خواست تا در آن چيزى بنويسد كه امت بعد از او گمراه نشوند، در منزل حضرت ميان اصحاب لَغط </w:t>
      </w:r>
      <w:r>
        <w:rPr>
          <w:rStyle w:val="FootnoteAnchor"/>
          <w:rtl w:val="true"/>
        </w:rPr>
        <w:footnoteReference w:id="2446"/>
      </w:r>
      <w:r>
        <w:rPr>
          <w:rFonts w:ascii="IRNazanin" w:hAnsi="IRNazanin" w:eastAsia="IRNazanin"/>
          <w:color w:val="111111"/>
          <w:sz w:val="28"/>
          <w:sz w:val="28"/>
          <w:szCs w:val="28"/>
          <w:rtl w:val="true"/>
          <w:lang w:bidi="fa-IR"/>
        </w:rPr>
        <w:t xml:space="preserve">و بگو مگو رخ داد، عمر در اين مورد </w:t>
      </w:r>
    </w:p>
    <w:p>
      <w:pPr>
        <w:pStyle w:val="BookText"/>
        <w:rPr/>
      </w:pPr>
      <w:r>
        <w:rPr>
          <w:rFonts w:ascii="IRNazanin" w:hAnsi="IRNazanin" w:eastAsia="IRNazanin"/>
          <w:color w:val="111111"/>
          <w:sz w:val="28"/>
          <w:sz w:val="28"/>
          <w:szCs w:val="28"/>
          <w:rtl w:val="true"/>
          <w:lang w:bidi="fa-IR"/>
        </w:rPr>
        <w:t xml:space="preserve">سخنى گفت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را با خشم ردّ كرد </w:t>
      </w:r>
      <w:r>
        <w:rPr>
          <w:rStyle w:val="FootnoteAnchor"/>
          <w:rtl w:val="true"/>
        </w:rPr>
        <w:footnoteReference w:id="2447"/>
      </w:r>
    </w:p>
    <w:p>
      <w:pPr>
        <w:pStyle w:val="BookText"/>
        <w:rPr/>
      </w:pPr>
      <w:r>
        <w:rPr>
          <w:rFonts w:ascii="IRNazanin" w:hAnsi="IRNazanin" w:eastAsia="IRNazanin"/>
          <w:color w:val="111111"/>
          <w:sz w:val="28"/>
          <w:sz w:val="28"/>
          <w:szCs w:val="28"/>
          <w:rtl w:val="true"/>
          <w:lang w:bidi="fa-IR"/>
        </w:rPr>
        <w:t>از محتواى تاريخ به‌وضوح استفاده مى‌شود كه درخواست پيامبر بر آوردن قلم و كاغذ، مكرر صورت گرفته است تا آنجا كه كه زنان پيامبر از پشت پرده به‌اصحاب اعتراض مى‌كنند، ولى عمر به‌نوعى آنها را تهديد به‌سكوت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أُسكُتنَ، فإنّكُنَّ صَواحِبَهُ اذا مَرِضَ عَصَرتُنّ أعيُنَكُنَّ وإذا صَحَّ أخذتُنَّ بِعُنقِه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 خيرٌ مِنكم </w:t>
      </w:r>
      <w:r>
        <w:rPr>
          <w:rFonts w:eastAsia="IRNazanin" w:cs="IRNazanin"/>
          <w:color w:val="111111"/>
          <w:sz w:val="28"/>
          <w:szCs w:val="28"/>
          <w:rtl w:val="true"/>
          <w:lang w:bidi="fa-IR"/>
        </w:rPr>
        <w:t xml:space="preserve">» </w:t>
      </w:r>
      <w:r>
        <w:rPr>
          <w:rStyle w:val="FootnoteAnchor"/>
          <w:rtl w:val="true"/>
        </w:rPr>
        <w:footnoteReference w:id="2448"/>
      </w:r>
    </w:p>
    <w:p>
      <w:pPr>
        <w:pStyle w:val="BookText"/>
        <w:rPr/>
      </w:pPr>
      <w:r>
        <w:rPr>
          <w:rFonts w:ascii="IRNazanin" w:hAnsi="IRNazanin" w:eastAsia="IRNazanin"/>
          <w:color w:val="111111"/>
          <w:sz w:val="28"/>
          <w:sz w:val="28"/>
          <w:szCs w:val="28"/>
          <w:rtl w:val="true"/>
          <w:lang w:bidi="fa-IR"/>
        </w:rPr>
        <w:t xml:space="preserve">خيلى عجيب است كسى را كه قرآن وَمَا يَنطِقُ عَنِ الْهَوَى إِنْ هُوَ إِلَّا وَحْيٌ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عُمَر، هذيان‌گو مى‌خواند، ترديدى باقى نمى‌گذارد كه وى به‌رسالت و محتواى دين او، ايمان كامل نداشته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مرگ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برخلاف نصّ قرآن كريم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تنها فرستادۀ خداست و فرشتة مرگ به‌سراغ او هم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 نه تنها مرگ او را انكار مى‌كند كه اعلام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هركسى معتقد به‌مرگ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دست‌ها و پاها و زبان او را قطع خواهد كرد، بلكه او همانند موسى‌بن‌عمران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به‌آسمان عروج كرده و پس از چهل شبانه روز بازمى‌گردد</w:t>
      </w:r>
      <w:r>
        <w:rPr>
          <w:rFonts w:eastAsia="IRNazanin" w:cs="IRNazanin"/>
          <w:color w:val="111111"/>
          <w:sz w:val="28"/>
          <w:szCs w:val="28"/>
          <w:rtl w:val="true"/>
          <w:lang w:bidi="fa-IR"/>
        </w:rPr>
        <w:t xml:space="preserve">!» </w:t>
      </w:r>
      <w:r>
        <w:rPr>
          <w:rStyle w:val="FootnoteAnchor"/>
          <w:rtl w:val="true"/>
        </w:rPr>
        <w:footnoteReference w:id="2449"/>
      </w:r>
      <w:r>
        <w:rPr>
          <w:rFonts w:ascii="Amiri" w:hAnsi="Amiri" w:eastAsia="Amiri" w:cs="Amiri"/>
          <w:color w:val="111111"/>
          <w:sz w:val="28"/>
          <w:sz w:val="28"/>
          <w:szCs w:val="28"/>
          <w:rtl w:val="true"/>
          <w:lang w:bidi="ar-SA"/>
        </w:rPr>
        <w:t>شهرستانى اين عبارت را از عمر نقل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أنّ مُحَمّداً قَد مَاتَ قَتَلتُه بِسَيفي هَذَا؛ وإنّمَا رُفِعَ إلى السَّماءِ كَمَا رُفِعَ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آية شريفه را براى عمر قرائت مى‌كند، وى با تعجب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كأنّي مَا سَمِعتُ هذه الاية حَتَّى قَرَأهَا ابوبكر</w:t>
      </w:r>
      <w:r>
        <w:rPr>
          <w:rFonts w:eastAsia="IRNazanin" w:cs="IRNazanin"/>
          <w:color w:val="111111"/>
          <w:sz w:val="28"/>
          <w:szCs w:val="28"/>
          <w:rtl w:val="true"/>
          <w:lang w:bidi="fa-IR"/>
        </w:rPr>
        <w:t xml:space="preserve">!»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از فرمان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تجهيز و حركت سپاه أُسامة بن زيد با شركت عموم مهاجر و انصار از جمله ابوبكر و عمر، به‌سوى مرزهاى روم </w:t>
      </w:r>
      <w:r>
        <w:rPr>
          <w:rStyle w:val="FootnoteAnchor"/>
          <w:rtl w:val="true"/>
        </w:rPr>
        <w:footnoteReference w:id="2452"/>
      </w:r>
      <w:r>
        <w:rPr>
          <w:rFonts w:ascii="IRNazanin" w:hAnsi="IRNazanin" w:eastAsia="IRNazanin"/>
          <w:color w:val="111111"/>
          <w:sz w:val="28"/>
          <w:sz w:val="28"/>
          <w:szCs w:val="28"/>
          <w:rtl w:val="true"/>
          <w:lang w:bidi="fa-IR"/>
        </w:rPr>
        <w:t xml:space="preserve">از آخرين دستور و آرمان‌هاى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صحابه از جمله شيخين در ظاهر به‌بهانه اينكه اسامه جوان است و نبايد بر كبار صحابه چون آن دو، فرمان براند؛ از آن دستور سرباز زدند و دلِ آن حضرت را براى هميشه خونين و از آن دو آزرده خاطر به‌پيشگاه حق شتافت، با اينكه پيامبر بر حركت سپاه تأكيد فراوان داشت؛ حتى وقتى شنيد بر جوانى اسامه خرده گرفته‌اند، با حالت تب‌دار از بستر بيمارى در ميان اصحاب حضور يافت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بَعثَ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فلَعَمرِي لَئِن قُلتُم في إمَارَتِهِ لَقَد قُلتُم إمَارَةِ أبِيهِ مِن قَبلِهِ، و إنَّهُ لَخَلِيقٌ بِالإمَارَةِ وإن كَانَ أبُوهُ لَخَلِيقاً بِهَا</w:t>
      </w:r>
      <w:r>
        <w:rPr>
          <w:rFonts w:eastAsia="IRNazanin" w:cs="IRNazanin"/>
          <w:color w:val="111111"/>
          <w:sz w:val="28"/>
          <w:szCs w:val="28"/>
          <w:rtl w:val="true"/>
          <w:lang w:bidi="fa-IR"/>
        </w:rPr>
        <w:t xml:space="preserve">! »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وخشم يگانه يادگار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توافق و همگرايى شيخين نسبت به‌غصب خلافت </w:t>
      </w:r>
      <w:r>
        <w:rPr>
          <w:rStyle w:val="FootnoteAnchor"/>
          <w:rtl w:val="true"/>
        </w:rPr>
        <w:footnoteReference w:id="2454"/>
      </w:r>
      <w:r>
        <w:rPr>
          <w:rFonts w:ascii="IRNazanin" w:hAnsi="IRNazanin" w:eastAsia="IRNazanin"/>
          <w:color w:val="111111"/>
          <w:sz w:val="28"/>
          <w:sz w:val="28"/>
          <w:szCs w:val="28"/>
          <w:rtl w:val="true"/>
          <w:lang w:bidi="fa-IR"/>
        </w:rPr>
        <w:t xml:space="preserve">، و جذابيت قدرت، آن‌چنان برآن دو چيره گشت كه 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فرزندان او، ابن‌عباس و بنى‌هاشم و بخشى از انصار با خلافت ابوبكر مخالفت كردند و از بيعت با او سرباز زدند </w:t>
      </w:r>
      <w:r>
        <w:rPr>
          <w:rStyle w:val="FootnoteAnchor"/>
          <w:rtl w:val="true"/>
        </w:rPr>
        <w:footnoteReference w:id="2455"/>
      </w:r>
      <w:r>
        <w:rPr>
          <w:rFonts w:ascii="IRNazanin" w:hAnsi="IRNazanin" w:eastAsia="IRNazanin"/>
          <w:color w:val="111111"/>
          <w:sz w:val="28"/>
          <w:sz w:val="28"/>
          <w:szCs w:val="28"/>
          <w:rtl w:val="true"/>
          <w:lang w:bidi="fa-IR"/>
        </w:rPr>
        <w:t xml:space="preserve">، عمر با گروهى براى بردن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به‌مسجد وگرفتن بيعت اجبارى، به‌خانه تنها يادگار رسول‌خدا ريختند و عُمَر با دستور دادن به جمع‌آورى هيزم براى آتش زدن درِ خانۀ وحى،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والَّذِى نفسُ عُمَر بيده لَتُخرِجُنّ أو لَأُحرِقنَّهَا عَلَى مَن فِيهَا،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فيها فاطمۀ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حتى عمر، با شنيدن صداى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پشت دَر، با صداى بلند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ياأبتِ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لَقِينا بَعدَكَ مِن إبن‌الخطاب وإبن أبى‌قحافة؟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برنمى‌دارد؛ گروهى با شنيدن صدا و گريۀ زهرا با چشم گريان و قلب </w:t>
      </w:r>
    </w:p>
    <w:p>
      <w:pPr>
        <w:pStyle w:val="BookText"/>
        <w:rPr/>
      </w:pPr>
      <w:r>
        <w:rPr>
          <w:rFonts w:ascii="Amiri" w:hAnsi="Amiri" w:eastAsia="Amiri" w:cs="Amiri"/>
          <w:color w:val="111111"/>
          <w:sz w:val="28"/>
          <w:sz w:val="28"/>
          <w:szCs w:val="28"/>
          <w:rtl w:val="true"/>
          <w:lang w:bidi="ar-SA"/>
        </w:rPr>
        <w:t>آكنده از اندوه درِ خانۀ على را رها نمودند، 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بَقِى عُمَرُ و مَعَهُ قَومٌ، فَأخْرَجُواعَلياً فَمَضَوا به‌إلى ابى‌بكر،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الّذى لا إله إلّا هُوَ نَضرِبُ عُنُقَكَ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بيعت نمى‌كند،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تَقتُلونَ عبداللهِ وأخَا رسول‌اللهِ</w:t>
      </w:r>
      <w:r>
        <w:rPr>
          <w:rFonts w:eastAsia="Amiri" w:cs="Amiri" w:ascii="Amiri" w:hAnsi="Amiri"/>
          <w:color w:val="111111"/>
          <w:sz w:val="28"/>
          <w:szCs w:val="28"/>
          <w:rtl w:val="true"/>
          <w:lang w:bidi="ar-SA"/>
        </w:rPr>
        <w:t xml:space="preserve">» </w:t>
      </w:r>
      <w:r>
        <w:rPr>
          <w:rStyle w:val="FootnoteAnchor"/>
          <w:rtl w:val="true"/>
        </w:rPr>
        <w:footnoteReference w:id="2456"/>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آن دو، متوجه خطا و معصيت خود شدند، با پيشنهاد عمر براى دلجويى از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به‌محضر فاطمه را خواستند ولى فاطمه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وساطت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وارد خانه فاطمه شدند، درحالى‌كه يادگار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روگرداند و سلام آنها را بى‌جواب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دو در پى دلجويى فاطمه برآمدند، در قسمتى از گفت وگوها، دختر پيامبرخدا خطاب به‌آن دو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دو نفر را به‌خدا سوگند مى‌دهم، آيا اين حديث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نشنيده‌ايد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فاطمةُ مِن رضاى، وسَخَط فاطمةُ مِن سَخَطى، فمَن أحَبَّ فاطمةَ إبنتى فقد أحَبَّنِى، ومَن أرضى فاطمةَ فقد أرضانى، ومَن أسخَطَ فاطمةَ فقد أسخَطَنى؟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457"/>
      </w:r>
      <w:r>
        <w:rPr>
          <w:rFonts w:ascii="IRNazanin" w:hAnsi="IRNazanin" w:eastAsia="IRNazanin"/>
          <w:color w:val="111111"/>
          <w:sz w:val="28"/>
          <w:sz w:val="28"/>
          <w:szCs w:val="28"/>
          <w:rtl w:val="true"/>
          <w:lang w:bidi="fa-IR"/>
        </w:rPr>
        <w:t>،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فإنّى أُشهِدُ اللهَ وملائكتَه أنّكُمَا أسخَطتُمانى ومَا أرضيتُمَانى، ولَئن لَقيتُ النَّبى لَأشكُونَكما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عائذُبالله تَعالى </w:t>
      </w:r>
    </w:p>
    <w:p>
      <w:pPr>
        <w:pStyle w:val="BookText"/>
        <w:rPr/>
      </w:pPr>
      <w:r>
        <w:rPr>
          <w:rFonts w:ascii="Amiri" w:hAnsi="Amiri" w:eastAsia="Amiri" w:cs="Amiri"/>
          <w:color w:val="111111"/>
          <w:sz w:val="28"/>
          <w:sz w:val="28"/>
          <w:szCs w:val="28"/>
          <w:rtl w:val="true"/>
          <w:lang w:bidi="ar-SA"/>
        </w:rPr>
        <w:t>مِن سَخَطِه وسخَطكِ يا فاطمةَ</w:t>
      </w:r>
      <w:r>
        <w:rPr>
          <w:rFonts w:eastAsia="Amiri" w:cs="Amiri" w:ascii="Amiri" w:hAnsi="Amiri"/>
          <w:color w:val="111111"/>
          <w:sz w:val="28"/>
          <w:szCs w:val="28"/>
          <w:rtl w:val="true"/>
          <w:lang w:bidi="ar-SA"/>
        </w:rPr>
        <w:t xml:space="preserve">. .» </w:t>
      </w:r>
      <w:r>
        <w:rPr>
          <w:rStyle w:val="FootnoteAnchor"/>
          <w:rtl w:val="true"/>
        </w:rPr>
        <w:footnoteReference w:id="2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به‌همين جهت فاطمه، يگانه يادگار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بدون اينكه ابوبكر به‌عنوان خليفه، مطلع گردد، به‌خاك سپرده مى‌شود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بعد از ملاقات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غمگين و گريان بود و در جمع مردم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يبِيتُ كُلَّ رَجُلٍ مِنكُم مُعانقاً حليلته،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رُوراً بأهله، وتركتُمُوني و ما أنا فيه، لاحاجة لي في بيعتكم، أقيلوني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ابن‌الجوزى مى‌نويسد ابوبكر روى منبر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أقيلوني فلستُ بخيركم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ابوبكر، شوخى و هزل، يا جدّى و يا امتحان بوده است؛ شوخى نيست چون خلفا از آن منزّه‌اند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جدّى باشد، نقض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از روى امتحان به‌زبان آورده باشد، صحابه بر اساس آيۀ وَنَزَعْنَا مَا فِى صُدُورِهِم مِنْ 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ندارد</w:t>
      </w:r>
      <w:r>
        <w:rPr>
          <w:rFonts w:eastAsia="IRNazanin" w:cs="IRNazanin"/>
          <w:color w:val="111111"/>
          <w:sz w:val="28"/>
          <w:szCs w:val="28"/>
          <w:rtl w:val="true"/>
          <w:lang w:bidi="fa-IR"/>
        </w:rPr>
        <w:t xml:space="preserve">! </w:t>
      </w:r>
      <w:r>
        <w:rPr>
          <w:rStyle w:val="FootnoteAnchor"/>
          <w:rtl w:val="true"/>
        </w:rPr>
        <w:footnoteReference w:id="2462"/>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توجّه به‌اين شواهد كه در منابع خود اهل‌سنت نقل شده، چگونه مى‌توان إيمان و عدالت و عملكرد آن دو را، مورد تأييد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برخى مدعى‌اند كه طعن بر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مستلزم طعن بر خود آن حضرت است، زيرا گوينده‌اى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بَد، اصحاب بَد و مرد صالح اصحاب صالح دارد</w:t>
      </w:r>
      <w:r>
        <w:rPr>
          <w:rFonts w:eastAsia="IRNazanin" w:cs="IRNazanin"/>
          <w:color w:val="111111"/>
          <w:sz w:val="28"/>
          <w:szCs w:val="28"/>
          <w:rtl w:val="true"/>
          <w:lang w:bidi="fa-IR"/>
        </w:rPr>
        <w:t xml:space="preserve">» </w:t>
      </w:r>
      <w:r>
        <w:rPr>
          <w:rStyle w:val="FootnoteAnchor"/>
          <w:rtl w:val="true"/>
        </w:rPr>
        <w:footnoteReference w:id="2463"/>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بودن چنين ملازمۀ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انبياى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است از خيانت‌ها و ستم‌هايى كه اصحاب و امت آنان بر پيامبران خويش روا داشته‌اند </w:t>
      </w:r>
      <w:r>
        <w:rPr>
          <w:rStyle w:val="FootnoteAnchor"/>
          <w:rtl w:val="true"/>
        </w:rPr>
        <w:footnoteReference w:id="2464"/>
      </w:r>
      <w:r>
        <w:rPr>
          <w:rFonts w:ascii="IRNazanin" w:hAnsi="IRNazanin" w:eastAsia="IRNazanin"/>
          <w:color w:val="111111"/>
          <w:sz w:val="28"/>
          <w:sz w:val="28"/>
          <w:szCs w:val="28"/>
          <w:rtl w:val="true"/>
          <w:lang w:bidi="fa-IR"/>
        </w:rPr>
        <w:t xml:space="preserve">، نفاق جمع كثيرى از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به‌نصّ قرآن ودَه‌ها نمونه از خطا و معصيت آن‌ها، گواه بسيار زنده بر بطلان اين ملازمه است</w:t>
      </w:r>
      <w:r>
        <w:rPr>
          <w:rFonts w:eastAsia="IRNazanin" w:cs="IRNazanin"/>
          <w:color w:val="111111"/>
          <w:sz w:val="28"/>
          <w:szCs w:val="28"/>
          <w:rtl w:val="true"/>
          <w:lang w:bidi="fa-IR"/>
        </w:rPr>
        <w:t xml:space="preserve">. </w:t>
      </w:r>
      <w:bookmarkStart w:id="914" w:name="pg1976_28698"/>
    </w:p>
    <w:p>
      <w:pPr>
        <w:pStyle w:val="Heading5"/>
        <w:numPr>
          <w:ilvl w:val="4"/>
          <w:numId w:val="1"/>
        </w:numPr>
        <w:rPr/>
      </w:pPr>
      <w:bookmarkStart w:id="915" w:name="__RefHeading___Toc3767517_3650668749"/>
      <w:bookmarkStart w:id="916" w:name="_Toc337"/>
      <w:bookmarkEnd w:id="914"/>
      <w:bookmarkEnd w:id="915"/>
      <w:r>
        <w:rPr>
          <w:rtl w:val="true"/>
        </w:rPr>
        <w:t>د</w:t>
      </w:r>
      <w:r>
        <w:rPr>
          <w:rtl w:val="true"/>
        </w:rPr>
        <w:t xml:space="preserve">) </w:t>
      </w:r>
      <w:r>
        <w:rPr>
          <w:rtl w:val="true"/>
        </w:rPr>
        <w:t>ادعاى سبّ و لعن ابابكر وعمر</w:t>
      </w:r>
      <w:r>
        <w:rPr>
          <w:rtl w:val="true"/>
        </w:rPr>
        <w:t>!</w:t>
      </w:r>
      <w:bookmarkEnd w:id="916"/>
    </w:p>
    <w:p>
      <w:pPr>
        <w:pStyle w:val="BookText"/>
        <w:rPr/>
      </w:pPr>
      <w:r>
        <w:rPr>
          <w:rFonts w:ascii="IRNazanin" w:hAnsi="IRNazanin" w:eastAsia="IRNazanin"/>
          <w:color w:val="111111"/>
          <w:sz w:val="28"/>
          <w:sz w:val="28"/>
          <w:szCs w:val="28"/>
          <w:rtl w:val="true"/>
          <w:lang w:bidi="fa-IR"/>
        </w:rPr>
        <w:t xml:space="preserve">سبّ و لعن عموم صحابه و در رأس آنها خلفاى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ديگر از اشكال‌هايى است كه بر شيعه وارد مى‌شود </w:t>
      </w:r>
      <w:r>
        <w:rPr>
          <w:rStyle w:val="FootnoteAnchor"/>
          <w:rtl w:val="true"/>
        </w:rPr>
        <w:footnoteReference w:id="2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سبّ و لعن و شتم صحابه را جزء اصول باورهاى دينى شيعه، مى‌شمارند و ادعا مى‌كنند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الاِماميّة يعتبرون عامّة الصحابة كفّاراً مرتدين وعلى رءسهم الخلفاء الراشدون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بل يجعلون دينَهُم ودَيدَنَهُم سَبَّ الصَّحابةِ ولعنَهُم وشتمَهُم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إمتلأت كُتُبُهم عَلَى آخِرها بمئات النُّصوص، بل آلاف النُّصوص الَّتي تدلُّ على معتقدهم الضالّ الكافر في صحابة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إمتَلَأَ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بروايات تُكَفِّر الصّحابة وتلعنهم وتسُبّهم وهم الذين ترضى عنهم القرآن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يأتي الكليني ليعدهم بجهنّم </w:t>
      </w:r>
      <w:r>
        <w:rPr>
          <w:rFonts w:eastAsia="IRNazanin" w:cs="IRNazanin"/>
          <w:color w:val="111111"/>
          <w:sz w:val="28"/>
          <w:szCs w:val="28"/>
          <w:rtl w:val="true"/>
          <w:lang w:bidi="fa-IR"/>
        </w:rPr>
        <w:t xml:space="preserve">» </w:t>
      </w:r>
      <w:r>
        <w:rPr>
          <w:rStyle w:val="FootnoteAnchor"/>
          <w:rtl w:val="true"/>
        </w:rPr>
        <w:footnoteReference w:id="2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قفارى مى‌نويسد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كتبَه أوائل الشيعة في عصر الكليني وما بَعده كان بِلُغةِ الرَّمزِ والاِشارةِ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فمِن مصطلحاتهم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الشيخين بالفَصِيل و رُمَع، و ذلك لأنَّهم لايجرؤون على التصريح بالاِسم في إبان قوّة دولة الاِسلام </w:t>
      </w:r>
      <w:r>
        <w:rPr>
          <w:rFonts w:eastAsia="Amiri" w:cs="Amiri" w:ascii="Amiri" w:hAnsi="Amiri"/>
          <w:color w:val="111111"/>
          <w:sz w:val="28"/>
          <w:szCs w:val="28"/>
          <w:rtl w:val="true"/>
          <w:lang w:bidi="ar-SA"/>
        </w:rPr>
        <w:t xml:space="preserve">» </w:t>
      </w:r>
      <w:r>
        <w:rPr>
          <w:rStyle w:val="FootnoteAnchor"/>
          <w:rtl w:val="true"/>
        </w:rPr>
        <w:footnoteReference w:id="2468"/>
      </w:r>
      <w:r>
        <w:rPr>
          <w:rFonts w:ascii="Amiri" w:hAnsi="Amiri" w:eastAsia="Amiri" w:cs="Amiri"/>
          <w:color w:val="111111"/>
          <w:sz w:val="28"/>
          <w:sz w:val="28"/>
          <w:szCs w:val="28"/>
          <w:rtl w:val="true"/>
          <w:lang w:bidi="ar-SA"/>
        </w:rPr>
        <w:t xml:space="preserve">و آن رمز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ابوبكر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مقلوب عمر است در مورد عمر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مورد عثمان به‌كار مى‌برند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عامرالنجّار نيز با استناد به‌روايت كافى </w:t>
      </w:r>
      <w:r>
        <w:rPr>
          <w:rStyle w:val="FootnoteAnchor"/>
          <w:rtl w:val="true"/>
        </w:rPr>
        <w:footnoteReference w:id="247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والشّيعةُ يُؤكّدون دائماً على أنَّ من رأى للشيخين العظيمَين أبي بكر وعمر في الاِسلام نَصيباً، فيعذّب عذاباً شديداً يوم القيامة، فقد روى الكليني </w:t>
      </w:r>
      <w:r>
        <w:rPr>
          <w:rFonts w:eastAsia="IRNazanin" w:cs="IRNazanin"/>
          <w:color w:val="111111"/>
          <w:sz w:val="28"/>
          <w:szCs w:val="28"/>
          <w:rtl w:val="true"/>
          <w:lang w:bidi="fa-IR"/>
        </w:rPr>
        <w:t xml:space="preserve">. . .»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 xml:space="preserve">. </w:t>
      </w:r>
      <w:bookmarkStart w:id="917" w:name="pg1976_28700"/>
    </w:p>
    <w:p>
      <w:pPr>
        <w:pStyle w:val="Heading4"/>
        <w:numPr>
          <w:ilvl w:val="3"/>
          <w:numId w:val="1"/>
        </w:numPr>
        <w:rPr/>
      </w:pPr>
      <w:bookmarkStart w:id="918" w:name="__RefHeading___Toc3767519_3650668749"/>
      <w:bookmarkStart w:id="919" w:name="_Toc338"/>
      <w:bookmarkEnd w:id="917"/>
      <w:bookmarkEnd w:id="918"/>
      <w:r>
        <w:rPr/>
        <w:t>٣</w:t>
      </w:r>
      <w:r>
        <w:rPr>
          <w:rtl w:val="true"/>
        </w:rPr>
        <w:t xml:space="preserve">. </w:t>
      </w:r>
      <w:r>
        <w:rPr>
          <w:rtl w:val="true"/>
        </w:rPr>
        <w:t>ارزيابى و باز خوانى اتهام</w:t>
      </w:r>
      <w:bookmarkEnd w:id="919"/>
    </w:p>
    <w:p>
      <w:pPr>
        <w:pStyle w:val="Heading5"/>
        <w:numPr>
          <w:ilvl w:val="4"/>
          <w:numId w:val="1"/>
        </w:numPr>
        <w:rPr/>
      </w:pPr>
      <w:bookmarkStart w:id="920" w:name="__RefHeading___Toc3767521_3650668749"/>
      <w:bookmarkStart w:id="921" w:name="_Toc339"/>
      <w:bookmarkEnd w:id="920"/>
      <w:r>
        <w:rPr>
          <w:rtl w:val="true"/>
        </w:rPr>
        <w:t>اشاره</w:t>
      </w:r>
      <w:bookmarkEnd w:id="921"/>
    </w:p>
    <w:p>
      <w:pPr>
        <w:pStyle w:val="BookText"/>
        <w:rPr/>
      </w:pPr>
      <w:r>
        <w:rPr>
          <w:rFonts w:ascii="IRNazanin" w:hAnsi="IRNazanin" w:eastAsia="IRNazanin"/>
          <w:color w:val="111111"/>
          <w:sz w:val="28"/>
          <w:sz w:val="28"/>
          <w:szCs w:val="28"/>
          <w:rtl w:val="true"/>
          <w:lang w:bidi="fa-IR"/>
        </w:rPr>
        <w:t>برخى از اين نويسندگان با اينكه ادعا مى‌كنند، صدها بلكه هزاران نصّ بر تكفير و سبّ و لعن ابوبكر و عمر در منابع شيعه از جمله اصول كافى موجود است، از ميان هزاران نصّ، حتى يك دليلِ قابل قبول ارائه نمى‌دهند؛ ولى اگر مقصود رواياتى باشد كه از كتاب كشّى و اصول و روضه كافى، در صفحات قبل در خصوص تكفير شيخين مورد استناد قرار گرفته باشد، همان‌گونه كه گذشت، محتواى روايات تكفير، به‌معناى خروج از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آن روايات سبّ و نفرين شيخين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محسوب مى‌شود يا نه، تذكر نكات زير لازم است</w:t>
      </w:r>
      <w:r>
        <w:rPr>
          <w:rFonts w:eastAsia="IRNazanin" w:cs="IRNazanin"/>
          <w:color w:val="111111"/>
          <w:sz w:val="28"/>
          <w:szCs w:val="28"/>
          <w:rtl w:val="true"/>
          <w:lang w:bidi="fa-IR"/>
        </w:rPr>
        <w:t>:</w:t>
      </w:r>
    </w:p>
    <w:p>
      <w:pPr>
        <w:pStyle w:val="Heading5"/>
        <w:numPr>
          <w:ilvl w:val="4"/>
          <w:numId w:val="1"/>
        </w:numPr>
        <w:rPr/>
      </w:pPr>
      <w:bookmarkStart w:id="922" w:name="__RefHeading___Toc3767523_3650668749"/>
      <w:bookmarkStart w:id="923" w:name="_Toc340"/>
      <w:bookmarkEnd w:id="922"/>
      <w:r>
        <w:rPr>
          <w:rtl w:val="true"/>
        </w:rPr>
        <w:t>الف</w:t>
      </w:r>
      <w:r>
        <w:rPr>
          <w:rtl w:val="true"/>
        </w:rPr>
        <w:t xml:space="preserve">) </w:t>
      </w:r>
      <w:r>
        <w:rPr>
          <w:rtl w:val="true"/>
        </w:rPr>
        <w:t>تفاوت مفهوم سَبّ و لعن</w:t>
      </w:r>
      <w:bookmarkEnd w:id="923"/>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ريشه اصلى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طَرد نمودن و دور بودن از خدا </w:t>
      </w:r>
      <w:r>
        <w:rPr>
          <w:rStyle w:val="FootnoteAnchor"/>
          <w:rtl w:val="true"/>
        </w:rPr>
        <w:footnoteReference w:id="2472"/>
      </w:r>
      <w:r>
        <w:rPr>
          <w:rFonts w:ascii="Amiri" w:hAnsi="Amiri" w:eastAsia="Amiri" w:cs="Amiri"/>
          <w:color w:val="111111"/>
          <w:sz w:val="28"/>
          <w:sz w:val="28"/>
          <w:szCs w:val="28"/>
          <w:rtl w:val="true"/>
          <w:lang w:bidi="ar-SA"/>
        </w:rPr>
        <w:t xml:space="preserve">، خير و نيكى </w:t>
      </w:r>
      <w:r>
        <w:rPr>
          <w:rStyle w:val="FootnoteAnchor"/>
          <w:rtl w:val="true"/>
        </w:rPr>
        <w:footnoteReference w:id="2473"/>
      </w:r>
      <w:r>
        <w:rPr>
          <w:rFonts w:ascii="Amiri" w:hAnsi="Amiri" w:eastAsia="Amiri" w:cs="Amiri"/>
          <w:color w:val="111111"/>
          <w:sz w:val="28"/>
          <w:sz w:val="28"/>
          <w:szCs w:val="28"/>
          <w:rtl w:val="true"/>
          <w:lang w:bidi="ar-SA"/>
        </w:rPr>
        <w:t xml:space="preserve">و تعذيب </w:t>
      </w:r>
      <w:r>
        <w:rPr>
          <w:rStyle w:val="FootnoteAnchor"/>
          <w:rtl w:val="true"/>
        </w:rPr>
        <w:footnoteReference w:id="2474"/>
      </w:r>
      <w:r>
        <w:rPr>
          <w:rFonts w:ascii="IRNazanin" w:hAnsi="IRNazanin" w:eastAsia="IRNazanin"/>
          <w:color w:val="111111"/>
          <w:sz w:val="28"/>
          <w:sz w:val="28"/>
          <w:szCs w:val="28"/>
          <w:rtl w:val="true"/>
          <w:lang w:bidi="fa-IR"/>
        </w:rPr>
        <w:t xml:space="preserve">است؛ اما اگر از سوى خداوند به‌كار برود معاقب بودن در آخرت و منقطع بودن از قبول رحمت و توفيق را در دنيا معنا مى‌دهد </w:t>
      </w:r>
      <w:r>
        <w:rPr>
          <w:rStyle w:val="FootnoteAnchor"/>
          <w:rtl w:val="true"/>
        </w:rPr>
        <w:footnoteReference w:id="2475"/>
      </w:r>
      <w:r>
        <w:rPr>
          <w:rFonts w:ascii="IRNazanin" w:hAnsi="IRNazanin" w:eastAsia="IRNazanin"/>
          <w:color w:val="111111"/>
          <w:sz w:val="28"/>
          <w:sz w:val="28"/>
          <w:szCs w:val="28"/>
          <w:rtl w:val="true"/>
          <w:lang w:bidi="fa-IR"/>
        </w:rPr>
        <w:t xml:space="preserve">و چنانچه از سوى مخلوق به‌كار گرفته شود، دعا است </w:t>
      </w:r>
      <w:r>
        <w:rPr>
          <w:rStyle w:val="FootnoteAnchor"/>
          <w:rtl w:val="true"/>
        </w:rPr>
        <w:footnoteReference w:id="2476"/>
      </w:r>
      <w:r>
        <w:rPr>
          <w:rFonts w:ascii="IRNazanin" w:hAnsi="IRNazanin" w:eastAsia="IRNazanin"/>
          <w:color w:val="111111"/>
          <w:sz w:val="28"/>
          <w:sz w:val="28"/>
          <w:szCs w:val="28"/>
          <w:rtl w:val="true"/>
          <w:lang w:bidi="fa-IR"/>
        </w:rPr>
        <w:t xml:space="preserve">منتها دعاى بر ضرر و در خواست دور نمودن او از رحمت خدا و عذاب دادن او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ريشه سَبَّ يسُبُّ سبّاً و سِباباً به‌معناى شتم است </w:t>
      </w:r>
      <w:r>
        <w:rPr>
          <w:rStyle w:val="FootnoteAnchor"/>
          <w:rtl w:val="true"/>
        </w:rPr>
        <w:footnoteReference w:id="2478"/>
      </w:r>
      <w:r>
        <w:rPr>
          <w:rFonts w:ascii="Amiri" w:hAnsi="Amiri" w:eastAsia="Amiri" w:cs="Amiri"/>
          <w:color w:val="111111"/>
          <w:sz w:val="28"/>
          <w:sz w:val="28"/>
          <w:szCs w:val="28"/>
          <w:rtl w:val="true"/>
          <w:lang w:bidi="ar-SA"/>
        </w:rPr>
        <w:t xml:space="preserve">و شتم در ادبيات فارسى دشنام دادن </w:t>
      </w:r>
      <w:r>
        <w:rPr>
          <w:rStyle w:val="FootnoteAnchor"/>
          <w:rtl w:val="true"/>
        </w:rPr>
        <w:footnoteReference w:id="2479"/>
      </w:r>
      <w:r>
        <w:rPr>
          <w:rFonts w:ascii="IRNazanin" w:hAnsi="IRNazanin" w:eastAsia="IRNazanin"/>
          <w:color w:val="111111"/>
          <w:sz w:val="28"/>
          <w:sz w:val="28"/>
          <w:szCs w:val="28"/>
          <w:rtl w:val="true"/>
          <w:lang w:bidi="fa-IR"/>
        </w:rPr>
        <w:t xml:space="preserve">و توصيف ديگرى به‌آنچه نقص و خوارى باشد </w:t>
      </w:r>
      <w:r>
        <w:rPr>
          <w:rStyle w:val="FootnoteAnchor"/>
          <w:rtl w:val="true"/>
        </w:rPr>
        <w:footnoteReference w:id="2480"/>
      </w:r>
      <w:r>
        <w:rPr>
          <w:rFonts w:ascii="Amiri" w:hAnsi="Amiri" w:eastAsia="Amiri" w:cs="Amiri"/>
          <w:color w:val="111111"/>
          <w:sz w:val="28"/>
          <w:sz w:val="28"/>
          <w:szCs w:val="28"/>
          <w:rtl w:val="true"/>
          <w:lang w:bidi="ar-SA"/>
        </w:rPr>
        <w:t xml:space="preserve">و ياد كردنِ به‌زشتى و قبيح </w:t>
      </w:r>
      <w:r>
        <w:rPr>
          <w:rStyle w:val="FootnoteAnchor"/>
          <w:rtl w:val="true"/>
        </w:rPr>
        <w:footnoteReference w:id="2481"/>
      </w:r>
      <w:r>
        <w:rPr>
          <w:rFonts w:ascii="IRNazanin" w:hAnsi="IRNazanin" w:eastAsia="IRNazanin"/>
          <w:color w:val="111111"/>
          <w:sz w:val="28"/>
          <w:sz w:val="28"/>
          <w:szCs w:val="28"/>
          <w:rtl w:val="true"/>
          <w:lang w:bidi="fa-IR"/>
        </w:rPr>
        <w:t>، معنا مى‌دهد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لغت‌شناسان،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وأصل‌السّبّ القطع، ثم صار السَبُّ شَتماً، لِاَنَّ السَبَّ خَرق الاَعراض </w:t>
      </w:r>
      <w:r>
        <w:rPr>
          <w:rFonts w:eastAsia="IRNazanin" w:cs="IRNazanin"/>
          <w:color w:val="111111"/>
          <w:sz w:val="28"/>
          <w:szCs w:val="28"/>
          <w:rtl w:val="true"/>
          <w:lang w:bidi="fa-IR"/>
        </w:rPr>
        <w:t xml:space="preserve">» </w:t>
      </w:r>
      <w:r>
        <w:rPr>
          <w:rStyle w:val="FootnoteAnchor"/>
          <w:rtl w:val="true"/>
        </w:rPr>
        <w:footnoteReference w:id="2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تصريح مى‌كنند كه ريشه اصلى اين ماده به معناى محصور كردن و محدود كردن يك شىء نسبت به‌توسعه و انطلاق و اعتلاى آن است كه با توجّه به‌موارد و موضوعات آن، معناى متفاوتى پيدا مى‌كند ولى نسبت به‌حصر اشخاص وقتى‌گفته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مَا يوجِبُ حَصره و يمنع عن انطلاقه و اعتلائه؛ و شتم و تقبيح، و قطع از لوازم حصر است </w:t>
      </w:r>
      <w:r>
        <w:rPr>
          <w:rStyle w:val="FootnoteAnchor"/>
          <w:rtl w:val="true"/>
        </w:rPr>
        <w:footnoteReference w:id="2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معناى طرد و دور بودن از رحمت‌خدا و يا در خواست دور بودن از رحمت الهى را معنا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 هر چند كه قطع و يا حصر، معناى اصلى آن باشد، ولى با توجه به آيه شريفه وَلاَ تَسُبُّواْ الَّذِينَ يَدْعُونَ مِن دُونِ اللهِ فَيَسُبُّواْ اللهَ عَدْواً بِغَيْرِ عِلْمٍ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رايج آن كه همان دشنام دادن و زشت گفتنِى كه دردآور </w:t>
      </w:r>
      <w:r>
        <w:rPr>
          <w:rStyle w:val="FootnoteAnchor"/>
          <w:rtl w:val="true"/>
        </w:rPr>
        <w:footnoteReference w:id="2484"/>
      </w:r>
      <w:r>
        <w:rPr>
          <w:rFonts w:ascii="IRNazanin" w:hAnsi="IRNazanin" w:eastAsia="IRNazanin"/>
          <w:color w:val="111111"/>
          <w:sz w:val="28"/>
          <w:sz w:val="28"/>
          <w:szCs w:val="28"/>
          <w:rtl w:val="true"/>
          <w:lang w:bidi="fa-IR"/>
        </w:rPr>
        <w:t xml:space="preserve">و آذاردهنده و ناشى از بُغض </w:t>
      </w:r>
      <w:r>
        <w:rPr>
          <w:rStyle w:val="FootnoteAnchor"/>
          <w:rtl w:val="true"/>
        </w:rPr>
        <w:footnoteReference w:id="2485"/>
      </w:r>
      <w:bookmarkStart w:id="924" w:name="pg1976_28704"/>
    </w:p>
    <w:p>
      <w:pPr>
        <w:pStyle w:val="BookText"/>
        <w:rPr/>
      </w:pPr>
      <w:bookmarkEnd w:id="924"/>
      <w:r>
        <w:rPr>
          <w:rFonts w:ascii="IRNazanin" w:hAnsi="IRNazanin" w:eastAsia="IRNazanin"/>
          <w:color w:val="111111"/>
          <w:sz w:val="28"/>
          <w:sz w:val="28"/>
          <w:szCs w:val="28"/>
          <w:rtl w:val="true"/>
          <w:lang w:bidi="fa-IR"/>
        </w:rPr>
        <w:t xml:space="preserve">باشد </w:t>
      </w:r>
      <w:r>
        <w:rPr>
          <w:rStyle w:val="FootnoteAnchor"/>
          <w:rtl w:val="true"/>
        </w:rPr>
        <w:footnoteReference w:id="2486"/>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اصطلاح كه در قرآن نيز به‌كار رفته است </w:t>
      </w:r>
      <w:r>
        <w:rPr>
          <w:rStyle w:val="FootnoteAnchor"/>
          <w:rtl w:val="true"/>
        </w:rPr>
        <w:footnoteReference w:id="2487"/>
      </w:r>
      <w:r>
        <w:rPr>
          <w:rFonts w:ascii="Amiri" w:hAnsi="Amiri" w:eastAsia="Amiri" w:cs="Amiri"/>
          <w:color w:val="111111"/>
          <w:sz w:val="28"/>
          <w:sz w:val="28"/>
          <w:szCs w:val="28"/>
          <w:rtl w:val="true"/>
          <w:lang w:bidi="ar-SA"/>
        </w:rPr>
        <w:t>مفهوم كاملاً متفاوت دارد و طبعاً موارد كاربرد آن از نظر شرع همسان نخواهد بود</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3767525_3650668749"/>
      <w:bookmarkStart w:id="926" w:name="_Toc341"/>
      <w:bookmarkEnd w:id="925"/>
      <w:r>
        <w:rPr>
          <w:rtl w:val="true"/>
        </w:rPr>
        <w:t>ب</w:t>
      </w:r>
      <w:r>
        <w:rPr>
          <w:rtl w:val="true"/>
        </w:rPr>
        <w:t xml:space="preserve">) </w:t>
      </w:r>
      <w:r>
        <w:rPr>
          <w:rtl w:val="true"/>
        </w:rPr>
        <w:t>ممنوعيت سَبّ و دشنام در روايات شيعه</w:t>
      </w:r>
      <w:bookmarkEnd w:id="926"/>
    </w:p>
    <w:p>
      <w:pPr>
        <w:pStyle w:val="BookText"/>
        <w:rPr/>
      </w:pPr>
      <w:r>
        <w:rPr>
          <w:rFonts w:ascii="IRNazanin" w:hAnsi="IRNazanin" w:eastAsia="IRNazanin"/>
          <w:color w:val="111111"/>
          <w:sz w:val="28"/>
          <w:sz w:val="28"/>
          <w:szCs w:val="28"/>
          <w:rtl w:val="true"/>
          <w:lang w:bidi="fa-IR"/>
        </w:rPr>
        <w:t xml:space="preserve">با توجه به‌فراوانى به‌كار 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 از جانب خداوند </w:t>
      </w:r>
      <w:r>
        <w:rPr>
          <w:rStyle w:val="FootnoteAnchor"/>
          <w:rtl w:val="true"/>
        </w:rPr>
        <w:footnoteReference w:id="2488"/>
      </w:r>
      <w:r>
        <w:rPr>
          <w:rFonts w:ascii="Amiri" w:hAnsi="Amiri" w:eastAsia="Amiri" w:cs="Amiri"/>
          <w:color w:val="111111"/>
          <w:sz w:val="28"/>
          <w:sz w:val="28"/>
          <w:szCs w:val="28"/>
          <w:rtl w:val="true"/>
          <w:lang w:bidi="ar-SA"/>
        </w:rPr>
        <w:t xml:space="preserve">به‌شديدترين وجهِ آن، و هم به‌درخواست انسان </w:t>
      </w:r>
      <w:r>
        <w:rPr>
          <w:rStyle w:val="FootnoteAnchor"/>
          <w:rtl w:val="true"/>
        </w:rPr>
        <w:footnoteReference w:id="2489"/>
      </w:r>
      <w:r>
        <w:rPr>
          <w:rFonts w:ascii="IRNazanin" w:hAnsi="IRNazanin" w:eastAsia="IRNazanin"/>
          <w:color w:val="111111"/>
          <w:sz w:val="28"/>
          <w:sz w:val="28"/>
          <w:szCs w:val="28"/>
          <w:rtl w:val="true"/>
          <w:lang w:bidi="fa-IR"/>
        </w:rPr>
        <w:t xml:space="preserve">در ارتباط به‌حقوق مردم و همچنين از جانب خدا 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ملائكه وانسان</w:t>
      </w:r>
      <w:r>
        <w:rPr>
          <w:rFonts w:eastAsia="IRNazanin" w:cs="IRNazanin"/>
          <w:color w:val="111111"/>
          <w:sz w:val="28"/>
          <w:szCs w:val="28"/>
          <w:rtl w:val="true"/>
          <w:lang w:bidi="fa-IR"/>
        </w:rPr>
        <w:t xml:space="preserve">) </w:t>
      </w:r>
      <w:r>
        <w:rPr>
          <w:rStyle w:val="FootnoteAnchor"/>
          <w:rtl w:val="true"/>
        </w:rPr>
        <w:footnoteReference w:id="2490"/>
      </w:r>
      <w:r>
        <w:rPr>
          <w:rFonts w:ascii="Amiri" w:hAnsi="Amiri" w:eastAsia="Amiri" w:cs="Amiri"/>
          <w:color w:val="111111"/>
          <w:sz w:val="28"/>
          <w:sz w:val="28"/>
          <w:szCs w:val="28"/>
          <w:rtl w:val="true"/>
          <w:lang w:bidi="ar-SA"/>
        </w:rPr>
        <w:t xml:space="preserve">به‌خاطر تضييع حقوق و كتمان آيات الهى واخلال در نظم و اجراى حق، و حتى مواردى كه باعث لعن دنيا و آخرت </w:t>
      </w:r>
      <w:r>
        <w:rPr>
          <w:rStyle w:val="FootnoteAnchor"/>
          <w:rtl w:val="true"/>
        </w:rPr>
        <w:footnoteReference w:id="2491"/>
      </w:r>
      <w:r>
        <w:rPr>
          <w:rFonts w:ascii="IRNazanin" w:hAnsi="IRNazanin" w:eastAsia="IRNazanin"/>
          <w:color w:val="111111"/>
          <w:sz w:val="28"/>
          <w:sz w:val="28"/>
          <w:szCs w:val="28"/>
          <w:rtl w:val="true"/>
          <w:lang w:bidi="fa-IR"/>
        </w:rPr>
        <w:t xml:space="preserve">مى‌گردد، اين نكته به‌دست مى‌آيد كه سبّ، از نگاه دين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ممنوع و خلاف كرامت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به‌همين رو،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دشنام دادن به‌انسانِ مسلمان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كه از فحش دادن به‌حيوانات هم نهى أكيد شده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منشور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قسمتى از نامه‌اى كه به‌اصحابش مى‌نويسد، و آنان را به‌رعايت و عمل به‌آن سفارش مى‌كند، مى‌آورد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وإيَّاكُم وَسَبّ أعداءِاللهِ حَيثُ يَسمَعُونَكُم فَيَسُبُّواللهَ عَدواً بِغَيرِ علمٍ، وقديَنبَغي لَكُم أن تَعلَمُوا حَدّ سَبِّهم لِلّه كيفَ هُوَ؟ إنّه مَن سَبَّ أولياءالله فقد إنتَهَكَ سَبّ الله، ومَن أظلَمَ عندالله مِمّن أستَسَبّ لِلّه و أولياءِالله، فَمَهلاً مَهلاً فَاتَّبِعُوا </w:t>
      </w:r>
    </w:p>
    <w:p>
      <w:pPr>
        <w:pStyle w:val="BookText"/>
        <w:rPr/>
      </w:pPr>
      <w:r>
        <w:rPr>
          <w:rFonts w:ascii="Amiri" w:hAnsi="Amiri" w:eastAsia="Amiri" w:cs="Amiri"/>
          <w:color w:val="111111"/>
          <w:sz w:val="28"/>
          <w:sz w:val="28"/>
          <w:szCs w:val="28"/>
          <w:rtl w:val="true"/>
          <w:lang w:bidi="ar-SA"/>
        </w:rPr>
        <w:t>أمرَاللهِ ولاحول ولا قوة إلّاباالله</w:t>
      </w:r>
      <w:r>
        <w:rPr>
          <w:rFonts w:eastAsia="Amiri" w:cs="Amiri" w:ascii="Amiri" w:hAnsi="Amiri"/>
          <w:color w:val="111111"/>
          <w:sz w:val="28"/>
          <w:szCs w:val="28"/>
          <w:rtl w:val="true"/>
          <w:lang w:bidi="ar-SA"/>
        </w:rPr>
        <w:t xml:space="preserve">»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موجب 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همان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سؤال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سَبَّ رجُلا ًبغيرِ قَذفٍ يُعرِّضُ به‌هَل يُجلَد؟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تعزير</w:t>
      </w:r>
      <w:r>
        <w:rPr>
          <w:rFonts w:eastAsia="Amiri" w:cs="Amiri" w:ascii="Amiri" w:hAnsi="Amiri"/>
          <w:color w:val="111111"/>
          <w:sz w:val="28"/>
          <w:szCs w:val="28"/>
          <w:rtl w:val="true"/>
          <w:lang w:bidi="ar-SA"/>
        </w:rPr>
        <w:t xml:space="preserve">»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 موجب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جعفربن‌محمد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 مُؤمِناً أومُؤمِنَةً بِمَا لَيسَ فِيهمَا، بَعَثَهُ اللهُ في طِينَةِالخَبَال </w:t>
      </w:r>
      <w:r>
        <w:rPr>
          <w:rStyle w:val="FootnoteAnchor"/>
          <w:rtl w:val="true"/>
        </w:rPr>
        <w:footnoteReference w:id="2494"/>
      </w:r>
      <w:r>
        <w:rPr>
          <w:rFonts w:ascii="Amiri" w:hAnsi="Amiri" w:eastAsia="Amiri" w:cs="Amiri"/>
          <w:color w:val="111111"/>
          <w:sz w:val="28"/>
          <w:sz w:val="28"/>
          <w:szCs w:val="28"/>
          <w:rtl w:val="true"/>
          <w:lang w:bidi="ar-SA"/>
        </w:rPr>
        <w:t xml:space="preserve">حَتَّى يَأتي بالمخرج ممّا قال </w:t>
      </w:r>
      <w:r>
        <w:rPr>
          <w:rFonts w:eastAsia="Amiri" w:cs="Amiri" w:ascii="Amiri" w:hAnsi="Amiri"/>
          <w:color w:val="111111"/>
          <w:sz w:val="28"/>
          <w:szCs w:val="28"/>
          <w:rtl w:val="true"/>
          <w:lang w:bidi="ar-SA"/>
        </w:rPr>
        <w:t xml:space="preserve">»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جلوۀ خُلق كريمانه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دعا براى هدايت پيروانش ارائه مى‌دهد، در بخشى اين‌گونه با خدايش نيايش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أللّهُمَّ اجعَل ما يُلقِي الشَّيطانُ فِي روعِي مِنَ التَّمَنِّي والتَّظنِّي والحَسَدِ ذِكراً لِعَظَمَتِكَ، وتَفَكُّراً فِي قُدرَتِكَ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وما أجري عَلى لسانِي من لَفظَةِ فُحشٍ أو هُجرٍ أو شَتمِ عِرضٍ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 سَبّ حاضر</w:t>
      </w:r>
      <w:r>
        <w:rPr>
          <w:rFonts w:eastAsia="IRNazanin" w:cs="IRNazanin"/>
          <w:color w:val="111111"/>
          <w:sz w:val="28"/>
          <w:szCs w:val="28"/>
          <w:rtl w:val="true"/>
          <w:lang w:bidi="fa-IR"/>
        </w:rPr>
        <w:t xml:space="preserve">. . . »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 ظلم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ابي‌الحسن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في‌رَجُلَين يَتَسَابّانِ،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البادئُ منهُمَا أظلَمَ، و وِزره و وِزرُصَاحِبِهِ عَلَيه مَالَم يَعتَذر إلى المظلوم </w:t>
      </w:r>
      <w:r>
        <w:rPr>
          <w:rFonts w:eastAsia="Amiri" w:cs="Amiri" w:ascii="Amiri" w:hAnsi="Amiri"/>
          <w:color w:val="111111"/>
          <w:sz w:val="28"/>
          <w:szCs w:val="28"/>
          <w:rtl w:val="true"/>
          <w:lang w:bidi="ar-SA"/>
        </w:rPr>
        <w:t xml:space="preserve">»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دشمنى ناشى از 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تميم أتى‌النَّبي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وكانَ فيمَا أوصاهُ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لاتسبُّوا النّاسَ فتَكسِبُوا العَداوةَ لَهُم</w:t>
      </w:r>
      <w:r>
        <w:rPr>
          <w:rFonts w:eastAsia="Amiri" w:cs="Amiri" w:ascii="Amiri" w:hAnsi="Amiri"/>
          <w:color w:val="111111"/>
          <w:sz w:val="28"/>
          <w:szCs w:val="28"/>
          <w:rtl w:val="true"/>
          <w:lang w:bidi="ar-SA"/>
        </w:rPr>
        <w:t xml:space="preserve">»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مجوسى‌بودن مجوّز نيست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رجلاًسَبَّ مجوسِيّاً بحض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فزَبَره و نَهاهُ عن </w:t>
      </w:r>
    </w:p>
    <w:p>
      <w:pPr>
        <w:pStyle w:val="BookText"/>
        <w:rPr/>
      </w:pPr>
      <w:r>
        <w:rPr>
          <w:rFonts w:ascii="Amiri" w:hAnsi="Amiri" w:eastAsia="Amiri" w:cs="Amiri"/>
          <w:color w:val="111111"/>
          <w:sz w:val="28"/>
          <w:sz w:val="28"/>
          <w:szCs w:val="28"/>
          <w:rtl w:val="true"/>
          <w:lang w:bidi="ar-SA"/>
        </w:rPr>
        <w:t xml:space="preserve">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تَزَوّجَ 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أنّ ذلكَ عندهُم النكاح</w:t>
      </w:r>
      <w:r>
        <w:rPr>
          <w:rFonts w:eastAsia="Amiri" w:cs="Amiri" w:ascii="Amiri" w:hAnsi="Amiri"/>
          <w:color w:val="111111"/>
          <w:sz w:val="28"/>
          <w:szCs w:val="28"/>
          <w:rtl w:val="true"/>
          <w:lang w:bidi="ar-SA"/>
        </w:rPr>
        <w:t xml:space="preserve">»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دشنام ندادن به‌خروس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قسمتى از حديثى كه به‌إملاى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أميرالمومنين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w:t>
      </w:r>
      <w:r>
        <w:rPr>
          <w:rStyle w:val="FootnoteAnchor"/>
          <w:rtl w:val="true"/>
        </w:rPr>
        <w:footnoteReference w:id="2500"/>
      </w:r>
      <w:r>
        <w:rPr>
          <w:rFonts w:ascii="Amiri" w:hAnsi="Amiri" w:eastAsia="Amiri" w:cs="Amiri"/>
          <w:color w:val="111111"/>
          <w:sz w:val="28"/>
          <w:sz w:val="28"/>
          <w:szCs w:val="28"/>
          <w:rtl w:val="true"/>
          <w:lang w:bidi="ar-SA"/>
        </w:rPr>
        <w:t>، آمده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يُحرَقَ شَييءٌ مِنَ الحيوان بالنَّارِ، ونَهَى عن سَبِّ الدِّيكِ،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يُوقِظُ للصّلاة</w:t>
      </w:r>
      <w:r>
        <w:rPr>
          <w:rFonts w:eastAsia="Amiri" w:cs="Amiri" w:ascii="Amiri" w:hAnsi="Amiri"/>
          <w:color w:val="111111"/>
          <w:sz w:val="28"/>
          <w:szCs w:val="28"/>
          <w:rtl w:val="true"/>
          <w:lang w:bidi="ar-SA"/>
        </w:rPr>
        <w:t xml:space="preserve">. . .»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دشنام به‌چارپا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اصبغ‌بن‌نباته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 النَّاسِ هذه الدّابّة الّتي تَكون في الطّعام،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تَسُبّوهَا، هوالَّذي نَفسِي بِيَدِهِ لولا هذه الدابّة لخَزنُوهَاعندهُم كَمَا يخزَنُون الذَّهبَ والفِضّة</w:t>
      </w:r>
      <w:r>
        <w:rPr>
          <w:rFonts w:eastAsia="IRNazanin" w:cs="IRNazanin"/>
          <w:color w:val="111111"/>
          <w:sz w:val="28"/>
          <w:szCs w:val="28"/>
          <w:rtl w:val="true"/>
          <w:lang w:bidi="fa-IR"/>
        </w:rPr>
        <w:t xml:space="preserve">»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از دشنام دادن به‌باد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محمدبن على‌بن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لاتَسُبُّوا الرِياحَ فإنّهَا مَأمورةٌ؛ ولا الجبالَ ولا السَّاعاتَ ولا الأيّامَ ولا الليالي، فتأثِمُوا ويَرجِع إليكم</w:t>
      </w:r>
      <w:r>
        <w:rPr>
          <w:rFonts w:eastAsia="Amiri" w:cs="Amiri" w:ascii="Amiri" w:hAnsi="Amiri"/>
          <w:color w:val="111111"/>
          <w:sz w:val="28"/>
          <w:szCs w:val="28"/>
          <w:rtl w:val="true"/>
          <w:lang w:bidi="ar-SA"/>
        </w:rPr>
        <w:t xml:space="preserve">»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بر اساس روايت ياد شده سبّ و دشنام نَه‌تنها به‌انسان كه به‌كوچك‌ترين موجود عالم هستى ممنوع و امر مذموم و ناپسند قلمداد مى‌شود؛ پيام اصلى روايات اين است كه براساس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برگرفته از آيات الهى است؛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به‌اعتقاد شيعه دشنام دادن به‌هيچ كسى و لو انسان كافر، روا نيست و اگر احياناً برخى از شيعيان به‌سبّ بعضى از اصحاب مبادرت مى‌كنند، عمل شخصى اوست و ارتباطى به‌اعتقاد شيعه ندارد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دشنام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اين رو، در قرآن كريم هم از سوى خداوند هم از جانب غيرخدا، لعن فراوان به‌كار رفته است </w:t>
      </w:r>
      <w:r>
        <w:rPr>
          <w:rStyle w:val="FootnoteAnchor"/>
          <w:rtl w:val="true"/>
        </w:rPr>
        <w:footnoteReference w:id="2505"/>
      </w:r>
      <w:r>
        <w:rPr>
          <w:rFonts w:ascii="IRNazanin" w:hAnsi="IRNazanin" w:eastAsia="IRNazanin"/>
          <w:color w:val="111111"/>
          <w:sz w:val="28"/>
          <w:sz w:val="28"/>
          <w:szCs w:val="28"/>
          <w:rtl w:val="true"/>
          <w:lang w:bidi="fa-IR"/>
        </w:rPr>
        <w:t xml:space="preserve">، در حالى‌كه از سبّ حتى به‌غيرخداپرستان، نهى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نگاه امامان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مذمومى معرفى گرديده است، و اين خود گواه براين است كه لعن، سبّ و دشنام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اتهام سبّ شيخين به‌شيعه اماميه، توطئه سياسى بوده و از سوى حاكمان براى تحت فشار گزاردن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طراحى و به‌اجرا در آمده است؛ زيرا وقتى نمى‌توانستند شيعيان را به‌عنوان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عقاب و شكنجه و كشتار قرار دهند، سبّ و شتم ابوبكر و عمر را بهانه ساخته و آنها را به‌اين جرم ناكرده، مورد آزار وتعقيب و تكفير وكشتار قرار مى‌دادند </w:t>
      </w:r>
      <w:r>
        <w:rPr>
          <w:rStyle w:val="FootnoteAnchor"/>
          <w:rtl w:val="true"/>
        </w:rPr>
        <w:footnoteReference w:id="2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به‌همين اتهام ثابت نشده، همه شيعيان آفريقا، حتى در عصر عبّاسى‌ها به قتل رسيدند و يا به‌آتش سوزانده شدند</w:t>
      </w:r>
      <w:r>
        <w:rPr>
          <w:rFonts w:eastAsia="Amiri" w:cs="Amiri" w:ascii="Amiri" w:hAnsi="Amiri"/>
          <w:color w:val="111111"/>
          <w:sz w:val="28"/>
          <w:szCs w:val="28"/>
          <w:rtl w:val="true"/>
          <w:lang w:bidi="ar-SA"/>
        </w:rPr>
        <w:t xml:space="preserve">! </w:t>
      </w:r>
      <w:r>
        <w:rPr>
          <w:rStyle w:val="FootnoteAnchor"/>
          <w:rtl w:val="true"/>
        </w:rPr>
        <w:footnoteReference w:id="25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بنيانگذار بدعتِ سَبّ</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تاريخى نخستين آغازگر سبّ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معاويه است؛ و يكى از سياست‌هاى وى تحقير، توهين، دشنام، لعن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بازداشت و قتل ياران و شيعيان آن‌حضرت بوده است؛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معاويه وقتى مغيرة ابن‌شعبة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اينكه نسبت به‌على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داشت و همواره او را مذمت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Style w:val="FootnoteAnchor"/>
          <w:rtl w:val="true"/>
        </w:rPr>
        <w:footnoteReference w:id="2508"/>
      </w:r>
      <w:r>
        <w:rPr>
          <w:rFonts w:ascii="IRNazanin" w:hAnsi="IRNazanin" w:eastAsia="IRNazanin"/>
          <w:color w:val="111111"/>
          <w:sz w:val="28"/>
          <w:sz w:val="28"/>
          <w:szCs w:val="28"/>
          <w:rtl w:val="true"/>
          <w:lang w:bidi="fa-IR"/>
        </w:rPr>
        <w:t>حاكم كوفه قرار داد، به‌وى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سفارش‌هاى زيادى به‌تو داشته باشم ولى به‌خاطر اعتماد بر تو و بصيرت تو از آنها صرف‌نظر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نمى‌توانم نسبت به‌چند وصيت چشم‌پوشى نمايم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لاتَكَفكَفَنَّ عن شَتم عَلِيٍّ و ذَمِّهِ والتَّرَحُّم عَلَى عثمان والاِستغفارلَهُ، والعيب لِاَصحاب عَلِيّ والاقصاءلَهُم و ترك الاِستماع منهم والاِطراء لشيعة عثمان والادناء لهم والاستماع منهم </w:t>
      </w:r>
      <w:r>
        <w:rPr>
          <w:rFonts w:eastAsia="IRNazanin" w:cs="IRNazanin"/>
          <w:color w:val="111111"/>
          <w:sz w:val="28"/>
          <w:szCs w:val="28"/>
          <w:rtl w:val="true"/>
          <w:lang w:bidi="fa-IR"/>
        </w:rPr>
        <w:t xml:space="preserve">» </w:t>
      </w:r>
      <w:r>
        <w:rPr>
          <w:rStyle w:val="FootnoteAnchor"/>
          <w:rtl w:val="true"/>
        </w:rPr>
        <w:footnoteReference w:id="2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قضيه را با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لاتَتَحَمَّ عن شَتم عَلِيّ و ذمّه </w:t>
      </w:r>
      <w:r>
        <w:rPr>
          <w:rFonts w:eastAsia="Amiri" w:cs="Amiri" w:ascii="Amiri" w:hAnsi="Amiri"/>
          <w:color w:val="111111"/>
          <w:sz w:val="28"/>
          <w:szCs w:val="28"/>
          <w:rtl w:val="true"/>
          <w:lang w:bidi="ar-SA"/>
        </w:rPr>
        <w:t xml:space="preserve">. . .» </w:t>
      </w:r>
      <w:r>
        <w:rPr>
          <w:rStyle w:val="FootnoteAnchor"/>
          <w:rtl w:val="true"/>
        </w:rPr>
        <w:footnoteReference w:id="2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لاتَترُك شَتم عَلِيٍّ و ذَمِّه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منعكس مى‌كنند </w:t>
      </w:r>
      <w:r>
        <w:rPr>
          <w:rStyle w:val="FootnoteAnchor"/>
          <w:rtl w:val="true"/>
        </w:rPr>
        <w:footnoteReference w:id="2511"/>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فردى به‌نام عبدالله‌بن‌هانى كه از ياران حجّاج‌بن‌يوسف بود، در بخش‌هايى از توصيف و وفادارى خود به‌معاويه و بنى‌أُميه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مِنّا تَزَوّج إمرأة تُحِبُّ أباتراب ولا تَتَولّاهُ؛ حجاج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منقبةٌ، وقتى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مِنّا رجل عُرِض عليه شَتمُ أبي‌ترابٍ ولَعنُه إلّا فَعَلَ،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وأزيدكم إبنَيهِ الحسنَ والحسينَ وأُمّهما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Style w:val="FootnoteAnchor"/>
          <w:rtl w:val="true"/>
        </w:rPr>
        <w:footnoteReference w:id="2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ابن شعبه كه بر روايتى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Style w:val="FootnoteAnchor"/>
          <w:rtl w:val="true"/>
        </w:rPr>
        <w:footnoteReference w:id="2513"/>
      </w:r>
      <w:r>
        <w:rPr>
          <w:rFonts w:ascii="IRNazanin" w:hAnsi="IRNazanin" w:eastAsia="IRNazanin"/>
          <w:color w:val="111111"/>
          <w:sz w:val="28"/>
          <w:sz w:val="28"/>
          <w:szCs w:val="28"/>
          <w:rtl w:val="true"/>
          <w:lang w:bidi="fa-IR"/>
        </w:rPr>
        <w:t xml:space="preserve">و به‌نقلى هفت سال و چند ماه </w:t>
      </w:r>
      <w:r>
        <w:rPr>
          <w:rStyle w:val="FootnoteAnchor"/>
          <w:rtl w:val="true"/>
        </w:rPr>
        <w:footnoteReference w:id="2514"/>
      </w:r>
      <w:r>
        <w:rPr>
          <w:rFonts w:ascii="Amiri" w:hAnsi="Amiri" w:eastAsia="Amiri" w:cs="Amiri"/>
          <w:color w:val="111111"/>
          <w:sz w:val="28"/>
          <w:sz w:val="28"/>
          <w:szCs w:val="28"/>
          <w:rtl w:val="true"/>
          <w:lang w:bidi="ar-SA"/>
        </w:rPr>
        <w:t xml:space="preserve">بر كوفه حكم راند، شتم و مذمت و دشنام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جزء برنامه‌هاى اصلى خود قرار داده </w:t>
      </w:r>
      <w:r>
        <w:rPr>
          <w:rStyle w:val="FootnoteAnchor"/>
          <w:rtl w:val="true"/>
        </w:rPr>
        <w:footnoteReference w:id="2515"/>
      </w:r>
      <w:r>
        <w:rPr>
          <w:rFonts w:ascii="IRNazanin" w:hAnsi="IRNazanin" w:eastAsia="IRNazanin"/>
          <w:color w:val="111111"/>
          <w:sz w:val="28"/>
          <w:sz w:val="28"/>
          <w:szCs w:val="28"/>
          <w:rtl w:val="true"/>
          <w:lang w:bidi="fa-IR"/>
        </w:rPr>
        <w:t>و در آن زياده‌روى مى‌كرد؛ به‌گونه‌اى كه اعتراض حُجربن‌عدى و حدود</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نفر از سران مؤثر كوفه را در مسجد جامع آن شهر كه با دشنام و لعن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بر انگيخت؛ وى در برابر اين توهين فرياد زد و به‌پا خواست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إنّ‌الله عزّوجلّ 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كُونُواْ قَوَّامِينَ بِالْقِسْطِ شُهَدَاء لِلهِ وَلَوْ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اَنفُسِكُمْ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 مَن تَذَمُّونَ وتُعيِّرُون لَأحَقّ بالفضل، وأنّ مَن تزكُّونَ وتَطرُون أولى بالذَّم</w:t>
      </w:r>
      <w:r>
        <w:rPr>
          <w:rFonts w:eastAsia="IRNazanin" w:cs="IRNazanin"/>
          <w:color w:val="111111"/>
          <w:sz w:val="28"/>
          <w:szCs w:val="28"/>
          <w:rtl w:val="true"/>
          <w:lang w:bidi="fa-IR"/>
        </w:rPr>
        <w:t xml:space="preserve">. . . » </w:t>
      </w:r>
      <w:r>
        <w:rPr>
          <w:rStyle w:val="FootnoteAnchor"/>
          <w:rtl w:val="true"/>
        </w:rPr>
        <w:footnoteReference w:id="2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با اين عبارت قضيه را </w:t>
      </w:r>
    </w:p>
    <w:p>
      <w:pPr>
        <w:pStyle w:val="BookText"/>
        <w:rPr/>
      </w:pPr>
      <w:r>
        <w:rPr>
          <w:rFonts w:ascii="Amiri" w:hAnsi="Amiri" w:eastAsia="Amiri" w:cs="Amiri"/>
          <w:color w:val="111111"/>
          <w:sz w:val="28"/>
          <w:sz w:val="28"/>
          <w:szCs w:val="28"/>
          <w:rtl w:val="true"/>
          <w:lang w:bidi="ar-SA"/>
        </w:rPr>
        <w:t>منعكس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فَوَثَبَ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فَنَعَرَ بالمغيرةِ نعرةً سُمِعَت من كُلّ جانب من المسجد و سُمِعت خارجاً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بِمَن تُولَعُ، و قد هَرِمتَ أيُّها الاِنسان و حَرَمتَ النّاسَ أرزاقَهم، وأخّرتَ عنهم عطاءَهم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وقام مَع حُجر أكثر من ثلاثين، كُلُّهم يقول مثل قوله و يسمعون المغيرة،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اُولِعتَ بذَمِّ الصّالحين وتقريض المجرمين </w:t>
      </w:r>
      <w:r>
        <w:rPr>
          <w:rFonts w:eastAsia="Amiri" w:cs="Amiri" w:ascii="Amiri" w:hAnsi="Amiri"/>
          <w:color w:val="111111"/>
          <w:sz w:val="28"/>
          <w:szCs w:val="28"/>
          <w:rtl w:val="true"/>
          <w:lang w:bidi="ar-SA"/>
        </w:rPr>
        <w:t xml:space="preserve">» </w:t>
      </w:r>
      <w:r>
        <w:rPr>
          <w:rStyle w:val="FootnoteAnchor"/>
          <w:rtl w:val="true"/>
        </w:rPr>
        <w:footnoteReference w:id="2517"/>
      </w:r>
      <w:r>
        <w:rPr>
          <w:rFonts w:ascii="Amiri" w:hAnsi="Amiri" w:eastAsia="Amiri" w:cs="Amiri"/>
          <w:color w:val="111111"/>
          <w:sz w:val="28"/>
          <w:sz w:val="28"/>
          <w:szCs w:val="28"/>
          <w:rtl w:val="true"/>
          <w:lang w:bidi="ar-SA"/>
        </w:rPr>
        <w:t xml:space="preserve">همين مسأله سبب شد كه معاويه حجر و يارانش را به‌شام فرا خوانده و به شهادت برساند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سنّت شوم را كه معاويه بنيان‌گذارى كرد تا زمان عمربن‌عبدالعزيز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نه تنها در مركز حكومت وى، اميرالمؤمنين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منابر و خطبه‌ها لعن و سبّ مى‌شدند كه فرمان سب حضرت را به‌اطراف كشور اسلامى آن روز نيز صادركرد </w:t>
      </w:r>
      <w:r>
        <w:rPr>
          <w:rStyle w:val="FootnoteAnchor"/>
          <w:rtl w:val="true"/>
        </w:rPr>
        <w:footnoteReference w:id="2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معاويه از اين كار، محو كردن ياد و فضائل پسر ابى‌طالب بود؛ به‌همين جهت وقتى گروهى از بنى‌أُميه از رفتار او به‌تنگ آمدند به‌معاويه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بَلَّغتَ ما أمَّلتَ، فلو كَفَفتَ عن لعن هذا 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جواب آنها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وَالله حَتَّى يربُوَ عليه الصَّغير، و يهرم عليه الكبير، ولايذكرله ذاكرٌ فضلاً </w:t>
      </w:r>
      <w:r>
        <w:rPr>
          <w:rFonts w:eastAsia="IRNazanin" w:cs="IRNazanin"/>
          <w:color w:val="111111"/>
          <w:sz w:val="28"/>
          <w:szCs w:val="28"/>
          <w:rtl w:val="true"/>
          <w:lang w:bidi="fa-IR"/>
        </w:rPr>
        <w:t xml:space="preserve">!» </w:t>
      </w:r>
      <w:r>
        <w:rPr>
          <w:rStyle w:val="FootnoteAnchor"/>
          <w:rtl w:val="true"/>
        </w:rPr>
        <w:footnoteReference w:id="2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فخر رازى در تفسير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اثبات اينكه بسم‌الله يك آيه است و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شود، توطئه بودن منع آن را توسط بنى‌اميه و تلاش محوِ آثار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تأييد مى‌كند</w:t>
      </w:r>
      <w:r>
        <w:rPr>
          <w:rFonts w:eastAsia="IRNazanin" w:cs="IRNazanin"/>
          <w:color w:val="111111"/>
          <w:sz w:val="28"/>
          <w:szCs w:val="28"/>
          <w:rtl w:val="true"/>
          <w:lang w:bidi="fa-IR"/>
        </w:rPr>
        <w:t xml:space="preserve">. </w:t>
      </w:r>
      <w:r>
        <w:rPr>
          <w:rStyle w:val="FootnoteAnchor"/>
          <w:rtl w:val="true"/>
        </w:rPr>
        <w:footnoteReference w:id="2521"/>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لعن و سبّ از طرف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به‌شيخين و ديگران صورت گرفته باشد، مسبِّب أن جز خود بزرگان مورد قبول وهابى‌ها، نيستند؛ كسى‌كه از نظر جايگاهِ اجتماعى أميرالمؤمنين و أكابر صحابه خوانده مى‌شود و از نظر نسبت و </w:t>
      </w:r>
    </w:p>
    <w:p>
      <w:pPr>
        <w:pStyle w:val="BookText"/>
        <w:rPr/>
      </w:pPr>
      <w:r>
        <w:rPr>
          <w:rFonts w:ascii="Amiri" w:hAnsi="Amiri" w:eastAsia="Amiri" w:cs="Amiri"/>
          <w:color w:val="111111"/>
          <w:sz w:val="28"/>
          <w:sz w:val="28"/>
          <w:szCs w:val="28"/>
          <w:rtl w:val="true"/>
          <w:lang w:bidi="ar-SA"/>
        </w:rPr>
        <w:t xml:space="preserve">قرابت نزديك به‌رسول‌الله و محبت او را واجب مى‌شمارد </w:t>
      </w:r>
      <w:r>
        <w:rPr>
          <w:rStyle w:val="FootnoteAnchor"/>
          <w:rtl w:val="true"/>
        </w:rPr>
        <w:footnoteReference w:id="2522"/>
      </w:r>
      <w:r>
        <w:rPr>
          <w:rFonts w:ascii="IRNazanin" w:hAnsi="IRNazanin" w:eastAsia="IRNazanin"/>
          <w:color w:val="111111"/>
          <w:sz w:val="28"/>
          <w:sz w:val="28"/>
          <w:szCs w:val="28"/>
          <w:rtl w:val="true"/>
          <w:lang w:bidi="fa-IR"/>
        </w:rPr>
        <w:t>، مؤسِس اين بدعت شوم باشد، بى‌ترديد عمل برخى شيعيان جز بازتاب رفتار خود آنان و پيروان معاويه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پليده بنى‌اميه تنها به‌سَبّ على و فرزندان و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نكردند بلكه مردم را به اجبار به بيزارى ازعلى وادار و در صورت امتناع به‌قتل مى‌رساندند و خانه‌هايشان را تخريب مى‌كردند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وأرادَ زِياد أن يعرض أهل‌الكوفة أجمعين على البرائة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ولعنه، و أن يقتُل كلّ مَن إمتَنَعَ مِن ذلك و يخرّب منزله </w:t>
      </w:r>
      <w:r>
        <w:rPr>
          <w:rFonts w:eastAsia="IRNazanin" w:cs="IRNazanin"/>
          <w:color w:val="111111"/>
          <w:sz w:val="28"/>
          <w:szCs w:val="28"/>
          <w:rtl w:val="true"/>
          <w:lang w:bidi="fa-IR"/>
        </w:rPr>
        <w:t xml:space="preserve">»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نويسندگان منتقِد بر اصول كافى، اين اسناد را ديده‌اند؟ اگر ديده‌اند و اطلاع دارند، با وجود چنين ظلم و بدعتى كه حدود</w:t>
      </w: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ادامه داشت و حتى وليد بن عبدالملك اموى 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دُزد ودزدزاده، مى‌خواند، مردم از لحن و تهمت او به‌آن حضرت شگفت زده مى‌شوند </w:t>
      </w:r>
      <w:r>
        <w:rPr>
          <w:rStyle w:val="FootnoteAnchor"/>
          <w:rtl w:val="true"/>
        </w:rPr>
        <w:footnoteReference w:id="2524"/>
      </w:r>
      <w:r>
        <w:rPr>
          <w:rFonts w:ascii="IRNazanin" w:hAnsi="IRNazanin" w:eastAsia="IRNazanin"/>
          <w:color w:val="111111"/>
          <w:sz w:val="28"/>
          <w:sz w:val="28"/>
          <w:szCs w:val="28"/>
          <w:rtl w:val="true"/>
          <w:lang w:bidi="fa-IR"/>
        </w:rPr>
        <w:t>، از شيعه چه انتظارى دارند؟ واگر اطلاع ندارند بايد به‌حال آنها تأسّف خورد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اينكه لعن شيخين، از نگاه شيعه فرض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كفر و خروج از اسلام نگرديده و زنديق اطلاق نمى‌شود نهايت اينكه مرتكب معصيت شده‌اند و معصيت‌كاران چه بسيارند؛ و شكى نيست كه معصيت، باعث خروج از دين نمى‌شود </w:t>
      </w:r>
      <w:r>
        <w:rPr>
          <w:rStyle w:val="FootnoteAnchor"/>
          <w:rtl w:val="true"/>
        </w:rPr>
        <w:footnoteReference w:id="2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به‌چه دليل عالمان دربارى كه دينش را براى دنياى ديگران فروختند، قانونى را وضع كرده‌اند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 الرّجُلَ ينتقص أحداً مِن أصحاب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زنديق </w:t>
      </w:r>
      <w:r>
        <w:rPr>
          <w:rFonts w:eastAsia="IRNazanin" w:cs="IRNazanin"/>
          <w:color w:val="111111"/>
          <w:sz w:val="28"/>
          <w:szCs w:val="28"/>
          <w:rtl w:val="true"/>
          <w:lang w:bidi="fa-IR"/>
        </w:rPr>
        <w:t xml:space="preserve">» </w:t>
      </w:r>
      <w:r>
        <w:rPr>
          <w:rStyle w:val="FootnoteAnchor"/>
          <w:rtl w:val="true"/>
        </w:rPr>
        <w:footnoteReference w:id="2526"/>
      </w:r>
      <w:r>
        <w:rPr>
          <w:rFonts w:ascii="Amiri" w:hAnsi="Amiri" w:eastAsia="Amiri" w:cs="Amiri"/>
          <w:color w:val="111111"/>
          <w:sz w:val="28"/>
          <w:sz w:val="28"/>
          <w:szCs w:val="28"/>
          <w:rtl w:val="true"/>
          <w:lang w:bidi="ar-SA"/>
        </w:rPr>
        <w:t xml:space="preserve">، و يا درمورد متهمان به‌سب شيخين حكم به‌كفر نمودند، غسل و نماز بر جنازه آنها را ممنوع و شهادت آنها را به وحدانيت خدا ناكافى و توبه آنها را غير مقبول و قتل </w:t>
      </w:r>
    </w:p>
    <w:p>
      <w:pPr>
        <w:pStyle w:val="BookText"/>
        <w:rPr/>
      </w:pPr>
      <w:r>
        <w:rPr>
          <w:rFonts w:ascii="Amiri" w:hAnsi="Amiri" w:eastAsia="Amiri" w:cs="Amiri"/>
          <w:color w:val="111111"/>
          <w:sz w:val="28"/>
          <w:sz w:val="28"/>
          <w:szCs w:val="28"/>
          <w:rtl w:val="true"/>
          <w:lang w:bidi="ar-SA"/>
        </w:rPr>
        <w:t>آنها را واجب، ذبيحه آنها را حرام و ازدواج با آنها را غير مشروع خواندند</w:t>
      </w:r>
      <w:r>
        <w:rPr>
          <w:rFonts w:eastAsia="Amiri" w:cs="Amiri" w:ascii="Amiri" w:hAnsi="Amiri"/>
          <w:color w:val="111111"/>
          <w:sz w:val="28"/>
          <w:szCs w:val="28"/>
          <w:rtl w:val="true"/>
          <w:lang w:bidi="ar-SA"/>
        </w:rPr>
        <w:t xml:space="preserve">! </w:t>
      </w:r>
      <w:r>
        <w:rPr>
          <w:rStyle w:val="FootnoteAnchor"/>
          <w:rtl w:val="true"/>
        </w:rPr>
        <w:footnoteReference w:id="2527"/>
      </w:r>
      <w:r>
        <w:rPr>
          <w:rFonts w:ascii="IRNazanin" w:hAnsi="IRNazanin" w:eastAsia="IRNazanin"/>
          <w:color w:val="111111"/>
          <w:sz w:val="28"/>
          <w:sz w:val="28"/>
          <w:szCs w:val="28"/>
          <w:rtl w:val="true"/>
          <w:lang w:bidi="fa-IR"/>
        </w:rPr>
        <w:t>آيا با چنين رويه‌اى از سوى دستگاه حاكم انتظار داريد از بنيان‌گذاران جور تمجيد به‌عمل آيد؟</w:t>
      </w:r>
    </w:p>
    <w:p>
      <w:pPr>
        <w:pStyle w:val="BookText"/>
        <w:rPr/>
      </w:pPr>
      <w:r>
        <w:rPr>
          <w:rFonts w:ascii="Amiri" w:hAnsi="Amiri" w:eastAsia="Amiri" w:cs="Amiri"/>
          <w:color w:val="111111"/>
          <w:sz w:val="28"/>
          <w:sz w:val="28"/>
          <w:szCs w:val="28"/>
          <w:rtl w:val="true"/>
          <w:lang w:bidi="ar-SA"/>
        </w:rPr>
        <w:t>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و سبّ شيخين در صورتى كه از روى اجتهاد باشد، نَه معصيت است و نَه موجب فسق؛ زيرا يكى از مسلّمات نزد اهل‌سنت اين قاعده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للمُخطئ أجرٌ و للمُصيبِ أجران </w:t>
      </w:r>
      <w:r>
        <w:rPr>
          <w:rFonts w:eastAsia="Amiri" w:cs="Amiri" w:ascii="Amiri" w:hAnsi="Amiri"/>
          <w:color w:val="111111"/>
          <w:sz w:val="28"/>
          <w:szCs w:val="28"/>
          <w:rtl w:val="true"/>
          <w:lang w:bidi="ar-SA"/>
        </w:rPr>
        <w:t xml:space="preserve">» </w:t>
      </w:r>
      <w:r>
        <w:rPr>
          <w:rStyle w:val="FootnoteAnchor"/>
          <w:rtl w:val="true"/>
        </w:rPr>
        <w:footnoteReference w:id="2528"/>
      </w:r>
      <w:r>
        <w:rPr>
          <w:rFonts w:ascii="IRNazanin" w:hAnsi="IRNazanin" w:eastAsia="IRNazanin"/>
          <w:color w:val="111111"/>
          <w:sz w:val="28"/>
          <w:sz w:val="28"/>
          <w:szCs w:val="28"/>
          <w:rtl w:val="true"/>
          <w:lang w:bidi="fa-IR"/>
        </w:rPr>
        <w:t xml:space="preserve">و براساس اين قاعده وقتى جنايت‌هاى اصحاب و خروج بالسيف بر ضدّ خليفه مسلمانان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كشتارهاى مسلمانان به‌ويژه توسط پسر هند، اجتهاد و يك پاداش داشته باشد </w:t>
      </w:r>
      <w:r>
        <w:rPr>
          <w:rStyle w:val="FootnoteAnchor"/>
          <w:rtl w:val="true"/>
        </w:rPr>
        <w:footnoteReference w:id="2529"/>
      </w:r>
      <w:r>
        <w:rPr>
          <w:rFonts w:ascii="IRNazanin" w:hAnsi="IRNazanin" w:eastAsia="IRNazanin"/>
          <w:color w:val="111111"/>
          <w:sz w:val="28"/>
          <w:sz w:val="28"/>
          <w:szCs w:val="28"/>
          <w:rtl w:val="true"/>
          <w:lang w:bidi="fa-IR"/>
        </w:rPr>
        <w:t xml:space="preserve">، چرا سَبّ شيخين اجتهاد و داراى يك اجر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به‌چه دليل اجتهاد معاويه اجر داشته ولى در مورد شيعه چنين اجتهاد و اجرى منتفى باشد؟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برخى روايات از ابوبكر و عمر و عثمان و معاويه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اين تعبيرات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ذكر شده </w:t>
      </w:r>
      <w:r>
        <w:rPr>
          <w:rStyle w:val="FootnoteAnchor"/>
          <w:rtl w:val="true"/>
        </w:rPr>
        <w:footnoteReference w:id="2530"/>
      </w:r>
      <w:r>
        <w:rPr>
          <w:rFonts w:ascii="IRNazanin" w:hAnsi="IRNazanin" w:eastAsia="IRNazanin"/>
          <w:color w:val="111111"/>
          <w:sz w:val="28"/>
          <w:sz w:val="28"/>
          <w:szCs w:val="28"/>
          <w:rtl w:val="true"/>
          <w:lang w:bidi="fa-IR"/>
        </w:rPr>
        <w:t xml:space="preserve">، و يا به‌عنوان بت‌هاى چهارگانه ياد شده </w:t>
      </w:r>
      <w:r>
        <w:rPr>
          <w:rStyle w:val="FootnoteAnchor"/>
          <w:rtl w:val="true"/>
        </w:rPr>
        <w:footnoteReference w:id="2531"/>
      </w:r>
      <w:r>
        <w:rPr>
          <w:rFonts w:ascii="Amiri" w:hAnsi="Amiri" w:eastAsia="Amiri" w:cs="Amiri"/>
          <w:color w:val="111111"/>
          <w:sz w:val="28"/>
          <w:sz w:val="28"/>
          <w:szCs w:val="28"/>
          <w:rtl w:val="true"/>
          <w:lang w:bidi="ar-SA"/>
        </w:rPr>
        <w:t>، همه از باب تفسير و مصاديق آيات است</w:t>
      </w:r>
      <w:r>
        <w:rPr>
          <w:rFonts w:eastAsia="Amiri" w:cs="Amiri" w:ascii="Amiri" w:hAnsi="Amiri"/>
          <w:color w:val="111111"/>
          <w:sz w:val="28"/>
          <w:szCs w:val="28"/>
          <w:rtl w:val="true"/>
          <w:lang w:bidi="ar-SA"/>
        </w:rPr>
        <w:t xml:space="preserve">. </w:t>
      </w:r>
      <w:bookmarkStart w:id="927" w:name="pg1976_28720"/>
    </w:p>
    <w:p>
      <w:pPr>
        <w:pStyle w:val="Heading3"/>
        <w:numPr>
          <w:ilvl w:val="2"/>
          <w:numId w:val="1"/>
        </w:numPr>
        <w:rPr/>
      </w:pPr>
      <w:bookmarkStart w:id="928" w:name="__RefHeading___Toc3767527_3650668749"/>
      <w:bookmarkStart w:id="929" w:name="_Toc342"/>
      <w:bookmarkEnd w:id="927"/>
      <w:bookmarkEnd w:id="928"/>
      <w:r>
        <w:rPr>
          <w:rtl w:val="true"/>
        </w:rPr>
        <w:t>فصل چهارم</w:t>
      </w:r>
      <w:r>
        <w:rPr>
          <w:rtl w:val="true"/>
        </w:rPr>
        <w:t xml:space="preserve">: </w:t>
      </w:r>
      <w:r>
        <w:rPr>
          <w:rtl w:val="true"/>
        </w:rPr>
        <w:t xml:space="preserve">تكفير و لعن اُمّ المؤمنين عايشه </w:t>
      </w:r>
      <w:r>
        <w:rPr>
          <w:rtl w:val="true"/>
        </w:rPr>
        <w:t>(</w:t>
      </w:r>
      <w:r>
        <w:rPr>
          <w:rtl w:val="true"/>
        </w:rPr>
        <w:t>م</w:t>
      </w:r>
      <w:r>
        <w:rPr/>
        <w:t>۵٧</w:t>
      </w:r>
      <w:r>
        <w:rPr>
          <w:rtl w:val="true"/>
        </w:rPr>
        <w:t>ق</w:t>
      </w:r>
      <w:r>
        <w:rPr>
          <w:rtl w:val="true"/>
        </w:rPr>
        <w:t>)</w:t>
      </w:r>
      <w:bookmarkEnd w:id="929"/>
    </w:p>
    <w:p>
      <w:pPr>
        <w:pStyle w:val="Heading4"/>
        <w:numPr>
          <w:ilvl w:val="3"/>
          <w:numId w:val="1"/>
        </w:numPr>
        <w:rPr/>
      </w:pPr>
      <w:bookmarkStart w:id="930" w:name="__RefHeading___Toc3767529_3650668749"/>
      <w:bookmarkStart w:id="931" w:name="_Toc343"/>
      <w:bookmarkEnd w:id="930"/>
      <w:r>
        <w:rPr/>
        <w:t>١</w:t>
      </w:r>
      <w:r>
        <w:rPr>
          <w:rtl w:val="true"/>
        </w:rPr>
        <w:t xml:space="preserve">. </w:t>
      </w:r>
      <w:r>
        <w:rPr>
          <w:rtl w:val="true"/>
        </w:rPr>
        <w:t>طرح اشكال</w:t>
      </w:r>
      <w:bookmarkEnd w:id="931"/>
    </w:p>
    <w:p>
      <w:pPr>
        <w:pStyle w:val="BookText"/>
        <w:rPr/>
      </w:pPr>
      <w:r>
        <w:rPr>
          <w:rFonts w:ascii="IRNazanin" w:hAnsi="IRNazanin" w:eastAsia="IRNazanin"/>
          <w:color w:val="111111"/>
          <w:sz w:val="28"/>
          <w:sz w:val="28"/>
          <w:szCs w:val="28"/>
          <w:rtl w:val="true"/>
          <w:lang w:bidi="fa-IR"/>
        </w:rPr>
        <w:t xml:space="preserve">از ديگر اشكالاتى كه بر إعتقادات شيعه وكتاب كافى گرفته مى‌شود، تكفير و لعن و سبّ أُمّ‌المؤمنين عايشه و برخى ديگر از أُمّهات‌المؤمنين است؛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والشيعة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يكَفِّرون أُمّهات المؤمنين كافّةحيثُ إنّ نصوصهم تدعى أنّ كل مَن لم يؤمن بالائمة الاِثني‌عشر فهو كافرٌ</w:t>
      </w:r>
      <w:r>
        <w:rPr>
          <w:rFonts w:eastAsia="IRNazanin" w:cs="IRNazanin"/>
          <w:color w:val="111111"/>
          <w:sz w:val="28"/>
          <w:szCs w:val="28"/>
          <w:rtl w:val="true"/>
          <w:lang w:bidi="fa-IR"/>
        </w:rPr>
        <w:t xml:space="preserve">» </w:t>
      </w:r>
      <w:r>
        <w:rPr>
          <w:rStyle w:val="FootnoteAnchor"/>
          <w:rtl w:val="true"/>
        </w:rPr>
        <w:footnoteReference w:id="2532"/>
      </w:r>
      <w:r>
        <w:rPr>
          <w:rFonts w:ascii="Amiri" w:hAnsi="Amiri" w:eastAsia="Amiri" w:cs="Amiri"/>
          <w:color w:val="111111"/>
          <w:sz w:val="28"/>
          <w:sz w:val="28"/>
          <w:szCs w:val="28"/>
          <w:rtl w:val="true"/>
          <w:lang w:bidi="ar-SA"/>
        </w:rPr>
        <w:t xml:space="preserve">سند اين ادعا را روايات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إدَّعى الاِمامة و ليس لها بأهل و مَن جحدالائمة أو بَعضَهم</w:t>
      </w:r>
      <w:r>
        <w:rPr>
          <w:rFonts w:eastAsia="Amiri" w:cs="Amiri" w:ascii="Amiri" w:hAnsi="Amiri"/>
          <w:color w:val="111111"/>
          <w:sz w:val="28"/>
          <w:szCs w:val="28"/>
          <w:rtl w:val="true"/>
          <w:lang w:bidi="ar-SA"/>
        </w:rPr>
        <w:t xml:space="preserve">. . .» </w:t>
      </w:r>
      <w:r>
        <w:rPr>
          <w:rStyle w:val="FootnoteAnchor"/>
          <w:rtl w:val="true"/>
        </w:rPr>
        <w:footnoteReference w:id="2533"/>
      </w:r>
      <w:r>
        <w:rPr>
          <w:rFonts w:ascii="Amiri" w:hAnsi="Amiri" w:eastAsia="Amiri" w:cs="Amiri"/>
          <w:color w:val="111111"/>
          <w:sz w:val="28"/>
          <w:sz w:val="28"/>
          <w:szCs w:val="28"/>
          <w:rtl w:val="true"/>
          <w:lang w:bidi="ar-SA"/>
        </w:rPr>
        <w:t xml:space="preserve">مى‌داند و از ميان همسران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عايشه و حفصه را برجسته‌تر مطرح مى‌كنند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قفارى با استناد به‌روايات همين باب تصريح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نَصَّ صاحب الكافي في رواياته على أنَّ كلَّ من لم يؤمن بالاِثني‌عشر فهو كافر، وإن كان عَلَوِياً فاطميّاً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باءُوا بتكفير اُمّهات المُؤمنين ازواج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لم يَستثنوا واحدة منهنّ في نصوصهم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لكنّهم يخُصُّون مِنهُنّ عائشة و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 عنهنّ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بالذّم و اللعن والتكفير </w:t>
      </w:r>
      <w:r>
        <w:rPr>
          <w:rFonts w:eastAsia="Amiri" w:cs="Amiri" w:ascii="Amiri" w:hAnsi="Amiri"/>
          <w:color w:val="111111"/>
          <w:sz w:val="28"/>
          <w:szCs w:val="28"/>
          <w:rtl w:val="true"/>
          <w:lang w:bidi="ar-SA"/>
        </w:rPr>
        <w:t xml:space="preserve">»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 xml:space="preserve">. </w:t>
      </w:r>
      <w:bookmarkStart w:id="932" w:name="pg1976_28722"/>
    </w:p>
    <w:p>
      <w:pPr>
        <w:pStyle w:val="BookText"/>
        <w:rPr/>
      </w:pPr>
      <w:bookmarkEnd w:id="932"/>
      <w:r>
        <w:rPr>
          <w:rFonts w:ascii="IRNazanin" w:hAnsi="IRNazanin" w:eastAsia="IRNazanin"/>
          <w:color w:val="111111"/>
          <w:sz w:val="28"/>
          <w:sz w:val="28"/>
          <w:szCs w:val="28"/>
          <w:rtl w:val="true"/>
          <w:lang w:bidi="fa-IR"/>
        </w:rPr>
        <w:t xml:space="preserve">اين نويسنده مدرك لعن و تكفير عايشه را وصيت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تكفين و تشييع و دفن خود، مى‌داند؛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وصيت نسبت به‌تحركات عايشه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أنّه سيُصيبني مِن عائشة مَايعلم‌اللهُ والنّاسُ صَنيعِهَا و عَداوتِهَا ِللهِ ولرسُولِهِ و عداوتها لَنَا أهل‌البيت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و در هنگام اجراى وصيت، أُمُّ‌المؤمنين سخت موضع گرفت </w:t>
      </w:r>
      <w:r>
        <w:rPr>
          <w:rStyle w:val="FootnoteAnchor"/>
          <w:rtl w:val="true"/>
        </w:rPr>
        <w:footnoteReference w:id="2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مورد حفصة بنت عمر به‌رواياتى از بحارالأنوار استناد مى‌كند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3" w:name="__RefHeading___Toc3767531_3650668749"/>
      <w:bookmarkStart w:id="934" w:name="_Toc344"/>
      <w:bookmarkEnd w:id="933"/>
      <w:r>
        <w:rPr/>
        <w:t>٢</w:t>
      </w:r>
      <w:r>
        <w:rPr>
          <w:rtl w:val="true"/>
        </w:rPr>
        <w:t xml:space="preserve">. </w:t>
      </w:r>
      <w:r>
        <w:rPr>
          <w:rtl w:val="true"/>
        </w:rPr>
        <w:t>بررسى و نقد اين اشكال</w:t>
      </w:r>
      <w:bookmarkEnd w:id="934"/>
    </w:p>
    <w:p>
      <w:pPr>
        <w:pStyle w:val="Heading5"/>
        <w:numPr>
          <w:ilvl w:val="4"/>
          <w:numId w:val="1"/>
        </w:numPr>
        <w:rPr/>
      </w:pPr>
      <w:bookmarkStart w:id="935" w:name="__RefHeading___Toc3767533_3650668749"/>
      <w:bookmarkStart w:id="936" w:name="_Toc345"/>
      <w:bookmarkEnd w:id="935"/>
      <w:r>
        <w:rPr>
          <w:rtl w:val="true"/>
        </w:rPr>
        <w:t>اشاره</w:t>
      </w:r>
      <w:bookmarkEnd w:id="936"/>
    </w:p>
    <w:p>
      <w:pPr>
        <w:pStyle w:val="BookText"/>
        <w:rPr/>
      </w:pPr>
      <w:r>
        <w:rPr>
          <w:rFonts w:ascii="IRNazanin" w:hAnsi="IRNazanin" w:eastAsia="IRNazanin"/>
          <w:color w:val="111111"/>
          <w:sz w:val="28"/>
          <w:sz w:val="28"/>
          <w:szCs w:val="28"/>
          <w:rtl w:val="true"/>
          <w:lang w:bidi="fa-IR"/>
        </w:rPr>
        <w:t>با توجّه به‌مباحث گذشته در خصوص تكفير منكران ولايت و امامت و همچنين در ارتباط با بحث لعن و سبّ صحابه و تفاوت اين دو اصطلاح، واكاوى چند مطلب لازم است</w:t>
      </w:r>
      <w:r>
        <w:rPr>
          <w:rFonts w:eastAsia="IRNazanin" w:cs="IRNazanin"/>
          <w:color w:val="111111"/>
          <w:sz w:val="28"/>
          <w:szCs w:val="28"/>
          <w:rtl w:val="true"/>
          <w:lang w:bidi="fa-IR"/>
        </w:rPr>
        <w:t>:</w:t>
      </w:r>
    </w:p>
    <w:p>
      <w:pPr>
        <w:pStyle w:val="Heading5"/>
        <w:numPr>
          <w:ilvl w:val="4"/>
          <w:numId w:val="1"/>
        </w:numPr>
        <w:rPr/>
      </w:pPr>
      <w:bookmarkStart w:id="937" w:name="__RefHeading___Toc3767535_3650668749"/>
      <w:bookmarkStart w:id="938" w:name="_Toc346"/>
      <w:bookmarkEnd w:id="937"/>
      <w:r>
        <w:rPr>
          <w:rtl w:val="true"/>
        </w:rPr>
        <w:t>الف</w:t>
      </w:r>
      <w:r>
        <w:rPr>
          <w:rtl w:val="true"/>
        </w:rPr>
        <w:t xml:space="preserve">) </w:t>
      </w:r>
      <w:r>
        <w:rPr>
          <w:rtl w:val="true"/>
        </w:rPr>
        <w:t>عدم خروج از اسلام</w:t>
      </w:r>
      <w:bookmarkEnd w:id="938"/>
    </w:p>
    <w:p>
      <w:pPr>
        <w:pStyle w:val="BookText"/>
        <w:rPr/>
      </w:pPr>
      <w:r>
        <w:rPr>
          <w:rFonts w:ascii="IRNazanin" w:hAnsi="IRNazanin" w:eastAsia="IRNazanin"/>
          <w:color w:val="111111"/>
          <w:sz w:val="28"/>
          <w:sz w:val="28"/>
          <w:szCs w:val="28"/>
          <w:rtl w:val="true"/>
          <w:lang w:bidi="fa-IR"/>
        </w:rPr>
        <w:t xml:space="preserve">با پژوهش مفصّلى كه انجام شد، انكار و قبول نداشتن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ديگر شيعه، موجب كفر و خروج از اسلام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منكران امامت، مؤمن به‌اصطلاح شيعه نخواهند بود؛ ازاين‌رو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اصطلاحى آن نيست</w:t>
      </w:r>
      <w:r>
        <w:rPr>
          <w:rFonts w:eastAsia="IRNazanin" w:cs="IRNazanin"/>
          <w:color w:val="111111"/>
          <w:sz w:val="28"/>
          <w:szCs w:val="28"/>
          <w:rtl w:val="true"/>
          <w:lang w:bidi="fa-IR"/>
        </w:rPr>
        <w:t>.</w:t>
      </w:r>
    </w:p>
    <w:p>
      <w:pPr>
        <w:pStyle w:val="Heading5"/>
        <w:numPr>
          <w:ilvl w:val="4"/>
          <w:numId w:val="1"/>
        </w:numPr>
        <w:rPr/>
      </w:pPr>
      <w:bookmarkStart w:id="939" w:name="__RefHeading___Toc3767537_3650668749"/>
      <w:bookmarkStart w:id="940" w:name="_Toc347"/>
      <w:bookmarkEnd w:id="939"/>
      <w:r>
        <w:rPr>
          <w:rtl w:val="true"/>
        </w:rPr>
        <w:t>ب</w:t>
      </w:r>
      <w:r>
        <w:rPr>
          <w:rtl w:val="true"/>
        </w:rPr>
        <w:t xml:space="preserve">) </w:t>
      </w:r>
      <w:r>
        <w:rPr>
          <w:rtl w:val="true"/>
        </w:rPr>
        <w:t>اتهام بزرگ</w:t>
      </w:r>
      <w:bookmarkEnd w:id="940"/>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ادعاى اينكه شيعه وكلينى همۀ أمّهات مؤمن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الاِمامية يكفّرون أُمّهات المؤمنين كافّة </w:t>
      </w:r>
      <w:r>
        <w:rPr>
          <w:rFonts w:eastAsia="Amiri" w:cs="Amiri" w:ascii="Amiri" w:hAnsi="Amiri"/>
          <w:color w:val="111111"/>
          <w:sz w:val="28"/>
          <w:szCs w:val="28"/>
          <w:rtl w:val="true"/>
          <w:lang w:bidi="ar-SA"/>
        </w:rPr>
        <w:t xml:space="preserve">. . .) </w:t>
      </w:r>
      <w:r>
        <w:rPr>
          <w:rStyle w:val="FootnoteAnchor"/>
          <w:rtl w:val="true"/>
        </w:rPr>
        <w:footnoteReference w:id="2538"/>
      </w:r>
      <w:r>
        <w:rPr>
          <w:rFonts w:ascii="IRNazanin" w:hAnsi="IRNazanin" w:eastAsia="IRNazanin"/>
          <w:color w:val="111111"/>
          <w:sz w:val="28"/>
          <w:sz w:val="28"/>
          <w:szCs w:val="28"/>
          <w:rtl w:val="true"/>
          <w:lang w:bidi="fa-IR"/>
        </w:rPr>
        <w:t xml:space="preserve">، كافر مى‌دانند، از تهمت‌هاى بزرگ و افتراى نابخشودنى‌است؛ در كجا و </w:t>
      </w:r>
      <w:bookmarkStart w:id="941" w:name="pg1976_28724"/>
    </w:p>
    <w:p>
      <w:pPr>
        <w:pStyle w:val="BookText"/>
        <w:rPr/>
      </w:pPr>
      <w:bookmarkEnd w:id="941"/>
      <w:r>
        <w:rPr>
          <w:rFonts w:ascii="IRNazanin" w:hAnsi="IRNazanin" w:eastAsia="IRNazanin"/>
          <w:color w:val="111111"/>
          <w:sz w:val="28"/>
          <w:sz w:val="28"/>
          <w:szCs w:val="28"/>
          <w:rtl w:val="true"/>
          <w:lang w:bidi="fa-IR"/>
        </w:rPr>
        <w:t xml:space="preserve">چه كتابى و چه كسى اين مطلب را گفته است؟ تنها مستند خيالى اين سخن، روايات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إدعى الاِمامة وليس لها بأهل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اصول كافى است؛ كلينى در اين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Style w:val="FootnoteAnchor"/>
          <w:rtl w:val="true"/>
        </w:rPr>
        <w:footnoteReference w:id="2539"/>
      </w:r>
      <w:r>
        <w:rPr>
          <w:rFonts w:ascii="IRNazanin" w:hAnsi="IRNazanin" w:eastAsia="IRNazanin"/>
          <w:color w:val="111111"/>
          <w:sz w:val="28"/>
          <w:sz w:val="28"/>
          <w:szCs w:val="28"/>
          <w:rtl w:val="true"/>
          <w:lang w:bidi="fa-IR"/>
        </w:rPr>
        <w:t>كه بيشتر در تبيين و تفسير آيات الهى است،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اشاره‌اى هم به أُمّهات‌المؤمنين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سخن قفارى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مَن لم يؤمن بالاِثني‌العشر فهو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همان‌گونه كه مكرر اشاره 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كفر اصطلاحى نيست بلكه منظور مؤمن نبودن به‌امامت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گذشته از آن، صريح‌ترين حديث در ميان احاديث اين باب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ذكر شده اين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إدَّعَى الاِمامةَ و لَيسَ مِن أهلِهَا فَهُوَ كاِفٌر</w:t>
      </w:r>
      <w:r>
        <w:rPr>
          <w:rFonts w:eastAsia="IRNazanin" w:cs="IRNazanin"/>
          <w:color w:val="111111"/>
          <w:sz w:val="28"/>
          <w:szCs w:val="28"/>
          <w:rtl w:val="true"/>
          <w:lang w:bidi="fa-IR"/>
        </w:rPr>
        <w:t xml:space="preserve">» </w:t>
      </w:r>
      <w:r>
        <w:rPr>
          <w:rStyle w:val="FootnoteAnchor"/>
          <w:rtl w:val="true"/>
        </w:rPr>
        <w:footnoteReference w:id="2540"/>
      </w:r>
      <w:r>
        <w:rPr>
          <w:rFonts w:ascii="IRNazanin" w:hAnsi="IRNazanin" w:eastAsia="IRNazanin"/>
          <w:color w:val="111111"/>
          <w:sz w:val="28"/>
          <w:sz w:val="28"/>
          <w:szCs w:val="28"/>
          <w:rtl w:val="true"/>
          <w:lang w:bidi="fa-IR"/>
        </w:rPr>
        <w:t xml:space="preserve">كه با عنايت به‌جمله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شامل مدعيان دروغين آن، هر چند كه خود را پيروِ آنها بخوانند، مى‌شود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3767539_3650668749"/>
      <w:bookmarkStart w:id="943" w:name="_Toc348"/>
      <w:bookmarkEnd w:id="942"/>
      <w:r>
        <w:rPr>
          <w:rtl w:val="true"/>
        </w:rPr>
        <w:t>ج</w:t>
      </w:r>
      <w:r>
        <w:rPr>
          <w:rtl w:val="true"/>
        </w:rPr>
        <w:t xml:space="preserve">) </w:t>
      </w:r>
      <w:r>
        <w:rPr>
          <w:rtl w:val="true"/>
        </w:rPr>
        <w:t>خيانت علمى</w:t>
      </w:r>
      <w:bookmarkEnd w:id="943"/>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مذهب‌الشّيعة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طبق عادت هميشگى‌اش كه از مطالب ديگران سوءاستفاده مى‌كند،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نَصّ صاحبُ الكافي في رواياته على‌أنّ كُلّ مَن لم يؤمن بالاثني عشر فهو كافر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إن كان علوياً فاطميّاً </w:t>
      </w:r>
      <w:r>
        <w:rPr>
          <w:rFonts w:eastAsia="IRNazanin" w:cs="IRNazanin"/>
          <w:color w:val="111111"/>
          <w:sz w:val="28"/>
          <w:szCs w:val="28"/>
          <w:rtl w:val="true"/>
          <w:lang w:bidi="fa-IR"/>
        </w:rPr>
        <w:t xml:space="preserve">. . .» </w:t>
      </w:r>
      <w:r>
        <w:rPr>
          <w:rStyle w:val="FootnoteAnchor"/>
          <w:rtl w:val="true"/>
        </w:rPr>
        <w:footnoteReference w:id="2542"/>
      </w:r>
      <w:r>
        <w:rPr>
          <w:rFonts w:ascii="IRNazanin" w:hAnsi="IRNazanin" w:eastAsia="IRNazanin"/>
          <w:color w:val="111111"/>
          <w:sz w:val="28"/>
          <w:sz w:val="28"/>
          <w:szCs w:val="28"/>
          <w:rtl w:val="true"/>
          <w:lang w:bidi="fa-IR"/>
        </w:rPr>
        <w:t>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نصّى از كلينى در رواياتى كه وى استناد مى‌كند وجود ندارد </w:t>
      </w:r>
      <w:r>
        <w:rPr>
          <w:rStyle w:val="FootnoteAnchor"/>
          <w:rtl w:val="true"/>
        </w:rPr>
        <w:footnoteReference w:id="2543"/>
      </w:r>
      <w:r>
        <w:rPr>
          <w:rFonts w:ascii="IRNazanin" w:hAnsi="IRNazanin" w:eastAsia="IRNazanin"/>
          <w:color w:val="111111"/>
          <w:sz w:val="28"/>
          <w:sz w:val="28"/>
          <w:szCs w:val="28"/>
          <w:rtl w:val="true"/>
          <w:lang w:bidi="fa-IR"/>
        </w:rPr>
        <w:t>، و نمى‌توان كار او را جز خيانت علمى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عَلَوِيّاً فاطِمِيّاً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دو حديث با اندك تفاوت در پاسخ سؤال از آيه شريفه</w:t>
      </w:r>
      <w:r>
        <w:rPr>
          <w:rFonts w:eastAsia="IRNazanin" w:cs="IRNazanin"/>
          <w:color w:val="111111"/>
          <w:sz w:val="28"/>
          <w:szCs w:val="28"/>
          <w:rtl w:val="true"/>
          <w:lang w:bidi="fa-IR"/>
        </w:rPr>
        <w:t xml:space="preserve">: </w:t>
      </w:r>
      <w:bookmarkStart w:id="944" w:name="pg1976_28727"/>
    </w:p>
    <w:p>
      <w:pPr>
        <w:pStyle w:val="BookText"/>
        <w:rPr/>
      </w:pPr>
      <w:bookmarkEnd w:id="944"/>
      <w:r>
        <w:rPr>
          <w:rFonts w:ascii="IRNazanin" w:hAnsi="IRNazanin" w:eastAsia="IRNazanin"/>
          <w:color w:val="111111"/>
          <w:sz w:val="28"/>
          <w:sz w:val="28"/>
          <w:szCs w:val="28"/>
          <w:rtl w:val="true"/>
          <w:lang w:bidi="fa-IR"/>
        </w:rPr>
        <w:t>وَيَوْمَ الْقِيَامَةِ تَرَى الَّذِينَ كَذَبُواْ عَلَى اللهِ وُجُوهُهُم مُسْوَدَّةٌ</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وقتى سائل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ويوم‌القيامةِ تَرَى‌الذين‌كذبوا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زَعَم أنّهُ إمامٌ وَ لَيسَ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وإن‌كانَ فَاطِميّاً عَلَوِيّاً؟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وإن‌كان فاطميّاً عَلَوِياً </w:t>
      </w:r>
      <w:r>
        <w:rPr>
          <w:rFonts w:eastAsia="IRNazanin" w:cs="IRNazanin"/>
          <w:color w:val="111111"/>
          <w:sz w:val="28"/>
          <w:szCs w:val="28"/>
          <w:rtl w:val="true"/>
          <w:lang w:bidi="fa-IR"/>
        </w:rPr>
        <w:t xml:space="preserve">» </w:t>
      </w:r>
      <w:r>
        <w:rPr>
          <w:rStyle w:val="FootnoteAnchor"/>
          <w:rtl w:val="true"/>
        </w:rPr>
        <w:footnoteReference w:id="2544"/>
      </w:r>
      <w:r>
        <w:rPr>
          <w:rFonts w:ascii="IRNazanin" w:hAnsi="IRNazanin" w:eastAsia="IRNazanin"/>
          <w:color w:val="111111"/>
          <w:sz w:val="28"/>
          <w:sz w:val="28"/>
          <w:szCs w:val="28"/>
          <w:rtl w:val="true"/>
          <w:lang w:bidi="fa-IR"/>
        </w:rPr>
        <w:t xml:space="preserve">كجاى اين روايت نصّ است بركافر بودن منكران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همسران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تفسير و تبيين آيه قرآن است؛ كه در فصل دوم از بخش سوم در اين خصوص مباحثى مفصل ارائه شد</w:t>
      </w:r>
      <w:r>
        <w:rPr>
          <w:rFonts w:eastAsia="IRNazanin" w:cs="IRNazanin"/>
          <w:color w:val="111111"/>
          <w:sz w:val="28"/>
          <w:szCs w:val="28"/>
          <w:rtl w:val="true"/>
          <w:lang w:bidi="fa-IR"/>
        </w:rPr>
        <w:t>.</w:t>
      </w:r>
    </w:p>
    <w:p>
      <w:pPr>
        <w:pStyle w:val="Heading5"/>
        <w:numPr>
          <w:ilvl w:val="4"/>
          <w:numId w:val="1"/>
        </w:numPr>
        <w:rPr/>
      </w:pPr>
      <w:bookmarkStart w:id="945" w:name="__RefHeading___Toc3767541_3650668749"/>
      <w:bookmarkStart w:id="946" w:name="_Toc349"/>
      <w:bookmarkEnd w:id="945"/>
      <w:r>
        <w:rPr>
          <w:rtl w:val="true"/>
        </w:rPr>
        <w:t>د</w:t>
      </w:r>
      <w:r>
        <w:rPr>
          <w:rtl w:val="true"/>
        </w:rPr>
        <w:t xml:space="preserve">) </w:t>
      </w:r>
      <w:r>
        <w:rPr>
          <w:rtl w:val="true"/>
        </w:rPr>
        <w:t>تحركات أُمّ‌المؤمنين عايشه</w:t>
      </w:r>
      <w:bookmarkEnd w:id="946"/>
    </w:p>
    <w:p>
      <w:pPr>
        <w:pStyle w:val="BookText"/>
        <w:rPr/>
      </w:pPr>
      <w:r>
        <w:rPr>
          <w:rFonts w:ascii="IRNazanin" w:hAnsi="IRNazanin" w:eastAsia="IRNazanin"/>
          <w:color w:val="111111"/>
          <w:sz w:val="28"/>
          <w:sz w:val="28"/>
          <w:szCs w:val="28"/>
          <w:rtl w:val="true"/>
          <w:lang w:bidi="fa-IR"/>
        </w:rPr>
        <w:t xml:space="preserve">وصيت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مطلبى را بيان نمى‌كند؛ بلكه تنها چهره واقعى أُمّ‌المؤمنين و كينه‌هاى او نسبت به‌فرزندان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وصيت چند نكته اساسى زير، وجود دارد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حديث به‌برادرش حسين‌بن‌على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او را بعد از تجهيز، ابتدا براى تجديد عهد با پيامبر خدا، كنار قبر جدش ببرد سپس كنار قبر مادرش و آن‌گاه در قبرستان بقيع به‌خاك بسپارد </w:t>
      </w:r>
      <w:r>
        <w:rPr>
          <w:rStyle w:val="FootnoteAnchor"/>
          <w:rtl w:val="true"/>
        </w:rPr>
        <w:footnoteReference w:id="2545"/>
      </w:r>
      <w:r>
        <w:rPr>
          <w:rFonts w:ascii="IRNazanin" w:hAnsi="IRNazanin" w:eastAsia="IRNazanin"/>
          <w:color w:val="111111"/>
          <w:sz w:val="28"/>
          <w:sz w:val="28"/>
          <w:szCs w:val="28"/>
          <w:rtl w:val="true"/>
          <w:lang w:bidi="fa-IR"/>
        </w:rPr>
        <w:t xml:space="preserve">ولى همين كه جاسوسان عايشه جنازه امام را كنار قبر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مى‌بينند، به‌وى گزارش مى‌دهند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قَد أقبَلوا بالحسن لِيدفَنُوا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مبادرةً عَلَى بَغل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فكانت أوّل إمرأة ركبت في الاسلام سَرجاً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إبنكم عن بَيتي، فإنَّهُ لايُدفَنُ في بَيتِي </w:t>
      </w:r>
    </w:p>
    <w:p>
      <w:pPr>
        <w:pStyle w:val="BookText"/>
        <w:rPr/>
      </w:pPr>
      <w:r>
        <w:rPr>
          <w:rFonts w:ascii="Amiri" w:hAnsi="Amiri" w:eastAsia="Amiri" w:cs="Amiri"/>
          <w:color w:val="111111"/>
          <w:sz w:val="28"/>
          <w:sz w:val="28"/>
          <w:szCs w:val="28"/>
          <w:rtl w:val="true"/>
          <w:lang w:bidi="ar-SA"/>
        </w:rPr>
        <w:t xml:space="preserve">ويُهتكُ على رسُول‌الله حجابه </w:t>
      </w:r>
      <w:r>
        <w:rPr>
          <w:rFonts w:eastAsia="Amiri" w:cs="Amiri" w:ascii="Amiri" w:hAnsi="Amiri"/>
          <w:color w:val="111111"/>
          <w:sz w:val="28"/>
          <w:szCs w:val="28"/>
          <w:rtl w:val="true"/>
          <w:lang w:bidi="ar-SA"/>
        </w:rPr>
        <w:t xml:space="preserve">. . .»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به‌عداوت و كينه عايشه هشدار مى‌دهد تا از تحركات وى غافل نباشد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سيصيبني من عائشة مايعلم‌الله والنّاس صنيعها وعداوتها لِلهِ و لِرَسُولِهِ، وعداوتها لَنا أهل البيت </w:t>
      </w:r>
      <w:r>
        <w:rPr>
          <w:rFonts w:eastAsia="Amiri" w:cs="Amiri" w:ascii="Amiri" w:hAnsi="Amiri"/>
          <w:color w:val="111111"/>
          <w:sz w:val="28"/>
          <w:szCs w:val="28"/>
          <w:rtl w:val="true"/>
          <w:lang w:bidi="ar-SA"/>
        </w:rPr>
        <w:t xml:space="preserve">» </w:t>
      </w:r>
      <w:r>
        <w:rPr>
          <w:rStyle w:val="FootnoteAnchor"/>
          <w:rtl w:val="true"/>
        </w:rPr>
        <w:footnoteReference w:id="2547"/>
      </w:r>
      <w:r>
        <w:rPr>
          <w:rFonts w:ascii="Amiri" w:hAnsi="Amiri" w:eastAsia="Amiri" w:cs="Amiri"/>
          <w:color w:val="111111"/>
          <w:sz w:val="28"/>
          <w:sz w:val="28"/>
          <w:szCs w:val="28"/>
          <w:rtl w:val="true"/>
          <w:lang w:bidi="ar-SA"/>
        </w:rPr>
        <w:t xml:space="preserve">وقتى امام، با سمّ جعدة بنت اشعث بر اثر تؤطئه معاويه </w:t>
      </w:r>
      <w:r>
        <w:rPr>
          <w:rStyle w:val="FootnoteAnchor"/>
          <w:rtl w:val="true"/>
        </w:rPr>
        <w:footnoteReference w:id="2548"/>
      </w:r>
      <w:r>
        <w:rPr>
          <w:rFonts w:ascii="IRNazanin" w:hAnsi="IRNazanin" w:eastAsia="IRNazanin"/>
          <w:color w:val="111111"/>
          <w:sz w:val="28"/>
          <w:sz w:val="28"/>
          <w:szCs w:val="28"/>
          <w:rtl w:val="true"/>
          <w:lang w:bidi="fa-IR"/>
        </w:rPr>
        <w:t xml:space="preserve">به‌شهادت رسيد و خبر حضور پيكر امام‌حسن را كنار قبر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بر خلاف نَصّ آيه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وقَرنَ فِي بُيوتِكُنَّ</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منزلش درحالى‌كه سوار بر قاطر بود، خارج شده در جمع تشييع كنندگان خطاب به‌بنى‌هاشم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فرزندتان را از خانه‌ام دور سازيد، درآن كسى دفن نمى‌شود و حجاب پيامبر هتك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يعقوبى نيز مضمون اين روايت كلينى را تأييد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وقيل إِنّ عائشة رَكَبَت بَغلة شهباء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آذن فيه لِاَحد ٍ</w:t>
      </w:r>
      <w:r>
        <w:rPr>
          <w:rFonts w:eastAsia="IRNazanin" w:cs="IRNazanin"/>
          <w:color w:val="111111"/>
          <w:sz w:val="28"/>
          <w:szCs w:val="28"/>
          <w:rtl w:val="true"/>
          <w:lang w:bidi="fa-IR"/>
        </w:rPr>
        <w:t xml:space="preserve">» </w:t>
      </w:r>
      <w:r>
        <w:rPr>
          <w:rStyle w:val="FootnoteAnchor"/>
          <w:rtl w:val="true"/>
        </w:rPr>
        <w:footnoteReference w:id="2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نيز آن را مورد تأييد قرار مى‌دهد ولى با اين توجيه كه وقتى عايشه از رو در رويى مردان مسلح و ريختن خون مردم ترسيد،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البَيتُ بَيتى، ولاآذن أن‌يدفَنَ فِيهِ أحَدٌ </w:t>
      </w:r>
      <w:r>
        <w:rPr>
          <w:rFonts w:eastAsia="IRNazanin" w:cs="IRNazanin"/>
          <w:color w:val="111111"/>
          <w:sz w:val="28"/>
          <w:szCs w:val="28"/>
          <w:rtl w:val="true"/>
          <w:lang w:bidi="fa-IR"/>
        </w:rPr>
        <w:t xml:space="preserve">» </w:t>
      </w:r>
      <w:r>
        <w:rPr>
          <w:rStyle w:val="FootnoteAnchor"/>
          <w:rtl w:val="true"/>
        </w:rPr>
        <w:footnoteReference w:id="2550"/>
      </w:r>
      <w:r>
        <w:rPr>
          <w:rFonts w:ascii="IRNazanin" w:hAnsi="IRNazanin" w:eastAsia="IRNazanin"/>
          <w:color w:val="111111"/>
          <w:sz w:val="28"/>
          <w:sz w:val="28"/>
          <w:szCs w:val="28"/>
          <w:rtl w:val="true"/>
          <w:lang w:bidi="fa-IR"/>
        </w:rPr>
        <w:t xml:space="preserve">اما در منابع ديگر اهل‌سنّت ممانعت از دفن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آشوبى كه در اين ارتباط ميان بنى‌هاشم و طرف داران معاويه رخ مى‌دهد، را به‌مروان‌بن‌الحكم نسبت مى‌دهند و چنين توجيه مى‌كنند كه چون عثمان كنار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نبود، نبايد حسن‌بن‌على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جدش به‌خاك سپرده شود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 xml:space="preserve">. </w:t>
      </w:r>
      <w:bookmarkStart w:id="947" w:name="pg1976_28731"/>
    </w:p>
    <w:p>
      <w:pPr>
        <w:pStyle w:val="BookText"/>
        <w:rPr/>
      </w:pPr>
      <w:bookmarkEnd w:id="947"/>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المؤمنين عايشه، با اينكه بايد مادر همه امت اسلامى باشد </w:t>
      </w:r>
      <w:r>
        <w:rPr>
          <w:rStyle w:val="FootnoteAnchor"/>
          <w:rtl w:val="true"/>
        </w:rPr>
        <w:footnoteReference w:id="2552"/>
      </w:r>
      <w:r>
        <w:rPr>
          <w:rFonts w:ascii="Amiri" w:hAnsi="Amiri" w:eastAsia="Amiri" w:cs="Amiri"/>
          <w:color w:val="111111"/>
          <w:sz w:val="28"/>
          <w:sz w:val="28"/>
          <w:szCs w:val="28"/>
          <w:rtl w:val="true"/>
          <w:lang w:bidi="ar-SA"/>
        </w:rPr>
        <w:t xml:space="preserve">، حتى فرزند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كسى كه سرور جوانان اهل‌بهشت بود </w:t>
      </w:r>
      <w:r>
        <w:rPr>
          <w:rStyle w:val="FootnoteAnchor"/>
          <w:rtl w:val="true"/>
        </w:rPr>
        <w:footnoteReference w:id="2553"/>
      </w:r>
      <w:r>
        <w:rPr>
          <w:rFonts w:ascii="IRNazanin" w:hAnsi="IRNazanin" w:eastAsia="IRNazanin"/>
          <w:color w:val="111111"/>
          <w:sz w:val="28"/>
          <w:sz w:val="28"/>
          <w:szCs w:val="28"/>
          <w:rtl w:val="true"/>
          <w:lang w:bidi="fa-IR"/>
        </w:rPr>
        <w:t xml:space="preserve">و بارها با چشم خود ديد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روى دوش خود مى‌گرفت و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أللّهُمَّ إنّي أُحبُّه فأحِبَّه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اصحاب كساء بود و</w:t>
      </w:r>
      <w:r>
        <w:rPr>
          <w:rFonts w:eastAsia="IRNazanin" w:cs="IRNazanin"/>
          <w:color w:val="111111"/>
          <w:sz w:val="28"/>
          <w:szCs w:val="28"/>
          <w:rtl w:val="true"/>
          <w:lang w:bidi="fa-IR"/>
        </w:rPr>
        <w:t xml:space="preserve">. . . </w:t>
      </w:r>
      <w:r>
        <w:rPr>
          <w:rStyle w:val="FootnoteAnchor"/>
          <w:rtl w:val="true"/>
        </w:rPr>
        <w:footnoteReference w:id="2554"/>
      </w:r>
      <w:r>
        <w:rPr>
          <w:rFonts w:ascii="IRNazanin" w:hAnsi="IRNazanin" w:eastAsia="IRNazanin"/>
          <w:color w:val="111111"/>
          <w:sz w:val="28"/>
          <w:sz w:val="28"/>
          <w:szCs w:val="28"/>
          <w:rtl w:val="true"/>
          <w:lang w:bidi="fa-IR"/>
        </w:rPr>
        <w:t>، فرزند خود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نَحُّوا إبنَكم عن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جگر گوشه رسول‌خدا را در كنار او هتك حجاب پيامبر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ادعاى مادرى مسلمانان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به‌همين رو، حسين‌بن‌على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عايشه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قَدِيماً هَتَكتِ أنتِ وأبُوكِ حجابُ رَسُول‌اللهِ، وأدخَلتِ بَيتَه مَن‌لا يحِبُّ رسُول‌الله قُربه، وإنّ‌الله سَأَلَكِ عن ذلك يا عائشة</w:t>
      </w:r>
      <w:r>
        <w:rPr>
          <w:rFonts w:eastAsia="IRNazanin" w:cs="IRNazanin"/>
          <w:color w:val="111111"/>
          <w:sz w:val="28"/>
          <w:szCs w:val="28"/>
          <w:rtl w:val="true"/>
          <w:lang w:bidi="fa-IR"/>
        </w:rPr>
        <w:t xml:space="preserve">! » </w:t>
      </w:r>
      <w:r>
        <w:rPr>
          <w:rStyle w:val="FootnoteAnchor"/>
          <w:rtl w:val="true"/>
        </w:rPr>
        <w:footnoteReference w:id="2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هر چند حقيقت و باطن‌أُمّ المؤمنين را، آشكار نموده ولى هرگز او را تكفير و سبّ نكرده است؛ در نتيجه ادعاى قفارى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كاملاً بى‌اساس است</w:t>
      </w:r>
      <w:r>
        <w:rPr>
          <w:rFonts w:eastAsia="IRNazanin" w:cs="IRNazanin"/>
          <w:color w:val="111111"/>
          <w:sz w:val="28"/>
          <w:szCs w:val="28"/>
          <w:rtl w:val="true"/>
          <w:lang w:bidi="fa-IR"/>
        </w:rPr>
        <w:t>.</w:t>
      </w:r>
    </w:p>
    <w:p>
      <w:pPr>
        <w:pStyle w:val="Heading5"/>
        <w:numPr>
          <w:ilvl w:val="4"/>
          <w:numId w:val="1"/>
        </w:numPr>
        <w:rPr/>
      </w:pPr>
      <w:bookmarkStart w:id="948" w:name="__RefHeading___Toc3767543_3650668749"/>
      <w:bookmarkStart w:id="949" w:name="_Toc350"/>
      <w:bookmarkEnd w:id="948"/>
      <w:r>
        <w:rPr>
          <w:rtl w:val="true"/>
        </w:rPr>
        <w:t>ه</w:t>
      </w:r>
      <w:r>
        <w:rPr>
          <w:rtl w:val="true"/>
        </w:rPr>
        <w:t xml:space="preserve">) </w:t>
      </w:r>
      <w:r>
        <w:rPr>
          <w:rtl w:val="true"/>
        </w:rPr>
        <w:t>مذمت أُمُّ‌المؤمنين عايشه در احاديث اهل‌سنت</w:t>
      </w:r>
      <w:bookmarkEnd w:id="949"/>
    </w:p>
    <w:p>
      <w:pPr>
        <w:pStyle w:val="BookText"/>
        <w:rPr/>
      </w:pPr>
      <w:r>
        <w:rPr>
          <w:rFonts w:ascii="IRNazanin" w:hAnsi="IRNazanin" w:eastAsia="IRNazanin"/>
          <w:color w:val="111111"/>
          <w:sz w:val="28"/>
          <w:sz w:val="28"/>
          <w:szCs w:val="28"/>
          <w:rtl w:val="true"/>
          <w:lang w:bidi="fa-IR"/>
        </w:rPr>
        <w:t>گذشته از مباحثى كه اشاره شد، در منابع معتبر و مهم وهابى‌ها عايشه أُم‌المؤمنين، مورد مذمت و نكوهش واقع شده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از خانه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براساس چندين روايت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عايشه را مركز فتنه خوانده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حَدَّثَنا جويرية، عن نافع، عن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فأشَارَ نَحوَ مَسكَنِ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يَطلُعُ قرنُ الشَّيطان</w:t>
      </w:r>
      <w:r>
        <w:rPr>
          <w:rFonts w:eastAsia="IRNazanin" w:cs="IRNazanin"/>
          <w:color w:val="111111"/>
          <w:sz w:val="28"/>
          <w:szCs w:val="28"/>
          <w:rtl w:val="true"/>
          <w:lang w:bidi="fa-IR"/>
        </w:rPr>
        <w:t xml:space="preserve">» </w:t>
      </w:r>
      <w:r>
        <w:rPr>
          <w:rStyle w:val="FootnoteAnchor"/>
          <w:rtl w:val="true"/>
        </w:rPr>
        <w:footnoteReference w:id="2556"/>
      </w:r>
      <w:r>
        <w:rPr>
          <w:rFonts w:ascii="Amiri" w:hAnsi="Amiri" w:eastAsia="Amiri" w:cs="Amiri"/>
          <w:color w:val="111111"/>
          <w:sz w:val="28"/>
          <w:sz w:val="28"/>
          <w:szCs w:val="28"/>
          <w:rtl w:val="true"/>
          <w:lang w:bidi="ar-SA"/>
        </w:rPr>
        <w:t xml:space="preserve">، همين مضمون را نافع از ابن عمر در مورد حفصه نقل مى‌كند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 بابِ حفصةَ، فقال بِيَدِهِ نَحوَ المشرق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هَهُنَا مِن حيثُ يَطلُعُ 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يا سه مرتبه آن را تكرار كرد </w:t>
      </w:r>
      <w:r>
        <w:rPr>
          <w:rStyle w:val="FootnoteAnchor"/>
          <w:rtl w:val="true"/>
        </w:rPr>
        <w:footnoteReference w:id="2557"/>
      </w:r>
      <w:r>
        <w:rPr>
          <w:rFonts w:ascii="Amiri" w:hAnsi="Amiri" w:eastAsia="Amiri" w:cs="Amiri"/>
          <w:color w:val="111111"/>
          <w:sz w:val="28"/>
          <w:sz w:val="28"/>
          <w:szCs w:val="28"/>
          <w:rtl w:val="true"/>
          <w:lang w:bidi="ar-SA"/>
        </w:rPr>
        <w:t>الغزالى، ابى‌حامد محمدبن‌محمد، إحياءَ العلومِ الدين، بيروت، دارالفكر</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آداب النكاح، الباب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فى‌آداب المعاشره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غزالى تبسّم رسول‌خدا را نشانه حلم و بردبارى آن حضرت مى‌داند</w:t>
      </w:r>
      <w:r>
        <w:rPr>
          <w:rFonts w:eastAsia="Amiri" w:cs="Amiri" w:ascii="Amiri" w:hAnsi="Amiri"/>
          <w:color w:val="111111"/>
          <w:sz w:val="28"/>
          <w:szCs w:val="28"/>
          <w:rtl w:val="true"/>
          <w:lang w:bidi="ar-SA"/>
        </w:rPr>
        <w:t>. .</w:t>
      </w:r>
    </w:p>
    <w:p>
      <w:pPr>
        <w:pStyle w:val="BookText"/>
        <w:rPr/>
      </w:pPr>
      <w:r>
        <w:rPr>
          <w:rStyle w:val="FootnoteAnchor"/>
          <w:rtl w:val="true"/>
        </w:rPr>
        <w:footnoteReference w:id="2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گزارش‌هاى ديگر، بدون ذكر عايشه و حفصه،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قامَ جنب‌المنبر،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 هَاهُنَا، الفتنةُ هَاهُنَا، مِن حيثُ يطلُعُ قرنُ الشَّيطان،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الشيطان</w:t>
      </w:r>
      <w:r>
        <w:rPr>
          <w:rFonts w:eastAsia="IRNazanin" w:cs="IRNazanin"/>
          <w:color w:val="111111"/>
          <w:sz w:val="28"/>
          <w:szCs w:val="28"/>
          <w:rtl w:val="true"/>
          <w:lang w:bidi="fa-IR"/>
        </w:rPr>
        <w:t xml:space="preserve">» </w:t>
      </w:r>
      <w:r>
        <w:rPr>
          <w:rStyle w:val="FootnoteAnchor"/>
          <w:rtl w:val="true"/>
        </w:rPr>
        <w:footnoteReference w:id="2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 از آن، سالم از ابن‌عمر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رسُولُ‌الله من بيت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رأس‌الكُفرِ من هَهُنَا، مِن حَيثُ يطلعُ 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المشرق</w:t>
      </w:r>
      <w:r>
        <w:rPr>
          <w:rFonts w:eastAsia="Amiri" w:cs="Amiri" w:ascii="Amiri" w:hAnsi="Amiri"/>
          <w:color w:val="111111"/>
          <w:sz w:val="28"/>
          <w:szCs w:val="28"/>
          <w:rtl w:val="true"/>
          <w:lang w:bidi="ar-SA"/>
        </w:rPr>
        <w:t xml:space="preserve">» </w:t>
      </w:r>
      <w:r>
        <w:rPr>
          <w:rStyle w:val="FootnoteAnchor"/>
          <w:rtl w:val="true"/>
        </w:rPr>
        <w:footnoteReference w:id="2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نزاع و بگومگويى كه عايشه با رسول‌الله انجام مى‌دهد، ابوبكر مى‌خواهد ميان آن دو داورى كند،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به‌عايشه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تَكَلَّمِينَ أو أتَكلَّمُ؟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تَكَلم أنتَ، ولا تَقُل إلّاحقّاً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فلَطَمَها أبوبكر حَتّى دَمي فُوهَا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عَدِية نفسها، أو يقُولُ غيرَالحق؟</w:t>
      </w:r>
      <w:r>
        <w:rPr>
          <w:rFonts w:eastAsia="IRNazanin" w:cs="IRNazanin"/>
          <w:color w:val="111111"/>
          <w:sz w:val="28"/>
          <w:szCs w:val="28"/>
          <w:rtl w:val="true"/>
          <w:lang w:bidi="fa-IR"/>
        </w:rPr>
        <w:t xml:space="preserve">»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گزارش اُمُّ المؤمنين،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برخلاف نصّ آيات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يَنطِقُ عَنِ الْهَوَى إِنْ هُوَ إِلَّا وَحْيٌ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متهم به‌تكلّم به‌غير حقّ، نموده است و يا حداقل اعتماد به‌گفته‌هاى حضرت نداشته است؛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عايشه بوى ترديد نسبت به‌رسالت پيامبر خدا استشمام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في‌كلام غَضَبت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أنتَ الَّذي تَزعَمُ أنَّكَ نبِيُّ‌الله؟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آوردن علت نزاع </w:t>
      </w:r>
    </w:p>
    <w:p>
      <w:pPr>
        <w:pStyle w:val="BookText"/>
        <w:rPr/>
      </w:pPr>
      <w:r>
        <w:rPr>
          <w:rFonts w:ascii="Amiri" w:hAnsi="Amiri" w:eastAsia="Amiri" w:cs="Amiri"/>
          <w:color w:val="111111"/>
          <w:sz w:val="28"/>
          <w:sz w:val="28"/>
          <w:szCs w:val="28"/>
          <w:rtl w:val="true"/>
          <w:lang w:bidi="ar-SA"/>
        </w:rPr>
        <w:t xml:space="preserve">أُم‌المؤمنين با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563"/>
      </w:r>
      <w:r>
        <w:rPr>
          <w:rFonts w:ascii="Amiri" w:hAnsi="Amiri" w:eastAsia="Amiri" w:cs="Amiri"/>
          <w:color w:val="111111"/>
          <w:sz w:val="28"/>
          <w:sz w:val="28"/>
          <w:szCs w:val="28"/>
          <w:rtl w:val="true"/>
          <w:lang w:bidi="ar-SA"/>
        </w:rPr>
        <w:t>، توهين او به‌رسول‌الله را به‌اين تعبير مى‌آورد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تَزعَمُ أنّكَ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في شكٍّ أنتِ يا أمّ‌عبدالله،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تَزعَمُ أنّكَ رسول‌الله؟ أفَهَلَّا عَدَلتَ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 اينكه روزى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عايشه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عندنا 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دوباره و سه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عندنا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المرأةَ المُؤمنةَ لاتَحلفُ بِالله إنَّهُ لَيسَ عندها طعامٌ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ومَا يُدرِيك أمُؤمنةٌ هِي أم‌لا؟ ، وأنَّ المرأةَ المؤمِنةَ في النّساءِ كالغراب الأعصم في الغربان، فَإنَّ النّارَ خُلِقَت للسّفهاء، وإنّ‌َ النِّساء أسفه السُّفهاء إلّا صاحب القسط و السّراج </w:t>
      </w:r>
      <w:r>
        <w:rPr>
          <w:rFonts w:eastAsia="IRNazanin" w:cs="IRNazanin"/>
          <w:color w:val="111111"/>
          <w:sz w:val="28"/>
          <w:szCs w:val="28"/>
          <w:rtl w:val="true"/>
          <w:lang w:bidi="fa-IR"/>
        </w:rPr>
        <w:t xml:space="preserve">»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روايت در منابع ديگر اهل‌سنت به‌عبارت‌هاى ديگر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عبدالرازق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سعيدبن‌العاص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اِستعذر </w:t>
      </w:r>
      <w:r>
        <w:rPr>
          <w:rStyle w:val="FootnoteAnchor"/>
          <w:rtl w:val="true"/>
        </w:rPr>
        <w:footnoteReference w:id="2565"/>
      </w:r>
      <w:r>
        <w:rPr>
          <w:rFonts w:ascii="IRNazanin" w:hAnsi="IRNazanin" w:eastAsia="IRNazanin"/>
          <w:color w:val="111111"/>
          <w:sz w:val="28"/>
          <w:sz w:val="28"/>
          <w:szCs w:val="28"/>
          <w:rtl w:val="true"/>
          <w:lang w:bidi="fa-IR"/>
        </w:rPr>
        <w:t xml:space="preserve">أبابكر من عائشة ولم يخش‌النَّبِيّ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ينالها ابوبكر بالذي نالها،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ابوبكر بيده، فَلَطَم في صدر عائشة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درنقل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ابابكر، فاستعذره من عائشة، فبيناهماعنده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لَنَبِيٍّ، فقام إليها أبوبكر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خَدَّها،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 يا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w:t>
      </w:r>
    </w:p>
    <w:p>
      <w:pPr>
        <w:pStyle w:val="BookText"/>
        <w:rPr/>
      </w:pPr>
      <w:r>
        <w:rPr>
          <w:rFonts w:ascii="Amiri" w:hAnsi="Amiri" w:eastAsia="Amiri" w:cs="Amiri"/>
          <w:color w:val="111111"/>
          <w:sz w:val="28"/>
          <w:sz w:val="28"/>
          <w:szCs w:val="28"/>
          <w:rtl w:val="true"/>
          <w:lang w:bidi="ar-SA"/>
        </w:rPr>
        <w:t xml:space="preserve">دَعَوناكَ </w:t>
      </w:r>
      <w:r>
        <w:rPr>
          <w:rFonts w:eastAsia="Amiri" w:cs="Amiri" w:ascii="Amiri" w:hAnsi="Amiri"/>
          <w:color w:val="111111"/>
          <w:sz w:val="28"/>
          <w:szCs w:val="28"/>
          <w:rtl w:val="true"/>
          <w:lang w:bidi="ar-SA"/>
        </w:rPr>
        <w:t xml:space="preserve">»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زبان عايشه مى‌آورد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بيني و بينَ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حضرت براى داورى بين من و خود عبيدة بن‌الجرّاح </w:t>
      </w:r>
      <w:r>
        <w:rPr>
          <w:rStyle w:val="FootnoteAnchor"/>
          <w:rtl w:val="true"/>
        </w:rPr>
        <w:footnoteReference w:id="2567"/>
      </w:r>
      <w:r>
        <w:rPr>
          <w:rFonts w:ascii="IRNazanin" w:hAnsi="IRNazanin" w:eastAsia="IRNazanin"/>
          <w:color w:val="111111"/>
          <w:sz w:val="28"/>
          <w:sz w:val="28"/>
          <w:szCs w:val="28"/>
          <w:rtl w:val="true"/>
          <w:lang w:bidi="fa-IR"/>
        </w:rPr>
        <w:t>و عمربن‌خطاب را پيشنهاد داد، نپذيرفتم ولى داورى پدرم ابوبكر را پذيرفتم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فَتَكَلّم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إقصِد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ابُوبكرُ يَدَه فَلَطَمَ وجهي لطمة بدر منها أنفي و منخراي دَمَاً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لكِ، فمَن يقصد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يقصدرسول‌الله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محمدبن‌قيس‌بن مخرمة از عايشه نقل مى‌كند كه شبى از شب‌ها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آرامى از منزل خارج شد و من او را تعقيب كردم تا وارد بقيع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فرَفَعَ يدَه ثلاثَ مرّات، أطال القيام، ثمّ إنحَرَفَ و إنحرفتُ، و أسرع و أسرعتُ، وهَروَل و هَروَلتُ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قبل از رسول خدا به‌سرعت وارد بسترشدم، وقتى حضرت واردشد،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 ياعائشة رابية حشيا </w:t>
      </w:r>
      <w:r>
        <w:rPr>
          <w:rStyle w:val="FootnoteAnchor"/>
          <w:rtl w:val="true"/>
        </w:rPr>
        <w:footnoteReference w:id="25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لَتَخبريني أو لَيخبَرنِّي اللّطيف الخبير؟ قلتُ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فأخبَرَتهُ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السَّوادُ الَّذي رأيتُه أمامي؟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فَلَهَزَني لهزةً </w:t>
      </w:r>
      <w:r>
        <w:rPr>
          <w:rStyle w:val="FootnoteAnchor"/>
          <w:rtl w:val="true"/>
        </w:rPr>
        <w:footnoteReference w:id="2570"/>
      </w:r>
      <w:r>
        <w:rPr>
          <w:rFonts w:ascii="Amiri" w:hAnsi="Amiri" w:eastAsia="Amiri" w:cs="Amiri"/>
          <w:color w:val="111111"/>
          <w:sz w:val="28"/>
          <w:sz w:val="28"/>
          <w:szCs w:val="28"/>
          <w:rtl w:val="true"/>
          <w:lang w:bidi="ar-SA"/>
        </w:rPr>
        <w:t>في صدري أوجَعَتني</w:t>
      </w:r>
      <w:r>
        <w:rPr>
          <w:rFonts w:eastAsia="Amiri" w:cs="Amiri" w:ascii="Amiri" w:hAnsi="Amiri"/>
          <w:color w:val="111111"/>
          <w:sz w:val="28"/>
          <w:szCs w:val="28"/>
          <w:rtl w:val="true"/>
          <w:lang w:bidi="ar-SA"/>
        </w:rPr>
        <w:t xml:space="preserve">. . »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اسرار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آيات و روايات و گفته‌هاى مفسران مورد قبول اهل‌سنت، حفصة بنت‌عمر و عائشة بنت‌ابى‌بكر، همسران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w:t>
      </w:r>
    </w:p>
    <w:p>
      <w:pPr>
        <w:pStyle w:val="BookText"/>
        <w:rPr/>
      </w:pPr>
      <w:r>
        <w:rPr>
          <w:rFonts w:ascii="IRNazanin" w:hAnsi="IRNazanin" w:eastAsia="IRNazanin"/>
          <w:color w:val="111111"/>
          <w:sz w:val="28"/>
          <w:sz w:val="28"/>
          <w:szCs w:val="28"/>
          <w:rtl w:val="true"/>
          <w:lang w:bidi="fa-IR"/>
        </w:rPr>
        <w:t>پيامبر را افشاء و سبب آزار آن حضرت را فراهم كردند؛ مفسران شأن نزول پنج آيه ابتداى سوره تحريم را يكى از دو چيز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خلوت نمودن پيامبر با مارية قبطيه در نوبت عايشه، كه با خبردارشدن حفصه و عايشه و اعتراض آن دو بر پيامبر و افشاى آن، حضرت ماريه را بر خود حرام كرد، تا اينكه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النَّبِيُّ لِمَ تُحَرِّمُ مَا اَحَلَّ اللهُ لَكَ تَبْتَغِى مَرْضَاتَ اَزْوَاجِكَ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ديگرى، حضرت در منزل زينب بنت جحش همسرديگرش، عَسَلى را نوشيد وقتى حفصه و عايشه بوى آن را استشمام كردند، به تعبير زمخشرى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فتواطأت عائشة و حفصة و قالتا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إنّانشمُّ مِنكَ رِيحَ المَغافِر </w:t>
      </w:r>
      <w:r>
        <w:rPr>
          <w:rFonts w:eastAsia="IRNazanin" w:cs="IRNazanin"/>
          <w:color w:val="111111"/>
          <w:sz w:val="28"/>
          <w:szCs w:val="28"/>
          <w:rtl w:val="true"/>
          <w:lang w:bidi="fa-IR"/>
        </w:rPr>
        <w:t xml:space="preserve">» </w:t>
      </w:r>
      <w:r>
        <w:rPr>
          <w:rStyle w:val="FootnoteAnchor"/>
          <w:rtl w:val="true"/>
        </w:rPr>
        <w:footnoteReference w:id="2573"/>
      </w:r>
      <w:r>
        <w:rPr>
          <w:rFonts w:ascii="Amiri" w:hAnsi="Amiri" w:eastAsia="Amiri" w:cs="Amiri"/>
          <w:color w:val="111111"/>
          <w:sz w:val="28"/>
          <w:sz w:val="28"/>
          <w:szCs w:val="28"/>
          <w:rtl w:val="true"/>
          <w:lang w:bidi="ar-SA"/>
        </w:rPr>
        <w:t xml:space="preserve">تا اينكه حضرت عسل را برخود حرام نمود و سبب نزول آيۀ شريفه شد </w:t>
      </w:r>
      <w:r>
        <w:rPr>
          <w:rStyle w:val="FootnoteAnchor"/>
          <w:rtl w:val="true"/>
        </w:rPr>
        <w:footnoteReference w:id="2574"/>
      </w:r>
      <w:r>
        <w:rPr>
          <w:rFonts w:ascii="IRNazanin" w:hAnsi="IRNazanin" w:eastAsia="IRNazanin"/>
          <w:color w:val="111111"/>
          <w:sz w:val="28"/>
          <w:sz w:val="28"/>
          <w:szCs w:val="28"/>
          <w:rtl w:val="true"/>
          <w:lang w:bidi="fa-IR"/>
        </w:rPr>
        <w:t xml:space="preserve">طبق برخى از تفاسير،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بنا داشت بعد از نماز با همه همسرانش ديدار كند، وقتى وارد منزل حفصه شد، نزد او مكث و از عسلى كه به‌او هديه شده بود، نوشيد ولى عايشه كه از درنگ پيامبر نزد حفصه كراهت داشت، جويريه را مأمور كرد كه پيامبر را نزد حفصه زير نظر بگيرد و به‌او گزارش نمايد؛ هنگامى كه از نوشيدن عسل و درنگ حضرت نزد حفصه باخبر شد، به‌همه همسران پيامبر اطلاع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نزد شما آمد،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بوى بَد مغافر، مى‌دهى</w:t>
      </w:r>
      <w:r>
        <w:rPr>
          <w:rFonts w:eastAsia="IRNazanin" w:cs="IRNazanin"/>
          <w:color w:val="111111"/>
          <w:sz w:val="28"/>
          <w:szCs w:val="28"/>
          <w:rtl w:val="true"/>
          <w:lang w:bidi="fa-IR"/>
        </w:rPr>
        <w:t xml:space="preserve">!»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ثعالبى شأن نزول آيه درمورد ماريه را، صحيح‌تر مى‌داند، و نه تنها او بلكه ديگران تصريح مى‌كنند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به‌حفصه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تخبري بِهَذا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را فاش نكن و حتى ماريه را به‌خاطر رضايت وى، بر خود حرام كرد، ولى او بى‌درنگ عايشه را </w:t>
      </w:r>
    </w:p>
    <w:p>
      <w:pPr>
        <w:pStyle w:val="BookText"/>
        <w:rPr/>
      </w:pPr>
      <w:r>
        <w:rPr>
          <w:rFonts w:ascii="Amiri" w:hAnsi="Amiri" w:eastAsia="Amiri" w:cs="Amiri"/>
          <w:color w:val="111111"/>
          <w:sz w:val="28"/>
          <w:sz w:val="28"/>
          <w:szCs w:val="28"/>
          <w:rtl w:val="true"/>
          <w:lang w:bidi="ar-SA"/>
        </w:rPr>
        <w:t>مطلع ساخت و به‌تعبير آيه وتظاهراعليه</w:t>
      </w:r>
      <w:r>
        <w:rPr>
          <w:rFonts w:eastAsia="Amiri" w:cs="Amiri" w:ascii="Amiri" w:hAnsi="Amiri"/>
          <w:color w:val="111111"/>
          <w:sz w:val="28"/>
          <w:szCs w:val="28"/>
          <w:rtl w:val="true"/>
          <w:lang w:bidi="ar-SA"/>
        </w:rPr>
        <w:t xml:space="preserve">. . . </w:t>
      </w:r>
      <w:r>
        <w:rPr>
          <w:rStyle w:val="FootnoteAnchor"/>
          <w:rtl w:val="true"/>
        </w:rPr>
        <w:footnoteReference w:id="2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577"/>
      </w:r>
      <w:r>
        <w:rPr>
          <w:rFonts w:ascii="IRNazanin" w:hAnsi="IRNazanin" w:eastAsia="IRNazanin"/>
          <w:color w:val="111111"/>
          <w:sz w:val="28"/>
          <w:sz w:val="28"/>
          <w:szCs w:val="28"/>
          <w:rtl w:val="true"/>
          <w:lang w:bidi="fa-IR"/>
        </w:rPr>
        <w:t xml:space="preserve">و متن آيه بعدى نيز كه سخن از سِرّ پيامبر با بعض از همسرانش سخن رفته، همين نظر را تأييد مى‌كند؛ زيرا در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به‌حفصه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به‌قضيه ماريه، تفسير مى‌كنند </w:t>
      </w:r>
      <w:r>
        <w:rPr>
          <w:rStyle w:val="FootnoteAnchor"/>
          <w:rtl w:val="true"/>
        </w:rPr>
        <w:footnoteReference w:id="2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داستان را حادتر نقل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فَغَشِيَها، فبص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 به‌حفصة وكانَ اليَومُ يَومَ عائشةَ، وكانتا متظاهرتين،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أكتُمِي عَلَيَّ ولاتذكري لعائشة مارأيتِ، فَذَكَرَت حفصةُ لعائشةَ، فغضب عائشةُ، فلم تزل بنَبِيِّ‌الله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حَلَف أن لا يقرّبها أبدا</w:t>
      </w:r>
      <w:r>
        <w:rPr>
          <w:rFonts w:eastAsia="Amiri" w:cs="Amiri" w:ascii="Amiri" w:hAnsi="Amiri"/>
          <w:color w:val="111111"/>
          <w:sz w:val="28"/>
          <w:szCs w:val="28"/>
          <w:rtl w:val="true"/>
          <w:lang w:bidi="ar-SA"/>
        </w:rPr>
        <w:t xml:space="preserve">. . .» </w:t>
      </w:r>
      <w:r>
        <w:rPr>
          <w:rStyle w:val="FootnoteAnchor"/>
          <w:rtl w:val="true"/>
        </w:rPr>
        <w:footnoteReference w:id="2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تظاهرا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تعَاوَنَا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بمايسوءه من الاِفراط في الغيرة و إفشاء سِرّه </w:t>
      </w:r>
      <w:r>
        <w:rPr>
          <w:rFonts w:eastAsia="IRNazanin" w:cs="IRNazanin"/>
          <w:color w:val="111111"/>
          <w:sz w:val="28"/>
          <w:szCs w:val="28"/>
          <w:rtl w:val="true"/>
          <w:lang w:bidi="fa-IR"/>
        </w:rPr>
        <w:t xml:space="preserve">. . .»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روايى اهل‌سنت جمله إِن تَتُوبَا إِلَى اللهِ فَقَدْ صَغَتْ قُلُوبُكُمَا وَإِن تَظَاهَرَا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به‌عايشه و حفصه تطبيق شده است؛ وقتى ابن‌عباس در يك فرصت ويژه هنگام مراسم حج، از عمربن‌الخطاب سؤال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از همسران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عليه آن حضرت تبانى و توطئه كردند، كدام يك از زنان حضرت بودند؟ ،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ياابن‌عبّاس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عائشةُ وحفصةُ </w:t>
      </w:r>
      <w:r>
        <w:rPr>
          <w:rFonts w:eastAsia="IRNazanin" w:cs="IRNazanin"/>
          <w:color w:val="111111"/>
          <w:sz w:val="28"/>
          <w:szCs w:val="28"/>
          <w:rtl w:val="true"/>
          <w:lang w:bidi="fa-IR"/>
        </w:rPr>
        <w:t xml:space="preserve">»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براين آنچه از اين قضيه به‌دست مى‌آيد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أُمّهات‌المؤمنين عايشه و حفصه، سرّى از اسرار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افشاء و سبب خشم پيامبر را فراهم كردند، با اينكه حضرت تأكيد بر مستورگذاشتن سِرّ خويش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افشاء سِرّ، نه از رسول‌الله </w:t>
      </w:r>
    </w:p>
    <w:p>
      <w:pPr>
        <w:pStyle w:val="BookText"/>
        <w:rPr/>
      </w:pPr>
      <w:r>
        <w:rPr>
          <w:rFonts w:ascii="Amiri" w:hAnsi="Amiri" w:eastAsia="Amiri" w:cs="Amiri"/>
          <w:color w:val="111111"/>
          <w:sz w:val="28"/>
          <w:sz w:val="28"/>
          <w:szCs w:val="28"/>
          <w:rtl w:val="true"/>
          <w:lang w:bidi="ar-SA"/>
        </w:rPr>
        <w:t>كه از هر كسى باشد، جرم و معصيت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قرطبى مفسّر نامى اهل‌سنت تصريح مى‌كند بر اينكه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نزول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حفصة، لما أسَرّ إليها حَديثاً فاظهَرَته لعائشةَ فطلّقهاتطليقة</w:t>
      </w:r>
      <w:r>
        <w:rPr>
          <w:rFonts w:eastAsia="Amiri" w:cs="Amiri" w:ascii="Amiri" w:hAnsi="Amiri"/>
          <w:color w:val="111111"/>
          <w:sz w:val="28"/>
          <w:szCs w:val="28"/>
          <w:rtl w:val="true"/>
          <w:lang w:bidi="ar-SA"/>
        </w:rPr>
        <w:t xml:space="preserve">. . .»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جار و جنجالى كه آن دو، به‌راه انداختند اسباب غضب و اذيت پيامبرخدا را فراهم كردند؛ و همين فاش كردن اسرار باعث شد كه پيامبر قريب يك‌ماه از آنها دورى جويد و زنانش را ميان ماندن در كنار خود و رفتن در ميان قبيله‌اش مخير گذاشت </w:t>
      </w:r>
      <w:r>
        <w:rPr>
          <w:rStyle w:val="FootnoteAnchor"/>
          <w:rtl w:val="true"/>
        </w:rPr>
        <w:footnoteReference w:id="2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عمربن‌الخطاب، وقتى از قضيه اطلاع پيدا مى‌كند نزد دخترش مى‌آيد و جملات زير، كه نشانگر ناراحتى شديد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مى‌رساند، به‌دخترش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أتغاضب إحداكُنَّ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إلَى اللَّيل؟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خَبتِ و خَسَرتِ، أفتأمن أحَداً أن يَغضبَ‌اللهُ عَليها لغَضَبِ رسولَه؟ فإذاً هِيَ قد هَلكتِ لاتراجعي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نقلى ديگر عمر، ابتدا نزد عايشه سپس نزد دخترش رفت و به‌هر دو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بَلَغَ مِن شأنِكِ أن‌تؤذي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585"/>
      </w:r>
      <w:r>
        <w:rPr>
          <w:rFonts w:ascii="IRNazanin" w:hAnsi="IRNazanin" w:eastAsia="IRNazanin"/>
          <w:color w:val="111111"/>
          <w:sz w:val="28"/>
          <w:sz w:val="28"/>
          <w:szCs w:val="28"/>
          <w:rtl w:val="true"/>
          <w:lang w:bidi="fa-IR"/>
        </w:rPr>
        <w:t>گذشته از آن، با اينكه طبق صريح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فِى رَسُولِ اللهِ اُسْوَةٌ حَسَنَةٌ</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سمبل و الگوى تعاملات نيك معرفى شده، ولى حفصه جسورانه خطاب به‌آن حضرت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سُؤتَني </w:t>
      </w:r>
      <w:r>
        <w:rPr>
          <w:rFonts w:eastAsia="IRNazanin" w:cs="IRNazanin"/>
          <w:color w:val="111111"/>
          <w:sz w:val="28"/>
          <w:szCs w:val="28"/>
          <w:rtl w:val="true"/>
          <w:lang w:bidi="fa-IR"/>
        </w:rPr>
        <w:t xml:space="preserve">!» </w:t>
      </w:r>
      <w:r>
        <w:rPr>
          <w:rStyle w:val="FootnoteAnchor"/>
          <w:rtl w:val="true"/>
        </w:rPr>
        <w:footnoteReference w:id="2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جهت ضحاك در تفسير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تَظاهَرا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معصِية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وأذاه</w:t>
      </w:r>
      <w:r>
        <w:rPr>
          <w:rFonts w:eastAsia="IRNazanin" w:cs="IRNazanin"/>
          <w:color w:val="111111"/>
          <w:sz w:val="28"/>
          <w:szCs w:val="28"/>
          <w:rtl w:val="true"/>
          <w:lang w:bidi="fa-IR"/>
        </w:rPr>
        <w:t xml:space="preserve">» </w:t>
      </w:r>
      <w:r>
        <w:rPr>
          <w:rStyle w:val="FootnoteAnchor"/>
          <w:rtl w:val="true"/>
        </w:rPr>
        <w:footnoteReference w:id="2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كه از واژگان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تَتُوبا وصَغَت قُلوبكما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عصيان آن دو، نسبت به‌رسول‌الله استفاده مى‌شود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خلوت كردن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كنيزش كه خداوند حلالش كرده بود، </w:t>
      </w:r>
    </w:p>
    <w:p>
      <w:pPr>
        <w:pStyle w:val="BookText"/>
        <w:rPr/>
      </w:pPr>
      <w:r>
        <w:rPr>
          <w:rFonts w:ascii="IRNazanin" w:hAnsi="IRNazanin" w:eastAsia="IRNazanin"/>
          <w:color w:val="111111"/>
          <w:sz w:val="28"/>
          <w:sz w:val="28"/>
          <w:szCs w:val="28"/>
          <w:rtl w:val="true"/>
          <w:lang w:bidi="fa-IR"/>
        </w:rPr>
        <w:t>به‌راه‌انداختن اين همه هياهو هر چند در نوبت آن دو، حتى اگر خلاف شريعت رسول خدا نباشد، قطعاً خلاف عقل و عرف است تا جايى كه عمر، براى باز آوردن آبروى دخترش، أمّ سلمه را واسطه مى‌كند تا با پيامبر در مورد حفصه صحبت كند، أمّ سلمه در پاسخ عمر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وللدُّخُول في أمرِ رسولِ‌اللهِ ونسائِهِ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إنّا لَنُكلِّمَهُ فإن حَمَلَ ذلك كانَ أولى به‌وإن نَهَانَا كان أطوَعَ عندنا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عمر با ديدن منطق أُمّ سلمه، از كلامش پشيمان مى‌شود </w:t>
      </w:r>
      <w:r>
        <w:rPr>
          <w:rStyle w:val="FootnoteAnchor"/>
          <w:rtl w:val="true"/>
        </w:rPr>
        <w:footnoteReference w:id="2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همۀ اين شواهد حاكى از اين است كه أمّهات المؤمنين عايشه و حفصه، از ايمان كامل نسبت به‌همسرشان برخوردار نبوده‌اند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گذشته از اينكه أُمّ‌المؤمنين‌عايشه با زيرپا گذاشتن نصّ دستور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وَقَرْنَ فِى بُيُوتِكُنَّ وَلاَ تَبَرَّجْنَ تَبَرُّجَ الْجَاهِلِيَّةِ الاُولَى</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قيام و شوراندن مردم عليه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بزرگ‌ترين معصيت نبود و نفرت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را، در پى‌ندارد؟ آيا قيام عليه خليفه مسلمين، بُغض با على نبود؟ و اسباب آزار رسول الله را فراهم نكرد؟ حركت او را با روايات زير چگونه مى‌توان توجيه كرد؟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عمروبن‌شاش أسلمى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مى‌كند؛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درپاسخ او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آذيتَني،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أعوذُبالله مِن أذاكَ يا رسُولَ‌اللهِ،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بَلَي، مَن آذى عَلِيّاً فقدآذاني </w:t>
      </w:r>
      <w:r>
        <w:rPr>
          <w:rFonts w:eastAsia="IRNazanin" w:cs="IRNazanin"/>
          <w:color w:val="111111"/>
          <w:sz w:val="28"/>
          <w:szCs w:val="28"/>
          <w:rtl w:val="true"/>
          <w:lang w:bidi="fa-IR"/>
        </w:rPr>
        <w:t xml:space="preserve">» </w:t>
      </w:r>
      <w:r>
        <w:rPr>
          <w:rStyle w:val="FootnoteAnchor"/>
          <w:rtl w:val="true"/>
        </w:rPr>
        <w:footnoteReference w:id="2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ديگر وقتى پيامبر شكايت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فَغَضَبَ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عرف ذلك في وَجهِهِ،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أبغَضَهُ فَقَد أبغَضَنِي، ومَن أبغَضَني فَقَد أبغَضَ‌اللهَ، ومَن‌أحَبَّهُ فَقَد أحَبَّني، و مَن أحَبَّني فقد أحَبّ‌الله تعالى</w:t>
      </w:r>
      <w:r>
        <w:rPr>
          <w:rFonts w:eastAsia="IRNazanin" w:cs="IRNazanin"/>
          <w:color w:val="111111"/>
          <w:sz w:val="28"/>
          <w:szCs w:val="28"/>
          <w:rtl w:val="true"/>
          <w:lang w:bidi="fa-IR"/>
        </w:rPr>
        <w:t xml:space="preserve">» </w:t>
      </w:r>
      <w:r>
        <w:rPr>
          <w:rStyle w:val="FootnoteAnchor"/>
          <w:rtl w:val="true"/>
        </w:rPr>
        <w:footnoteReference w:id="2590"/>
      </w:r>
      <w:bookmarkStart w:id="950" w:name="pg1976_28747"/>
    </w:p>
    <w:p>
      <w:pPr>
        <w:pStyle w:val="BookText"/>
        <w:rPr/>
      </w:pPr>
      <w:bookmarkEnd w:id="950"/>
      <w:r>
        <w:rPr>
          <w:rFonts w:ascii="Amiri" w:hAnsi="Amiri" w:eastAsia="Amiri" w:cs="Amiri"/>
          <w:color w:val="111111"/>
          <w:sz w:val="28"/>
          <w:sz w:val="28"/>
          <w:szCs w:val="28"/>
          <w:rtl w:val="true"/>
          <w:lang w:bidi="ar-SA"/>
        </w:rPr>
        <w:t xml:space="preserve">همين مضمون را حاكم نقل، و طبق شرط مسلم، صحيح مى‌داند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جابربن عبدالله قسم ياد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كُنّا نعرفُ مُنَافقينَنَا عَلَى عَهدِ رسُول‌اللهِ بِبُغضِهِم عَلِيّاً </w:t>
      </w:r>
      <w:r>
        <w:rPr>
          <w:rFonts w:eastAsia="Amiri" w:cs="Amiri" w:ascii="Amiri" w:hAnsi="Amiri"/>
          <w:color w:val="111111"/>
          <w:sz w:val="28"/>
          <w:szCs w:val="28"/>
          <w:rtl w:val="true"/>
          <w:lang w:bidi="ar-SA"/>
        </w:rPr>
        <w:t xml:space="preserve">» </w:t>
      </w:r>
      <w:r>
        <w:rPr>
          <w:rStyle w:val="FootnoteAnchor"/>
          <w:rtl w:val="true"/>
        </w:rPr>
        <w:footnoteReference w:id="2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حديث را به‌اين عبارت نقل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 بَرَأَ النَّسَمَةَ أنَّهُ لَعَهدُ النَّبِيّ الاُمِّيِّ إلِيَّ أن لا يُحبُّني إلّا مَؤمنٌ ولا يُبغِضُني إلّا منافِقٌ </w:t>
      </w:r>
      <w:r>
        <w:rPr>
          <w:rFonts w:eastAsia="Amiri" w:cs="Amiri" w:ascii="Amiri" w:hAnsi="Amiri"/>
          <w:color w:val="111111"/>
          <w:sz w:val="28"/>
          <w:szCs w:val="28"/>
          <w:rtl w:val="true"/>
          <w:lang w:bidi="ar-SA"/>
        </w:rPr>
        <w:t xml:space="preserve">»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ابى‌ذر از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أطاعَنِي فقَد أطاعَ اللهَ، و مَن عَصَاني فقد عَصَى اللهَ، و مَن أطاعَ عَلِيّاً فَقَد أطاعَني، ومَن عَصَى عَلِيّاً فقد عَصَاني </w:t>
      </w:r>
      <w:r>
        <w:rPr>
          <w:rFonts w:eastAsia="Amiri" w:cs="Amiri" w:ascii="Amiri" w:hAnsi="Amiri"/>
          <w:color w:val="111111"/>
          <w:sz w:val="28"/>
          <w:szCs w:val="28"/>
          <w:rtl w:val="true"/>
          <w:lang w:bidi="ar-SA"/>
        </w:rPr>
        <w:t xml:space="preserve">»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ابى‌أيوب الأنصارى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عَلِيّ‌بن‌ابي‌طالب بقتال النّاكثين و القاسطين، والمارقين </w:t>
      </w:r>
      <w:r>
        <w:rPr>
          <w:rFonts w:eastAsia="IRNazanin" w:cs="IRNazanin"/>
          <w:color w:val="111111"/>
          <w:sz w:val="28"/>
          <w:szCs w:val="28"/>
          <w:rtl w:val="true"/>
          <w:lang w:bidi="fa-IR"/>
        </w:rPr>
        <w:t xml:space="preserve">»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مَعَ القُرآنِ والقُرآنُ مَع عَلِيٍّ، لَن يفتَرِقَا حتّى يَرِِدا عَلَيَّ الحوض </w:t>
      </w:r>
      <w:r>
        <w:rPr>
          <w:rFonts w:eastAsia="IRNazanin" w:cs="IRNazanin"/>
          <w:color w:val="111111"/>
          <w:sz w:val="28"/>
          <w:szCs w:val="28"/>
          <w:rtl w:val="true"/>
          <w:lang w:bidi="fa-IR"/>
        </w:rPr>
        <w:t xml:space="preserve">»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روايات، و ده‌ها حديث ديگر، ترديدى باقى نخواهد ماند كه خروج بالسّيف و قتال أُمّ‌المؤمنين‌عايشه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نصّ قرآن، آزار و اذيت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دشمنى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عصيان و سركشى و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درحقيقت قتال و دشمنى و عصيان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w:t>
      </w:r>
      <w:r>
        <w:rPr>
          <w:rFonts w:eastAsia="IRNazanin" w:cs="IRNazanin"/>
          <w:color w:val="111111"/>
          <w:sz w:val="28"/>
          <w:szCs w:val="28"/>
          <w:rtl w:val="true"/>
          <w:lang w:bidi="fa-IR"/>
        </w:rPr>
        <w:t>.</w:t>
      </w:r>
    </w:p>
    <w:p>
      <w:pPr>
        <w:pStyle w:val="Heading5"/>
        <w:numPr>
          <w:ilvl w:val="4"/>
          <w:numId w:val="1"/>
        </w:numPr>
        <w:rPr/>
      </w:pPr>
      <w:bookmarkStart w:id="951" w:name="__RefHeading___Toc3767545_3650668749"/>
      <w:bookmarkStart w:id="952" w:name="_Toc351"/>
      <w:bookmarkEnd w:id="951"/>
      <w:r>
        <w:rPr>
          <w:rtl w:val="true"/>
        </w:rPr>
        <w:t>و</w:t>
      </w:r>
      <w:r>
        <w:rPr>
          <w:rtl w:val="true"/>
        </w:rPr>
        <w:t xml:space="preserve">) </w:t>
      </w:r>
      <w:r>
        <w:rPr>
          <w:rtl w:val="true"/>
        </w:rPr>
        <w:t>أُمّ المُؤمنين عايشه از نگاهِ شيعه</w:t>
      </w:r>
      <w:bookmarkEnd w:id="952"/>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اعتقاد شيعه نسبت به‌صحابه به‌طور عموم و عايشه به‌طور خصوص از ميان دو </w:t>
      </w:r>
    </w:p>
    <w:p>
      <w:pPr>
        <w:pStyle w:val="BookText"/>
        <w:rPr/>
      </w:pPr>
      <w:r>
        <w:rPr>
          <w:rFonts w:ascii="IRNazanin" w:hAnsi="IRNazanin" w:eastAsia="IRNazanin"/>
          <w:color w:val="111111"/>
          <w:sz w:val="28"/>
          <w:sz w:val="28"/>
          <w:szCs w:val="28"/>
          <w:rtl w:val="true"/>
          <w:lang w:bidi="fa-IR"/>
        </w:rPr>
        <w:t xml:space="preserve">ديدگاه افراطى جمهور اهل‌سنت كه همه را عادل مى‌شمارند </w:t>
      </w:r>
      <w:r>
        <w:rPr>
          <w:rStyle w:val="FootnoteAnchor"/>
          <w:rtl w:val="true"/>
        </w:rPr>
        <w:footnoteReference w:id="2597"/>
      </w:r>
      <w:r>
        <w:rPr>
          <w:rFonts w:ascii="IRNazanin" w:hAnsi="IRNazanin" w:eastAsia="IRNazanin"/>
          <w:color w:val="111111"/>
          <w:sz w:val="28"/>
          <w:sz w:val="28"/>
          <w:szCs w:val="28"/>
          <w:rtl w:val="true"/>
          <w:lang w:bidi="fa-IR"/>
        </w:rPr>
        <w:t xml:space="preserve">، و ديدگاه تفريطى كامليه كه همه را كافر مى‌پندارند، معقولانه‌ترين و منصفانه‌ترين و متعادل‌ترين ديدگاه است </w:t>
      </w:r>
      <w:r>
        <w:rPr>
          <w:rStyle w:val="FootnoteAnchor"/>
          <w:rtl w:val="true"/>
        </w:rPr>
        <w:footnoteReference w:id="2598"/>
      </w:r>
      <w:r>
        <w:rPr>
          <w:rFonts w:ascii="IRNazanin" w:hAnsi="IRNazanin" w:eastAsia="IRNazanin"/>
          <w:color w:val="111111"/>
          <w:sz w:val="28"/>
          <w:sz w:val="28"/>
          <w:szCs w:val="28"/>
          <w:rtl w:val="true"/>
          <w:lang w:bidi="fa-IR"/>
        </w:rPr>
        <w:t xml:space="preserve">هرگز شيعه و حتى عوام آنها، معتقد نيستند كه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فحشا و خيانت ناموسى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و سخن برخى از نويسندگان وهابى دربارۀ اعتقاد شيعه نسبت به عايشه </w:t>
      </w:r>
      <w:r>
        <w:rPr>
          <w:rStyle w:val="FootnoteAnchor"/>
          <w:rtl w:val="true"/>
        </w:rPr>
        <w:footnoteReference w:id="2599"/>
      </w:r>
      <w:r>
        <w:rPr>
          <w:rFonts w:ascii="IRNazanin" w:hAnsi="IRNazanin" w:eastAsia="IRNazanin"/>
          <w:color w:val="111111"/>
          <w:sz w:val="28"/>
          <w:sz w:val="28"/>
          <w:szCs w:val="28"/>
          <w:rtl w:val="true"/>
          <w:lang w:bidi="fa-IR"/>
        </w:rPr>
        <w:t xml:space="preserve">را اتهام مى‌شمارند و مطالب برخى تفاسير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دهم تحريم را به معناى فاحشه گرفته </w:t>
      </w:r>
      <w:r>
        <w:rPr>
          <w:rStyle w:val="FootnoteAnchor"/>
          <w:rtl w:val="true"/>
        </w:rPr>
        <w:footnoteReference w:id="2600"/>
      </w:r>
      <w:r>
        <w:rPr>
          <w:rFonts w:ascii="Amiri" w:hAnsi="Amiri" w:eastAsia="Amiri" w:cs="Amiri"/>
          <w:color w:val="111111"/>
          <w:sz w:val="28"/>
          <w:sz w:val="28"/>
          <w:szCs w:val="28"/>
          <w:rtl w:val="true"/>
          <w:lang w:bidi="ar-SA"/>
        </w:rPr>
        <w:t xml:space="preserve">و آن را در مورد أُمّ‌المؤمنين تفسير كرده‌اند، نظر تفسيرى و شخصى صاحبان كتاب </w:t>
      </w:r>
      <w:r>
        <w:rPr>
          <w:rStyle w:val="FootnoteAnchor"/>
          <w:rtl w:val="true"/>
        </w:rPr>
        <w:footnoteReference w:id="2601"/>
      </w:r>
      <w:r>
        <w:rPr>
          <w:rFonts w:ascii="IRNazanin" w:hAnsi="IRNazanin" w:eastAsia="IRNazanin"/>
          <w:color w:val="111111"/>
          <w:sz w:val="28"/>
          <w:sz w:val="28"/>
          <w:szCs w:val="28"/>
          <w:rtl w:val="true"/>
          <w:lang w:bidi="fa-IR"/>
        </w:rPr>
        <w:t xml:space="preserve">مى‌دانند و نَه تنها عايشه، كه همسران نوح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تهمت مبرّا دانسته و كلمات خيانت و فاحشه را به معناى نفاق، مخالفت ومؤمن نبودن مى‌گيرند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دقت در روايت كافى </w:t>
      </w:r>
      <w:r>
        <w:rPr>
          <w:rStyle w:val="FootnoteAnchor"/>
          <w:rtl w:val="true"/>
        </w:rPr>
        <w:footnoteReference w:id="2603"/>
      </w:r>
      <w:r>
        <w:rPr>
          <w:rFonts w:ascii="IRNazanin" w:hAnsi="IRNazanin" w:eastAsia="IRNazanin"/>
          <w:color w:val="111111"/>
          <w:sz w:val="28"/>
          <w:sz w:val="28"/>
          <w:szCs w:val="28"/>
          <w:rtl w:val="true"/>
          <w:lang w:bidi="fa-IR"/>
        </w:rPr>
        <w:t>، نيز چنين مفهومى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شيعه بر پايه دلايل و براهين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بخشى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مقصر مى‌دانند و عملكردهاى او و رو در رو قرار گرفتن وى با رسول خدا و قتال او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شايسته همسر پيامبرخدا نمى‌دانند </w:t>
      </w:r>
      <w:r>
        <w:rPr>
          <w:rStyle w:val="FootnoteAnchor"/>
          <w:rtl w:val="true"/>
        </w:rPr>
        <w:footnoteReference w:id="2604"/>
      </w:r>
      <w:r>
        <w:rPr>
          <w:rFonts w:ascii="IRNazanin" w:hAnsi="IRNazanin" w:eastAsia="IRNazanin"/>
          <w:color w:val="111111"/>
          <w:sz w:val="28"/>
          <w:sz w:val="28"/>
          <w:szCs w:val="28"/>
          <w:rtl w:val="true"/>
          <w:lang w:bidi="fa-IR"/>
        </w:rPr>
        <w:t xml:space="preserve">، جنگى كه او رهبريش را به‌عهده گرفت و مركب او همانند بُت تقديس مى‌شد و حدود </w:t>
      </w:r>
      <w:r>
        <w:rPr>
          <w:rFonts w:eastAsia="IRNazanin" w:cs="IRNazanin"/>
          <w:color w:val="111111"/>
          <w:sz w:val="28"/>
          <w:szCs w:val="28"/>
          <w:lang w:bidi="fa-IR"/>
        </w:rPr>
        <w:t>10</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مَرد مسلمان، در اطراف آن حيوان به‌قتل رسيدند </w:t>
      </w:r>
      <w:r>
        <w:rPr>
          <w:rStyle w:val="FootnoteAnchor"/>
          <w:rtl w:val="true"/>
        </w:rPr>
        <w:footnoteReference w:id="2605"/>
      </w:r>
      <w:r>
        <w:rPr>
          <w:rFonts w:ascii="IRNazanin" w:hAnsi="IRNazanin" w:eastAsia="IRNazanin"/>
          <w:color w:val="111111"/>
          <w:sz w:val="28"/>
          <w:sz w:val="28"/>
          <w:szCs w:val="28"/>
          <w:rtl w:val="true"/>
          <w:lang w:bidi="fa-IR"/>
        </w:rPr>
        <w:t xml:space="preserve">، كمر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شكست و برنامه‌هاى اصلاحى او را مختل ساخت و به‌دشمنان اسلام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داد و مسلمانان را خوار و حقير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وجود، شيعيان به‌همه صحابه به‌اين عنوان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نزديك ديده‌اند احترام مى‌گذارند، ولى عدالت و قداست همه آنها را براساس دلايل انكارناپذير، نمى‌پذيرند؛ به‌ويژه أُمّهات مؤمنين عايشه و حفصه را، به‌احترام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فوق‌العاده محترم مى‌شمارند امّا در عين حال اعمال و تحرّكات آن دو را كه برخلاف صريح عقل و شرع بود، قابل نقد مى‌دانند و نكات زير را از نظر دور نمى‌شمارند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بازخوانى مضامين احاديث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قبلاً اشاره شد شيعه و كلينى در اصول كافى أُمّهات‌المؤمنين به‌ويژه عايشه را از آن جهت كه همسر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شايسته احترام مى‌شمارند؛ اما نسبت به‌عملكردهاى وى بعد از رسول‌خدا، همان مطالبى را معتقدند كه درمنابع خود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تنها تفاوت قضيه در اين است كه اهل‌سنّت به‌لحاظ سياسى از اعمال نادرست او چشم پوشى مى‌كنند و شيعه به‌لحاظ اينكه از يك‌سو، تحرّكات عايشه سنگين‌ترين تخريب را بر اسلام داشت و از ديگرسو، جايگاه‌تراشى و فضيلت‌سازى براى او، در اصول و فروع دين اثر گذاشت، اعمال او را در مباحث علمى به‌چالش مى‌گيرند و از بيان واقعيت‌ها چشم پوشى نمى‌كنند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برابر نصّ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عالمان مورد قبول وهابى‌ها، براى توجيه خطاهاى اصحاب به‌ويژه أُمّ المؤمنين، عذر بدتر از گناه يعنى اجتهاد آنها را بهانه قرار </w:t>
      </w:r>
    </w:p>
    <w:p>
      <w:pPr>
        <w:pStyle w:val="BookText"/>
        <w:rPr/>
      </w:pPr>
      <w:r>
        <w:rPr>
          <w:rFonts w:ascii="IRNazanin" w:hAnsi="IRNazanin" w:eastAsia="IRNazanin"/>
          <w:color w:val="111111"/>
          <w:sz w:val="28"/>
          <w:sz w:val="28"/>
          <w:szCs w:val="28"/>
          <w:rtl w:val="true"/>
          <w:lang w:bidi="fa-IR"/>
        </w:rPr>
        <w:t xml:space="preserve">مى‌دهند، تا وانمود كنند كه اين گروه از صحابه در قتل مردم بى‌گناه و غارت اموال و اسارت مسلمانان و بردن آبروى اسلام بى‌تقصيرند؛ عبدالقاهر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 أصحابُنا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مُصِيباً في قتال أصحاب الجمل و في‌قتال أصحاب معاوية بصفين،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قالوا في‌عائشة وفي طلحة والزّبير أنّهم أَخطأوا ولم يفسَقُوا، لِأنَّ عائشةَ قَصَدت الاِصلاح بين الفريقين، فَغَلَبَها بَنوا ضَبّة وبنوالاَزُد على رأيها، فهُمُ‌الذين فَسَقوُا دُونها </w:t>
      </w:r>
      <w:r>
        <w:rPr>
          <w:rFonts w:eastAsia="IRNazanin" w:cs="IRNazanin"/>
          <w:color w:val="111111"/>
          <w:sz w:val="28"/>
          <w:szCs w:val="28"/>
          <w:rtl w:val="true"/>
          <w:lang w:bidi="fa-IR"/>
        </w:rPr>
        <w:t xml:space="preserve">»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الإيجى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منعكس نمودن ديدگاه‌هاى مذاهب، نسبت به فتنه‌ها و جنگ‌هايى كه ميان اصحاب رخ داده، با بيان افكار فِرق مختلف </w:t>
      </w:r>
      <w:r>
        <w:rPr>
          <w:rStyle w:val="FootnoteAnchor"/>
          <w:rtl w:val="true"/>
        </w:rPr>
        <w:footnoteReference w:id="2607"/>
      </w:r>
      <w:r>
        <w:rPr>
          <w:rFonts w:ascii="IRNazanin" w:hAnsi="IRNazanin" w:eastAsia="IRNazanin"/>
          <w:color w:val="111111"/>
          <w:sz w:val="28"/>
          <w:sz w:val="28"/>
          <w:szCs w:val="28"/>
          <w:rtl w:val="true"/>
          <w:lang w:bidi="fa-IR"/>
        </w:rPr>
        <w:t>، نظر جمهور اهل‌سنت را اين‌گونه ارائه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عليه الجمهور من‌الامَّة هُوَ أنَّ المخطئ قتلة عثمان ومحاربوا عليٍّ، لِاَنّهما إمامَانِ فيَحرم القتل والمخالفة قَطعاً </w:t>
      </w:r>
      <w:r>
        <w:rPr>
          <w:rFonts w:eastAsia="IRNazanin" w:cs="IRNazanin"/>
          <w:color w:val="111111"/>
          <w:sz w:val="28"/>
          <w:szCs w:val="28"/>
          <w:rtl w:val="true"/>
          <w:lang w:bidi="fa-IR"/>
        </w:rPr>
        <w:t xml:space="preserve">»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ابن‌حجرالهيتمى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بيشتر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الحاصل أنَّ مَا وَقَعَ بين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القِتال مقصور عَلَى الدُّنيا فقط، و أمّا في الآخرة فَكُلّهُم مُجتَهِدون مثابون، و إنّما التفاوت بينهم في الثواب؛ إذ مَن إجتَهَدَ وَ أصابَ كَعَلِيٍّ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كرم‌الله‌وجهه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أتباعه له أجرانِ، بل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أُجور، كَمَا في رواية، و مَن إجتَهَد و أخطَأَ كمعاوية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أجرٌ واحدٌ، فَهُم كُلّهم ساعُون في رضا الله و طاعته بحسب ظنونهم و اجتهاداتهم الناشئة عن سعة علومهم </w:t>
      </w:r>
      <w:r>
        <w:rPr>
          <w:rFonts w:eastAsia="IRNazanin" w:cs="IRNazanin"/>
          <w:color w:val="111111"/>
          <w:sz w:val="28"/>
          <w:szCs w:val="28"/>
          <w:rtl w:val="true"/>
          <w:lang w:bidi="fa-IR"/>
        </w:rPr>
        <w:t xml:space="preserve">. . .» </w:t>
      </w:r>
      <w:r>
        <w:rPr>
          <w:rStyle w:val="FootnoteAnchor"/>
          <w:rtl w:val="true"/>
        </w:rPr>
        <w:footnoteReference w:id="2609"/>
      </w:r>
      <w:r>
        <w:rPr>
          <w:rFonts w:ascii="IRNazanin" w:hAnsi="IRNazanin" w:eastAsia="IRNazanin"/>
          <w:color w:val="111111"/>
          <w:sz w:val="28"/>
          <w:sz w:val="28"/>
          <w:szCs w:val="28"/>
          <w:rtl w:val="true"/>
          <w:lang w:bidi="fa-IR"/>
        </w:rPr>
        <w:t xml:space="preserve">وى حتى اختلاف امت را از امور اجتهاديى كه سبب كفر و ايمان نمى‌شود مى‌پندارد، و ردّ در خواست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هنگام رحلتش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إيتوني بقرطاس أَكتُبُ لَكُم كتاباً لا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عمر را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قد غَلَبَهُ الوَجع، حَسبُنا كتاب‌الله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مى‌آورد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عنايت به‌متن گفته‌هاى بزرگان اهل‌سنت، ترديدى نيست كه كارهاى صحابه اجتهاد در مقابل نصّ است؛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توهين عمربن‌الخطاب به‌صاحب شريعت و در حضور او، اجتهاد مى‌كند، اجتهاد در برابر نص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سوم و چهارم سورۀ نجم، اختصاص به‌زمان صحت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او رسول‌خدا است نه فرد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آنچه كمر اسلام را شكست و آبروى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 همين كارهاى دنيايى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ابن‌حجر هيتمى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اجر و مجازات هر كسى در پيشگاه خداوند عادل است و روز رستاخيز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بغدادى، زبير را بدان جهت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 و به‌حق رسيد، سرانجام از معركه جنگ خارج شد، فاسق نمى‌داند هر چند كه عمروبن جرموز او را در وادى سباع،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نيز چون تصميم داشت كه صحنه را ترك كند، مروان بن الحكم او را هدف تير قرار داد، فاسق قلمداد نمى‌كند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يا چون هر دو، توبه كردند بَرِى از فسق مى‌داند </w:t>
      </w:r>
      <w:r>
        <w:rPr>
          <w:rStyle w:val="FootnoteAnchor"/>
          <w:rtl w:val="true"/>
        </w:rPr>
        <w:footnoteReference w:id="2612"/>
      </w:r>
      <w:r>
        <w:rPr>
          <w:rFonts w:ascii="IRNazanin" w:hAnsi="IRNazanin" w:eastAsia="IRNazanin"/>
          <w:color w:val="111111"/>
          <w:sz w:val="28"/>
          <w:sz w:val="28"/>
          <w:szCs w:val="28"/>
          <w:rtl w:val="true"/>
          <w:lang w:bidi="fa-IR"/>
        </w:rPr>
        <w:t>عايشه چون حركتش، حركت اصلاحى بود، فاسق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فهؤلاءالثَّلاثة بَرِيئون مِن الفِسق و الباقون من أتباعهم الَّذِين قاتلوا عَلِيّاً فَسَقَةٌ </w:t>
      </w:r>
      <w:r>
        <w:rPr>
          <w:rFonts w:eastAsia="IRNazanin" w:cs="IRNazanin"/>
          <w:color w:val="111111"/>
          <w:sz w:val="28"/>
          <w:szCs w:val="28"/>
          <w:rtl w:val="true"/>
          <w:lang w:bidi="fa-IR"/>
        </w:rPr>
        <w:t xml:space="preserve">!»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اين عالم، از چند جهت بى‌اساس و مردود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بى‌انصافى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حق و بى‌انصافى، انسان را به‌جايى مى‌كشاند كه دين خويش را فداى دنياى ديگران مى‌كند؛ چگونه مى‌توان باور كرد كه افراد اغوا شده و سياهى لشكر، فاسق باشند ولى رهبران و مسبّبان حادثه،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طلحه و زبير نبودند كه از عنوان همسر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كردند و او را فريب دادند تا در </w:t>
      </w:r>
    </w:p>
    <w:p>
      <w:pPr>
        <w:pStyle w:val="BookText"/>
        <w:rPr/>
      </w:pPr>
      <w:r>
        <w:rPr>
          <w:rFonts w:ascii="Amiri" w:hAnsi="Amiri" w:eastAsia="Amiri" w:cs="Amiri"/>
          <w:color w:val="111111"/>
          <w:sz w:val="28"/>
          <w:sz w:val="28"/>
          <w:szCs w:val="28"/>
          <w:rtl w:val="true"/>
          <w:lang w:bidi="ar-SA"/>
        </w:rPr>
        <w:t xml:space="preserve">سايه عنوان او، مردم را عليه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بشورانند و به‌مطامع دنيا برسند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طلحه، كه نخستين بيعت‌كننده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Style w:val="FootnoteAnchor"/>
          <w:rtl w:val="true"/>
        </w:rPr>
        <w:footnoteReference w:id="2614"/>
      </w:r>
      <w:r>
        <w:rPr>
          <w:rFonts w:ascii="Amiri" w:hAnsi="Amiri" w:eastAsia="Amiri" w:cs="Amiri"/>
          <w:color w:val="111111"/>
          <w:sz w:val="28"/>
          <w:sz w:val="28"/>
          <w:szCs w:val="28"/>
          <w:rtl w:val="true"/>
          <w:lang w:bidi="ar-SA"/>
        </w:rPr>
        <w:t xml:space="preserve">به‌همراه زبير، نخستين بيعت شكنان نيز بودند </w:t>
      </w:r>
      <w:r>
        <w:rPr>
          <w:rStyle w:val="FootnoteAnchor"/>
          <w:rtl w:val="true"/>
        </w:rPr>
        <w:footnoteReference w:id="2615"/>
      </w:r>
      <w:r>
        <w:rPr>
          <w:rFonts w:ascii="Amiri" w:hAnsi="Amiri" w:eastAsia="Amiri" w:cs="Amiri"/>
          <w:color w:val="111111"/>
          <w:sz w:val="28"/>
          <w:sz w:val="28"/>
          <w:szCs w:val="28"/>
          <w:rtl w:val="true"/>
          <w:lang w:bidi="ar-SA"/>
        </w:rPr>
        <w:t>و هر دو نزد عايشه آمدند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طلحةُ و الزّبيرُ عَلى‌عائشةَ فَدَعَواها إلى الخُرُوج، فقالَت أتأمُراني أن أُقاتل؟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تَعلمِين النّاسَ أنّ عُثمان قُتِلَ مَظلوماً، وَ تَدعِيهم إلى‌أن يَجعَلُوا الامرَ شورى بين المسلمين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فَجَعَلت عايشةُ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مَظلُوماً و أنا أدعُوكُم إلى‌الطلب بِدَمِهِ</w:t>
      </w:r>
      <w:r>
        <w:rPr>
          <w:rFonts w:eastAsia="Amiri" w:cs="Amiri" w:ascii="Amiri" w:hAnsi="Amiri"/>
          <w:color w:val="111111"/>
          <w:sz w:val="28"/>
          <w:szCs w:val="28"/>
          <w:rtl w:val="true"/>
          <w:lang w:bidi="ar-SA"/>
        </w:rPr>
        <w:t xml:space="preserve">. . . »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اينكه وقتى رهبران جمل، با سه‌هزار نفر كه نهصدنفر آنها از مكّه و مدينه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Style w:val="FootnoteAnchor"/>
          <w:rtl w:val="true"/>
        </w:rPr>
        <w:footnoteReference w:id="2617"/>
      </w:r>
      <w:r>
        <w:rPr>
          <w:rFonts w:ascii="IRNazanin" w:hAnsi="IRNazanin" w:eastAsia="IRNazanin"/>
          <w:color w:val="111111"/>
          <w:sz w:val="28"/>
          <w:sz w:val="28"/>
          <w:szCs w:val="28"/>
          <w:rtl w:val="true"/>
          <w:lang w:bidi="fa-IR"/>
        </w:rPr>
        <w:t>پارس سگ‌ها را شنيدند، عايشه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وإنّا إليه راجعون رُدُّوني رُدُّوني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نفر از بنى‌عامر را آوردند تا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كنند كه اين‌جا حوأب نيست </w:t>
      </w:r>
      <w:r>
        <w:rPr>
          <w:rStyle w:val="FootnoteAnchor"/>
          <w:rtl w:val="true"/>
        </w:rPr>
        <w:footnoteReference w:id="2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چگونه معقول است طلحه و زبير منافق و مقصر نباشند ولى اغوا شدگان فاسق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بى‌ثمر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صريح آيات شريفه، توبه وقتى مفيد است كه إِنَّمَا التَّوْبَةُ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اللهِ لِلَّذِينَ يَعْمَلُونَ السُّوءَ بِجَهَالَةٍ</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بغاوت رهبران جمل، از روى عناد و سركشى بود؛ و توبه هنگامى نجات‌بخش است كه در شُرف مرگ نباشند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وَلَيْسَتِ التَّوْبَةُ لِلَّذِينَ يَعْمَلُونَ السَّيِّئَاتِ حَتَّى إِذَا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اَحَدَهُمُ الْمَوْتُ قَالَ إِنِّى تُبْتُ الانَ</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اينكه در توبه، عناصرِ جبران مافات، اصلاح و اداى حقوق به‌ويژه </w:t>
      </w:r>
    </w:p>
    <w:p>
      <w:pPr>
        <w:pStyle w:val="BookText"/>
        <w:rPr/>
      </w:pPr>
      <w:r>
        <w:rPr>
          <w:rFonts w:ascii="IRNazanin" w:hAnsi="IRNazanin" w:eastAsia="IRNazanin"/>
          <w:color w:val="111111"/>
          <w:sz w:val="28"/>
          <w:sz w:val="28"/>
          <w:szCs w:val="28"/>
          <w:rtl w:val="true"/>
          <w:lang w:bidi="fa-IR"/>
        </w:rPr>
        <w:t xml:space="preserve">خون مردم </w:t>
      </w:r>
      <w:r>
        <w:rPr>
          <w:rStyle w:val="FootnoteAnchor"/>
          <w:rtl w:val="true"/>
        </w:rPr>
        <w:footnoteReference w:id="2619"/>
      </w:r>
      <w:r>
        <w:rPr>
          <w:rFonts w:ascii="IRNazanin" w:hAnsi="IRNazanin" w:eastAsia="IRNazanin"/>
          <w:color w:val="111111"/>
          <w:sz w:val="28"/>
          <w:sz w:val="28"/>
          <w:szCs w:val="28"/>
          <w:rtl w:val="true"/>
          <w:lang w:bidi="fa-IR"/>
        </w:rPr>
        <w:t xml:space="preserve">شرط است؛ قرآن كريم در چندين آيه </w:t>
      </w:r>
      <w:r>
        <w:rPr>
          <w:rStyle w:val="FootnoteAnchor"/>
          <w:rtl w:val="true"/>
        </w:rPr>
        <w:footnoteReference w:id="2620"/>
      </w:r>
      <w:r>
        <w:rPr>
          <w:rFonts w:ascii="IRNazanin" w:hAnsi="IRNazanin" w:eastAsia="IRNazanin"/>
          <w:color w:val="111111"/>
          <w:sz w:val="28"/>
          <w:sz w:val="28"/>
          <w:szCs w:val="28"/>
          <w:rtl w:val="true"/>
          <w:lang w:bidi="fa-IR"/>
        </w:rPr>
        <w:t>از جمله آيه إِلَّا الَّذِينَ تَابُواْ وَاَصْلَحُواْ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ناشى از توبه را اصلاح و عمل صالح و جبران توبه‌كننده، مشروط نموده است؛ طلحه و زبير، نَه تنها چنين فرصتى نيافتند كه أمُّ‌المؤمنين را نيز در ميان ميدان نبرد تنها گذاشتند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أمّ المؤمنين مُتنبِّه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سخن صريح عالم اهل‌سنت، طلحه و زبير با ديدن نشانه‌هاى حقّانيت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معركه خارج و يا تصميم خروج را داشتند </w:t>
      </w:r>
      <w:r>
        <w:rPr>
          <w:rStyle w:val="FootnoteAnchor"/>
          <w:rtl w:val="true"/>
        </w:rPr>
        <w:footnoteReference w:id="2622"/>
      </w:r>
      <w:r>
        <w:rPr>
          <w:rFonts w:ascii="IRNazanin" w:hAnsi="IRNazanin" w:eastAsia="IRNazanin"/>
          <w:color w:val="111111"/>
          <w:sz w:val="28"/>
          <w:sz w:val="28"/>
          <w:szCs w:val="28"/>
          <w:rtl w:val="true"/>
          <w:lang w:bidi="fa-IR"/>
        </w:rPr>
        <w:t xml:space="preserve">سؤال اين است كه أُّم‌المُؤمنين نشانه‌هاى حقّانيت خليفه مسلمين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حادثه جمل و يا در مسير راه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ديده و نشنيده بود؟ ترديدى در مثبت بودن جواب سؤال نيست؛ پس چرا او متنبّه نشد و تا آخرين لحظه‌ها مقاومت به‌خرج داد و دَه‌ها انسان در اطراف شتر او به‌هلاكت رسيدند </w:t>
      </w:r>
      <w:r>
        <w:rPr>
          <w:rStyle w:val="FootnoteAnchor"/>
          <w:rtl w:val="true"/>
        </w:rPr>
        <w:footnoteReference w:id="2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نشانه‌هاى حقّانيت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عايشه ديد و شنيد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گريه بر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عايشه به‌دنبال طلحه و زبير، از مكه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قصد قتال</w:t>
      </w:r>
    </w:p>
    <w:p>
      <w:pPr>
        <w:pStyle w:val="BookText"/>
        <w:rPr/>
      </w:pPr>
      <w:r>
        <w:rPr>
          <w:rFonts w:ascii="IRNazanin" w:hAnsi="IRNazanin" w:eastAsia="IRNazanin"/>
          <w:color w:val="111111"/>
          <w:sz w:val="28"/>
          <w:sz w:val="28"/>
          <w:szCs w:val="28"/>
          <w:rtl w:val="true"/>
          <w:lang w:bidi="fa-IR"/>
        </w:rPr>
        <w:t xml:space="preserve">باعلى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ديگر همسران پيامبر او را تا ذات عِرق </w:t>
      </w:r>
      <w:r>
        <w:rPr>
          <w:rStyle w:val="FootnoteAnchor"/>
          <w:rtl w:val="true"/>
        </w:rPr>
        <w:footnoteReference w:id="2624"/>
      </w:r>
      <w:r>
        <w:rPr>
          <w:rFonts w:ascii="Amiri" w:hAnsi="Amiri" w:eastAsia="Amiri" w:cs="Amiri"/>
          <w:color w:val="111111"/>
          <w:sz w:val="28"/>
          <w:sz w:val="28"/>
          <w:szCs w:val="28"/>
          <w:rtl w:val="true"/>
          <w:lang w:bidi="ar-SA"/>
        </w:rPr>
        <w:t>همراهى‌كردند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يَرَيومٌ كانَ أكثر باكياً عَلَى‌الاِسلام أو باكياً له مِن ذلك اليَوم، كان يُسُمّى يومَ النَحِيب </w:t>
      </w:r>
      <w:r>
        <w:rPr>
          <w:rFonts w:eastAsia="Amiri" w:cs="Amiri" w:ascii="Amiri" w:hAnsi="Amiri"/>
          <w:color w:val="111111"/>
          <w:sz w:val="28"/>
          <w:szCs w:val="28"/>
          <w:rtl w:val="true"/>
          <w:lang w:bidi="ar-SA"/>
        </w:rPr>
        <w:t xml:space="preserve">»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پارس‌كردن سگ‌هاى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أُمُّ‌المؤمنين هنگام حركت به‌طرف بصره،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سگ‌هاى آن‌جا را شنيد وپرسيد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مَايُقَالُ لهذالماء الَّذي نَحنُ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رُدُّوني رُدُّوني، فإنِّي 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 عِنده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أيَّتُكُنَّ ينبحها كِلاب الحَوأب </w:t>
      </w:r>
      <w:r>
        <w:rPr>
          <w:rFonts w:eastAsia="IRNazanin" w:cs="IRNazanin"/>
          <w:color w:val="111111"/>
          <w:sz w:val="28"/>
          <w:szCs w:val="28"/>
          <w:rtl w:val="true"/>
          <w:lang w:bidi="fa-IR"/>
        </w:rPr>
        <w:t xml:space="preserve">» </w:t>
      </w:r>
      <w:r>
        <w:rPr>
          <w:rStyle w:val="FootnoteAnchor"/>
          <w:rtl w:val="true"/>
        </w:rPr>
        <w:footnoteReference w:id="2626"/>
      </w:r>
      <w:r>
        <w:rPr>
          <w:rFonts w:ascii="Amiri" w:hAnsi="Amiri" w:eastAsia="Amiri" w:cs="Amiri"/>
          <w:color w:val="111111"/>
          <w:sz w:val="28"/>
          <w:sz w:val="28"/>
          <w:szCs w:val="28"/>
          <w:rtl w:val="true"/>
          <w:lang w:bidi="ar-SA"/>
        </w:rPr>
        <w:t>ولى وى با همۀ شواهد، فريب طلحه و زبير را براى ادامه معصيت الهى، خورد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نصيحت فرستادگان والى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عثمان‌بن‌حُنَيف والى أميرالمؤمنين در بصره از حركت شورشيان به‌رهبرى أم‌المؤمنين با خبر شد، دو نفر به‌نام‌هاى عمران‌بن‌الحصين الخزاعى و اباالأسود را، جهت كسب اطلاع از علت حركت سپاه جنگى به‌طرف بصره، نزد عايشه فرستاد؛ فرستادگان والى بصره، او را در محل چاه ابوموسى ملاقات كردند و علت را جويا شدند و اين جواب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خونخواهى عثمان و بازگرداندن خلافت به‌شورى،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أَمَرَكِ‌اللهُ أن تَقَرِّي في بَيتِكِ فإنَّكِ حَبِيس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حَلِيلَتِه و حرمته</w:t>
      </w:r>
      <w:r>
        <w:rPr>
          <w:rFonts w:eastAsia="IRNazanin" w:cs="IRNazanin"/>
          <w:color w:val="111111"/>
          <w:sz w:val="28"/>
          <w:szCs w:val="28"/>
          <w:rtl w:val="true"/>
          <w:lang w:bidi="fa-IR"/>
        </w:rPr>
        <w:t xml:space="preserve">» </w:t>
      </w:r>
      <w:r>
        <w:rPr>
          <w:rStyle w:val="FootnoteAnchor"/>
          <w:rtl w:val="true"/>
        </w:rPr>
        <w:footnoteReference w:id="2627"/>
      </w:r>
      <w:r>
        <w:rPr>
          <w:rFonts w:ascii="IRNazanin" w:hAnsi="IRNazanin" w:eastAsia="IRNazanin"/>
          <w:color w:val="111111"/>
          <w:sz w:val="28"/>
          <w:sz w:val="28"/>
          <w:szCs w:val="28"/>
          <w:rtl w:val="true"/>
          <w:lang w:bidi="fa-IR"/>
        </w:rPr>
        <w:t>عايشه به‌أبى‌الأسود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بَلَغَنِي عَنكَ يا أباالاَسودمَاتَقُول فِيَّ </w:t>
      </w:r>
      <w:r>
        <w:rPr>
          <w:rFonts w:eastAsia="IRNazanin" w:cs="IRNazanin"/>
          <w:color w:val="111111"/>
          <w:sz w:val="28"/>
          <w:szCs w:val="28"/>
          <w:rtl w:val="true"/>
          <w:lang w:bidi="fa-IR"/>
        </w:rPr>
        <w:t xml:space="preserve">» </w:t>
      </w:r>
      <w:r>
        <w:rPr>
          <w:rStyle w:val="FootnoteAnchor"/>
          <w:rtl w:val="true"/>
        </w:rPr>
        <w:footnoteReference w:id="2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نصيحت را زيدبن صوحان صحابى در جواب اين نامۀ عايشه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أم‌المُؤمنين عايشه به‌فرزند خالصش زيدبن‌صوحان،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در رأس جاهلى و سيد در اسلام </w:t>
      </w:r>
    </w:p>
    <w:p>
      <w:pPr>
        <w:pStyle w:val="BookText"/>
        <w:rPr/>
      </w:pPr>
      <w:r>
        <w:rPr>
          <w:rFonts w:ascii="IRNazanin" w:hAnsi="IRNazanin" w:eastAsia="IRNazanin"/>
          <w:color w:val="111111"/>
          <w:sz w:val="28"/>
          <w:sz w:val="28"/>
          <w:szCs w:val="28"/>
          <w:rtl w:val="true"/>
          <w:lang w:bidi="fa-IR"/>
        </w:rPr>
        <w:t>بود و تو به‌منزله او هستى</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وقتى نامه‌ام به‌تو رسيد مردم را از على‌بن ابى‌طالب دورنگهدار تا دستور بعدى من به‌تو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فَإنَّكِ أُمِرتِ بأمرٍ و أُمِرنَا بغيره، أُمِرتِ أن تَقَرِّي في بيتِكِ، وأُمِرنا أن نُقاتل النّاسَ حَتّى لا تَكونَ فتنةٌ، فتَرَكتِ مَا أُمرتِ بِهِ </w:t>
      </w:r>
      <w:r>
        <w:rPr>
          <w:rFonts w:eastAsia="IRNazanin" w:cs="IRNazanin"/>
          <w:color w:val="111111"/>
          <w:sz w:val="28"/>
          <w:szCs w:val="28"/>
          <w:rtl w:val="true"/>
          <w:lang w:bidi="fa-IR"/>
        </w:rPr>
        <w:t xml:space="preserve">. . .»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اصحاب بدرى و بيعت رضوان در سپاه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صرف‌نظر از اينكه عايشه در مقابل قرآن و خليفه شرعى قرار داشت، در برابر عده زيادى از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بود؛ زيرا در ركاب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w:t>
      </w:r>
      <w:r>
        <w:rPr>
          <w:rFonts w:ascii="IRNazanin" w:hAnsi="IRNazanin" w:eastAsia="IRNazanin"/>
          <w:color w:val="111111"/>
          <w:sz w:val="28"/>
          <w:sz w:val="28"/>
          <w:szCs w:val="28"/>
          <w:lang w:bidi="fa-IR"/>
        </w:rPr>
        <w:t>٠٠٠</w:t>
      </w:r>
      <w:r>
        <w:rPr>
          <w:rFonts w:ascii="IRNazanin" w:hAnsi="IRNazanin" w:eastAsia="IRNazanin"/>
          <w:color w:val="111111"/>
          <w:sz w:val="28"/>
          <w:sz w:val="28"/>
          <w:szCs w:val="28"/>
          <w:rtl w:val="true"/>
          <w:lang w:bidi="fa-IR"/>
        </w:rPr>
        <w:t xml:space="preserve"> نفر اهل مدينه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كه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نفرشان از مهاجران و انصار 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بدرى و مابقى از اصحاب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حضور 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به‌روايت ديگر، از ميان </w:t>
      </w:r>
      <w:r>
        <w:rPr>
          <w:rFonts w:eastAsia="IRNazanin" w:cs="IRNazanin"/>
          <w:color w:val="111111"/>
          <w:sz w:val="28"/>
          <w:szCs w:val="28"/>
          <w:lang w:bidi="fa-IR"/>
        </w:rPr>
        <w:t>8</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نفر انصار،</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نفر آنان شاهد بيعت رضوان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اصحاب بدر 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ياران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عده‌اى از اصحاب در اين حادثه همانند زيدبن‌صوحان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سيحان‌بن صوحان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هندبن ابى‌هالة ربيب‌الرسول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به‌شهادت رسيدند</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محلى به‌نام زاويه، مى‌رسد بعد از خواندن چهار ركعت نماز، صورت مباركش را روى خاك گذارده و خاك آلود و اشك‌هايش جارى مى‌شود، آن‌گاه دست‌ها را بالا آورده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أَللّهُمَّ رَبَّ السَّموات و ما أَظلّت، والارَضين </w:t>
      </w:r>
    </w:p>
    <w:p>
      <w:pPr>
        <w:pStyle w:val="BookText"/>
        <w:rPr/>
      </w:pPr>
      <w:r>
        <w:rPr>
          <w:rFonts w:ascii="Amiri" w:hAnsi="Amiri" w:eastAsia="Amiri" w:cs="Amiri"/>
          <w:color w:val="111111"/>
          <w:sz w:val="28"/>
          <w:sz w:val="28"/>
          <w:szCs w:val="28"/>
          <w:rtl w:val="true"/>
          <w:lang w:bidi="ar-SA"/>
        </w:rPr>
        <w:t xml:space="preserve">ومَا أقَلَّت، و َربَّ العَرشِ العظيم، هذه البصرةَ أَسأَلُكَ مِن خيرها، وَ أَعُوذُ بك مِن شَرِّها، أللّهم أنزلنا فيها خَيرمُنزلٍ و أنت خير المُنزِلين، أللّهم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القَوم قد خَلَعُوا طاعَتِي، و بَغَوا عَلَيَّ و نَكَثُوا بَيعَتي، أللّهم إحقِن دِماءَ المُسلمين </w:t>
      </w:r>
      <w:r>
        <w:rPr>
          <w:rFonts w:eastAsia="Amiri" w:cs="Amiri" w:ascii="Amiri" w:hAnsi="Amiri"/>
          <w:color w:val="111111"/>
          <w:sz w:val="28"/>
          <w:szCs w:val="28"/>
          <w:rtl w:val="true"/>
          <w:lang w:bidi="ar-SA"/>
        </w:rPr>
        <w:t xml:space="preserve">» </w:t>
      </w:r>
      <w:r>
        <w:rPr>
          <w:rStyle w:val="FootnoteAnchor"/>
          <w:rtl w:val="true"/>
        </w:rPr>
        <w:footnoteReference w:id="2630"/>
      </w:r>
      <w:r>
        <w:rPr>
          <w:rFonts w:ascii="IRNazanin" w:hAnsi="IRNazanin" w:eastAsia="IRNazanin"/>
          <w:color w:val="111111"/>
          <w:sz w:val="28"/>
          <w:sz w:val="28"/>
          <w:szCs w:val="28"/>
          <w:rtl w:val="true"/>
          <w:lang w:bidi="fa-IR"/>
        </w:rPr>
        <w:t>سپس كسانى را نزد رهبران جمل مى‌فرستد تا از ريختن خون مسلمانان، دست بردارند 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فأَبَوا إلّا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شخصى از يارانش را به‌نام مسلم، با قرآن فرستاد و قرآن را واسطه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فَرَمَوهُ بسَهمٍ فَقَتَلُوه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جنازۀ مسلم را وقتى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مادر وى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إنَّ مُسلماً أتَاهُم يَتلُوكتابَ الله لا يخشاهم فخَضَّبُوا مِن دَمِهِ لحاهم وأُمُّه قائمةٌ تراهُم</w:t>
      </w:r>
      <w:r>
        <w:rPr>
          <w:rFonts w:eastAsia="Amiri" w:cs="Amiri" w:ascii="Amiri" w:hAnsi="Amiri"/>
          <w:color w:val="111111"/>
          <w:sz w:val="28"/>
          <w:szCs w:val="28"/>
          <w:rtl w:val="true"/>
          <w:lang w:bidi="ar-SA"/>
        </w:rPr>
        <w:t xml:space="preserve">! </w:t>
      </w:r>
      <w:r>
        <w:rPr>
          <w:rStyle w:val="FootnoteAnchor"/>
          <w:rtl w:val="true"/>
        </w:rPr>
        <w:footnoteReference w:id="26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أُمّ سلمه به‌عايشه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أُمّ‌المؤمنين عايشه نه‌تنها به‌پيامد دردناك غائله جمل نينديشيد كه ام‌سلمۀ بنت ابى‌أُميه، همسر ديگر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به‌همراهى خود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كه عثمان مظلومانه كشته شده است و اكثر مردم از بيعت با على راضى نيستند و گروهى از مردم بصره مخالف على‌اند، و اگر تو، به‌همراه ما خارج شوى، شايد امر امت محمد به‌دست ما به اصلاح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أم‌سلمه در پاسخ او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عِمادَ الدِّين لا يُقام بالنِّساءِ، حُماديات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غَضّ الاَبصار، و خَفض الاَطراف، و جَرّ الذّيول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إنَّ‌اللهَ وَضَعَ عَنّي و عَنكِ هذا؛ ما أنتِ قائلةٌ لو أنّ رسول‌الله عارضكِ بأَطراف الفَلواتِ قَد هَتَكتِ حِجاباً قد ضَرَبَه عَليكِ؟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 ديگر، أُمّ‌سلمه هنگام خروج عايشه، به‌وى نامه نوشت و او را نسبت به‌كارش هشدار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أمّ‌سلمة زوجَةالنَّبِيّ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عائشة أم‌المؤمنين،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إنَّكِ سُدَّةٌ </w:t>
      </w:r>
      <w:r>
        <w:rPr>
          <w:rStyle w:val="FootnoteAnchor"/>
          <w:rtl w:val="true"/>
        </w:rPr>
        <w:footnoteReference w:id="2632"/>
      </w:r>
      <w:r>
        <w:rPr>
          <w:rFonts w:ascii="Amiri" w:hAnsi="Amiri" w:eastAsia="Amiri" w:cs="Amiri"/>
          <w:color w:val="111111"/>
          <w:sz w:val="28"/>
          <w:sz w:val="28"/>
          <w:szCs w:val="28"/>
          <w:rtl w:val="true"/>
          <w:lang w:bidi="ar-SA"/>
        </w:rPr>
        <w:t xml:space="preserve">بين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أُمته، و حجابٌ مضروبٌ على حُرمته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عَلِمتِ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نَهاكِ عن </w:t>
      </w:r>
    </w:p>
    <w:p>
      <w:pPr>
        <w:pStyle w:val="BookText"/>
        <w:rPr/>
      </w:pPr>
      <w:r>
        <w:rPr>
          <w:rFonts w:ascii="Amiri" w:hAnsi="Amiri" w:eastAsia="Amiri" w:cs="Amiri"/>
          <w:color w:val="111111"/>
          <w:sz w:val="28"/>
          <w:sz w:val="28"/>
          <w:szCs w:val="28"/>
          <w:rtl w:val="true"/>
          <w:lang w:bidi="ar-SA"/>
        </w:rPr>
        <w:t xml:space="preserve">الفراطة </w:t>
      </w:r>
      <w:r>
        <w:rPr>
          <w:rStyle w:val="FootnoteAnchor"/>
          <w:rtl w:val="true"/>
        </w:rPr>
        <w:footnoteReference w:id="2633"/>
      </w:r>
      <w:r>
        <w:rPr>
          <w:rFonts w:ascii="Amiri" w:hAnsi="Amiri" w:eastAsia="Amiri" w:cs="Amiri"/>
          <w:color w:val="111111"/>
          <w:sz w:val="28"/>
          <w:sz w:val="28"/>
          <w:szCs w:val="28"/>
          <w:rtl w:val="true"/>
          <w:lang w:bidi="ar-SA"/>
        </w:rPr>
        <w:t>في البلاد، فإنّ عَمُودَالدِّينِ لا يثبتُ بالنِّساء إن مَالَ، ولايُرأبُ بِهِنّ إن إنصَدَعَ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النِّساء غَضُّ الاطراف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كُنتِ قائلة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عارضكِ بِبعض هذه الفلواتِ ناصّة </w:t>
      </w:r>
      <w:r>
        <w:rPr>
          <w:rStyle w:val="FootnoteAnchor"/>
          <w:rtl w:val="true"/>
        </w:rPr>
        <w:footnoteReference w:id="2634"/>
      </w:r>
      <w:r>
        <w:rPr>
          <w:rFonts w:ascii="Amiri" w:hAnsi="Amiri" w:eastAsia="Amiri" w:cs="Amiri"/>
          <w:color w:val="111111"/>
          <w:sz w:val="28"/>
          <w:sz w:val="28"/>
          <w:szCs w:val="28"/>
          <w:rtl w:val="true"/>
          <w:lang w:bidi="ar-SA"/>
        </w:rPr>
        <w:t xml:space="preserve">قَعُوداً مِن منهلٍ إلى منهل؟ وَغداً تَرِدِينَ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فَإنَّكِ أنصَحُ ما تَكونينَ لِهذهِ الاُمّة ما قَعدتِ عن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ولو أَنِّي حَدَّثتُكِ بِحديثٍ سَمِعتُهُ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لَنَهَشتَني نَهشَ الرّقشاء المُطرِقة</w:t>
      </w:r>
      <w:r>
        <w:rPr>
          <w:rFonts w:eastAsia="Amiri" w:cs="Amiri" w:ascii="Amiri" w:hAnsi="Amiri"/>
          <w:color w:val="111111"/>
          <w:sz w:val="28"/>
          <w:szCs w:val="28"/>
          <w:rtl w:val="true"/>
          <w:lang w:bidi="ar-SA"/>
        </w:rPr>
        <w:t xml:space="preserve">. </w:t>
      </w:r>
      <w:r>
        <w:rPr>
          <w:rStyle w:val="FootnoteAnchor"/>
          <w:rtl w:val="true"/>
        </w:rPr>
        <w:footnoteReference w:id="2635"/>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عايشه در جواب خيرخواهى او، نوشت</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أما بعد، فمَا أقبَلَني لِوَعظِكِ، و أعرفني لحقِّ نصيحَتكِ </w:t>
      </w:r>
      <w:r>
        <w:rPr>
          <w:rFonts w:eastAsia="Amiri" w:cs="Amiri" w:ascii="Amiri" w:hAnsi="Amiri"/>
          <w:color w:val="111111"/>
          <w:sz w:val="28"/>
          <w:szCs w:val="28"/>
          <w:rtl w:val="true"/>
          <w:lang w:bidi="ar-SA"/>
        </w:rPr>
        <w:t xml:space="preserve">. . .»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به‌اين شواهد انكارناپذير بر حقانيت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أمُّ‌المؤمنين عايشه مُتنبّه نشد و دست از سركشى خويش برنداشت؟ و با اينكه طلحه و زبير وى را تنها گذاشتند و او همچنان اصرار بر قتال داشت، آيا مى‌توان حركت او را اصلاحى خواند؟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موضع‌گيرى دوگانه أمُّ‌المؤمنين نسبت به‌عثمان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بهانه خروج أُمُّ‌المؤمنين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مظلومانه كشته‌شدن عثمان بود؛ طلحه و زبير بدان جهت كه از رسيدن به‌مقام حكومتى، بازماندند، از عدالت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احساس خطر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اين احساس بيشتر شد كه به دستور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بيت‌المال از طلحه بازستانده شد </w:t>
      </w:r>
      <w:r>
        <w:rPr>
          <w:rStyle w:val="FootnoteAnchor"/>
          <w:rtl w:val="true"/>
        </w:rPr>
        <w:footnoteReference w:id="2637"/>
      </w:r>
      <w:r>
        <w:rPr>
          <w:rFonts w:ascii="IRNazanin" w:hAnsi="IRNazanin" w:eastAsia="IRNazanin"/>
          <w:color w:val="111111"/>
          <w:sz w:val="28"/>
          <w:sz w:val="28"/>
          <w:szCs w:val="28"/>
          <w:rtl w:val="true"/>
          <w:lang w:bidi="fa-IR"/>
        </w:rPr>
        <w:t xml:space="preserve">، و نصيحت مغيرة بن شعبة به‌حضرت نسبت به ابقاى كارگزاران عثمان، كارگر نيفتاد و </w:t>
      </w:r>
    </w:p>
    <w:p>
      <w:pPr>
        <w:pStyle w:val="BookText"/>
        <w:rPr/>
      </w:pPr>
      <w:r>
        <w:rPr>
          <w:rFonts w:ascii="Amiri" w:hAnsi="Amiri" w:eastAsia="Amiri" w:cs="Amiri"/>
          <w:color w:val="111111"/>
          <w:sz w:val="28"/>
          <w:sz w:val="28"/>
          <w:szCs w:val="28"/>
          <w:rtl w:val="true"/>
          <w:lang w:bidi="ar-SA"/>
        </w:rPr>
        <w:t xml:space="preserve">به‌آينده موكول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أنظر</w:t>
      </w:r>
      <w:r>
        <w:rPr>
          <w:rFonts w:eastAsia="Amiri" w:cs="Amiri" w:ascii="Amiri" w:hAnsi="Amiri"/>
          <w:color w:val="111111"/>
          <w:sz w:val="28"/>
          <w:szCs w:val="28"/>
          <w:rtl w:val="true"/>
          <w:lang w:bidi="ar-SA"/>
        </w:rPr>
        <w:t xml:space="preserve">) </w:t>
      </w:r>
      <w:r>
        <w:rPr>
          <w:rStyle w:val="FootnoteAnchor"/>
          <w:rtl w:val="true"/>
        </w:rPr>
        <w:footnoteReference w:id="2638"/>
      </w:r>
      <w:r>
        <w:rPr>
          <w:rFonts w:ascii="IRNazanin" w:hAnsi="IRNazanin" w:eastAsia="IRNazanin"/>
          <w:color w:val="111111"/>
          <w:sz w:val="28"/>
          <w:sz w:val="28"/>
          <w:szCs w:val="28"/>
          <w:rtl w:val="true"/>
          <w:lang w:bidi="fa-IR"/>
        </w:rPr>
        <w:t xml:space="preserve">، راه برون رفت آن دو اين بود كه با بهانه‌نمودن مظلومانه كشته شدن خليفه، همسر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بشورانند و از عنوان او سود بجويند و وى نيز تسليم توطئه‌هاى آن دو، گرديد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اينكه أمُّ‌المؤمنين حق خونخواهى عثمان را داشت يا نَه؟ و اينكه طلحه در كشته شدن عثمان بى‌نقش نبود </w:t>
      </w:r>
      <w:r>
        <w:rPr>
          <w:rStyle w:val="FootnoteAnchor"/>
          <w:rtl w:val="true"/>
        </w:rPr>
        <w:footnoteReference w:id="2640"/>
      </w:r>
      <w:r>
        <w:rPr>
          <w:rFonts w:ascii="Amiri" w:hAnsi="Amiri" w:eastAsia="Amiri" w:cs="Amiri"/>
          <w:color w:val="111111"/>
          <w:sz w:val="28"/>
          <w:sz w:val="28"/>
          <w:szCs w:val="28"/>
          <w:rtl w:val="true"/>
          <w:lang w:bidi="ar-SA"/>
        </w:rPr>
        <w:t xml:space="preserve">، از ظرفيت اين تحقيق خارج است </w:t>
      </w:r>
      <w:r>
        <w:rPr>
          <w:rStyle w:val="FootnoteAnchor"/>
          <w:rtl w:val="true"/>
        </w:rPr>
        <w:footnoteReference w:id="2641"/>
      </w:r>
      <w:r>
        <w:rPr>
          <w:rFonts w:ascii="IRNazanin" w:hAnsi="IRNazanin" w:eastAsia="IRNazanin"/>
          <w:color w:val="111111"/>
          <w:sz w:val="28"/>
          <w:sz w:val="28"/>
          <w:szCs w:val="28"/>
          <w:rtl w:val="true"/>
          <w:lang w:bidi="fa-IR"/>
        </w:rPr>
        <w:t xml:space="preserve">، ولى نسبت به‌موضع‌گيرى عايشه نسبت به‌عثمان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چند نكته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خونخواهى پس از 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أمّ‌المؤمنين قبل از كشته شدن عثمان توسط انقلابيون، يكى از كسانى بود كه مردم را عليه عثمان و حتى به‌كشتن او تحريك مى‌كرد و او را كافر مى‌خواند، اما همين‌كه شنيد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به‌خلافت رسيده نه طلحه، فرياد وا عثمانا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و ديگران مى‌نويسند، وقتى عايشه در راه مكه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عبدبن‌أُم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أبى‌سلمه را ملاقات كرد، از او شنيد كه عثمان كشته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به‌خلافت رسيد، بى‌درنگ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لَيتَ 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زمين فرو مى‌پاشيد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إنطَبَقَت عَلَى هذه إن تمّ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 رُدّوني، فانصَرَفَت إلى مَكة و هي‌تقول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عثمانُ مظلوماً، واللهِ لَأطلُبَنَّ بِدَمِه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عبيد به‌او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 كسى بودى كه از انحراف خليفه سخن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كُنتِ 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أُقتُلُوهُ نَثعَلاً فَقَد كَفَرَ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اشعار زير را دربارۀ عكس‌العمل متضاد عايشه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فمِنكِ البَداءِ و مِنكِ الغِيَر ومِنكِ الرِّياحُ و مِنكِ المَطَر وأنتِ أمرتِ بقتل الإمام وقُلتِ لنا إنَّه قد كَفَر </w:t>
      </w:r>
      <w:r>
        <w:rPr>
          <w:rStyle w:val="FootnoteAnchor"/>
          <w:rtl w:val="true"/>
        </w:rPr>
        <w:footnoteReference w:id="2642"/>
      </w:r>
    </w:p>
    <w:p>
      <w:pPr>
        <w:pStyle w:val="BookText"/>
        <w:rPr/>
      </w:pPr>
      <w:r>
        <w:rPr>
          <w:rFonts w:ascii="IRNazanin" w:hAnsi="IRNazanin" w:eastAsia="IRNazanin"/>
          <w:color w:val="111111"/>
          <w:sz w:val="28"/>
          <w:sz w:val="28"/>
          <w:szCs w:val="28"/>
          <w:rtl w:val="true"/>
          <w:lang w:bidi="fa-IR"/>
        </w:rPr>
        <w:t xml:space="preserve">ابن اعثم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گفتگوى أُمّ‌المؤمنين و عبيدبن‌ابى‌سلمه را مفصل‌تر گزارش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تَقُولِين ذلك؛ فَوَاللهِ مَا أظُنُّ أنّ أحداً بين السّماءِ والارضِ في هذاليوم أكرم من علي‌بن ابي‌طالب عَلَى‌اللهِ عزّو جل، فَلِمَ تُكرهين ولايتَهُ؟ أ لم تَكونِينَ تَحرضين النَّاسَ على قَتلِه؟ ثم أنَّكِ أظهرتِ عَيبَهُ و قُلتِ أَقتُلُوا نعثلاً فَقَد كَفَرَ؛ فقالت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لَعَمري قد قُلتُ ذلك و قالوا، ثُمَّ رَجَعتُ عَمّا قُلتُ لِمَا عَرفتُ خبره من أوّله </w:t>
      </w:r>
      <w:r>
        <w:rPr>
          <w:rFonts w:eastAsia="IRNazanin" w:cs="IRNazanin"/>
          <w:color w:val="111111"/>
          <w:sz w:val="28"/>
          <w:szCs w:val="28"/>
          <w:rtl w:val="true"/>
          <w:lang w:bidi="fa-IR"/>
        </w:rPr>
        <w:t xml:space="preserve">. . .»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عبيدبن‌أبى‌سلمه را به‌اين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أُقتُلوا نَعثَلاً فقد فَجَرَ؛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قدوالله قُلتُ و قال النّاسُ، وآخرُ قولي خيرٌ مِن أوّله </w:t>
      </w:r>
      <w:r>
        <w:rPr>
          <w:rFonts w:eastAsia="IRNazanin" w:cs="IRNazanin"/>
          <w:color w:val="111111"/>
          <w:sz w:val="28"/>
          <w:szCs w:val="28"/>
          <w:rtl w:val="true"/>
          <w:lang w:bidi="fa-IR"/>
        </w:rPr>
        <w:t xml:space="preserve">» </w:t>
      </w:r>
      <w:r>
        <w:rPr>
          <w:rStyle w:val="FootnoteAnchor"/>
          <w:rtl w:val="true"/>
        </w:rPr>
        <w:footnoteReference w:id="2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عايشه، مخالف‌ترين مردم با عثمان بود، حتى وى پيراهن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منزلش در معرض ديد مردم گذارده بود، هركس وارد مى‌شد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پيراهن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هنوز خشك نشده و عثمان سنّت او را پايمال نموده است و او نخستين كسى بود كه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Style w:val="FootnoteAnchor"/>
          <w:rtl w:val="true"/>
        </w:rPr>
        <w:footnoteReference w:id="2645"/>
      </w:r>
      <w:r>
        <w:rPr>
          <w:rFonts w:ascii="IRNazanin" w:hAnsi="IRNazanin" w:eastAsia="IRNazanin"/>
          <w:color w:val="111111"/>
          <w:sz w:val="28"/>
          <w:sz w:val="28"/>
          <w:szCs w:val="28"/>
          <w:rtl w:val="true"/>
          <w:lang w:bidi="fa-IR"/>
        </w:rPr>
        <w:t>نام نهاد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أُقتلُوا نَعثلا، قَتَلَ‌اللهُ نَعثلاً</w:t>
      </w:r>
      <w:r>
        <w:rPr>
          <w:rFonts w:eastAsia="IRNazanin" w:cs="IRNazanin"/>
          <w:color w:val="111111"/>
          <w:sz w:val="28"/>
          <w:szCs w:val="28"/>
          <w:rtl w:val="true"/>
          <w:lang w:bidi="fa-IR"/>
        </w:rPr>
        <w:t xml:space="preserve">» . </w:t>
      </w:r>
      <w:r>
        <w:rPr>
          <w:rStyle w:val="FootnoteAnchor"/>
          <w:rtl w:val="true"/>
        </w:rPr>
        <w:footnoteReference w:id="2646"/>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قطعه از تاريخ صريح است در اينكه عايشه از عثمان به‌دلايلى، سخت خشمگين بوده و يكى از عاملان بلكه مهم‌ترين عامل تحريك مردم عليه عثمان، عايشه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بكشيد اين نعثل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او صادر و بر سر زبان همه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به‌همين جهت بوده باشد كه وقتى ديد اعتراضات مسلمانان عليه عثمان به‌اوج </w:t>
      </w:r>
    </w:p>
    <w:p>
      <w:pPr>
        <w:pStyle w:val="BookText"/>
        <w:rPr/>
      </w:pPr>
      <w:r>
        <w:rPr>
          <w:rFonts w:ascii="Amiri" w:hAnsi="Amiri" w:eastAsia="Amiri" w:cs="Amiri"/>
          <w:color w:val="111111"/>
          <w:sz w:val="28"/>
          <w:sz w:val="28"/>
          <w:szCs w:val="28"/>
          <w:rtl w:val="true"/>
          <w:lang w:bidi="ar-SA"/>
        </w:rPr>
        <w:t xml:space="preserve">خود رسيده و وى محصور شده، مدينه را به‌قصد عمره ترك كرد </w:t>
      </w:r>
      <w:r>
        <w:rPr>
          <w:rStyle w:val="FootnoteAnchor"/>
          <w:rtl w:val="true"/>
        </w:rPr>
        <w:footnoteReference w:id="2647"/>
      </w:r>
      <w:r>
        <w:rPr>
          <w:rFonts w:ascii="IRNazanin" w:hAnsi="IRNazanin" w:eastAsia="IRNazanin"/>
          <w:color w:val="111111"/>
          <w:sz w:val="28"/>
          <w:sz w:val="28"/>
          <w:szCs w:val="28"/>
          <w:rtl w:val="true"/>
          <w:lang w:bidi="fa-IR"/>
        </w:rPr>
        <w:t xml:space="preserve">ولى همين‌كه شنيد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به‌خلافت رسيده، تسليم توطئه طلحه و زبير گرديد؛ و موضع‌گيرى‌هاى گذشته خويش را اين‌گونه توجيه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عثمان را پس از اينكه توبه داده، كشته‌اند و گفته دوم من بهتر از گفتۀ نخست من است</w:t>
      </w:r>
      <w:r>
        <w:rPr>
          <w:rFonts w:eastAsia="IRNazanin" w:cs="IRNazanin"/>
          <w:color w:val="111111"/>
          <w:sz w:val="28"/>
          <w:szCs w:val="28"/>
          <w:rtl w:val="true"/>
          <w:lang w:bidi="fa-IR"/>
        </w:rPr>
        <w:t xml:space="preserve">» </w:t>
      </w:r>
      <w:r>
        <w:rPr>
          <w:rStyle w:val="FootnoteAnchor"/>
          <w:rtl w:val="true"/>
        </w:rPr>
        <w:footnoteReference w:id="2648"/>
      </w:r>
      <w:r>
        <w:rPr>
          <w:rFonts w:ascii="IRNazanin" w:hAnsi="IRNazanin" w:eastAsia="IRNazanin"/>
          <w:color w:val="111111"/>
          <w:sz w:val="28"/>
          <w:sz w:val="28"/>
          <w:szCs w:val="28"/>
          <w:rtl w:val="true"/>
          <w:lang w:bidi="fa-IR"/>
        </w:rPr>
        <w:t>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بهانه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توبه عثمان براى انقلابيون به‌اثبات نرسيد كه عكس آن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عايشه بر مظلوميت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گفته‌هاى طلحه و زبير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أميرالمؤمنين در برابرأُمُّ‌المومنين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براى بسيارى از اهل تحقيق، اين سؤال مطرح باشد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خليفه مسلمين، وظيفه نداشت عايشه را از اين حركت خطرناك باز دارد؟ و او را نصيحت نمايد و جايگاه وى و خودش را براى أمُّ‌المؤمنين بشناساند؟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فاجعه تاريخى جمل پرهيز شود؟</w:t>
      </w:r>
    </w:p>
    <w:p>
      <w:pPr>
        <w:pStyle w:val="BookText"/>
        <w:rPr/>
      </w:pPr>
      <w:r>
        <w:rPr>
          <w:rFonts w:ascii="IRNazanin" w:hAnsi="IRNazanin" w:eastAsia="IRNazanin"/>
          <w:color w:val="111111"/>
          <w:sz w:val="28"/>
          <w:sz w:val="28"/>
          <w:szCs w:val="28"/>
          <w:rtl w:val="true"/>
          <w:lang w:bidi="fa-IR"/>
        </w:rPr>
        <w:t xml:space="preserve">اين جانب، همواره دنبال پاسخ اين سؤال بودم تا اينكه به‌نامه‌اى از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به‌عايشه بر خوردم كه متأسفانه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جواب مأيوس‌كننده‌اى از همسر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 خَرَجتَ مِن بَيتِكِ عاصِيةً لِله تعالى،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تَطلُبين أمراً كانَ عنكِ مَوضوعاً، ثُمَّ تَزعَمِينَ أنَّكِ تُرِيدِين الاِصلاحَ بَينَ النَّاسِ، فَخَبَّريني مَا للنِساءِ وَقودُ العساكر؟ وزَعَمتِ أنّكِ طالِبةٌ بِدَمِ عثمان وعثمان رجلٌ مِن بَنِي أُمية وأنتِ إمرأةٌ مِن بني تَميم‌بن‌مُرّة، ولَعَمري أنَّ الَّذي عَرَّضكِ البِلادِ وحَمَلَكِ على المَعصيةِ، لَأعظمُ إليكِ ذَنباً مِن قَتلة عثمان، و ما غَضِبتِ حتّى أُغضِبتِ و لا هِجتِ حتّى هُيجّتِ، فاتَّقِي‌اللهَ ياعائشة، وَ إرجِعِي إلى مَنزِلِكِ و اسبلي عليكِ سَترِكِ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أُمُّ‌المؤمنين در جواب على اين‌گونه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إبنَ‌أبي‌طالب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الامرِ عَنِ العِتاب، و لَن </w:t>
      </w:r>
    </w:p>
    <w:p>
      <w:pPr>
        <w:pStyle w:val="BookText"/>
        <w:rPr/>
      </w:pPr>
      <w:r>
        <w:rPr>
          <w:rFonts w:ascii="Amiri" w:hAnsi="Amiri" w:eastAsia="Amiri" w:cs="Amiri"/>
          <w:color w:val="111111"/>
          <w:sz w:val="28"/>
          <w:sz w:val="28"/>
          <w:szCs w:val="28"/>
          <w:rtl w:val="true"/>
          <w:lang w:bidi="ar-SA"/>
        </w:rPr>
        <w:t>نَدخُلَ فِي‌طاعتِكَ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2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جنبه‌هاى مختلف حقوقى و تاريخى و شرعى واقعه جمل پرده برمى‌دارد و هيچ ترديدى در مقصّر بودن و عاصى بودن، عايشه و رهبران شورشى باقى نمى‌گذارد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عايشه صلح 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اشاره شد، حركت عايشه عليه خليفه مسلمين را حركت اصلاحى و او را صلح طلب معرفى مى‌كنند؛ اما شواهد تاريخى نه تنها اين معنا را تأييد نمى‌كند كه او را جنگ طلب و عصيان‌گر مى‌شناساند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أُمّ‌المؤمنين درآغاز شورش، بيت‌المال مسلمين را در مسير راه به‌تاراج برد؛ اين اموال كه توسط يعمربن‌أُمية از يمن و عبدالله‌بن‌عامر از بصره به‌ارزش</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شتر و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هزار درهم، مى‌رسيد </w:t>
      </w:r>
      <w:r>
        <w:rPr>
          <w:rStyle w:val="FootnoteAnchor"/>
          <w:rtl w:val="true"/>
        </w:rPr>
        <w:footnoteReference w:id="2650"/>
      </w:r>
      <w:r>
        <w:rPr>
          <w:rFonts w:ascii="IRNazanin" w:hAnsi="IRNazanin" w:eastAsia="IRNazanin"/>
          <w:color w:val="111111"/>
          <w:sz w:val="28"/>
          <w:sz w:val="28"/>
          <w:szCs w:val="28"/>
          <w:rtl w:val="true"/>
          <w:lang w:bidi="fa-IR"/>
        </w:rPr>
        <w:t>، در اختيار مطامع سران جمل و در حقيقت بنى‌أُميه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كه هسته اصلى و نقطۀ آغازين شورش را در مكه با محوريت عايشه منعقدنمودند، بنى‌أميه و كارگزاران عثمان مانند عبدالله‌بن عامرالحضرمى، استاندار عثمان در بصره، يعلى‌بن‌أُميه، سعيدبن‌العاص و وليدبن‌عقبه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بودند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سپاه أُم‌المؤمنين به‌بصره، ابتدا برخورد شديدى ميان جمليان و عثمان‌بن‌حنيف استاندار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سپس به‌درخواست اصحاب عايشه </w:t>
      </w:r>
      <w:r>
        <w:rPr>
          <w:rStyle w:val="FootnoteAnchor"/>
          <w:rtl w:val="true"/>
        </w:rPr>
        <w:footnoteReference w:id="2652"/>
      </w:r>
      <w:r>
        <w:rPr>
          <w:rFonts w:ascii="IRNazanin" w:hAnsi="IRNazanin" w:eastAsia="IRNazanin"/>
          <w:color w:val="111111"/>
          <w:sz w:val="28"/>
          <w:sz w:val="28"/>
          <w:szCs w:val="28"/>
          <w:rtl w:val="true"/>
          <w:lang w:bidi="fa-IR"/>
        </w:rPr>
        <w:t xml:space="preserve">، ميان دو طرف پيمان صلح منعقد گشت تا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حادثه برسد </w:t>
      </w:r>
      <w:r>
        <w:rPr>
          <w:rStyle w:val="FootnoteAnchor"/>
          <w:rtl w:val="true"/>
        </w:rPr>
        <w:footnoteReference w:id="2653"/>
      </w:r>
      <w:r>
        <w:rPr>
          <w:rFonts w:ascii="Amiri" w:hAnsi="Amiri" w:eastAsia="Amiri" w:cs="Amiri"/>
          <w:color w:val="111111"/>
          <w:sz w:val="28"/>
          <w:sz w:val="28"/>
          <w:szCs w:val="28"/>
          <w:rtl w:val="true"/>
          <w:lang w:bidi="ar-SA"/>
        </w:rPr>
        <w:t xml:space="preserve">، حكومت و دارالإماره، </w:t>
      </w:r>
    </w:p>
    <w:p>
      <w:pPr>
        <w:pStyle w:val="BookText"/>
        <w:rPr/>
      </w:pPr>
      <w:r>
        <w:rPr>
          <w:rFonts w:ascii="Amiri" w:hAnsi="Amiri" w:eastAsia="Amiri" w:cs="Amiri"/>
          <w:color w:val="111111"/>
          <w:sz w:val="28"/>
          <w:sz w:val="28"/>
          <w:szCs w:val="28"/>
          <w:rtl w:val="true"/>
          <w:lang w:bidi="ar-SA"/>
        </w:rPr>
        <w:t>بيت‌المال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 اختيار عثمان‌بن‌حنيف باشد </w:t>
      </w:r>
      <w:r>
        <w:rPr>
          <w:rStyle w:val="FootnoteAnchor"/>
          <w:rtl w:val="true"/>
        </w:rPr>
        <w:footnoteReference w:id="2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تبادل نظرى كه ميان طلحه و زبير انجام شد، طلحه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لَئِن قَدِمَ عَلِيٌّ البصرة لَيأخُذَنَّ بِأعناقِنَا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بر استاندار على، شبيخون زدند، عثمان را دستگير و بيت‌المال را تسخير، حدود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نفر به روايتى </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نفر از نگهبانان بيت‌المال كشته شدند </w:t>
      </w:r>
      <w:r>
        <w:rPr>
          <w:rStyle w:val="FootnoteAnchor"/>
          <w:rtl w:val="true"/>
        </w:rPr>
        <w:footnoteReference w:id="2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كشته‌شدگان اين شبيخون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مى‌داند كه از اين تعداد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بعد از اسير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وهَؤلاءِ أوّل مَن قُتِلَ ظُلماً في‌الاِسلام و صَبراً </w:t>
      </w:r>
      <w:r>
        <w:rPr>
          <w:rFonts w:eastAsia="IRNazanin" w:cs="IRNazanin"/>
          <w:color w:val="111111"/>
          <w:sz w:val="28"/>
          <w:szCs w:val="28"/>
          <w:rtl w:val="true"/>
          <w:lang w:bidi="fa-IR"/>
        </w:rPr>
        <w:t xml:space="preserve">» </w:t>
      </w:r>
      <w:r>
        <w:rPr>
          <w:rStyle w:val="FootnoteAnchor"/>
          <w:rtl w:val="true"/>
        </w:rPr>
        <w:footnoteReference w:id="2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عثمان‌بن‌حنيف، بعد از كندن موهاى سر و ريش و ابرويش و زدن چهل ضربه شلاق </w:t>
      </w:r>
      <w:r>
        <w:rPr>
          <w:rStyle w:val="FootnoteAnchor"/>
          <w:rtl w:val="true"/>
        </w:rPr>
        <w:footnoteReference w:id="2657"/>
      </w:r>
      <w:r>
        <w:rPr>
          <w:rFonts w:ascii="IRNazanin" w:hAnsi="IRNazanin" w:eastAsia="IRNazanin"/>
          <w:color w:val="111111"/>
          <w:sz w:val="28"/>
          <w:sz w:val="28"/>
          <w:szCs w:val="28"/>
          <w:rtl w:val="true"/>
          <w:lang w:bidi="fa-IR"/>
        </w:rPr>
        <w:t xml:space="preserve">، مشمول حكم مادرانه أُمُّ‌المؤمنين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گرفت ولى با وساطت همسرش نزد عايشه </w:t>
      </w:r>
      <w:r>
        <w:rPr>
          <w:rStyle w:val="FootnoteAnchor"/>
          <w:rtl w:val="true"/>
        </w:rPr>
        <w:footnoteReference w:id="2658"/>
      </w:r>
      <w:r>
        <w:rPr>
          <w:rFonts w:ascii="IRNazanin" w:hAnsi="IRNazanin" w:eastAsia="IRNazanin"/>
          <w:color w:val="111111"/>
          <w:sz w:val="28"/>
          <w:sz w:val="28"/>
          <w:szCs w:val="28"/>
          <w:rtl w:val="true"/>
          <w:lang w:bidi="fa-IR"/>
        </w:rPr>
        <w:t xml:space="preserve">و يا اينكه از بستگان خود كه از سوى سهل‌بن حنيف برادر عثمان، جانشين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تهديد مى‌شد، دست از كشتن او برداشتند </w:t>
      </w:r>
      <w:r>
        <w:rPr>
          <w:rStyle w:val="FootnoteAnchor"/>
          <w:rtl w:val="true"/>
        </w:rPr>
        <w:footnoteReference w:id="2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ركاب عايشه </w:t>
      </w:r>
      <w:r>
        <w:rPr>
          <w:rFonts w:eastAsia="IRNazanin" w:cs="IRNazanin"/>
          <w:color w:val="111111"/>
          <w:sz w:val="28"/>
          <w:szCs w:val="28"/>
          <w:lang w:bidi="fa-IR"/>
        </w:rPr>
        <w:t>2</w:t>
      </w:r>
      <w:r>
        <w:rPr>
          <w:rFonts w:ascii="IRNazanin" w:hAnsi="IRNazanin" w:eastAsia="IRNazanin"/>
          <w:color w:val="111111"/>
          <w:sz w:val="28"/>
          <w:sz w:val="28"/>
          <w:szCs w:val="28"/>
          <w:lang w:bidi="fa-IR"/>
        </w:rPr>
        <w:t>٠٠٠٠</w:t>
      </w:r>
      <w:r>
        <w:rPr>
          <w:rFonts w:ascii="IRNazanin" w:hAnsi="IRNazanin" w:eastAsia="IRNazanin"/>
          <w:color w:val="111111"/>
          <w:sz w:val="28"/>
          <w:sz w:val="28"/>
          <w:szCs w:val="28"/>
          <w:rtl w:val="true"/>
          <w:lang w:bidi="fa-IR"/>
        </w:rPr>
        <w:t>نفر كشته شدند، عايشه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رأس جَمَلِي حتّى فَقِدت أصوات بني‌عدي </w:t>
      </w:r>
      <w:r>
        <w:rPr>
          <w:rFonts w:eastAsia="Amiri" w:cs="Amiri" w:ascii="Amiri" w:hAnsi="Amiri"/>
          <w:color w:val="111111"/>
          <w:sz w:val="28"/>
          <w:szCs w:val="28"/>
          <w:rtl w:val="true"/>
          <w:lang w:bidi="ar-SA"/>
        </w:rPr>
        <w:t xml:space="preserve">!»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كارگر نيفتادن نصيحت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أمّ‌سلمه به او، در مسير حركت كاروان عايشه به‌سمت بصره، عده‌اى عايشه و طلحه و زبير را به‌خاطر غائلة جمل، ناحق خوانده و به‌شدت تقبيح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همسران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داشتند عايشه را از مكه تا مدينه همراهى‌كنند، ولى</w:t>
      </w:r>
    </w:p>
    <w:p>
      <w:pPr>
        <w:pStyle w:val="BookText"/>
        <w:rPr/>
      </w:pPr>
      <w:r>
        <w:rPr>
          <w:rFonts w:ascii="IRNazanin" w:hAnsi="IRNazanin" w:eastAsia="IRNazanin"/>
          <w:color w:val="111111"/>
          <w:sz w:val="28"/>
          <w:sz w:val="28"/>
          <w:szCs w:val="28"/>
          <w:rtl w:val="true"/>
          <w:lang w:bidi="fa-IR"/>
        </w:rPr>
        <w:t xml:space="preserve">همين‌كه وى تصميم گرفت مسيرش را به‌سوى بصره عوض كند، همه جز حفصةبنت عمر، او را به‌عنوان اعتراض تنها گذاشتند </w:t>
      </w:r>
      <w:r>
        <w:rPr>
          <w:rStyle w:val="FootnoteAnchor"/>
          <w:rtl w:val="true"/>
        </w:rPr>
        <w:footnoteReference w:id="2661"/>
      </w:r>
      <w:r>
        <w:rPr>
          <w:rFonts w:ascii="Amiri" w:hAnsi="Amiri" w:eastAsia="Amiri" w:cs="Amiri"/>
          <w:color w:val="111111"/>
          <w:sz w:val="28"/>
          <w:sz w:val="28"/>
          <w:szCs w:val="28"/>
          <w:rtl w:val="true"/>
          <w:lang w:bidi="ar-SA"/>
        </w:rPr>
        <w:t xml:space="preserve">، و حفصه را نيز برادرش عبدالله از همراهى عايشه ممانعت كرد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جاريةبن قدامة السعدى به‌عنوان تقبيح حركت عايشه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لَقَتلُ عثمان أَهوَنَ مِن خُرُوجِكِ مِن بَيتِكِ على هذالجَمَل المَلعُون عُرضَةً للسّلاح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قد كانَ لكِ مِنَ الله سِترٌ و حُرمَةٌ، فَهَتَكتِ سِتركِ و أَبَحت ِحُرمَتكِ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رأى قِتالكَ يَرى 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كُنتِ أتيتنَا طائِعَةً فارجِعي إلى مَنزِلِكِ</w:t>
      </w:r>
      <w:r>
        <w:rPr>
          <w:rFonts w:eastAsia="IRNazanin" w:cs="IRNazanin"/>
          <w:color w:val="111111"/>
          <w:sz w:val="28"/>
          <w:szCs w:val="28"/>
          <w:rtl w:val="true"/>
          <w:lang w:bidi="fa-IR"/>
        </w:rPr>
        <w:t xml:space="preserve">. . . »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جوانى از قبيله بنى‌سعد نزد طلحه و زبير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أنتَ يا زُبير فَحَواري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أمّا أنتَ يا طلحة فَوَقَيتَ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بِيدِكَ، و أرى أُمَّكُمَا مَعَكُمَا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جِئتُما بِنِسَائِكُمَا؟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أنَا مِنكم من شيء ؛ از جمع جمليان دور شد در حالى‌كه با خود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صُنتُم حلائلَكُم و قُدتُم أُمَّكُم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شواهدى كه از منابع معتبر خود اهل‌سنت، ارائه شد، ترديدى باقى نخواهد 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أُم‌المؤمنين عايشه نه تنها از عدالت فاصله داشته كه نسبت به كتاب‌خدا و سنت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كامل نداشته است و هشدارهاى صريح پيامبر خدا را حتى نسبت به‌رويه‌هاى خود ناديده گرفت و باعث فتنه در ميان مسلمانان و ايجاد آشوب و ريختن خون هزاران انسان مسلمان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تاريخى، نه تنها صلح طلبى او را ثابت نمى‌كند كه او را نسبت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حسود و مبغض و برهم‌زننده حكومت اسلامى معرفى مى‌كند</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شيعه نسبت به‌عايشه معتقد است، افزون بر آن چه در منابع پيروان او آمده،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به‌راستى اگر همين موضع‌گيرى‌هاى او در برابر خلفاى ديگر، اتفاق مى‌افتاد و لباس رزم عليه حكومت آنها، مى‌پوشيد، بزرگان اهل‌سنت چه اسمى بر او مى‌گذاشتند؟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چه قضاوت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هم‌چنان او از قداست و حرمت كذايى برخوردار بود؟ </w:t>
      </w:r>
      <w:r>
        <w:rPr>
          <w:rFonts w:eastAsia="IRNazanin" w:cs="IRNazanin"/>
          <w:color w:val="111111"/>
          <w:sz w:val="28"/>
          <w:szCs w:val="28"/>
          <w:rtl w:val="true"/>
          <w:lang w:bidi="fa-IR"/>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3" w:name="pg1976_28786"/>
      <w:bookmarkStart w:id="954" w:name="pg1976_28786"/>
      <w:bookmarkEnd w:id="954"/>
    </w:p>
    <w:p>
      <w:pPr>
        <w:pStyle w:val="Heading3"/>
        <w:numPr>
          <w:ilvl w:val="2"/>
          <w:numId w:val="1"/>
        </w:numPr>
        <w:rPr/>
      </w:pPr>
      <w:bookmarkStart w:id="955" w:name="pg1976_28786"/>
      <w:bookmarkStart w:id="956" w:name="__RefHeading___Toc3767547_3650668749"/>
      <w:bookmarkStart w:id="957" w:name="_Toc352"/>
      <w:bookmarkEnd w:id="955"/>
      <w:bookmarkEnd w:id="956"/>
      <w:r>
        <w:rPr>
          <w:rtl w:val="true"/>
        </w:rPr>
        <w:t>فصل پنجم</w:t>
      </w:r>
      <w:r>
        <w:rPr>
          <w:rtl w:val="true"/>
        </w:rPr>
        <w:t xml:space="preserve">: </w:t>
      </w:r>
      <w:r>
        <w:rPr>
          <w:rtl w:val="true"/>
        </w:rPr>
        <w:t>راه‌حل معقولانه نسبت به‌صحابه</w:t>
      </w:r>
      <w:bookmarkEnd w:id="957"/>
    </w:p>
    <w:p>
      <w:pPr>
        <w:pStyle w:val="Heading4"/>
        <w:numPr>
          <w:ilvl w:val="3"/>
          <w:numId w:val="1"/>
        </w:numPr>
        <w:rPr/>
      </w:pPr>
      <w:bookmarkStart w:id="958" w:name="__RefHeading___Toc3767549_3650668749"/>
      <w:bookmarkStart w:id="959" w:name="_Toc353"/>
      <w:bookmarkEnd w:id="958"/>
      <w:r>
        <w:rPr>
          <w:rtl w:val="true"/>
        </w:rPr>
        <w:t>اشاره</w:t>
      </w:r>
      <w:bookmarkEnd w:id="959"/>
    </w:p>
    <w:p>
      <w:pPr>
        <w:pStyle w:val="BookText"/>
        <w:rPr/>
      </w:pPr>
      <w:r>
        <w:rPr>
          <w:rFonts w:ascii="IRNazanin" w:hAnsi="IRNazanin" w:eastAsia="IRNazanin"/>
          <w:color w:val="111111"/>
          <w:sz w:val="28"/>
          <w:sz w:val="28"/>
          <w:szCs w:val="28"/>
          <w:rtl w:val="true"/>
          <w:lang w:bidi="fa-IR"/>
        </w:rPr>
        <w:t xml:space="preserve">گرچه از پيچيده‌ترين مباحث در عرصه باورها و انديشه،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عدالت اصحاب است؛ و چنان‌كه ملاحظه شد، جمهور اهل‌سنت به‌ويژه پيروان ابن‌تيميه همه صحابه را عادل مى‌شمارند؛ تكفيركنندگان آنها را كافر و تفسيق‌كنندگان آنها را فاسق و طعن بر آنها را طعن بر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اسلام قلمداد مى‌كنند </w:t>
      </w:r>
      <w:r>
        <w:rPr>
          <w:rStyle w:val="FootnoteAnchor"/>
          <w:rtl w:val="true"/>
        </w:rPr>
        <w:footnoteReference w:id="2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اصحاب را از آن جهت كه از ياران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او را ديده‌اند و توفيق درك حضور آن پيامبر عزيز را داشته‌اند، نهايت احترام را به‌مقام آنها قائلند اما همه آنها را عادل نمى‌شمارند بلكه با در نظر گرفتن آيات و روايات و مدارك تاريخى و عملكردهاى آنان دربارۀ آنها قضاوت مى‌كنند و عدالت هر كسى را كه به‌عنوان صحابى ياد مى‌شود، غير معقول و غير قابل اثبات مى‌دانند و طبعاً آثار و پيامد اين دو ديدگاه، نسبت به‌صحابه، در همه عرصه‌هاى اعتقادى، اجتماعى، تاريخى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بروز و ظهور خواهد كرد و عمده اختلافات ميان مسلمانان ناشى و زايده همين مسأله است؛ بنابراين چه بايد كرد و چه راهى را پيمود تا اختلافات و بستن تهمت‌ها نسبت به‌دو طرف فروكش كند؟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مباحث پيرامون صحابه، گذشت، اين نكته روشن شد كه شيعه اماميه هرگز</w:t>
      </w:r>
    </w:p>
    <w:p>
      <w:pPr>
        <w:pStyle w:val="BookText"/>
        <w:rPr/>
      </w:pPr>
      <w:r>
        <w:rPr>
          <w:rFonts w:ascii="IRNazanin" w:hAnsi="IRNazanin" w:eastAsia="IRNazanin"/>
          <w:color w:val="111111"/>
          <w:sz w:val="28"/>
          <w:sz w:val="28"/>
          <w:szCs w:val="28"/>
          <w:rtl w:val="true"/>
          <w:lang w:bidi="fa-IR"/>
        </w:rPr>
        <w:t xml:space="preserve">آن دسته از اصحاب را كه با دليل قطعى ارتدادشان ثابت نشده،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خروج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 و نه تنها آنها را مسلمان كه از شايستگان اين امت و قابل احترام مضاعف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عدالت به‌مفهوم واقعى را در مورد بخشى از اصحاب محرز و ثابت شده نمى‌دانند؛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باب خصومت و لجاج نيست بلكه با دليل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روايات،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عملكردهاى خود آنان استنباط و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و شواهد شيعه بر عدم عدالت گروهى از آنها، جز منابع و متون قابل اعتماد، خود وهابيان نيست؛ با اين وجود شيعه چيزى اضافه برآن چه بزرگان اهل‌سنت گفته‌اند، اظهار نكرده‌اند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اختلاف به‌اوج خود مى‌رسد و زنگ خطر را به‌صدا در مى‌آورد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دين و اسلام قرار بگيرد؛ به‌گونه‌اى كه نقد صحابه، نقد دين و طعن بر آنها، طعن بر دين، محسوب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بلكه بالاتر طعن بر آنها، طعن بر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شكى نيست كه بر اساس اين معيار، يا شأن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به‌حدّى تنزّل يافته كه او را همانند افراد عادى چون سمرةبن‌جندب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معرفى نموده‌اند و يا نسبت به صحابه غلوّ باطل صورت گرفته و آنها را معصوم و مصون از خطا شناسانده‌اند و پيامد مستقيم اين افراط و تفريط اين خواهد بود كه كوچك‌ترين ضعف در صحابى، ضعف دين‌خدا و رسول‌خدا، محسوب گردد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ابوريه، انديشمند مصرى عدالت همه اصحاب را اسراف و افراط مى‌شمارد،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بِعدالة جميع الصّحابة، و تقديس كُتُبِ الحديث يرجع اليهما كل ما أصابَ الاِسلام مِن طعنات اعدائه، و ضيق صدور ذوي الفكر من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عدالةَ جميعِ الصّحابة تَستَلزِم ولاريب الثِّقة بما يَروَونَ، و مَا رَوَوهُ قد حَمَلته كُتُب الحديث بما فيه من 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الغِثاء هو مَبعث </w:t>
      </w:r>
    </w:p>
    <w:p>
      <w:pPr>
        <w:pStyle w:val="BookText"/>
        <w:rPr/>
      </w:pPr>
      <w:r>
        <w:rPr>
          <w:rFonts w:ascii="Amiri" w:hAnsi="Amiri" w:eastAsia="Amiri" w:cs="Amiri"/>
          <w:color w:val="111111"/>
          <w:sz w:val="28"/>
          <w:sz w:val="28"/>
          <w:szCs w:val="28"/>
          <w:rtl w:val="true"/>
          <w:lang w:bidi="ar-SA"/>
        </w:rPr>
        <w:t xml:space="preserve">الضّرر و أصل‌الدّاء </w:t>
      </w:r>
      <w:r>
        <w:rPr>
          <w:rFonts w:eastAsia="Amiri" w:cs="Amiri" w:ascii="Amiri" w:hAnsi="Amiri"/>
          <w:color w:val="111111"/>
          <w:sz w:val="28"/>
          <w:szCs w:val="28"/>
          <w:rtl w:val="true"/>
          <w:lang w:bidi="ar-SA"/>
        </w:rPr>
        <w:t xml:space="preserve">» </w:t>
      </w:r>
      <w:r>
        <w:rPr>
          <w:rStyle w:val="FootnoteAnchor"/>
          <w:rtl w:val="true"/>
        </w:rPr>
        <w:footnoteReference w:id="2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ديدگاه شيعه نسبت به‌صحابه متعادل‌ترين و منصفانه‌ترين نظر خواهد بود </w:t>
      </w:r>
      <w:r>
        <w:rPr>
          <w:rStyle w:val="FootnoteAnchor"/>
          <w:rtl w:val="true"/>
        </w:rPr>
        <w:footnoteReference w:id="2666"/>
      </w:r>
      <w:r>
        <w:rPr>
          <w:rFonts w:ascii="IRNazanin" w:hAnsi="IRNazanin" w:eastAsia="IRNazanin"/>
          <w:color w:val="111111"/>
          <w:sz w:val="28"/>
          <w:sz w:val="28"/>
          <w:szCs w:val="28"/>
          <w:rtl w:val="true"/>
          <w:lang w:bidi="fa-IR"/>
        </w:rPr>
        <w:t xml:space="preserve">كه هم حرمت صحابه پاس داشته مى‌شود و هم جايگاه واقعى و با عظمت دين 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محفوظ مى‌ماند؛ چنان‌كه حارث‌بن حوط لَيثى وقتى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كه طلحه و زبير و عايشه بر باطل اجتماع كرده‌اند؟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مَلبُوسٌ عليكَ، إنَّ الحَقَّ والبَاطلَ لايُعرفان بِأقدارِ الرِّجال، و بِأعمال الظَّن، إعرِف الحَقَّ تَعرِف أهلَه، وإعرِفِ البَاطلَ تَعرِف أهلَه </w:t>
      </w:r>
      <w:r>
        <w:rPr>
          <w:rFonts w:eastAsia="IRNazanin" w:cs="IRNazanin"/>
          <w:color w:val="111111"/>
          <w:sz w:val="28"/>
          <w:szCs w:val="28"/>
          <w:rtl w:val="true"/>
          <w:lang w:bidi="fa-IR"/>
        </w:rPr>
        <w:t xml:space="preserve">»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اهل‌سنت حامدحفنى‌داود، رئيس دانشكده زبان جامعه عين‌شمس مصر، در مقدمه‌اى كه بر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في نظرالشّيعة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محقق شيعى اسدحيدر مى‌نويسد، موقف اهل سنت و شيعه نسبت به‌صحابه را مكمّل يكديگر بلكه ديدگاه شيعه را مقدم مى‌شمارد؛ زيرا وى معتقد است روشى كه اهل سنت در پيش گرفته و بر اساس آن صحابه را عادل مى‌شمارند،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اساس اين روش هر چند اصحاب در يك درجه از عدالت نيستند ولى همه امور آنها را به‌خدا واگذار مى‌كنند جز آنهايى كه نفاقشان با دليل به‌اثبات رسيده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إرجاء الأُمور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فضيلت مى‌دانند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روش شيعه در اين خصوص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مى‌خواند و معتقد است شيعه عدالت حق را بر فضيلت ارجاء مقدم داشته‌اند؛ وى دليل روش شيعه را، اين كلام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به‌دخترش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إعملي ما شِئتِ فَإنّي لا أغنى عَنكِ مِنَ اللهِ شَيئاً</w:t>
      </w:r>
      <w:r>
        <w:rPr>
          <w:rFonts w:eastAsia="Amiri" w:cs="Amiri" w:ascii="Amiri" w:hAnsi="Amiri"/>
          <w:color w:val="111111"/>
          <w:sz w:val="28"/>
          <w:szCs w:val="28"/>
          <w:rtl w:val="true"/>
          <w:lang w:bidi="ar-SA"/>
        </w:rPr>
        <w:t xml:space="preserve">» </w:t>
      </w:r>
      <w:r>
        <w:rPr>
          <w:rStyle w:val="FootnoteAnchor"/>
          <w:rtl w:val="true"/>
        </w:rPr>
        <w:footnoteReference w:id="2668"/>
      </w:r>
      <w:r>
        <w:rPr>
          <w:rFonts w:ascii="Amiri" w:hAnsi="Amiri" w:eastAsia="Amiri" w:cs="Amiri"/>
          <w:color w:val="111111"/>
          <w:sz w:val="28"/>
          <w:sz w:val="28"/>
          <w:szCs w:val="28"/>
          <w:rtl w:val="true"/>
          <w:lang w:bidi="ar-SA"/>
        </w:rPr>
        <w:t xml:space="preserve">و يا در مورد زن مخزومى كه مرتكب سرقت شده </w:t>
      </w:r>
    </w:p>
    <w:p>
      <w:pPr>
        <w:pStyle w:val="BookText"/>
        <w:rPr/>
      </w:pPr>
      <w:r>
        <w:rPr>
          <w:rFonts w:ascii="Amiri" w:hAnsi="Amiri" w:eastAsia="Amiri" w:cs="Amiri"/>
          <w:color w:val="111111"/>
          <w:sz w:val="28"/>
          <w:sz w:val="28"/>
          <w:szCs w:val="28"/>
          <w:rtl w:val="true"/>
          <w:lang w:bidi="ar-SA"/>
        </w:rPr>
        <w:t>بود و اسامة بن‌زيد از او شفاعت كرد،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سَرَقَت فاطمةُ بنت محمّد لَقَطَع محمّد يدَها</w:t>
      </w:r>
      <w:r>
        <w:rPr>
          <w:rFonts w:eastAsia="Amiri" w:cs="Amiri" w:ascii="Amiri" w:hAnsi="Amiri"/>
          <w:color w:val="111111"/>
          <w:sz w:val="28"/>
          <w:szCs w:val="28"/>
          <w:rtl w:val="true"/>
          <w:lang w:bidi="ar-SA"/>
        </w:rPr>
        <w:t xml:space="preserve">!» </w:t>
      </w:r>
      <w:r>
        <w:rPr>
          <w:rStyle w:val="FootnoteAnchor"/>
          <w:rtl w:val="true"/>
        </w:rPr>
        <w:footnoteReference w:id="2669"/>
      </w:r>
      <w:r>
        <w:rPr>
          <w:rFonts w:ascii="IRNazanin" w:hAnsi="IRNazanin" w:eastAsia="IRNazanin"/>
          <w:color w:val="111111"/>
          <w:sz w:val="28"/>
          <w:sz w:val="28"/>
          <w:szCs w:val="28"/>
          <w:rtl w:val="true"/>
          <w:lang w:bidi="fa-IR"/>
        </w:rPr>
        <w:t xml:space="preserve">، از اين احاديث به‌يقين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چه صحبتى نزديك‌تر و بالاتر از صحبت دخترش فاطمه و پارۀ تنش كه عزيزترين جايگاه را نزد رسول‌الله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نتيجه‌اى كه مى‌گيرد، تصريح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فالمراد بهذه العبارة أنَّ فاطمةَ في أعلَى مقام من نفس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هذا حكمٌ عامٌ يَتَنَاولُ جميعَ الصّحابةِ حتّى فاطمةَ الَّتي هي في أعلى مقام من الصُّحبة والقرابة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هذا، ثَبَتَ ضِدُّهُ مِمّن خَالف السُنّة وحادَ عمّاجاءَ به‌النَّبي، وهُم الَّذين ينفى عنهم إخواننا الشيعة معنى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مقام التلميح، أمّا في مقام التصريح، فهناك نُصُوصٌ من القرآن و الحديث تَدلُّ على خروج بعض الصّحابةِ عن معاني الصُّحبة فضلاً على دلالتها على نفاقهم بَل كُفرِهم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منتها اين عالم مصرى اين قضيه را بر تعداد اندكى از صحابه قابل تطبيق مى‌داند </w:t>
      </w:r>
      <w:r>
        <w:rPr>
          <w:rStyle w:val="FootnoteAnchor"/>
          <w:rtl w:val="true"/>
        </w:rPr>
        <w:footnoteReference w:id="2670"/>
      </w:r>
    </w:p>
    <w:p>
      <w:pPr>
        <w:pStyle w:val="BookText"/>
        <w:rPr/>
      </w:pPr>
      <w:r>
        <w:rPr>
          <w:rFonts w:ascii="IRNazanin" w:hAnsi="IRNazanin" w:eastAsia="IRNazanin"/>
          <w:color w:val="111111"/>
          <w:sz w:val="28"/>
          <w:sz w:val="28"/>
          <w:szCs w:val="28"/>
          <w:rtl w:val="true"/>
          <w:lang w:bidi="fa-IR"/>
        </w:rPr>
        <w:t>انديشمند ديگر، با نقد و به‌چالش كشاندن مبناى اهل‌سنت مبنى بر عدالت همه صحابه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نَحنُ رفَعنَا صَوتَنَا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البَلاءَ الّذي يُصيبُ الاِسلامَ إنَّمَا يَرجع إلى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عدالة الصَّحابة المطلقة؛ والثّقة العَمياء بِكُتُبِ الحَدِيث الَّتي تجمع بين الغَثِّ والسَّمِين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تأكيد مى‌كند براى اينكه چهره حق آشكار و نور اسلام ساطع گردد و مسلمانان در شرق و غرب عالم به‌ريسمان الهى چنگ زنند، بايد از دليل واضح و منطق عقل و خرد، پيروى كنيم هر چند كه صحابه و راويان حديث، مورد نقد قرار گيرند</w:t>
      </w:r>
      <w:r>
        <w:rPr>
          <w:rFonts w:eastAsia="IRNazanin" w:cs="IRNazanin"/>
          <w:color w:val="111111"/>
          <w:sz w:val="28"/>
          <w:szCs w:val="28"/>
          <w:rtl w:val="true"/>
          <w:lang w:bidi="fa-IR"/>
        </w:rPr>
        <w:t xml:space="preserve">! </w:t>
      </w:r>
      <w:r>
        <w:rPr>
          <w:rStyle w:val="FootnoteAnchor"/>
          <w:rtl w:val="true"/>
        </w:rPr>
        <w:footnoteReference w:id="2671"/>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به‌نظر مى‌رسد منطق شيعه كه برگرفته از آيات و روايات و سيره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منصفانه‌ترين و كم‌هزينه‌ترين، رويكرد نسبت به‌عدالت صحابه خواهد بود؛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گذشته از اينكه چهارده قرن است كه در مجامع علمى اعمال مى‌شود و برخى از عالمان اهل‌سنت تازه به‌آن رسيده‌اند، با عقل و خرد و طبع بشر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در مباحث علمى و پژوهشى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هر چند كه شيعه، بر پايه رواياتى كه از امامان معصوم در ابتداى اين بحث طرح شد، از نگاه اخلاقى، تنقيص و جرح ديگران و بازگو نمودن عيوب ناپيداى ديگران به‌ويژه صحابه را، امر پسنديده نمى‌دانند؛ اما به‌طور قطع واردكردن اتهام، تفسيق و تكفير و به‌طور مشخص به‌بخشى از مسلمانان به‌جرم اينكه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وامامان معصوم خود، پيروى مى‌كنند، از سوى جمعى از نويسندگان تندرو، امر نابخشودنى است كه نه با معيارهاى دينى و الهى سازگار است و نه با منطق خرد و طبع بشر</w:t>
      </w:r>
      <w:r>
        <w:rPr>
          <w:rFonts w:eastAsia="IRNazanin" w:cs="IRNazanin"/>
          <w:color w:val="111111"/>
          <w:sz w:val="28"/>
          <w:szCs w:val="28"/>
          <w:rtl w:val="true"/>
          <w:lang w:bidi="fa-IR"/>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0" w:name="pg1976_28798"/>
      <w:bookmarkStart w:id="961" w:name="pg1976_28798"/>
      <w:bookmarkEnd w:id="961"/>
    </w:p>
    <w:p>
      <w:pPr>
        <w:pStyle w:val="Heading4"/>
        <w:numPr>
          <w:ilvl w:val="3"/>
          <w:numId w:val="1"/>
        </w:numPr>
        <w:rPr/>
      </w:pPr>
      <w:bookmarkStart w:id="962" w:name="pg1976_28798"/>
      <w:bookmarkStart w:id="963" w:name="__RefHeading___Toc3767551_3650668749"/>
      <w:bookmarkStart w:id="964" w:name="_Toc354"/>
      <w:bookmarkEnd w:id="962"/>
      <w:bookmarkEnd w:id="963"/>
      <w:r>
        <w:rPr>
          <w:rtl w:val="true"/>
        </w:rPr>
        <w:t>نتيجه گيرى بخش‌هاى پنج گانه</w:t>
      </w:r>
      <w:bookmarkEnd w:id="964"/>
    </w:p>
    <w:p>
      <w:pPr>
        <w:pStyle w:val="BookText"/>
        <w:rPr/>
      </w:pPr>
      <w:r>
        <w:rPr>
          <w:rFonts w:ascii="IRNazanin" w:hAnsi="IRNazanin" w:eastAsia="IRNazanin"/>
          <w:color w:val="111111"/>
          <w:sz w:val="28"/>
          <w:sz w:val="28"/>
          <w:szCs w:val="28"/>
          <w:rtl w:val="true"/>
          <w:lang w:bidi="fa-IR"/>
        </w:rPr>
        <w:t xml:space="preserve">با توجّه به‌اهميت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يك‌سو، و جايگاه ويژه كلينى و كتاب او در ميان مجامع روايى مسلمانان از ديگرسو،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تعداد روايات، دقت در گزينش عناوين، ابتكار در تنظيم، جامعيت در فراگيرى اصول و فروع، تبيين اعتقادات شيعه و صرف زمان و موقعيت زمانى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كتاب از سوى برخى از نويسندگان به‌ويژه پيروان ابن‌تيميه مورد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چالش‌هاى بخش اصول اين كتاب نرسيدن اسناد آن به‌رسول‌الله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محرَّف خواندن قرآن كريم، غُلُوّ نمودن در عرصه اصول دين و امامت و اوصاف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تكفير و سبّ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طبعاً اين اشكال‌ها، نقدهاى بنيادى‌ترى را همانند انحرافى بودن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آغازين طرح امامت و وصايت را در پى داشته و نامنصفانه‌ترين اتهامات را عنوان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اهداف منتقدان اصول كافى اين است كه شيعه و اعتقادات آنها را بى‌اساس، واهى، و دروغ و دستاورد غير اسلامى معرفى نمايند و اين كتاب را تنها مروِّج انديشه‌هاى انحرافى شيعه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بررسى عميق و پژوهش وسيعى كه در اين تحقيق صورت گرفت، هيچ جايگاهى براى اين اشكالات باقى نگذاشته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اينكه عالمان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بزرگان اهل‌سنت نسبت به‌صحيح بخارى و</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روايات كافى را صحيح به‌مفهوم متأخر آن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شانزده هزار حديث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اجماع به‌اينكه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بازگو مى‌كنند،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اسناد آن را متصل به‌آن حضرت مى‌شمارند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تكوّن شيعه اماميه به‌مفهوم واقعى آن، همزاد با اسلام و معارف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طراحى ابن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نه تنها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عنوان را بارها به‌كاربرد و اوصاف و ويژگى‌هاى آنها را در عرصه‌هاى متعدد، نام برد كه بر معرفى مصاديق أكمل آنها با محوريت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ورزيد و حتى سرانجام آنها را گوشزد و از اتهامات روزهاى پسين امّتش، جلوگيرى به‌عمل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به‌اعتقاد شيعه به‌ويژه كلينى، قرآن فعلى، همان قرآن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هرگز دست ناپاك تحريف‌گران به‌ساحت مقدس اين كتاب آسمانى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از همان اهميت، قداست، اعجاز، تحدّى، فصاحت و بلاغت روزهاى نخستينش براى هميشه برخوردار است، ولى بى‌ترديد اين سند آسمانى، نيازمند تفسير، تبيين، توضيح و تشريح و تأويل است كه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حديث صريح و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 مطمئن‌ترين مفَسِّر و مبين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رواياتى كه در كتاب اصول كافى ادعا شده بوى تحريف را مى‌دهد، با قطع نظر از وثوق در اسنادش همه، يا تفسير، يا تبيين مصداق و يا توسعه و تشريح و تأويل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مسأله تبيين مصداق‌ها و توضيح مقصود آيات حتى در ميان اصحاب و مرقوم نمودن آن در حواشى مصحف‌ها، امر متداول بوده است؛ از اين رو، تهمت تحريف با عنايت به‌شواهدى كه ارائه شد، بيش از اينكه بر شيعه و كلينى وارد باشد، بر خود اهل‌سنت وارد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فراوان مستمسك بر اعتقاد شيعه مبنى بر تحريف قرآن، قرار مى‌گيرد، همين قرآن موجود بوده است؛ با اين تفاوت اساسى كه اين مصحف به‌املاء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به‌ترتيب نزول آيات، همراه با شأن و </w:t>
      </w:r>
    </w:p>
    <w:p>
      <w:pPr>
        <w:pStyle w:val="BookText"/>
        <w:rPr/>
      </w:pPr>
      <w:r>
        <w:rPr>
          <w:rFonts w:ascii="IRNazanin" w:hAnsi="IRNazanin" w:eastAsia="IRNazanin"/>
          <w:color w:val="111111"/>
          <w:sz w:val="28"/>
          <w:sz w:val="28"/>
          <w:szCs w:val="28"/>
          <w:rtl w:val="true"/>
          <w:lang w:bidi="fa-IR"/>
        </w:rPr>
        <w:t>موقعيت نزول و بيان مصاديق و توضيح عام و خاص، ناسخ و منسوخ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تنظيم شده بود و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پس از رحلت جانكاه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از جمله ابابكر و عمر، عرضه داشت ولى به‌دلايلى مورد پذيرش آنان قرار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نه‌تنها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خود حضرت، از اهميت فوق‌العاده‌اى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مسائل اعتقادى، فكرى، فقهى و اجتماعى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تحت تأثير اين بحث قرار گرفته است؛ اما اتهاماتى كه در اين عرصه بر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كافى وارد مى‌شود، خود نوعى افراط و خارج شدن از دائره انصاف است؛ زيرا شيعه اماميه هرچند امامت را جزء اصول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جزء اصول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مى‌دانند ولى منكران آن را تنها مؤمن به‌ولايت على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نمى‌شمارند نَه‌كافر به‌مفهوم خروج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يك‌نگاه جامع به‌روايات مربوط به‌اين بحث در اصول كافى نه تنها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اصطلاحى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ولايت استفاده نمى‌شود كه گروهى از احاديث آن، مسلمان بودن، محترم بودن جان و مال و ناموس و خون گويندگان شهادتين را به‌طور شفاف تبيين مى‌كند بلكه جامع‌ترين و معقول‌ترين تصوير از اعتقادات مسلمان در اصول كافى ارائه مى‌دهد و به‌جرئت مى‌توان ادعا كرد كه چنين تصوير با اين ويژگى در هيچ كدام از كتاب‌هاى صحيح بخارى و مسلم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به‌چشم نمى‌خورد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اين اثر، كه رسالت معرفى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عهده‌دار است، ضمن باب‌هاى مختلف، امامان را بندگان مُخلَص خدا، عالم به‌حقيقت علم، محدَّث، معصوم و مصون از خطا، پارسا، متخلّق به‌اخلاق اسلامى و نبوى، ظلم ستيز، حق خواه، حق گو و اسوه خوبى‌ها، معرفى مى‌كند؛ ولى عليرغم اينكه برخى از روايات آن، از نظر سندشناسى، مورد تأييد نيست، محتوا و مضامين آن‌ها، به‌نوعى حتى در منابع اهل‌سنّت نيز مشاهده مى‌شود؛ از اين رو برجسته‌ترين اوصاف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جانشينى آنها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وسيع آنها نسبت به‌معارف عميق الهى و دينى وگاهى غيبى و حتى </w:t>
      </w:r>
    </w:p>
    <w:p>
      <w:pPr>
        <w:pStyle w:val="BookText"/>
        <w:rPr/>
      </w:pPr>
      <w:r>
        <w:rPr>
          <w:rFonts w:ascii="IRNazanin" w:hAnsi="IRNazanin" w:eastAsia="IRNazanin"/>
          <w:color w:val="111111"/>
          <w:sz w:val="28"/>
          <w:sz w:val="28"/>
          <w:szCs w:val="28"/>
          <w:rtl w:val="true"/>
          <w:lang w:bidi="fa-IR"/>
        </w:rPr>
        <w:t>اديان ديگر، معصوم بودن آنها از خطا و حتى نسيان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هيچ كدام با معيار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سازگارى ندارد، هرگز روايات اصول كافى براى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خدايى قائل نشده و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زنده كننده، ميراننده، رزق‌دهنده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معرفى نمى‌كند، بلكه هر كمالى را كه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مى‌كند، ذاتاً از آنِ خداوند مى‌داند، 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ظرفيت و قابليتى كه دارد، گوشه‌اى از آن كمالات را به‌عنوان، بخشش، عطا، كرامت، و فيض الهى نصيب خويش مى‌سازد، و اين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كه عين توحيد، عجز و بندگى در پيشگاه قدرت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رفتار غلوّآميز و باطل از نويسندگان منتقد اصول كافى، به‌وقوع پيوسته است كه شيعه اماميه را به‌خاطر باورهاى نداشته و گفته‌هاى ناگفته بى‌آنكه پژوهش منصفانه در مورد آنها انجام دهند، تكفير و تفسيق و نامسلمان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نسبت به‌رهبران خويش همين غلوّ باطل را مرتكب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ميان ديدگاه‌هاى افراط و تفريط، معتدل‌ترين و منصفانه‌ترين، منطق را شيعه اماميه به‌ويژه كلينى، نسبت به‌صحابه گرامى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آن‌ها، اتخاذ نموده است؛ زيرا با همه احترامى كه شيعه به اصحاب دارند، همه آنها را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نمى‌شمارند؛ نه، آنها را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خروج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نه معصوم از خطا، بلكه با حجت‌هاى قاطع و فراوان و عملكرد خود آن‌ها، همانند ديگر مسلمانان، آنها را نقد پذير مى‌شمارند، و گروهى را مؤمن واقعى به‌حقيقت اسلام و دستاورد رسالتِ پيامبر،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ميان ابابكر وعمر و أُمّ‌المؤمنين عايشه كه بيش‌ترين سهمِ از انتقاد را بر شيعه و كافى، به‌خود اختصاص داده‌اند، بر اساس روايات منقول در اصول كافى، از سران صحابه و جزء مسلمانان صدر اسلام و همدم و همگام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احترامند، ولى از آن قاعده مستثنا نيستند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نه تنها سبّ و 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به‌تفاوت لعن و 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توسط معاويه اين بدعت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بنيان‌گذارى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به‌آن‌ها كه حتى دشنام به‌غير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ريزترين موجود عالم، از نگاه اخلاقى ناروا است و مورد تأييد امامان شيعه نيست امّا از منظر علمى و عرصه پژوهش، عملكردهاى آنها به‌ويژه أُمّ‌المؤمنين عايشه با نگاه به‌روايات و منابع تاريخى خود اهل‌سنّت،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حركت‌هاى عايشه گذشته از اينكه برخلاف نصّ دستورخدا و سنت رسول او بود، شورش و خروج بر عليه خليفه شرعى مسلمانان و فتنه‌انگيزى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گروهى عملكرد او و ديگر سران جمل را اجتهاد ولى خطا و يا حركت اصلاحى، مى‌خوانند، با وجود شواهد فراوان، اجتهاد در برابر نصّ و حركت مبغضانه و دنياگرايانه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به‌همين جهت شيعه با الهام از روايات اصول كافى، بدان جهت كه طعن صحابى، طعن بر دين محسوب نشود، هيچ‌گاه اشخاص را مترادف با اسلام و دين نمى‌شمارند و معيار ارزيابى اصحاب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عملكردهاى آنها دانسته و منطق خويش را نسبت به‌صحابه چنان‌كه برخى از انديشمندان اهل‌سنّت نيز بدان رسيده‌اند، راه‌حل منصفانه براى معضل عدالت صحابه، معرفى مى‌كنند</w:t>
      </w:r>
      <w:r>
        <w:rPr>
          <w:rFonts w:eastAsia="IRNazanin" w:cs="IRNazanin"/>
          <w:color w:val="111111"/>
          <w:sz w:val="28"/>
          <w:szCs w:val="28"/>
          <w:rtl w:val="true"/>
          <w:lang w:bidi="fa-IR"/>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5" w:name="pg1976_28811"/>
      <w:bookmarkStart w:id="966" w:name="pg1976_28811"/>
      <w:bookmarkEnd w:id="966"/>
    </w:p>
    <w:p>
      <w:pPr>
        <w:pStyle w:val="Heading3"/>
        <w:numPr>
          <w:ilvl w:val="2"/>
          <w:numId w:val="1"/>
        </w:numPr>
        <w:rPr/>
      </w:pPr>
      <w:bookmarkStart w:id="967" w:name="pg1976_28811"/>
      <w:bookmarkStart w:id="968" w:name="__RefHeading___Toc3767553_3650668749"/>
      <w:bookmarkStart w:id="969" w:name="_Toc355"/>
      <w:bookmarkEnd w:id="967"/>
      <w:bookmarkEnd w:id="968"/>
      <w:r>
        <w:rPr>
          <w:rtl w:val="true"/>
        </w:rPr>
        <w:t>كتابنامه</w:t>
      </w:r>
      <w:bookmarkEnd w:id="9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به‌خط عثمان 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الإمام على‌بن‌ابى‌طالب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فيض‌الاسلام، جمع‌آورى محمدبن‌احمد بن الحسين بن موسى سيد رضى‌ابوالحسن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مركز نشر آثار فيض الاسلام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حول القرآن، السيد على الفانى الإصفهانى، بيروت، دارالهادى، ط الاولى</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آلاء الرحمن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العلامة البلاغى المجلد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جواد البلاغى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لطيف فرداى و عباس محمدى، قم، مركز العلوم والثقافة الاسلامى، احياء التراث الاسلامى، ط الاولى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أئمّة و 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مسيلمة الكذاب وعبدالله بن‌سبأ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ابراهيم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رياض الرّيس للكتب والنشر، ط الأولى</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ابكارالافكار فى أصول الدين، على بن محمد بن سالم المعروف بسيف الدين الآمدى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وتخريج أحاديث احمد الفريد المزيدى، بيروت، دارالكتب العلمية، ط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ابوحنيفة حياته وعصره آراؤه وفقهه، محمد ابوزهرة بيروت، دارالفكرالعربى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الابهاج فى شرح المنهاج على منهاج الوصول إلى علم الاصول، للقاضى البيضاوى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تقى الدين على بن عبد الكافى السّبكى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محمود أمين السيد، بيروت، دار الكتب العلمية ط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المهنائية، الحسن بن يوسف المطهر الحلّى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الحلى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مطبعة الخيام</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اجوبة مسائل جارالله، السيد عبدالحسين شرف‌الدين الموسوى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صيدا، مطبعة العرفان، ط الثانية</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الآحاد والمثانى، ابن أبى‌عاصم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باسم فيصل احمد الجوابرة،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دارالدراية، ط الأولى</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وإزهاق الباطل، السيد نورالله الحسينى التسترى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تعليقه آية الله المرعشى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 بى‌تا و بى‌نا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الاحكام السلطانية والولايات الدينية، على بن محمد بن حبيب الماوردى البغدادى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همراه با كتاب الاحكام السّلطانية، تأليف ابى يعلى محمد بن الحسين الفرّاء الحنبلى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دفتر تبليغات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القرآن، احمد بن على الرازى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 الكتب العلمية، ط الأولى</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القرآن، محمدبن عبدالله‌بن المعروف بابن‌العربى ابى‌بكر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على محمد البجاوى، بيروت، داراحياء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فى اصول الأحكام، على بن احمد بن سعيد بن الحزم الظاهرى الأندلسى أبى‌محمد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راجع لجنة العلماء، بيروت، دار الجليل، ط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بيروت،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فى أصول الأحكام، على بن محمد ألآمدى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الجميل، بيروت، دارالكتب العلمية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إحياء العلوم و بذيله شروح مختلفه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محمدبن محمد الغزّالى ابى‌حامد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احمدبن‌داود الدينورى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محمود مهدوى دامغانى، تهران، نشر نى، چاپ چهارم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إختصار 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الباعث الحثيث الى 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اسماعيل بن كثير الدّمشقى ابى‌الفداء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وتعليق محمد بن عبد الرزاق حمزة، مكة مكرمة، مطبعة المجدية، طألأولى</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إختيار معرفة الرجال المعروف برجال الكشّى، محمدبن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ابى‌جعفر معروف بالشيخ الطوسى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مير داماد الإسترآبادى، تحقيق السيد مهدى الرجايى،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الإخرة والعقل، محمدجواد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 التياّر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الجواد، ط الرابعة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فى أصول الدين، محمدبن‌عمربن‌حسين فخرالرّازى ابوعبدالله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احمد حجازى السقا، القاهرة، مكتبة الكليات الأزهرية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السارى لشرح صحيح البخارى، شهاب‌الدّين احمد بن القسطلانى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بهامشه صحيح مسلم بشرح النووى، بيروت، دارإحياء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أزمة الاستشراق الحديث و المعاصر،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خليفه حسن، رياض، جامعة الامام محمد بن سعود الاسلامية، ط الاولى</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اسانيد كتاب الكافى، السيد آقا حسين الطباطبايى البروجردى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تهذيب و ترتيب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تخريج و استدراك محمود درياب النجفى، قم، مؤسسة آية الله العظمى البروجردى، چاپ اول</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النزول، على‌بن احمد الواحدى النيسابورى، تحقيق طارق الطنطاوى، عربستان، مكتبة السّاعى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فيما إختلف من الاخبار، محمدبن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ابى‌جعفر معروف بالشيخ الطوسى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السيد حسن الخرسانى، بيروت، دارالأضواء، ط الثالثة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فى معرفة الاصحاب، يوسف بن عبدالله بن محمد 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على محمد البجاوى، القاهرة، نهضةالمصر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فى معرفة الصحابة، عزّالدين على بن محمد الجزرى بن 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وعناية الشيخ عادل احمد الرفاعى، بيروت، دارإحياء التراث العربى،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الاِمامة، الحسن على الطبرسى عماد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من‌علما قرن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وتصحيح قسم الكلام، مشهد، مؤسسة الطبع التابعة للآستانة الرضوية المقدسة، ط الأولى</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الشيعة و اصولها، محمد حسين آل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دارالاضواء، ط الاولى</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الدين، عبدالقاهربن طاهر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استانبول، مطبعة الدولة</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الاصول الستّة عشر، نخبة من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دارالبشرى للمطبوعات، ط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كافى، محمد باقر كمره‌اى، ترجمه و شرح فارسى، قم، انتشارات أسوه، چاپ اول</w:t>
      </w:r>
      <w:r>
        <w:rPr>
          <w:rFonts w:eastAsia="IRNazanin" w:cs="IRNazanin"/>
          <w:color w:val="111111"/>
          <w:sz w:val="28"/>
          <w:szCs w:val="28"/>
          <w:lang w:bidi="fa-IR"/>
        </w:rPr>
        <w:t>137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مذهب الشيعة الامامية، ناصربن عبدالله القفارى، الجيزة، دارالرضا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السُنة المحمّدية أوالدِّفاع عن الحديث، محمود ابوريه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دارالكتاب الإسلامِى، ط الأولى</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قم، مؤسسة الكتاب الاسلامى، ط الثانية</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الاعتقادات فى دين الإماميه، محمدبن‌على بن‌الحسين بن بابويه القمى‌ابى‌جعفر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غلامرضا المازندرانى، قم، چاپخانه علميه</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الشيخ المفيد،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عصام عبدالسيد، قم، المؤتمر العالمى لألفية الشيخ المفيد، ط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الموقّعين عن ربّ العالمين، شمس‌الدّين محمدبن ابى‌بكر المعروف بإبن‌القيم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ومقدمة ظه عبدالرّئوف سعد، بيروت، دارالجليل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الورى بأعلام الهدى، مقدمة السيد محسن الامين العاملى، تحقيق مؤسسةآل‌البيت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الهداية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المجمع العالمى لأهل‌البيت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مركز الطباعة والنشر للمجمع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الهداية الامام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المجمع العالمى لأهل‌البيت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مركز الطباعة والنشر للمجمع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الهداية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المجمع العالمى لأهل‌البيت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مركز الطباعة والنشر للمجمع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السيد محسن أمين العاملى، تحقيق و إخراج حسن الأمين، بيروت، دار التعارف للمطبوعات</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تحقيق و إخراج حسن الامين، بيروت، دارالثقافة للمطبوعات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افترءات المستشرقين على الاِسلام و الرَّدّ عليها، يحيى مراد، بيروت، منشورات محمد على بيضون دارالكتب العلمية، ط الأولى</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أكذوبة تحريف القرآن بين الشيعة والسنة، رسول جعفريان، ايران، ممثلة الإمام القائد السيد الخامنه‌اى فى الحج قسم التحقيق</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الاِكمال، ابى نصربن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نايف عباس، القهرة، دارالكتاب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الاكمال فى رفع الارتياب عن المؤتلف و المختلف فى الاسماء والكنى والانساب، على‌بن هبةالله ابى‌نصربن‌ماكولا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بذيله تكملة إكمال الاكمال فى الانساب و الالقاب، بيروت، دارالكتب العلمية، ط الأولى</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ألاِتقان فى علوم القرآن، جلال الدين السيوطى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ضبط و تصحيح و اخراج آيات، محمد سالم هاشم، قم، ذوى القربى، ط الثانية</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تقديم وتعليق مصطفى ديب البغا، بيروت، دار ابن كثير، ط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ألاِصابة فى تمييز الصحابة، احمدبن على‌بن حجرالعسقلانى شهاب الدين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دراسة والتحقيق وتعليق الشيخ عادل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على محمد معوض، بيروت، دارالكتب العلمية، ط الأولى</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بدون تحقيق، بيروت،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ألاعلام قاموس تراجم لأشهر الرجال والنساء من العرب من المستعربين والمستشرقين، خيرالدين الزركلى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دارالعلم للملايين، ط الثامنة</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ألاِمام الصادق والمذاهب الاربعة، اسد حيدر، بيروت، دارالكتاب العربية، ط الثانية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ألإمامة وأهل البيت، محمد بيومى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ايران، مركز الغدير للدراسات الإسلامية، ط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ألاِنتصار، على بن الحسين الموسوى البغدادى الشريف المرتضى 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النشر الإسلامى التابعة لجماعة المدرسين، قم، مؤسسة النشر الإسلامى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الالفين فى إمامة أمير المؤمنين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بن يوسف المطهر الحلّى جمال الدين مشهور بعلامة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مقدمة حسين الأعلمى، بيروت، مؤسسة الأعلمى، ط الثالثة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 محمدبن إدريس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الشافعى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 الفكر، ط الثانية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أمالى الصّدوق، محمدبن‌على بن‌الحسين بن بابويه القمى‌ابى‌جعفر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الشيخ الحسن الأعلمى، بيروت، مؤسسة الأعلمى للمطبوعات، ط الخامسة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البخارى و صحيحه الجامع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حياته وإتجاهه الفكرى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الهرساوى، قم، دليل ما، ط الأولى</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الصادق حياته و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آراؤه و فقهه، محمد ابوزهرة، مصر، مطبعة احمدعلى مخيمر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جعفرالصادق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الحليم الجندى،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المعروف بتاريخ الخلفاء، عبدالله‌بن مسلم‌بن قُتيبة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على شيرى، قم، منشورات الشريف الرضى، ط الأولى</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إمتاع الأسماع بما للنّبى من الأحوال والأموال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احمدبن على المقريزى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عبدالحميدالنّميس، بيروت، دار الكتب العلمية، ط الأولى</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والرد على ابن الراوندى الملحد،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ومراجعة محمد حجازى، القاهرة، مكتبة الثقافة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انتصارالحق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علمية مع بعض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مجدى على محمد على، رياض عربستان، دار طيبة للنشر والتوزيع، ط الأولى</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انديشه‌هاى كلامى شيخ مفيد، مارتين مكدرموت، ترجمه احمد آرام، زير نظر دكتر مهدى محقّق، تهران، مؤسسه مطالعات اسلامى دانشگاه مك گسيل شعبه تهران، با همكارى دانشگاه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الانساب، عبدالكريم بن منصور التميمى السمعانى ابو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عبدالرحمن بن يحيى المعلمى اليمانى، حيدر آباد، مجلس دائرة المعارف العثمانية، ط الأولى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النعمانية، السيد نعمت الله الجزائرى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تبريز، مطبعة شركت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أنوارالتنزيل وأسرارالتأويل المسمى تفسير البيضاوى، ناصرالدين ابى سعيد عبدالله بن‌عمر ابن محمدالشيرازى البيضاوى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تاج‌الدّين عبدالوهاب السبكى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تعليق و ضبط محمد صبحى بن حسن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احمد أطرش، بيروت، دارالرشيد، ط الأولى</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اوائل 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محمدبن محمدبن النعمان بن المعلم الشيخ المفيد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المؤتمر العالمى لألفية الشيخ المفيد، ط الأولى</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أوثق الوسائل فى شرح الرّسائل، ميرزا تبريزى، قم، انتشارات كتبى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 رحلى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4/175</w:t>
      </w:r>
      <w:r>
        <w:rPr>
          <w:rFonts w:ascii="Amiri" w:hAnsi="Amiri" w:eastAsia="Amiri" w:cs="Amiri"/>
          <w:color w:val="111111"/>
          <w:sz w:val="28"/>
          <w:sz w:val="28"/>
          <w:szCs w:val="28"/>
          <w:rtl w:val="true"/>
          <w:lang w:bidi="ar-SA"/>
        </w:rPr>
        <w:t>كتابخانه نجفى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أوجز المسالك إلى موطأ مالك، محمد ذكريابن محمدبن يحيى الكند هلوى، تحقيق أيمن صالح شعبان، بيروت، دارالكتب العلمية ط الأولى</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الأوليات من الكافى ممّا أودعه فى الكافى، محمد حسين الموحّد الحججى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مطبعة الخيام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 السنّة والشّيعة بين الاعتدال والغلوّ، عبدالله‌بن عبدالقادر التليدى ابى‌الفتوح،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اسبار طيل، طنجه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المكنون فى الذيل على كشف الظنون عن أسامى الكتب والفنون، اسماعيل باشا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الباقلانى وآراؤه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دكتوراه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رمضان عبدالله، اعداد محمد 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بغداد، مطبعة الأمّة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الجامعة لدرراَخبارالاَئمة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مصححة ومرتبة على حسب ترتيب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مؤسسة إحياء الكتب الإسلامية، چ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بيروت، دارإحياءالتراث العربى، ط الثالثة، مصححة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المحيط فى التفسير، محمد بن يوسف الشهير بأبى حيان الآندلسى الغرناطى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طبعة جديدة و مصححة، دارالفكر</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حول روايات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نقدية لكتاب الشيخ الكلينى البغدادى و كتابه 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ترمس العاملى، قم، مؤسسة دارالهجرة ط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البدء والتاريخ، مطهربن الطاهر المقدسى،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الثقافة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اوائل 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محمدبن محمدبن النعمان بن المعلم الشيخ المفيد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المؤتمر العالمى لألفية الشيخ المفيد، ط الأولى</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أوثق الوسائل فى شرح الرّسائل، ميرزا تبريزى، قم، انتشارات كتبى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 رحلى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4/175</w:t>
      </w:r>
      <w:r>
        <w:rPr>
          <w:rFonts w:ascii="Amiri" w:hAnsi="Amiri" w:eastAsia="Amiri" w:cs="Amiri"/>
          <w:color w:val="111111"/>
          <w:sz w:val="28"/>
          <w:sz w:val="28"/>
          <w:szCs w:val="28"/>
          <w:rtl w:val="true"/>
          <w:lang w:bidi="ar-SA"/>
        </w:rPr>
        <w:t>كتابخانه نجفى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أوجز المسالك إلى موطأ مالك، محمد ذكريابن محمدبن يحيى الكند هلوى، تحقيق أيمن صالح شعبان، بيروت، دارالكتب العلمية ط الأولى</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الأوليات من الكافى ممّا أودعه فى الكافى، محمد حسين الموحّد الحججى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مطبعة الخيام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 السنّة والشّيعة بين الاعتدال والغلوّ، عبدالله‌بن عبدالقادر التليدى ابى‌الفتوح،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اسبار طيل، طنجه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المكنون فى الذيل على كشف الظنون عن أسامى الكتب والفنون، اسماعيل باشا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الباقلانى وآراؤه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دكتوراه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رمضان عبدالله، اعداد محمد 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بغداد، مطبعة الأمّة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الجامعة لدرراَخبارالاَئمة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مصححة ومرتبة على حسب ترتيب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مؤسسة إحياء الكتب الإسلامية، چ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بيروت، دارإحياءالتراث العربى، ط الثالثة، مصححة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المحيط فى التفسير، محمد بن يوسف الشهير بأبى حيان الآندلسى الغرناطى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طبعة جديدة و مصححة، دارالفكر</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حول روايات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نقدية لكتاب الشيخ الكلينى البغدادى و كتابه 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ترمس العاملى، قم، مؤسسة دارالهجرة ط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البدء والتاريخ، مطهربن الطاهر المقدسى،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الثقافة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السيد محمد مرتضى 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على شيرى، بيروت، دار الفكر</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همراه رسالة فى آل أعين، للشيخ ابى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على الموحّد الأبطحى الأصفهانِى، مع شرحها للسيد محمد على الموسوى الموحّد الأبطحى،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 بى‌نا، 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خلدون المسمّى ديوان المبتدأ والخبر فى تاريخ العرب والبربر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عبدالرّحمن بن‌خلدون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ضبط و وضع الحواشى و فهرس خليل شحادة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سهيل ذكار، بيروت، دارالفكر، ط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الاِسلام و وفيات المشاهير والاعلام، شمس‌الدين احمدبن عثمان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عمر عبدالسلام تدمرى، بيروت، دارالكتاب العربى، ط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بيروت، دارالكتب العلمية، ط الثانية</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الإمامية وأسلافهم من الشّيعة، عبدالله فياض، بيروت، مؤسسة الأعلمى، ط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جلال الدين السيوطى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 مقدمة الشيخ قاسم الشجاعى، الشيخ محمد العثمانى، بيروت، دارالقلم، ط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الخميس فى أحوال أنفس نفيس، حسين بن محمد بن محمد الحسن الديار بكرى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الشيعة، محمد حسين المظفر، قم، منشورات مكتبة بصيرتى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جرير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نخبة من العلماء الأجلّاء، بيروت، مؤسسة الأعلمى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تحقيق محمد ابوالفضل ابراهيم،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 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العلماء عبر العصور المختلفة، محمدرضا الحكيمى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متولد</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مؤسسة الأعلمى ط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الفِرق الإسلامية السياسى والدينى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محمد ابراهيم الفيومى، قاهرة، دارالفكرالعربى، ط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محمدبن‌اسماعيل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ديار بكر، المكتبة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المنورة، عمر بن شبّة النميرى البصرى ابوزيد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فهيم محمد شلتوت، قم، منشورات دارالفكر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او مدينة السلام، احمدبن‌على‌الخطيب البغدادى ابى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 تاريخ بغداد أو مدينة السّلام، تحقيق و ضبط و تعليق بشّار عوّاد معروف، بيروت، دارالغرب الإسلامى، ط الأولى</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بيروت، دارالكتب‌العلمية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تشيع در ايران از آغاز تا قرن دهم هجرى، رسول جعفريان، قم، انصاريان، چاپ اول</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روضة الصفا فى سيرة الانبياء والملوك والخلفاء، محمدبن‌خاوند شاه‌بن‌محمود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تصحيح و تحشيه جمشيد كيان فر، تهران، اساطير، چاپ دوم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على شيرى، بيروت، دارالفكر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 همان، ط الأولى</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يعقوبى، احمد بن ابى يعقوب ابن واضح 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 به‌بعد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عبدالأمير مهنا، بيروت، موسسة الأعلمى، ط الأولى</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ترجمه محمد ابراهيم آيتى، تهران، انتشارات علمى و فرهنگى، چاپ ششم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الشّيعة لعلوم الاِسلام، السيد حسن الصدر، عراق، مر كز النشر والطباعة العراقية المحدودة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طهران، مؤ سسة الأعلمى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مختلف الحديث، عبدالله‌بن‌مسلم بن‌قتيبة ابى‌محمد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 ضبط محمد الزهرى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دارالجليل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تبصير المتنبّه بتحرير المشتبه، احمدبن على‌بن حجر العسقلانى شهاب الدين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على محمد البجاوى، مراجعة على النجّار، بيروت، المكتبة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فى تفسير القرآن، محمدبن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ابى‌جعفر معروف بالشيخ الطوسى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تجارب الامم، ابوعلى مسكويه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ترجمه ابوالقاسم امامى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تهران، دار سروش للطباعة والنشر، ط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التحقيق فى الكلمات القرآن الكريم، حسن المصطفوى، تهران، مؤسسة الطباعة و النشر وزارت الثقافة والارشاد، ط الاولى،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فى نفى التحريف عن القرآن الشريف، السيد على الحسينى الميلانى، قم، دارالقرآن الكريم ط الادولى</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تدريب الراوى فى شرح تقريب النواوى، جلال الدين السيوطى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عرفان العشّا حسّونة، بيروت، دارالفكر ط</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تدوين السّنة، ابراهيم فوزى،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رياض الريس للكتب و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تدوين القرآن، على‌الكورانى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باقرى، قم، ط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شمس‌الدين احمدبن عثمان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از نسخه قديم وزارت معارف حكومت هند، بيروت، داراحياء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يوسف بن فرغلى بن عبدالله البغدادى شمس الدين ابوالمظفر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السيد محمد صادق بحرالعلوم، بيروت، مؤسسسة اهل البيت </w:t>
      </w:r>
      <w:r>
        <w:rPr>
          <w:rFonts w:eastAsia="Amiri" w:cs="Amiri" w:ascii="Amiri" w:hAnsi="Amiri"/>
          <w:color w:val="111111"/>
          <w:sz w:val="28"/>
          <w:szCs w:val="28"/>
          <w:lang w:bidi="ar-SA"/>
        </w:rPr>
        <w:t>814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الموضوعات، محمدبن‌طاهر بن‌الهندى الفتنى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 بى‌نا، بى‌تا</w:t>
      </w:r>
      <w:r>
        <w:rPr>
          <w:rFonts w:eastAsia="Amiri" w:cs="Amiri" w:ascii="Amiri" w:hAnsi="Amiri"/>
          <w:color w:val="111111"/>
          <w:sz w:val="28"/>
          <w:szCs w:val="28"/>
          <w:rtl w:val="true"/>
          <w:lang w:bidi="ar-SA"/>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الترابيب الاِدارية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الحكومة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الحى الكتانى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دارلكتب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ترتيب مقاييس اللغة، احمدبن فارس‌بن ذكريا ابى‌الحسين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ترتيب و تنقيح على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المسجدى، تحقيق وضبط عبدالسلام محمد هارون، قم، پژوهشگاه حوزه ودانشگاه، چ اول</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التسهيل لعلوم التنزيل، محمد بن احمد بن جزى الكلبى، بيروت، دار الكتاب العربى ط الرابعة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التشيع بين مفهوم الائمّة والمفهوم الفارسى، محمد البندارى، مقدمة سعيد حوّى، عمّان، دار عمار للنشر،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الثّعالبى المسمّى الجواهرالحسّان فى تفسير القرآن، عبد الرحمن بن محمدبن المخلوف الثعالبى المالكى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عبد الفتاح ابوسنة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على محمد المعوض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بيروت، دارإحياء التراث ط الأولى</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جواهر الحسّان فى تفسير القرآن، تحقيق محمد الفاضلى، بيروت، المكتبة العصرية، ط الأولى</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الحسن البصرى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محمدعبدالرّحيم، جمع و توثيق و دراسة محمدعبدالرحيم، قاهرة، دارالحديث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الخازن المسمى لباب التأويل فى معانى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بهامشه تفسير النسفى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 محمد بن ابراهيم البغدادى الصوفى علاء الدين، دارالكتب العربية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الطبرى المسمّى جامع البيان فى تأويل القرآن، محمد بن جرير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دارالكتب العلمية، ط الثانية</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محمد بن مسعود بن عياش السلمى السمر 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علماى اواخر قرن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السيد محمد هاشم الرسولى المحلاتى، بيروت، مؤسسة الأعلمى، ط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جديدة 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اسماعيل بن كثيرالدّمشقى ابى‌الفداء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دارالمعرفة ط الثانية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القمى، على بن ابراهيم القمى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من‌علماء القرن الثالث الهجرى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 تعليق السيد الطيب الموسوى الجزائرى، قم، مؤسسة دارالكتاب للطباعة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 الثالثة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الكاشف، محمدجواد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دارالعلم للملايين، ط الاولى</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الكوفى، ابوالقاسم بن ابراهيم بن فرات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الكاظم، بيروت، مؤسسة النعمان للطباعة، ط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تفسيرالصّافى، محمدبن‌المرتضى المدعوالمولى محسن الفيض‌الكاشانى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و مقدمة حسين الاعلمى، مشهد، دارالمرتضى للنشر، ط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تفسيرالقرآن الكريم الشهير بتفسير المنار، محمد رشيد رضا، بيروت، دارالمعرفة للطباعة والنشر، ط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جديدة 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محمدبن‌عمربن‌حسين فخرالرّازى ابوعبدالله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تفسيرقتادة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للمفسر ومنهج تفسيره، عبدالله ابو السعود بدر، القاهرة، كلية جامعة القاهرة، عالم الكتب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الى تحصيل مسائل الشّريعة، محمد 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 مؤسسة آل‌البيت لإحياء التراث، قم، ط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احمدبن على‌بن حجر العسقلانى شهاب الدين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ومقدمة عبدالوهاب عبداللطيف، بيروت، دارالمعرفة، ط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تقييد العلم، احمد بن على بن ثابت الخطيب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تصديد و تعليق وتصدير و تحقيق يوسف العش،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نشرية دارإحياء السنة النبوية، ط الثانية</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الرجال، عبدالنّبى الكاظمى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محمد صادق بحرالعلوم، قم، أنوار الهدى، ط الأولى</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الحبير فى تخريج أحاديث الرافعى الكبير، احمدبن على‌بن حجر العسقلانى شهاب الدين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تعليق وتصحيح السيد عبد الله هاشم اليمان المدنى، بيروت، دارالمعرفة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الشّافى، محمدبن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ابى‌جعفر معروف بالشيخ الطوسى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وتعليق السيد حسين بحرالعلوم، قم، منشورات العزيزى ط الثالثة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المحصّل المعروف بنقد المحصّل للاِمام الفخر الرازى، نصيرالدين الطوسى خواجه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دارالأضواء، ط الثانية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والاشراف، على بن الحسين المسعودى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ومراجعة عبدالله اسماعيل القاوى، عراق، دارالصاوى للطبع والنشر</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الشّريعة المرفوعة عن الأخبار الشّنيعة الموضوعة، على‌بن‌محمدعراق الكنانى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تعليق عبد الوهاب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محمد الصديق، بيروت، دارالكتب العلمية، ط الثانية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فى علم الرّجال، عبد الله المامقانى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و استدراك محيى‌الدين المامقانى،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العربى، ط الأولى</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التنقيح فى شرح العروة الوثقى، الميرزا على الغروى التبريزى، تحرير البحث السيد ابوالقاسم الخويى، قم، مؤسسة آل‌البيت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للطباعة والنشر،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تنوير الحوالك شرح على موطأ مالك، جلال الدين السيوطى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 السنة فى القرن الثانى الهجرية أُسسه وإتجاهاته، رفعت فوزى عبد المطلب، قاهرة، مكتبة الخانجى، ط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جلية فى التوسل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احمدبن‌عبدالحليم بن‌تيميةالحرّانى الدمشقى الحنبلى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عربستان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فى شرح المقنعة، محمدبن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ابى‌جعفر معروف بالشيخ الطوسى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للشيخ المفيد، تحقيق وتعليق السيد حسن الخرسانى، بيروت، دار الأضواء، ط الثالثة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الاصول، السيد روح الله‌الموسوى الامام الخمينى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تقرير جعفر سبحانى، قم، مؤسسة النشر الاسلامى التابعة لجماعة المدرسين</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احمدبن على‌بن حجر العسقلانى شهاب الدين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الفكر، ط الأولى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يوسف المزّى ابوالحجاج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بشّار عوّاد معروف، بيروت، مؤسسة الرسالة، ط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تهمة التّحريف بين المسلمين، الشّيعة والسّنة، السيد عبدالكريم فضل‌الله، بيروت، دارالمهدى للطباعة والنشر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ثلاثيات الكلينى، امين ترمس العاملى، قم، مؤسسة دار الحديث الثقافية،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الاصول فى أحاديث الرسول، المبارك بن محمد الشيبانى الجزرى ابن 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اديب الجادر، اشراف عبدالقادر الأرنؤوط، بيروت، دارإبن أثير، ط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العلم و ما ينبغى فى روايته و حمله، يوسف بن عبد البرّ القرطبى ابى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و تعليق محمد عبد القادر عطا، بيروت، مؤسسة الكتب الثقافية، ط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فى أحاديث البشير النذير، جلال الدين السيوطى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 الكتب العلمية، ط الأولى</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فى شرح القواعد، على بن الحسين الكركى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ط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محمدبن‌احمد الأنصارى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والتعديل، عبدالرّحمن‌بن ابى‌حاتم محمدبن إدريس بن المنذر التميمى الحنظلى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دارإحياء التراث العربى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از روى نسخه حيدرآباد 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هند،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انساب الاشراف، احمدبن يحيى‌بن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 مقدمة سهيل ذكار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بيروت، دارالفكر، ط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والنصرة لسيد العترة فى حرب الجمل، محمدبن محمدبن النعمان بن المعلم الشيخ المفيد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على مير شريفى، مكتب الاعلام الإسلامى، ط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اللغة، محمد بن الحسن الأزدى البصرى معروف بابن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الفقهية، وتليه رسالتان للسيد المرتضى و الشيخ الطوسى، ابن‌البرّاج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ابراهيم بهادرى، بإشراف ومقدمه جعفرالسبحانى، قم، جامعةالمدرسين، ط الأولى</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فى شرح شرائع الاِسلام، محمد حسن النجفى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و تعليق الشيخ عباس القوچانى، بيروت، دارإحياء التراث، ط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چاپ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بيروت، مؤسسة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دارالمورخ العربى، ط الأولى</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سلسة قضاء الفكرالاِسلامى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عبدالغنى عبد الخالق، آمريكا، دارالوفا للطباعة والنشر، ط الثانية</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الحدائق الناضرة فى احكام العترة الطاهرة، يوسف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محمد تقى الإيروانى، قم، مؤسسة النشر الإسلامى التابعة لجماعة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والمحدثون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عناية الامةالاِسلامية بالسنة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ابوزهرة، مصر، مطبعة مصر شركة مساهمة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ومصطلحه، محمد بن صالح العثيمين،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 بى‌نا، 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الاِيمان مع رسالتى الاقتصاد والعدالة، زين‌الدّين على‌بن‌احمد الجبعى‌العاملى الشهيد الثانى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مهدى الرجايى، اشراف السيد محمود المرعشى، قم، مكتبة آيةالله المرعشى‌النجفى،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هامّة حَول القرآن، السيد جعفر مرتضى العاملى، قم، مؤسسة النشر الإسلامى التابعة لجماعة المدرسين، قم، ط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تقاربهم مع اهل‌السّنة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محمدبيومى، القاهره، دارالغدّ الجديد، ط الاولى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الحقيقة المظلومة، محمد على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الاولياء وطبقات الاصفياء، احمدبن‌عبدالله الإصبهانى ابى‌نعيم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ابن تيمية، قاهرة، دارأمّ القرى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بيروت، دارالكتب‌العلمية، ط الأولى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مستدرك الوسائل، تحقيق مؤسسة 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قطب الدّين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الإمام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مؤسسة الإمام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محمدبن‌على بن‌الحسين بن بابويه القمى‌ابى‌جعفر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على‌اكبر الغفارى، بيروت، مؤسسة الأعلمى للمطبوعات،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الشام، محمد كرد على، بيروت، دارالعلم للملايين، ط الثانية</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الخطوط العريضة لأسس قام عليها دين الشّيعة الإثنى العشرية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محب‌الدين‌الخطيب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اردن، دار عمار، ط الأولى</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الاقوال فى معرفة الرجال، الحسن بن يوسف المطهر الحلّى جمال الدين مشهور بعلامة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جواد الفيومى، ايران، نشر الفقاهة، ط الثانية</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به‌نام رجال العلّامة الحلّى، تصحيح السيد محمد صادق بحر العلوم، قم، منشورات الرضى،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ميزان الحقّ، محمد كوزل الأمدى، قم، انتشارت دليل ما، ط الأولى</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والامامة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 للحكم و الحكومة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الكريم الخطيب، بيروت، دارالمعرفة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دائرةالمعارف الشّيعة العامّة، محمد حسن الأعلمى الحائرى، بيروت، مؤسسة الأعلمى للمطبوعات، ط الثانية</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دائرةالمعارف القرن العشرين، محمد فريد وجدى، بيروت، دارالمعرفة للطباعة والنشر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بيروت،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التفسيرالمأثور، جلال الدين السيوطى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ضبط النص والتصحيح واسناد الآيات و وضع الحواشى والفهارس باشرف دار الفكر، بيروت، دارالفكر للطباعة والنشر،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 الأولى</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فى الفرق والمذاهب القديمةو المعاصرة، عبدالله الأمين، بيروت، دارالحقيقة، ط الثانية مزيذة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فى الكافى للكلينى، هاشم معروف الحسينى،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الأولى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فى نهج البلاغة، محمد مهدى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دارالزهراء، ط الثانية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الاِسلام و ذكر الحلال والحرام، النعمان محمد التميمى المغربى القاضى ابى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بن على اصغر فيضى، القاهرة، دارالمعاصر، ط الثانية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 عن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تبنى الرد على الشسبهات التى أثرها احمد كاتب و كشف التزوير والتحريف والكذب المعتمد على التشيع وعلمائه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السيد نذير الحسينى، قم، مؤسسة الإسلامية العامة للتبليغ والإرشاد، ط الأولى</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 عن الكافى، دراسة مقارنة لاَهمّ الطعون والشبهات المثارة حول كتاب الكافى للشيخ الكلينى، تامير هاشم حبيب العميدى، قم، مركز الغدير للدراسات الإسلامية، ط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الكذب المبين المفترى من الرّافضة على أُمّهات المؤمنين، عبدالقادربن محمدعطا صوفى، مدينة عربستان، مكتبة الغرباء الأثرية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الدفاع عن الصحابة الكرام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شبهة التشبيه بأكف التنزيه، عبدالرّحمن بن‌الجوزى الحنبلى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حسن السقاف، عمان الأردن، دارالإمام النووى، ط الثالثة</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علمية موعوعية مع ابن روز 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محمدحسن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دارالمعلم للطباعة، ط الثانية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 النّبوة، احمدبن‌الحسين البيهقى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محمود مهدوى دامغانى، تهران، انتشارات علمى و فرهنگى</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الدَّولة العربية الاِسلامية، على‌حسن‌الخربوطلى، القاهرة، دارإحياء الكتب‌العربية،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السّيد رضا الهندى الموسوى، السيد رضا الهندى الموسوى، بيروت، دار الأضواء، ط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الشيعه، آقا بزرگ الطهرانى، بيروت، دارالأضواء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زين‌الدّين على‌بن‌احمد الجبعى‌العاملى الشهيد الثانى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حجرية غير منقحة الصفحات بخط كرمانى،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تاريخ البغداد، ابن‌النجّار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مصطفى عبدالقادر عطا، بيروت، دارالكتب العلمية، ط الأولى</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الرافعى الكبير، السيد عبدالله هاشم اليمانى المدنى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وتعليق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الابرار و نصوص الاخبار، محمودبن عمرالزمخشرى جارالله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منشورات الرضى، ط الأولى</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 با رجال البرقى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تقى الدين الحسن بن على بن داود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مقدمة السيد محمد آل بحرالعلوم، قم، منشورات الرضى، النجف، مطبعة الحيدرية،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مهدى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صادق بحر العلوم، طهران، مكتبة الصادق، ط الاولى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الطوسى، محمدبن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ابى‌جعفر معروف بالشيخ الطوسى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جواد القيومى الإصفهانى، قم، مؤسسة النشر الإسلامى التابعة لجماعة المدرسين بقم،</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النجف الأشرف، مطبعة الحيدرية،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المجلسى، محمد باقر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ترتيب عبدالله السبزالى الحاج، بيروت، منشورات مؤسسة الأعلمى، ط الأولى</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النجاشى، احمدبن على‌النجاشى الكوفى الأسدى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محمدجواد النائينى، بيروت، دارالأضواء، ط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الرد على الرافضة، نخبة ممتازة من فطاحل العلماء، تحقيق عبد المجيد السلفى، دهوك، مطبعة خه بات</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رسائل الشّريف المرتضى، الشّريف‌المرتضى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مقدمة السيد احمد الحسينى، إعداد السيد مهدى الرجايى، قم، دارالقرآن مدرسة آيةالله‌العظمى الگلپايگانى،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الكركى، محقق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الحسّون، قم، جامعة المدرسين بقم،</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الاِستخارة من القرآن المجيد والفرقان الحميد، الميرزا أبى‌العباس الكلباسى الأصبهانى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السيد عبدالحسين الموسوى التسترى، بإهتمام محمد حسن محبّ آل‌الرسول، قم، مؤسسة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الرد على الرافضة، ابوحامد محمد المقدسى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خليل‌الرحمن، هند، الدارالسلفية، ط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الرعاية فى علم الدراية، زين‌الدّين على‌بن‌احمد الجبعى‌العاملى الشهيد الثانى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وتعليق عبدالحسين محمد على بقّال، بإشراف السيد محمود المرعشى، قم، مكتبة آيةالله‌المرعشى، ط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السماوية فى شرح الاحاديث الاِمامية، مير محمد باقرالحسينى المرعشى الداماد، قم، منشورات مكتبة آيةالله‌المرعشى،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التشيع، عبد الله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المحكمة الجعفرية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المعانى فى تفسير القرآن و السبع المثانى، السيد محمود الآلوسى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فى شرح ارشاد الاذهان، زين‌الدّين على‌بن‌احمد الجبعى‌العاملى الشهيد الثانى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مركز الأبحاث والدراسات الاسلامية، قم، بوستان كتاب، ط الأولى</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فى تفسير القرآن، حسين بن على بن محمد بن احمد الخزاعى النيشابورى مشهور بابوالفتوح الرازى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محمد جعفر ياحقّى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ناصح، مشهد، بنياد پژوهش‌هاى اسلامى آستان قدس رضوى،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روضات الجنّات فى أحوال العلماء والسادات، الميرزا محمد باقرالموسوى الخوانسارى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اسدالله اسماعيليان،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روى نسخه دارالمعرفة بيروت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محمدبن‌الفتّال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غلامحسين المجيدى ومجتبى الفَرَجى، قم، دليل ما، ط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من الكافى،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تعليق على اكبر الغفارى بيروت، دار الأضواء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طهران، دارالكتب الإسلامية، چاپ چهارم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وحياض الفضلاء، الميرزا عبدالله أفندى الأصبهانى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احمد الحسينى من مخطوطات مكتبة آيةالله‌المرعشى العامّة، قم، مطبعة الخيام،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فى تحقيق الاحكام بالدلائل، السيد على بن السيد محمد على الطباطبايى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لإحياء التراث، قم، ط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فى مناقب العشرة، احمد الشهير المحب الطبرى ابى جعفر، بيروت،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ريحانة الادب فى تراجم المعروفين بالكنية واللقب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ميرزا محمد على مدرّس تبريزى، تهران، چاپخانه حيدرى، چاپ سوم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فى علم التفسير، جمال الدين عبدالرحمن بن على بن محم الجوزى القرشى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 وضع الحواشى محمد بن عبد الرحمن عبدالله، اخراج احاديث ابو هاجر السعيد بن بسيونى زغلول، بيروت، دارالفكر، ط الأولى</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الزبدة الفقهية فى شرح الروضة البهية، السيد محمد حسن العاملى، بيروت، دارالهادى، ط الأولى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اباعبدالله، ترجمه لهوف سيد بن طاوس، سيد محمد صحفى، قم، انتشارات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زوائد تاريخ بغداد على الكتب الستّة، خلدون الأحدب، دمشق، دارالقلم، ط الأولى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سؤالات حمزة الدارقطنى، حمزة بن يوسف السهمى الدار قطنى، تحقيق محمدبن عبدالله عبدالقادر، الرياض، مكتبة المعارف، ط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العالمين وكشف ما فى الدارين، محمدبن محمد الغزّالى ابى‌حامد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تقديم و تحقيق أيمن عبد الجابر البحيرى، القاهرة، دارالآفاق العربية، ط الأولى</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السرائرالحاوى لتحرير الفتاوى، محمد بن منصور بن احمد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لجنة التحقيق، قم، مؤسسة النشر الإسلامية، ط الثانية</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و مدينة الحِكَم والآثار مع تطبيق النصوص والواردة فيها على بحارالانوار، الشيخ عباس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بطبيعة القديمة والجديدة، ايران، دارالأُسوة للطباعة والنشر، ط الأولى</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سلامة القرآن من التحريف و تفنيد الإفتراءات على الشّيعة الامامية، فتح الله المحمدى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عمروبن ابى‌عاصم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ناصر الألبانى، بيروت، المكتب الإسلامى، ط الثالثة</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والشيعة وحدة الدين خلاف السياسة والتاريخ، محمد عمارة، احمد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الجيزة، دارطيبة للطباعة، الأولى</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محمدبن يزيد القزوينى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فؤاد عبدالباقى، بيروت،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تحقيق كمال يوسف الحوت، بيروت،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ابى داود، سليمان‌بن أشعث السّجستانى أبى‌داود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 تعليق سعيد محمد اللحام، بيروت، دارالفكر، ط</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مراجعة وضبط وتعليق محمد محيى الدين عبدالحميد، بيروت،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احمد بن الحسين بن على البيهقى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عبدالقادر عطا، بيروت، دارالكتب العلمية، ط الأولى</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احمدبن‌شعيب النسائى ابى‌عبدالرحمن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عبد الغفار سليمان البندارى و سيد كسروى حسن، بيروت، دارالكتب العلميية، ط الأولى</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النسائى بشرح السيوطى و حاشية الاِمام السندى، جلال الدين السيوطى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شمس‌الدين احمدبن عثمان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الزيبق، بيروت، مؤسسة الرسالة، ط التاسعة</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 الرابعة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اسماعيل بن كثيرالدّمشقى ابى‌الفداء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مصطفى عبدالواحد، بيروت، دارالمعرفة، ط الأولى</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سيرت رسول، اسحق بن محمد همدانى قاضى ابوقُروه رفيع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على‌اصغر مهدوى، تهران، خوارزمى، چاپ سوم</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سيرى در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دو كتاب مهم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صادق نجمى، قم، بوستان كتاب،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الشّافى فى الاِمامة، الشّريف‌المرتضى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مؤسسة إسماعيليان، ط الثانية</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الشافى فى شرح اصول الكافى، المولى خليل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حسين الدّرايتى، قم، دارالحديث، ط الاولى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السّلفية، جواد حسين الدليمى، تحريف القرآن، التقية، عدالة الصحابة، بيروت، دارالمحجة البيضاء للطباعة والنشر، بيروت، دار الرسول، ط الأولى</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شبهات و ردود الرد على الشّبهات احمد الكاتب حول امامة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الحلقة الثانية، السيد سامى البدرى،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مؤلف، ط الأولى</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شبهات و ردود، الحلقة الاولى الرد على الشّبهات التى أرادها احمد الكاتب حول العقيدة الشيعة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الثالثة، السيد سامى البدرى،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حبيب، ط</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شبهات و ردود، الردّ على الشّبهات احمد الكاتب حول امامة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وجود المهدى المنتظر، السيد سامى البدرى، دارالفقه للطباعة و النشر، ط الرابعة مزيدة و منقّحة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الخمسة، عبدالجبار الاسدآبادى ابى الحسن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احمد ابن‌الحسين بن‌ابى‌هاشم، تحقيق ومقدمه عبدالكريم عثمان، قاهره، مكتبة وهبة، ط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الكافى، محمد صالح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على اكبرالغفارى، تعليق الميرزا ابوالحسن الشعرانى، طهران، منشورات المكتبة الإسلامية،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تحقيق السيدعلى عاشور، بيروت، دار إحياء التراث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ط الثانية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الزرقانى على موطّأ الامام مالك، محمدبن عبدالباقى بن‌يوسف الزّرقانى المصرى، الازهرى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دارالكتب العلمية، ط الرابعة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ألفية العراقى المسمّاة بالتبصرة و التذكرة، زين الدين عبدالرحيم بن الحسين بن عبدالرحمن العراقى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يليه فتح الباقى على الفية العراقى، زين الدين ذكرياء بن محمد بن ذكريا الازهرى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المقاصد، عبدالرحمن عميرة، الامام مسعود بن عمر بن عبدالله الشهير سعد الدين التفتازانى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تعليق مع مقدمة فى علم الكلام، منشورات الشريف الرضى، ط الاولى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السيد الشريف على‌بن‌محمد الجرجانى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للقاضى عضدالدين عبدالرّحمن الإيجى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ويليه حاشيتى السيالكوتى والچلبى، قم، منشورات الشريف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روى طبع اولى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جامع تجريد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امامت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احمد امينى نجفى، قم، نشر مرتضى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سنن ابن ماجة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ابوالحسن الحنفى المعروف بالسنّدى، بيروت، دارالجليل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 بى‌جا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يحيى الدين ابى ذكر يا يحيى بن شرف النووى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مراجعة الشيخ خليل الميس، بيروت، دارالقلم، ط الاولى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بيروت،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عبد الحميد بن ابى الحديد، تحقيق ابوالفضل ابراهيم، بيروت، داراحياء التراث، ط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فى الايات النازلة فى اهل البيت صلوات الله عليه و سلامه عليهم، عبيدالله بن عبدالله بن احمد المعروف بالحاكم الحسكانى الحذّاء الحنفى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الخامس الهجرى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باقر المحمودى، ايران، مؤسسة الطبع و النشر التابعة لوزارة الثقاقة و الارشاد اسلامى، ط الاولى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المضيرة ابوهريرة، محمود ابوريه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دارالمعارف، ط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وتاريخ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كمال شعث، قاهرة، مكتبة مدبولى، ط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فى التّاريخ، محمد حسين الزين، بيروت، دارالآثار للطباعة و النشر والتوزيع، ط الثانية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فى الميزان، محمدجواد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دارالتعارف للمطبوعات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فى عقائدهم وأحكامهم، السيد أميرمحمد الكاظم القزوينى، الكويت، دار الطليعة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 القرآن، احسان الهى ظهير، لاهور پاكستان، ادارة ترجمان السنة، محل توزيع، رياض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و تحريف القرآن، محمد مال الله، تقديم محمد احمد النجفى، الاردن، شركة الشرق الاوسط للطباعة، ط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والتّشيع، محمدجواد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مكتبة المدرسة ودار الكتاب اللبنانى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قم، منشورات شريف الرضى، ط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الشيعة وأهل البيت، احسان الهى ظهير، لاهور پاكستان، إدارة ترجمان السنة، ط الخامسة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ألشيعة و السنة، احسان الهى ظهير، لاهور پاكستان، پخش، رياض عربستان، مكتبة بيت‌الاسلام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وصكوك الغفران، محمدمال‌الله،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ابن تيمية، ط الأولى</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مجموعه مذاكرات باپروفسورهانرى كربن، محمدحسين الطباطبايى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سيد هادى خسروشاهى، قم، بوستان كتاب،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الصافى شرح اصول الكافى، ملا خليل القزوينى، بتصحيح مولوى سيد تصدّق حسين صاحب رضوى مطبع فيض منشى نول كشور، لكنهو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السلسة الندوات العقائدية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على الحسينى الميلانى، مركز الابحاث العقائدية، ط الاولى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الصحابة فى نظر الشيعة الإمامية، اسد حيدر، تصديرالدكتور حفنى داود،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روى نسخه مصر، نشر النجاح و نجف نشر مطبعة النجف</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و صحاح العربية، اسماعيل بن حمّاد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احمد عبدالغفورعطار، بيروت، دارالعلم للملايين، ط الثالثة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الامير علاءالدين على‌بن بَلَبان الفارسى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ترتيب 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و ضبط كمال يوسف الحوت، بيروت، دارالكتب العملية، ط الاولى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خزيمة، محمدبن اسحق‌بن خزيمة السّلمى النّيسابورى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مصطفى الاعظمى،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الاسلامى، ط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محمدبن اسماعيل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و توضيح مصطفى ديب البغا،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دار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اليمامة للطباعة والنشر، ط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تكجلدى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دارالجليل للنشر والتوزيع، ط الأولى</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الجامع الصحيح، مسلم بن الحجاج النيشابورى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وتصحيح محمد فؤاد عبدالباقى،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دارالفكر، ط الثانية</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مرتبة وقف ترتيب المعجم المفهرس محمد فؤاد عبدالباقى، بيروت، دارالجليل، ط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النبى الاعظم، السيد جعفر مرتضى العاملى، قم، دار الحديث للطباعة والنشر، طالأولى</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صحيفة كاملة سجّاديه، الامام على‌بن‌الحسين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و تعليق عليرضا رجالى تهرانى، تهران انتشارات گاه سحر، چ اول</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الحق فى المعارف الاِسلامية والاصول الاعتقادية، آصف المحسنى، قم، ذوى القربى، ط الاولى</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الى مستحقى التقديم، زين‌الدّين أبى محمدعلى‌بن يونس العاملى النباطى البياضى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محمد باقر البهبودى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المكتبة المرتضوية، لاحياء الآثار الجعفرية، ط الأولى</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المهرقة فى جواب الصّواعق المحرقة، نورالله‌التسترى القاضى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جلال الدين الحسينى، ايران، چاپخانه شركت سهامى طبع كتب ايران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فى الرد على أهل البدع و الزندقة، و يليه تطهير الجنان واللسان عن الخطور و التفوّه لسبّ سيدنا معاويه، احمد بن حجر الهيتمى المكى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مكتبة القاهرة، اخراج حديث و مقدمه عبدالوهاب عبداللطيف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صيانة القرآن من التحريف، محمد هادى معرفت، تحقيق مؤسسة النشرالاسلامى، قم، مؤسسة النشر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ط الثالثة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ضحى الاسلام، احمد امين، بيروت، دارالكتاب العربى، ط الاولى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الشيعة، آقا بزرگ الطهرانى، قم، مؤسسة اسماعيليان، 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بيروت، داراحياء التراث‌العربى، ط الاولى، </w:t>
      </w:r>
      <w:r>
        <w:rPr>
          <w:rFonts w:eastAsia="IRNazanin" w:cs="IRNazanin"/>
          <w:color w:val="111111"/>
          <w:sz w:val="28"/>
          <w:szCs w:val="28"/>
          <w:lang w:bidi="fa-IR"/>
        </w:rPr>
        <w:t>142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طرائف المقال، السيد على اصغر الجابلقى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محمد الرجايى، قم، ط الاولى</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فى معرفة مذاهب الطوائف، رضى الدين ابى القاسم على بن موسى ابن طاووس الحسنى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مطبعة الخيام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ترجمه داوود الهامى، قم، نويد اسلام، چ اول</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طرائق الحقائق، محمد معصوم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معصوم عليشاه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نايب‌الصّدر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محمد جعفر محجوب، ايران، كتابخانه سنايى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الحق حوار مع عالم جليل من اهل السنة و الجماعة، السيد جعفر مرتضى العاملى، بيروت، المركز الاسلامى للدراسات، ط الاولى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ظهر الاسلام، احمد امين، بيروت، دارالكتب العلمية ط الاولى</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عبدالله‌بن سَبأ وأساطير أُخرى، السيد مرتضى العسكرى العلّامة، بيروت، دار الزهراء، ط السادسة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عثمان‌بن‌عفان، على محمّد محمّد الصّلابى،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 الاولى</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علوم القرآن، عبدالرحمن بن‌على‌بن‌محمدبن على‌بن الجوزى القرشى عبدالرحمن ابى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مقدمه و تعليق عبدالفتاح عاشور، القاهرة، الزهراء للاعلام العربى، ط الاولى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با تعليقات بعض مراجع، السيد محمد كاظم الطباطبايى اليزدى، تهران، المكتبة العلمية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الشّيعة و دجّال القرن،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 بى‌نا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سنة و عقايد الشّيعة التقارب و التباعد، صالح الوردانى، بيروت، الغدير للدراسة والنشر، ط الاولى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العقدالفريد، احمدبن محمدبن عبدربّه الآندلسى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مفيد محمد قميحه، بيروت،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الاسلامية على ضوء تراث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جعفرالسبحانى، بيروت، الوكالة العالمية التوزيع و نقل به‌عربى جعفر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العقيدة و الشريعة فى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التطورالعقدى و التشريعى الاسلامى، اجناس جولد تسيهر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گلدزيهر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تعريب، محمد يوسف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حسن عبدالقادر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دارالكتب الحديثة عصر و مكتبة المشى ببغداد، ط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الحديث و نقش آن در شناخت و تهذيب احاديث، زين العابدين قربانى لاهيجى، قم، انتشارات انصاريان، چ اول</w:t>
      </w:r>
      <w:r>
        <w:rPr>
          <w:rFonts w:eastAsia="IRNazanin" w:cs="IRNazanin"/>
          <w:color w:val="111111"/>
          <w:sz w:val="28"/>
          <w:szCs w:val="28"/>
          <w:lang w:bidi="fa-IR"/>
        </w:rPr>
        <w:t>137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اليقين فى اصول الدين، محمدبن‌المرتضى المدعوالمولى محسن الفيض‌الكاشانى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علوم القرآن عند المفسّرين، مركز الثقافة و المعارف القرآنية، قم، مكتب الاعلام الاسلامى، ط الاولى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احمد بن سعيد بن الحزم الظاهرى الأندلسى أبى‌محمد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الاصول والفروع، تصحيح وضبط جمعى از علما، بيروت، دار الكتب العلمية ط الأولى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احمد بن سعيد بن الحزم الظاهرى الأندلسى أبى‌محمد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فى الملل و الاهواء و النحل، تحقيق محمد ابراهيم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عميرة، بيروت، دارالجليل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و بَنُوه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 حسين، القاهرة، دارالمعارف، ط الثانية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عبدالله‌البحرانى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امير، تحقيق مدرسة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الاولى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الخليل بن احمد الفراهيدى ابى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مهدى المخزومى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السمرايى، قم، منشورات دار الهجرة،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الرضاء، محمدبن‌على بن‌الحسين بن بابويه القمى‌ابى‌جعفر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 تذييل السيد مهدى الحسينى اللاجوردى، ناشر، رضا مشهدى</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ابراهيم بن محمد ثقفى كوفى ابو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جلال‌الدين حسينى ارموى، تهران، انجمن آثار ملى،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الكتاب والسنّة والادب، عبد الحسين الأمينى النجفى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مؤسسة الاعلمى للمطبوعات، ط الاولى</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الكبرى، احمدبن‌عبدالحليم بن‌تيميةالحرّانى الدمشقى‌الحنبلى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عبدالقادر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بيروت، دارالكتب العلمية، ط الاولى،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البارى بشرح صحيح الامام ابى عبدالله محمد بن اسماعيل البخارى، احمدبن على‌بن حجر العسقلانى شهاب الدين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داراحياء التراث العربى، ط الرابعة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تحقيق و تعليق محمد فؤاد عبدالباقى، عبدالعزيز بن باز بيروت، دارالكتب العملية، ط الاولى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تصحيح و اعتنابه حسان عبدالمنّان، بيروت، بيت الافكارالدولية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المنّان فى نسخ القرآن، على حسن العريض، مصر، مكتبة الخانجى مصر، ط الاولى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فتنة التكفير والحكم بغير ما أنزل الله، محمد ناصر الدين الالبانى، تقريض عبدالعزيز بن عبدالله بن باز، تعليق محمد بن صالح العُثَيمَين، يليها فتاوى حول التكفير بغير ما أنزل الله، الرياض عربستان، دارابن خزيمة للنشر والتوزيع، ط الثانية مزيدة و منقحة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فجر الاِسلام، يبحث عن الحياة العقلية فى صدر الاِسلام إلى آخر الدولة الاموية، احمد امين، القاهرة، مطبعة لجنة التأليف والترجمة والنشر، ط الثامنة</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الفخرى فى الآداب السّلطانية والدّول الاِسلامية، محمدبن على الطباطبا المعروف بابن الطقطقى، تحقيق عبد القادر محمد مايو، بيروت، دار القلم العربى، ط الأولى</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الاسلامية و حق الامّة السياسى، محمد ابراهيم الفيومى، قاهرة، دارالشروق، ط الاولى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مذاهب فرق اهل الامامة و اسمائها وذكر أهل مستقيمها من سقيمها واختلافها وعللها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بن موسى النوبختى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الثالث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صححه وعلق عليها السيد محمد صادق آل بحر العلوم، قم، دارالذخائر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روى نسخه طبع نجف</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القرق و بيان الفرقة الناجية، عبدالقاهربن طاهر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لجنة احياء التراث العربى، بيروت، دارالجليل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تحقيق وتعليق محمد محيى الدين عبدالحميد، بيروت،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 معاصرة تنسب الى الإسلام وبيان موقف الإسلام، غالب على‌عواجى، جدّة، المكتبة العصرية الذهبية، ط االأولى</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من الكافى،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على اكبرالغفارى، قم، دارالكتب الاسلامية، چاپ پنجم</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آفتات، شرح تفصيلى مفاهيم نهج البلاغه، عبدالمجيد معاديخواه، تهران، نشر ذره، چاپ اول</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سخنان حسين 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 حديث پژوهشكده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 نظر سازمان تبليغات، ترجمه على مؤيدى، قم، نشر معروف، چاپ اول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ابوهريرة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الامام السيد عبد الحسين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عبدالحسين شرف‌الدين الموسوى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اعداد و تحقيق مركز العلوم و الثقافة الاسلامية، قم، احياء التراث الاسلامى، بيروت، دارالمورخ، ط الاولى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فى اصول الائمة، محمد 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بن محمد حسين القائنى، قم، مؤسسة معارف اسلامى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الاولى</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اهل البيت المسمّى جواهر العقدين فى فضل الشرفين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العلم الجلى و النسب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 عبدالله الحسنى السمهودى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الثانى النسب الشريف، تحقيق موسى بنايى العليلى، بغداد، مطبعة العانى،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و نجاح المسائل فى عمل اليوم و الليلة، على بن موسى بن جعفر محمد بن طاووس الحسنى الحسينى ابى‌القاسم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غلام الحسين المجيدى، قم، مركز انتشارات دفتر تبليغات اسلامى حوزه علميه قم، ط الاولى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فلسفة التوحيد و الولاية، محمدجواد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مركز مطبوعات دارالتبليغ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الرضوية فى أحوال علماء المذهب الجعفرية، الشيخ عباس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به‌كوشش دكتر عقيقى بخشايشى، قم، نويد اسلام، چ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العلمية، السيد على الموسوى البهبهانى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اهواز، مكتبة دارالعلم، طالثانية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محدث الاسترآبادى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الفوائدالبهية فى شرح عقائد الامامية، محمدجميل‌حمّود، بيروت، مؤسسة الاعلمى للمطبوعات، ط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كتب الشّيعة و اصولهم و اسماء المصّنفين و اصحاب الاصول، محمدبن‌الحسن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ابى‌جعفر معروف بالشيخ الطوسى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عبدالعزيز الطباطبائ، قم، مكتبة المحقق الطباطبائى، ط الاولى</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ابن 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و اعتنابها الشيخ ابراهيم رمضان، بيروت، دارالمعرفة، ط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ادب مصر الفاطمية، محمد كامل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دارالفكرالعربى، ط الثانية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مذاهب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عامرالنجّار،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الهيئة المصرية العامة للكتاب،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 شرح جامع الصّغير، محمدعبدالرؤف المناوى، تحقيق احمد عبدالسلام، بيروت، دارالكتب العلمية، ط الاولى</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بدون تحقيق بيروت،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محمد تقى التسترى، تحقيق مؤسسة النّشر الاسلامى التابعة لجماعة المدرسين، قم، مؤسسة النشر الاسلامى، ط الاولى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محمد بن يعقوب الفيروزآبادى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اعداد و تقديم محمد عبدالرحمن المرعشى، طبع جديد و مصححه بيروت، دار احياء التراث العربى،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طبعة فنية محققه و مصححه، بيروت داراحياء، ط الاولى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التفسير، احمد الشرباضى، بيروت، دارالجليل، ط الأولى</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الصّراح فى البخارى و صحيحه الجامع، شيخ الشريعة الاصفهانى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جعفر سبحانى، تحقيق حسين الهرساوى، قم، مؤسسة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الاولى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قسم الإحياء التراث مركز البحوث دارالحديث، قم، دار الحديث، ط الأولى</w:t>
      </w:r>
      <w:r>
        <w:rPr>
          <w:rFonts w:eastAsia="IRNazanin" w:cs="IRNazanin"/>
          <w:color w:val="111111"/>
          <w:sz w:val="28"/>
          <w:szCs w:val="28"/>
          <w:lang w:bidi="fa-IR"/>
        </w:rPr>
        <w:t>143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تصحيح وتعليق على اكبر الغفارى، بيروت، دارالأضواء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ألأصول من الكافى، همان، طهران، دار الكتب الاسلامية، چاپ چهارم</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على‌بن‌عبد الواحد الشيبانى المعروف بابن الأثير الجزرى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حقّقه واعتنى به‌عبدالسّلام تدمرى، بيروت، دارالكتاب العربى، ط الثانية</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بيروت، دارصادر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ضعفاء الرّجال، عبدالله بن‌عدى الجرجانى ابى‌احمد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سهيل ذكار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بيروت، دارالفكر، ط الثانية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الامالى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به‌الأمالى الخمسية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يحيى بن الحسين الشجرى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امامان زيديه متوفى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ترتيب محيى الدين محمد بن على بن الوليد القرشى، بيروت،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كتاب الرجال ابى جعفر احمد بن على ابى‌عبدالله البرقى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الحسن‌بن على‌بن داود الحلّى تقى‌الدين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چاپخانه دانشگاه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ابوالقاسم الخويى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دار الهادى، ط الثالثة</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تهران، مؤسسة تنظيم و نشرآثار، ط الأولى</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روح الله‌الموسوى الامام الخمينى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مؤسسة اسماعيليان،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محمدرضا الگلپايگانى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دارالقرآن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كتابخانه ابن طاووس واحوال وآثار او، إتان كلبرگ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سيدعلى قرائى، رسول جعفريان، قم، كتابخانه آية الله مرعشى نجفى، ط</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غوامض التنزيل وعيون الاقاويل فى وجوه التأويل، محمودبن‌عمر الزمخشرى جارالله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بذيله اربع كتب، بيروت، دارالكتاب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الارتياب فى اتباع محمد بن عبد الوهاب، السيد محسن أمين العاملى، تحقيق و مقدمة 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الحرمين، ط الثانية</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الاسرار، السيد روح الله‌الموسوى الامام الخمينى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 بى‌نا، 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الحثيث عمن رمى بوضع الحديث، برهان‌الدين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صبحى السامرايى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المكتبة النهضة العربية، ط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و مزيل الالباس، اسماعيل‌بن‌محمد العجلونى الجراحى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 الكتب العلمية، ط الثانية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الظنون عن اسامى الكتب والفنون، مصطفى بن‌عبدالله الرومى الحنفى الشهير بالملا كاتب الجلبى المعروف بحاجى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دارالفكر للطباعة والنشر،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بيروت، داراحياء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الغطاء عن مبهمات الشّريعة الغرّاء، جعفركاشف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مكتبة الاعلام الاسلامى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خراسان، قم، بوستان كتاب، ط الاولى</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فى شرح تجرى الاِعتقاد، الحسن بن يوسف المطهر الحلّى جمال الدين مشهور بعلامة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 مقدمة وتعليق حسن زاده آملى، قم، مؤسسة النشر الإسلامى التبعة لجماعة المدرسين، ط الخامسة</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المهجة لثمرة المهجة، على بن موسى بن جعفر محمد بن طاووس الحسنى الحسينى ابى‌القاسم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النجف، المطبعة الحيدرية</w:t>
      </w:r>
      <w:r>
        <w:rPr>
          <w:rFonts w:eastAsia="IRNazanin" w:cs="IRNazanin"/>
          <w:color w:val="111111"/>
          <w:sz w:val="28"/>
          <w:szCs w:val="28"/>
          <w:lang w:bidi="fa-IR"/>
        </w:rPr>
        <w:t>137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چاپ قم، مكتبة الداورى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احمد بن محمد بن ابراهيم الثعلبى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ابى محمد بن عاشور، مراجعة الساعدى، بيروت، دار إحياء التراث العربى،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كشف‌الغمّة فى معرفة الأئمّة، على‌بن عيسى بن ابى‌الفتح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دارالكتاب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فى النّص على الأئمّة الاِثنى عشر، الخزار القمى‌الرّازى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عبداللطيف الحسينى الكوه‌كمرى الخويى، قم، انتشارات بيدار،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الكفاية فى علم الرواية، احمدبن‌على‌بن‌ثابت المروف بالخطيب البغدادى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 الفكر،</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الكلينى و الكافى، عبدالرسول الغفار، قم، مؤسسة النشر الإسلامى التابعة لجماعة المدرسين، ط الأولى</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الكلينى وتأويلاته الباطنية فى الآيات القرآنية فى كتابه اصول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فى العقائد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صلاح عبد الفتاح الخلدى، عمان، دار عمار للنشر والتوزيع،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محمدبن‌على بن‌الحسين بن بابويه القمى‌ابى‌جعفر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على اكبر الغفارى، قم، مؤسسة النشر الإسلامى التابعة لجماعة المدرسين، ط الرابعة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فى سنن الاقوال والافعال، صحّحه و وضع فهارسه الشيخ صفوة السقا، المتقى بن حسام الدين الهندى علاءالدين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نبطه و فسّر غريبه الشيخ بكرى حيانى، بيروت، مؤسسة الرسالة،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الكنى والالقاب، الشيخ عباس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مقدمة محمد هادى الأمينى، طهران، مكتبة الصدر، چاپ پنجم</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لؤلؤةالبحرين فى الإجزات وتراجم رجال الحديث، يوسف احمد البحرانى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وتعليق السيد محمد صادق بحرالعلوم، قم، بهرام،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احمدبن على‌بن حجر العسقلانى شهاب الدين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مؤسسة الأعلمى، ط الثانية</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 على اكبردهخدا، زير نظر دكتر محمد معين و دكتر سيد جفر شهيدى، تهران، مؤسسه انتشارات وچاپ دانشگاه تهران، چاپ اول</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لمحات فى الكتاب والحديث، لطف الله الصافى، قم، الدراسات الإسلامية، مؤسسة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مباحث فى تدوين السنّة المطهرة، ابواليقظان عطية الجبورى، بيروت، دارالندوة الحديدة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مباحث فى علوم القرآن، منّاع القطّان، بيروت، مؤسسة الرسالة، ط الرابعة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فى فقه الامامية، محمدبن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ابى‌جعفر معروف بالشيخ الطوسى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السيد محمد تقى الكشفى،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المرتضويه لاحياء الآثار الجعفرية، ط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المجدى فى أنساب الطالبيين، على بن محمد بن على بن محمد العلوى العمرى النسابة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احمد المهدوى الدامغانى، قم، مكتبة آيةالله المرعشى النجفى، ط الأولى</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فى تفسير القرآن، ابى على الفضل‌بن الحسن الطبرسى امين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اعلام القرن السادس الهجرى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السيد محسن الامين العاملى، تحقيق و تعليق لجنة من العلماء، بيروت، مؤسسة الاعلمى للمطبوعات،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على بن ابى بكر الهيتمى نورالدين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بتحرير الحافظين الجليلين العراقى و ابن حجر، بيروت، دارالكتب العربى، ط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الفائده فى شرح ارشادالاذهان، المولى أحمد الأردبيلى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جامعة المدرسين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الفتاوى، احمدبن‌عبدالحليم بن‌تيميةالحرّانى الدمشقى‌الحنبلى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انور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الجزّار، بيروت، دارالوفا، طالثالثة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احمدبن محمدبن خالد البرقى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جلال الدين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المحصّل و هو محصّل افكار المتقدّمين و المتأخّرين من الحكماء و المتكلّمين، محمد ابن‌عمر بن‌حسين فخرالرّازى ابوعبدالله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 تقديم دكتورحسين‌أتاى، القاهرة، مكتبة التّراث، ط الأولى</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المحيط فى اللغة، اسماعيل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محمد حسن آل ياسين، بيروت، عالم الكتب، ط الاولى</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التّحفة الإثنى عشرية، شاه عبدالعزيز غلام حكيم الدّهلوى، نقله من الفارسية الى العربية سنة</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ق، الشيخ غلام بن محيى الدين بن عمر الأسلمى، إختصره وهذّبه سنة</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السيد محمود الآلوسى، تركيه استانبول</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المزنى، اسماعيل‌بن‌يحيى المزنى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الوجيز فى علوم الحديث، محمد عجاج الخطيب، بيروت، مؤسسة الرسالة ناشرون، ط الأولى</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فى اخبار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ابى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 بن ابى الفداء عمادالدين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كتاب البلدان، احمدبن محمد الهمدان المعروف بإبن‌الفقيه، ليدن، مطبع بريل،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السيد هاشم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عزت الله المولايى الهمدانى، قم، مؤسسة المعارف الاسلامية، ط الاولى</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مذاهب التفسير الاِسلامى، محمد يوسف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عبدالقادر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تحقيق و تعليق عبدالحكيم النّجار، مصر، مكتبة الخانجى</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مرءات الجنان و عبرة اليقضان فى معرفة مايعتبر من حوادث الزّمان، عبدالله بن اسعد بن على بن سليمان اليافعى الميمنى المكّى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وضع الحواشيه خليل المنصور، بيروت، دارالكتب العلمية، ط الاولى</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مرءات العقول فى شرح اخبارآل الرّسول، محمد باقر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دارالكتب الإسلامية،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مرءات الكتب، ميرزاعلى آقا ثقة الاسلام تبريزى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 عبدالله ثقةالاسلامى، چاپ اول</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السيد عبدالحسين شرف‌الدين الموسوى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ايران، دارالاسوة للطباعة، ط الرابعة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دار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حسين الراضى، السيد عبدالحسين شرف‌الدين الموسوى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المجمع العالمى لأهل‌البيت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 المعارف فى تعيين مراقد العلويين و الصّحابة والتابعين والرّواة والعلماء والادباء والشّعراء، محمد حرزالدين، تحقيق وتعليق محمد حسين حرز الدين، نجف اشرف، مطبعة الآداب فى النجف الأشرف،</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 معادن الجوهر، على بن الحسين المسعودى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محيى الدين عبدالحميد، بيروت، دارالمعرفة، ط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السروّية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مفيد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محمدبن محمدبن النعمان بن المعلم الشيخ المفيد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قسم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المؤتمر العالمى لألفية الشيخ المفيد، ط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 الشيعة فى مختصر تواريخ الشّريعة، محمدبن محمدبن النعمان بن المعلم الشيخ المفيد البغدادى، تحقيق الشيخ مهدى نجف، بيروت، دار المفيد، ط الأولى</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التقريب بين اهل السّنة والشّيعة، ناصربن‌عبدالله على‌القفارى، رياض، عربستان، دار طيبة للنشر والتوزيع،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محمدبن محمد 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الدكتور يوسف المرعشلى، بيروت، دارالمعرفة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همان، دراسة وتحقيق مصطفى عبدالقادر عطا، بيروت، دارالكتب العلمية، ط</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سفينة البحار، على النمازى الشاهرودى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حسن بن على النمازى، قم، مؤسسة النشر الإسلامى لجماعة المدرسين،</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المستصفى فى علم الاصول وبذيله فواتح الرحموت بشرح مسلم الثبوت فبى أصول الفقه، محمدبن محمد الغزّالى ابى‌حامد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مطبعة الأميرية،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بولاق مصر المحمية، المطبعة الأميرية، ط الأولى</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مستمسك العروة الوثقى، السيد محسن الطباطبايى الحكيم، بيروت، داراحياء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راهويه، اسحق بن ابراهيم بن مخلد الحنظلى المزورى ابن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عبدالغفور عبدالحق حسين البرد البلوسى، مدينة منورة، مكتبة الإيمان، ط الأولى</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ابويعلى الموصلى، احمدبن على‌بن المثنى التميمى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حسين سليم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دارالمأمون التراث دارالثقافة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ابى داود الطيالسى، سليمان بن داود بن الجارود الفارسى البصرى الشهير بأبى داود الطيالسى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احمدبن‌حنبل، أحمدبن‌حنبل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صدقى محمد جميل العطار، بيروت، دار الفكر، ط الثانية</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شرحه و وضع فهرسه حمزة احمد الزين، القاهرة، دار الحديث، ط الأولى</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بيروت، دارصادر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الشاميين، سليمان بن احمد بن ايوب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حمدى عبدالمجيد السلفى، بيروت، مؤسسة الرسالة، ط الثانية</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عزيزالله‌عطاردى الخبوشانى، مشهد، المؤتمر العالمى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المشبهة فى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اسماؤهم و انسابهم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محمدبن‌احمد بن عثمان‌الذّهبى شمس‌الدّين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على‌محمدالبجاوى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داراحياء الكتب العربية، ط الاولى</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 الشمسين، بهاءالدّين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مكتبة بصيرتى،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مشكل الآثار، احمدبن محمدبن سلامةبن مسلمة الحنفى الهروى ابى جعفر الطحاوى، بيروت، دارصادر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المصاحف، عبدالله بن أبى داود سليمان بن الاشعث السجستانى ابى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دارالكتاب العلمية، ط الاولى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منسوب إلى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مؤسسة الأعلمى، ط الأولى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المطالب العالية لزوائد المسانيد الثّمانية، احمدبن على‌بن حجرالعسقلانى شهاب الدين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حبيب الرحمن الاعظمى، بيروت، دارالمعرفة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الدكتور السالوس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الشيعة الإثنى عشرية فى الاصول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جاسم الموسوى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شاكر عطيةالساعدى لجنة التأليف، بيروت، مركز الزهراء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الدّكتور القفارى فى اصول مذهبه اهل السّنة ورواتها، ابوالفضل الاسلامى، قم، نشر الفقاهة، ط الثانية</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الدكتور القفارى فى اصول مذهبه حول القرآن الكريم و التشيع، ابوالفضل الاسلامى، قم، نشرالفقاهة، ط الاولى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الدّكتور على احمد السالوس فى كتابه فقه الشّيعة الاِمامية، السيد أميرمحمد الكاظم القزوينى، قم، دائرة الفقه المعارف الإسلامى طبقا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مركز الغدير للدراسات الإسلامية، ط الأولى</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الشيعة الإثنى عشرية فى الاصول والفروع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احمد على السالوس، دوحة، دارالتقوى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دارالثقافة، ط الأولى</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فى فهرست كتب الشّيعة و اسماء والمصنّفين قديماً و حديثاً، محمدبن‌على‌بن شهرآشوب المازندرانى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نجف، المطبعة الحيدرية</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المدرستين، السيد مرتضى العسكرى العلّامة، ايران، مركز الطباعة والنشرللمجمع العالمى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الاخبار، محمدبن‌على بن‌الحسين بن بابويه القمى‌ابى‌جعفر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الاعلمى، تصحيح على اكبر الغفارى، بيروت، مؤسسة الاعلمى، ط الاولى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الاوسط، سليمان بن احمد بن ايوب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ابراهيم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همان، تحقيق محمود الطحّان، الرياض، مكتبة المعارف، الاولى،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بن عبدالله الحموى الرومى البغدادى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محمد عبدالرحمن المرعشلى، بيروت، دار إحياء التراث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العربى، طبع مصححة و منقحة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سليمان بن احمد بن ايوب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 مراجعه عبدالرحمن محمد عثمان، بيروت، دارالفكر، ط الثانية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الفروق اللغوية، ابوهلال العسكرى، قم، مؤسسة النشر الإسلامى التابعة لجماعة المدرسين، ط الأولى</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احمد بن ايوب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حمدى عبدالمجيد السلفى، القاهرة مكتبة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 بيروت، دارإحياء التراث العربى، ط</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تراجم مصنفى الكتب العربية، عمررضا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مطبعة داراحياء التراث العربى، الناشر مكتبة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المصطلحات والالفاظ الفقهية، محمود عبدالرحمن عبدالمنعم، قاهرة، دار الفضيلة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 تفصيل طبقات الرواة، السيد ابوالقاسم الخويى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دارالزهراء للطباعة والنشر والتوزيع، ط الثالثة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لغة الفقهاء، محمد رواس قلعه جى، بيروت، دارالنفائس، ط الأولى</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مقاييس‌اللغة، احمدبن ذكريابن فارس ابى‌الحسين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 ضبط عبدالسلام محمد هارون، ايران، مركز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الاعلام الاسلامى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علوم الحديث، محمدبن‌عبدالله الحاكم النّيسابورى ابى‌عبدالله، شرح و مراجعة سعيد محمد اللّحام، بيروت، دارالمكتبة الهلال، ط الاولى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 الموازنة فى فضائل الامام اميرالمؤمنين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أفضيلته على جميع العالمين بعد الانبياء والمرسلين، محمدبن‌عبدالله المعتزلى ابوجعفر الاسكافى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المحمودى بيروت، مؤسسة فؤاد بعينو للتجليد للتجليد، ط الاولى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المغنى فى ابواب التوحيد و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السادس عشر اعجاز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عبدالجبار الاسدآبادى ابى الحسن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مقايسه نسخه ها امين الحوّلى، امارات، مطبعة دارالكتب، ط الاولى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الاسرار و مصابيح الابرار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محمدبن‌عبدالكريم الشهرستانى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تعليق محمد على آذر شب، طهران، مركز البحوث والدراسات للتراث المخطوط، ط الاولى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مفاخر اسلام، على دوانى، تهران، انتشارات مركز اسناد انقلاب اسلامى، چاپ دوم با تجديد نظر واضافات</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 عن العدل و الامامة و حقوق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جعفرالسبحانى، قم، مؤسسة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الاولى</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فى غرائب القرآن، حسين بن محمد، المعروف بالراغب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ضبط هيثم طعيمى، بيروت، داراحياء التراث العربى، ط الاولى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على بن الحسين بن محمد بن احمد بن الهيثم بن عبدالرحمن بن مروان ابوالفرج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مقدمه و اشراف كاظم المظفر، قم، نجف، مؤسسة دارالكتاب للطباعة و النشر</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الإسلاميين وإختلاف المصلين، على‌بن اسماعيل ابى الحسن الأشعرى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محيى الدين عبد الحميد، بيروت، المكتبة العصرية للطباعة والنشر،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المقالات والفرق، سعدبن‌عبدالله ابى‌خلف الاشعرى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 مقدمه و تعليق محمد جواد مشكور، طهران، مطبعة حيدرى</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مقالة التشبيه و موقف اهل السنة منها، جابربن‌ادريس بن على امير، رياض، مكتبة الأضواء السلف، ط الأولى</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مرءاة العقول فى شرح اخبار آل الرسول، السيد مرتضى العسكرى العلّامة، تهران، دارالكتب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سوم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 الحسين على الأحمدى الميانجى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دار الحديث، ط الأولى</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محمدبن‌عبدالكريم الشهرستانى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محمد سيد گيلانى، بيروت، دارالمعرفة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حياة الخليفة عمربن الخطاب، احمدالبكرى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محمدبن‌على بن‌الحسين بن بابويه القمى‌ابى‌جعفر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على اكبر الغفارى، قم، مؤسسة النشر الاسلامى التابعة لجماعة المدرسين، ط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منارالهدى فى النصّ على إمامة الائمّة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على‌البحرانى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به شهادت رسيده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تنقيح و تحقيق و تعليق السيد عبدالزّهراء الخطيب، بيروت، دارالمنتظر، ط الاولى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محمدبن‌على‌بن شهرآشوب المازندرانى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فهرست يوسف البقاعى، بيروت، دارلاضواء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الامام امير المؤمنين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سليمان الكوفى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المحمودى، قم، مجمع احياء الثقافة الاسلامية، طالاولى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الامام على‌بن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 محمد الشافعى الشهير بابن المغازلى الفقيه ابى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دارالاضواء، ط الثانية مزيدة و منقحة</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العرفان فى علوم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ما قرّرة مجلس الازهر الاعلى فى دراسة تخصص الكليات الازهرية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محمدعبدالعظيم الزرقانى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علوم القرآن و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داراحياء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مناهل العرفان فى علوم القرآن، محمدعبدالعظيم الزرقانى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احمد طعمه حلى، بيروت، دارالمعرفة، ط الثانية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فى تاريخ الملوك والامم، عبدالرّحمن بن الجوزى الحنبلى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دراسة و تحقيق محمد عبدالقادر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عبدالقادر، مراجعة و تصحيح زر زور، بيروت، دارالكتب العلمية، طالأولى</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منتقد المنافع فى شرح المختصر النافع، المولى حبيب الله‌بن‌على مدد الشريف‌الكاشانى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الاعداد و التحقيق مركز العلوم و الثقافة الاسلامية، قم، الاحياء التراث الاسلامى، قم، بوستان كتاب، چ اول </w:t>
      </w:r>
      <w:r>
        <w:rPr>
          <w:rFonts w:eastAsia="IRNazanin" w:cs="IRNazanin"/>
          <w:color w:val="111111"/>
          <w:sz w:val="28"/>
          <w:szCs w:val="28"/>
          <w:lang w:bidi="fa-IR"/>
        </w:rPr>
        <w:t>143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الجمان فى الاحاديث الصحاح والحسان، جمال الدين الحسن بن زين الدين 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تعليق وتصحيح على اكبر الغفارى، قم، مؤسسة النشرالإسلامى التابعة لجماعة المدرسين،</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الامال فى شرح حديث إنّما الاعمال، جلال الدين السيوطى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دراسة و تحقيق مصطفى عبدالقادرعطا، بيروت، دارالكتب العلمية، ط الأولى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بيروت، دار الفكر،</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منتهى المقال فى احوال الرّجال، محمد بن اسماعيل المازندرانى ابوعلى الحائرى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ط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تدوين‌الحديث أسبابٌ و نتائج، على الشّهرستانى، بيروت، مؤسسة الاعلمى للمطبوعات، ط الاولى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السّنّة النّبوية فى نقض كلام الشّيعة والقدرية، احمدبن‌عبدالحليم بن‌تيميةالحرّانى الدمشقى‌الحنبلى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 أحاديثه وآيته وحواشيه عبدالله‌محمود محمدعمر، بيروت، منشورات محمدعلى بيضون دارالكتب‌العلمية، طالأولى</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بيروت، المكتبة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تحقيق محمد رشاد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قرطبة، ط الأولى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الكرامة فى الاِمامة، الحسن بن يوسف المطهر الحلّى جمال الدين مشهور بعلامة الحلى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مقدمة و تعليق الميرزا ولى‌الله الاشراقى السرابى، تبريز، چاپ شفق المكتبة الصابرى،</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تحقيق عبدالرّحيم مبارك، قم، 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پژوهش‌هاى عاشورا، ط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الموافقات فى اصول الشريعة، ابراهيم بن موسى اللخمى الغرناطى المالكى ابى اسحق الشاطبى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المواقف فى علم الكلام، عبدالرّحمن‌بن احمد الإيجى‌القاضى، بيروت،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الاحاديث و الآثارالضعيفة والموضوعة، على‌حسن‌على‌الحلبى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الرياض، مكتبة المعارف النشر و التوزيع، ط الاولى</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جعفر الخليلى، بيروت، مؤسسة الاعلمى، ط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الابيارى، جمع وتصنيف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سجل العرب باشراف ابراهيم عبده،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الموسوعة الوهابية والشّيعة الاِمامية، محمد سوقى الحداد، بيروت، الغدير للطباعة والنشر والتوزيع، ط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عبدالرحمن بن‌على‌بن‌محمدبن على‌بن الجوزى القرشى عبدالرحمن ابى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عبد الرحمن محمد عثمان، مدينة، محمد عبد المحسن صاحب المكتبة السلفية بالمدينة المنورة، ط الأولى</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بيروت، دار الفكر، ط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موطأ الاِمام مالك، ابن مالك، رواية يحيى بن يحيى الليثى، اعداد احمد راتب عرموش، بيروت، دار النفائس، ط الحادية عشر</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محمدبن‌احمد بن عثمان‌الذّهبى شمس‌الدّين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على محمدالبجاوى، بيروت، دار المعرفة، ط الأولى</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 القرآن، السيد محمد حسين الطباطبايى، طهران، دارالكتب الإسلامية، ط الثانية</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محمدحسين الطباطبايى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مؤسسة الأعلمى، ط الأولى</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تفسير الميزان، ترجمه سيد محمد باقر موسوى همدانى، قم، انتشارات اسلامى وابسته بجامعه مدرسين</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نسيم الرّياض فى شرح الشّفا القاضى عياض، احمد شهاب الدين الخفاجى المصرى، و بهامشه شرح الشفا لعلى القارى، بيروت،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النشأء التشيع، السيد طالب الخراسانى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انتشارات 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نشأة التّشيع و الشّيعة، السيد محمد باقر الصدر، تحقيق عبدالجبارشراره، ايران، مركز الغدير للدراسات الاسلامية، ط الاولى</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والاجتهاد، السيد عبدالحسين شرف‌الدين الموسوى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مؤسسة الاعلمى للمطبوعات، ط رابعة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الحكم فى الشريعة و التاريخ الاسلامى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الاول الحياة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ظافر القاسمى، بيروت، دارالنفائس، ط الخامسة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نظرات الخالدة، حامد حفنى داود، تحقيق السيد مرتضى الرضوى، قاهرة، مطبوعات النجاح، ط الاولى</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الامامة لدى الشّيعة الاثنى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فلسفى للعقيدة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احمد محمود، بيروت، دارالنهضة العربية</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النّظرية السّياسية المعاصرة للشّيعة الامامية الاثنى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 نقديه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 اردن، محمدعبدالكريم عتّوم، دارالبشر، ط الاولى</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عدالة الصّحابة والمرجعية السياسية فى الاسلام، احمدحسين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مؤسسة انصاريان، ط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دررالسمطين، جمال الدين محمد بن يوسف بن الحسن محمد الزرندى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ايران، مطبعة من مخطوطات مكتبة الامام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الاولى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الازهار فى خلاصة عبقات الانوار، السيد على الحسينى الميلانى، قم، مهر، ط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الرجال، السيد مصطفى بن الحسين الحسينى التفرشى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 التراث، قم، ط الاولى</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الوشيعةأو الشّيعة بين الحقائق و الأوهام، السيد محسن أمين العاملى، بيروت، مؤسسة الاعلمى، ط الرابعة المحققة، فيها زيادات والاضافات المهمّة،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الدراية، السيد حسن الصّدر العاملى الكاظمى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ماجد الغرباوى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فى غريب الحديث و الأثر، المبارك بن محمد الشيبانى الجزرى ابن 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طاهر احمد الزاوى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الطناحى، بيروت، المكتبة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فى مجرد الفقه و الفتاوى، محمدبن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ابى‌جعفر معروف بالشيخ الطوسى</w:t>
      </w:r>
      <w:r>
        <w:rPr>
          <w:rFonts w:eastAsia="IRNazanin" w:cs="IRNazanin"/>
          <w:color w:val="111111"/>
          <w:sz w:val="28"/>
          <w:szCs w:val="28"/>
          <w:rtl w:val="true"/>
          <w:lang w:bidi="fa-IR"/>
        </w:rPr>
        <w:t>) (</w:t>
      </w:r>
      <w:r>
        <w:rPr>
          <w:rFonts w:eastAsia="IRNazanin" w:cs="IRNazanin"/>
          <w:color w:val="111111"/>
          <w:sz w:val="28"/>
          <w:szCs w:val="28"/>
          <w:lang w:bidi="fa-IR"/>
        </w:rPr>
        <w:t>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بقلم آقا بزرگ طهرانى، قم، قدس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كشف الصدق، الحسن بن يوسف المطهر الحلّى جمال الدين مشهور بعلامة الحلى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تعليقة عين‌الله الحسنى الارموى و مقدمه السيد رضا الصدر، قم، منشورات دارالهجرة، ط پنجم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محمدبن‌المرتضى المدعوالمولى محسن الفيض‌الكاشانى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اصفهان، مكتبة الامام أميرالمؤمنين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الاولى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فى علم الرّجال، عبدالله السبزالى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مؤسسة الأعلمى، ط الأولى</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إلى معرفة الأوائل، جلال الدين السيوطى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ابراهيم العدوى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عمر، قاهرة، مكتبة الخانجى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الوشيعة فى نقد عقائد الشيعة، موسى جارالله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الكيلانى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وعاظ السّلاطين، على‌الوردى، كلية الآداب والعلوم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نصربن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شرح عبدالسلام محمد هارون، قم، منشورات مكتبة آية الله مرعشى نجفى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از روى نسخه المؤسسة العربية الحدية قاهرة، ط الثانية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الوهابيون خوارج أوسُنّة، نجاح الطايى، بيروت، دار الميزان، ط الأولى</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هدى‌السّارى مقدمة فتح البارى، احمدبن‌على‌بن حجرالعسقلانى شهاب الدين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طبعة جديدة و مصححة عبدالعزيزبن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محمدفؤاد عبدالباقى، بيروت، دارالكتب العلمية، ط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اسماء المؤلفين و آثارالمصنفين، اسماعيل باشا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هوية التشيع، احمد الوائلى، بيروت، مؤسسة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الثانية، فريده و منقحّة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بيروت، دار الأضواء، ط الثالثة</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سليمان بن ابراهيم القندوزى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السيد محمد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الخرسانى، نجف، منشورات المكتبة الحيدرية، ط السابعة</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وَ الْقَلَمِ وَ ما يَسْطُرُونَ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براصول الكافى، چاپ دارالكتب الاسلاميه، طهران، چاپ سوم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به‌تصحيح وتعليق على اكبر غفارى؛ الشّيخ الكلينى البغدادى و كتابه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مكتب‌الاعلام الاسلامى، ط الاولى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تأليف ثامرهاشم حبيب العميدى؛ خاتمه مستدرك الوسائل، خاتمه سوم و چهارم، الشيخ حسين النّورى الطبرسى، قم، مؤسسة آل‌البيت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لاحياء التراث، ط الاولى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المعجم المفهرس لِألفاظ أحاديث بحارالأنوار، قم، مركز الابحاث و الدّراسات، ط الاوّل</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عابدى</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احمدبن‌على الكوفى الاسدى، رجال النجاشى، تحقيق محمد جواد النائينى، بيروت، دار الأضواء، ط الأولى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٠</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العسقلانى، احمدبن محمد، تبصيرالمنتبه بتحريرالمشتبه، تحقيق على محمد البجاوى، بيروت، المكتبة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الامين، السيد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تحقيق وإخراج حسن الامين، بيروت، دار التعارف،</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الخوانسارى ميرزا محمد باقر، روضات‌الجنات فى احوال العلماء والسادات، تحقيق اسدالله اسماعيليان،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بى‌نا و 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العميدى، ثامرهاشم حبيب، دفاع عن‌الكافى دراسة نقدية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ايران، مركز الغديرللدراسات الإسلامية، ط الأولى</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آبادى، محمدبن‌يعقوب، القاموس المحيط، إعداد وتقديم محمد عبدالرحمن المرعشى، بيروت، دارإحياء،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النون فصل الكاف؛ الزبيدى، السيد محمدمرتضى، تاج العروس من جواهر القاموس، تحقيق على‌شيرى، بيروت، دار الفكر</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السّمعانى، عبدالكريم بن محمد، الانساب، تحقيق عبد الرحمن بن يحيى المعلمى اليمانى، حيدر آباد، مجلس دائرة المعارف العثمانية، ط الأولى</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11/141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السيدمهدى، الفوائدالرجالية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السيد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محمد صادق بحرالعلوم، طهران، مكتبة الصادق</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القمى، شيخ عباس، الكنى والالقاب، مقدمه محمد هادى الأمينى، تهران، مكتبة الصدر، چ پنجم</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دوانى، على، مفا خر اسلام، تهران، انتشارات مركز اسناد انقلاب اسلامى، چ دوم</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مقدمه اصول كافى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السيد محسن، اعيان الشّيعة، ج</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دوانى، مفاخر اسلام، ج</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العميدى، دفاع عن الكافى، ج</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مدرسى تبريزى، ريحانة الأدب، تهران، چاپخانه حيدرى، چ دوم</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مشاهدات خود محقق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قمى، شيخ عباس، الكنى والالقاب، ج</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شوشترى در كتاب مجالس المؤمنين، تهران، كتابفروشى اسلاميه، چ چهارم</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مى‌آورد كه به‌خط قطب‌الدين رازى ديدم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نسبت دادن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شود، اما علت اضافه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رازى گفته مى شود، اين است كه دو نفر به‌نام‌هاى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شهر را ساختند ولى روى نامگذارى آن باهم دچار اختلاف شدند ولى سرانجام به‌اين نتيجه رسيدند كه شهر را به‌نام 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بگذارند اما هنگام نسبت دادن به‌نام ديگرِى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دهند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شوشترى در كتاب مجالس المؤمنين، تهران، كتابفروشى اسلاميه، چ چهارم</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مبارك بن محمد الشيبانى الجزرى، جامع الاصول فى أحاديث الرسول، إخراج أحاديث و تعليق عبدالقادر الأرناؤوط، بيروت، دارالفكر،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11/323</w:t>
      </w:r>
      <w:r>
        <w:rPr>
          <w:rFonts w:ascii="IRNazanin" w:hAnsi="IRNazanin" w:eastAsia="IRNazanin"/>
          <w:b w:val="false"/>
          <w:b w:val="false"/>
          <w:bCs w:val="false"/>
          <w:i w:val="false"/>
          <w:i w:val="false"/>
          <w:iCs w:val="false"/>
          <w:color w:val="333333"/>
          <w:sz w:val="20"/>
          <w:sz w:val="20"/>
          <w:szCs w:val="20"/>
          <w:rtl w:val="true"/>
        </w:rPr>
        <w:t>، ذيل رقم</w:t>
      </w:r>
      <w:r>
        <w:rPr>
          <w:rFonts w:eastAsia="IRNazanin" w:cs="IRNazanin"/>
          <w:b w:val="false"/>
          <w:bCs w:val="false"/>
          <w:i w:val="false"/>
          <w:iCs w:val="false"/>
          <w:color w:val="333333"/>
          <w:sz w:val="20"/>
          <w:szCs w:val="20"/>
        </w:rPr>
        <w:t>8881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ابوجعفر محمدبن يعقوب الرازى من الإمامية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كحالة، عمر رضا، معجم المؤلفين تراجم مصنفى الكتب العربية، بيروت، مطبعة دار 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الكلينى‌الرّازى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قمى، شيخ عباس، الكنى والالقاب،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الزبيدى، تاج العروس، ج</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ايضاً با السلسلى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كحاله، عمر رضا، معجم المؤلفين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قمى، الكنى والالقاب، ج</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بحرالعلوم، السيد مهدى، الفوائدالرجالية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الامين، السيد محسن، أعيان الشيعه، ج</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طهرانى، آقابزرگ، طبقات اعلام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مرحوم كلينى از ناحيه چشم دچار مشكل بوده كه به‌أعور شناخته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محمدبن الحسن، رجال الطوسى، النجف، منشورات المكتبة الحيدرية، ط الأولى</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فى من لم يرو عن الإئمه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الكلينى يكنى اباجعفر الاعور، جليل القدر، عالم بالاخبار، </w:t>
      </w:r>
      <w:r>
        <w:rPr>
          <w:rFonts w:eastAsia="IRNazanin" w:cs="IRNazanin"/>
          <w:b w:val="false"/>
          <w:bCs w:val="false"/>
          <w:i w:val="false"/>
          <w:iCs w:val="false"/>
          <w:color w:val="333333"/>
          <w:sz w:val="20"/>
          <w:szCs w:val="20"/>
          <w:rtl w:val="true"/>
        </w:rPr>
        <w:t>. . . .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البحرانى، يوسف‌بن‌احمد، لؤلؤةالبحرين فى‌الاجازات وتراجم رجال الحديث، تحقيق وتعليق السيد محمدصادق بحرالعلوم، قم، بهرام، چ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بغداد براى آزمودن باور شيعيان نسبت به‌امامان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خواست مرقد مطهر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تخريب كند دستيارش به‌او گفت اين آزمايش را در خصوص قبر كلينى از علماى بزرگ آنها عملى نما، قبر را شكافت جسد كلينى را تازه يافت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طهرانى، آقا بزرگ، طبقات اعلام الشّيعه، ج</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كركى، محقق، رسائل الكركى، تحقيق الشيخ محمد الحسّون، قم، جامعة المدرسين،</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دوانى، على، مفاخراسلام، ج</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قمى، الكنى والالقاب، ج</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مدرسى تبريزى، محمد على، ريحانه الأدب فى تراجم المعروفين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دوانى، على، مفاخر اسلام، ج</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قمى، الكنى والألقاب، ج</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كركى محقق، رسائل الكركى، ج</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جامع الاصول، ج</w:t>
      </w:r>
      <w:r>
        <w:rPr>
          <w:rFonts w:eastAsia="IRNazanin" w:cs="IRNazanin"/>
          <w:b w:val="false"/>
          <w:bCs w:val="false"/>
          <w:i w:val="false"/>
          <w:iCs w:val="false"/>
          <w:color w:val="333333"/>
          <w:sz w:val="20"/>
          <w:szCs w:val="20"/>
        </w:rPr>
        <w:t>11/323</w:t>
      </w:r>
      <w:r>
        <w:rPr>
          <w:rFonts w:ascii="IRNazanin" w:hAnsi="IRNazanin" w:eastAsia="IRNazanin"/>
          <w:b w:val="false"/>
          <w:b w:val="false"/>
          <w:bCs w:val="false"/>
          <w:i w:val="false"/>
          <w:i w:val="false"/>
          <w:iCs w:val="false"/>
          <w:color w:val="333333"/>
          <w:sz w:val="20"/>
          <w:sz w:val="20"/>
          <w:szCs w:val="20"/>
          <w:rtl w:val="true"/>
        </w:rPr>
        <w:t>، ذيل رقم</w:t>
      </w:r>
      <w:r>
        <w:rPr>
          <w:rFonts w:eastAsia="IRNazanin" w:cs="IRNazanin"/>
          <w:b w:val="false"/>
          <w:bCs w:val="false"/>
          <w:i w:val="false"/>
          <w:iCs w:val="false"/>
          <w:color w:val="333333"/>
          <w:sz w:val="20"/>
          <w:szCs w:val="20"/>
        </w:rPr>
        <w:t>8881</w:t>
      </w:r>
      <w:r>
        <w:rPr>
          <w:rFonts w:ascii="IRNazanin" w:hAnsi="IRNazanin" w:eastAsia="IRNazanin"/>
          <w:b w:val="false"/>
          <w:b w:val="false"/>
          <w:bCs w:val="false"/>
          <w:i w:val="false"/>
          <w:i w:val="false"/>
          <w:iCs w:val="false"/>
          <w:color w:val="333333"/>
          <w:sz w:val="20"/>
          <w:sz w:val="20"/>
          <w:szCs w:val="20"/>
          <w:rtl w:val="true"/>
        </w:rPr>
        <w:t>؛ طهرانى، آقابزرگ، طبقات اعلام الشيعه، ج</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قمى، الكنى والألقاب، ج</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الجزرى، جامع الاصول، ج</w:t>
      </w:r>
      <w:r>
        <w:rPr>
          <w:rFonts w:eastAsia="IRNazanin" w:cs="IRNazanin"/>
          <w:b w:val="false"/>
          <w:bCs w:val="false"/>
          <w:i w:val="false"/>
          <w:iCs w:val="false"/>
          <w:color w:val="333333"/>
          <w:sz w:val="20"/>
          <w:szCs w:val="20"/>
        </w:rPr>
        <w:t>11/323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الزبيدى، تاج العروس، ج</w:t>
      </w:r>
      <w:r>
        <w:rPr>
          <w:rFonts w:eastAsia="IRNazanin" w:cs="IRNazanin"/>
          <w:b w:val="false"/>
          <w:bCs w:val="false"/>
          <w:i w:val="false"/>
          <w:iCs w:val="false"/>
          <w:color w:val="333333"/>
          <w:sz w:val="20"/>
          <w:szCs w:val="20"/>
        </w:rPr>
        <w:t>9/322</w:t>
      </w:r>
      <w:r>
        <w:rPr>
          <w:rFonts w:ascii="IRNazanin" w:hAnsi="IRNazanin" w:eastAsia="IRNazanin"/>
          <w:b w:val="false"/>
          <w:b w:val="false"/>
          <w:bCs w:val="false"/>
          <w:i w:val="false"/>
          <w:i w:val="false"/>
          <w:iCs w:val="false"/>
          <w:color w:val="333333"/>
          <w:sz w:val="20"/>
          <w:sz w:val="20"/>
          <w:szCs w:val="20"/>
          <w:rtl w:val="true"/>
        </w:rPr>
        <w:t>؛ قمى، الكنى والألقاب، ج</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الزبيدى، تاج العروس، ج</w:t>
      </w:r>
      <w:r>
        <w:rPr>
          <w:rFonts w:eastAsia="IRNazanin" w:cs="IRNazanin"/>
          <w:b w:val="false"/>
          <w:bCs w:val="false"/>
          <w:i w:val="false"/>
          <w:iCs w:val="false"/>
          <w:color w:val="333333"/>
          <w:sz w:val="20"/>
          <w:szCs w:val="20"/>
        </w:rPr>
        <w:t>9/322</w:t>
      </w:r>
      <w:r>
        <w:rPr>
          <w:rFonts w:ascii="IRNazanin" w:hAnsi="IRNazanin" w:eastAsia="IRNazanin"/>
          <w:b w:val="false"/>
          <w:b w:val="false"/>
          <w:bCs w:val="false"/>
          <w:i w:val="false"/>
          <w:i w:val="false"/>
          <w:iCs w:val="false"/>
          <w:color w:val="333333"/>
          <w:sz w:val="20"/>
          <w:sz w:val="20"/>
          <w:szCs w:val="20"/>
          <w:rtl w:val="true"/>
        </w:rPr>
        <w:t>؛ قمى، الكنى والألقاب، ج</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ميرداماد، باقر الحسينى، الرّواشح السماوية فى شرح الاحاديث الامامية، قم، منشورات مكتبة آيةالله المرعشى،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دوانى، على، مفاخر اسلام،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السيد محسن، اعيان الشيعة، ج</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قمى، الكنى والالقاب، ج</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قمى، الكنى والالقاب، ج</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العميدى، ثامرهاشم‌الحبيب، الشيخ الكلينى البغدادى وكتابه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العميدى، ثامرهاشم‌الحبيب، الشيخ الكلينى البغدادى وكتابه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الفهرست، بكوشش محمود داميار، مشهد، چاپخانه دانشگاه مشهد،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الفهرست، بكوشش محمود داميار، مشهد، چاپخانه دانشگاه مشهد،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نجاشى، رجال‌النجاشى، ج</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الفهرست، بكوشش محمود داميار، مشهد، چاپخانه دانشگاه مشهد،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نجاشى، رجال‌النجاشى،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العميدى، ثامر هاشم الحبيب، الشيخ الكلينى البغدادى وكتابه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رجال البرقى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همراه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جلال الدين الحسينى، تهران، انتشارات دانشگاه تهران</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امام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امام 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امام عسكرى</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امام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امام‌هادى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امام عسكرى</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وثقه است، هرچند كه فطحى بوده ولى از آن برگشته و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نقل كرده است وكان أوثق الناس و أصدقهم لهجة و له كتاب الدلائل والمزار ونوادر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برقى، رجال البرقى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الطوسى،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النجفى، محمود درياب، المعجم الموحد لاعلام الأصول الرجالية والخلاصة العلامة، قم، مجمع الفكر الاسلامى، ط الاولى</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الحسن بن على، رجال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جلال الدين الحسينى، تهران، چاپخانه دانشگاه تهران،</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ق، قسم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ابوجعفر العطار، روى عنه كلينى وهو قمى كثير الرواية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الكافى، ج</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فى ان من اصطفاه الله من عباده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أنَّ الأئمة فى كتاب‌الله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أنّ القرآن يهدى للإمام،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صدقةالليل،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فى انّ الصدقة تزيد فى المال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الصدقة على القرابة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باب كفاية العيال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من‌الكافى،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باب تمام المعروف،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شهر رمضان،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احمدبن‌محمد، عن عثمان ابن‌عيسى، عن سماعة</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الفروع، ج</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باب صيام الترغيب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رقم هاى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الفرَوع من الكافى، ج</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باب صيام الترغيب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الحلى، حسن‌بن يوسف‌بن المطهر، خلاصة الاقوال فى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فائده سوم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به‌فروع كافى، ج</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باب صيام الترغيب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روضه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5741/1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الكافى، ج</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باب ان الذى يقسم الصدقة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باب المعتكف يمرض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باب ان المتوسمين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الكافى،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الاكل من الهدى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سهل‌بن زياد، عن على بن اسباط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اتباع الحچ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معلى بن محمد، عن على بن اسباط</w:t>
      </w:r>
      <w:r>
        <w:rPr>
          <w:rFonts w:eastAsia="IRNazanin" w:cs="IRNazanin"/>
          <w:b w:val="false"/>
          <w:bCs w:val="false"/>
          <w:i w:val="false"/>
          <w:iCs w:val="false"/>
          <w:color w:val="333333"/>
          <w:sz w:val="20"/>
          <w:szCs w:val="20"/>
          <w:rtl w:val="true"/>
        </w:rPr>
        <w:t>. .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الكافى، ج</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الافاضة من عرفات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اصناف الحج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فى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علامه‌حلى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قم، منشورات‌الرضى، ط الثانية</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نقدالرّجال، تحقيق ونشر مؤسسة آل‌البيت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قم، ط الأولى</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قمى، الكنى والالقاب، ج</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رياض‌العلماء وحياض الفضلاء، تحقيق السيد احمدالحسينى، قم، مطبعة الخيام،</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الاستار عن اسماء الكتب والمنقار، قم، مكتبةآيةالله المرعشى،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فى الذيل على كشف الظنون عن اسامى الكتب والفنون، بيروت، دار 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هدية العارفين أسماء المؤلفين وآثار المصنفين، بيروت، دار 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فوائدالرضوية فى‌أحوال علماء المذهب الجعفرية، به‌كوشش دكترعقيقى بخشايشى، قم، نويد اسلام، چ اول</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قم، مؤسسة النشر الإسلامية التابعةلجماعة المدرسين، ط الأولى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تراجم مصنفى الكتب‌العربية، بيروت، مطبعة دارإحياءالتراث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12/116</w:t>
      </w:r>
      <w:r>
        <w:rPr>
          <w:rFonts w:ascii="IRNazanin" w:hAnsi="IRNazanin" w:eastAsia="IRNazanin"/>
          <w:b w:val="false"/>
          <w:b w:val="false"/>
          <w:bCs w:val="false"/>
          <w:i w:val="false"/>
          <w:i w:val="false"/>
          <w:iCs w:val="false"/>
          <w:color w:val="333333"/>
          <w:sz w:val="20"/>
          <w:sz w:val="20"/>
          <w:szCs w:val="20"/>
          <w:rtl w:val="true"/>
        </w:rPr>
        <w:t>؛ الاعلام قاموس تراجم لأشهرالرجال والنساء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بيروت، دارالعلم للملايين، ط الثانية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فى احوال العلماء والسادات، ج</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لثمرة المهجة، قم، مكتبة الداورى ازروى نسخه المطبعة الحيدرية نجف</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تحقيق على شيرى، بيروت، دار الفكر</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56/297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فى‌التاريخ، بيروت، دارالفكر</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دراين كتاب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سنة</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توفي محمد بن يعقوب وقتل ابوجعفر الكليني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قيل اشتباه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فى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فصل الميم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5/433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الكركى، ج</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 حياض الفضلاء، ج</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تأسيس‌الشّيعة لعلوم الاسلام، عراق، مركز النّشر والطباعة العراقية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على‌بن‌داود الحلى، رجال ابن‌داود، قسم الاول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تحقيق وإخراج حسن الأمين، بيروت، دارالتعارف للمطبوعات</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 ج</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مؤلف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9/661</w:t>
      </w:r>
      <w:r>
        <w:rPr>
          <w:rFonts w:ascii="IRNazanin" w:hAnsi="IRNazanin" w:eastAsia="IRNazanin"/>
          <w:b w:val="false"/>
          <w:b w:val="false"/>
          <w:bCs w:val="false"/>
          <w:i w:val="false"/>
          <w:i w:val="false"/>
          <w:iCs w:val="false"/>
          <w:color w:val="333333"/>
          <w:sz w:val="20"/>
          <w:sz w:val="20"/>
          <w:szCs w:val="20"/>
          <w:rtl w:val="true"/>
        </w:rPr>
        <w:t>، به‌اين‌كتاب استشهاد كرده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الى‌تصانيف الشيعة، بيروت، دار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21/9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الى‌تصانيف الشيعة، بيروت، دار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11/109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يرو عن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شيخ 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من‌لم يرو عن واحد من‌الائمة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الشيخ الكلينى البغدادى وكتابه 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فى‌معرفة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تحقيق و نشر مؤسسة النشر الإسلامى التّابعة لجماعة المدرسين، ط الأولى</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9/661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فى‌التاريخ، ج</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المسعودى، على بن الحسين، التنبيه و الاشراف، تصحيح ومراجعة عبدالله اسماعيل القاوى، عراق، دارالصاوى للطبع والنشر</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بن‌طاووس، كشف‌المحجة لثمرة المهجة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الخوانسارى، روضات الجنات فى أحوال العلماء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الشيخ الكلينى البغدادى</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ابن‌الجوزى، عبدالرحمن بن‌على‌بن‌محمد، المنتظم فى تاريخ الملوك و الأمم، دراسة وتحقيق محمد عبدالقادرعطا و مصطفى عبدالقادرعطا، مراجعه و تحقيق نعيم زر زور، بيروت، دارالكتب العلمية، ط الأولى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سال</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باتلخيص</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باب من لم يرو من احد الائمة رقم</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الشيخ الكلينى و كتابه الكافى</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الحلى، خلاصة الاقوال فى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835/37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 داود، رجال ابن داود، قسم الاول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ابن‌حجرالعسقلانى، لسان الميزان، ج</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 بيروت، دارالكتاب العربى</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به‌اشتباه به‌وى نسبت داده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دركوفه از دنيا رفته و در همان‌جا دفن شده است، العميدى، الشّيخ الكلينى و</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كه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ترجمه كلينى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يرو من احدالائمة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كلينى، قصر معروف منصور در مركز بغداد محور تقسيمات اين شهر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قصر چهار دروازه براى ورود افراد از چهار سوى قلمرو كشور اسلامى آن روز داشت و يكى از دروازه‌ها باب الكوفه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الحموى، ياقوت بن عبدالله، معجم البلدان، بيروت، دارصادر</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عبدالواحدبن احمد البزّاز ابوعبدالله المعروف بابن عبدون يا ابن الحاشر، از أساتيد نجاشى و شيخ طوسى است كه در ادبيات معروف و فراوان روايت نقل كرده و داراى تصانيف زيادى است، العميدى، الشّيخ الكلينى وكتابه 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56/297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فيها سنة ثمان وعشرين وثلاثمأة، ودفن بباب الكوفةفى مقبرتها</w:t>
      </w:r>
      <w:r>
        <w:rPr>
          <w:rFonts w:eastAsia="IRNazanin" w:cs="IRNazanin"/>
          <w:b w:val="false"/>
          <w:bCs w:val="false"/>
          <w:i w:val="false"/>
          <w:iCs w:val="false"/>
          <w:color w:val="333333"/>
          <w:sz w:val="20"/>
          <w:szCs w:val="20"/>
          <w:rtl w:val="true"/>
        </w:rPr>
        <w:t>. . .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الحموى، معجم البلدان، مجلد</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الصّرى دو نهرى بوده به‌نام‌هاى الصراة الكبرى والصراة الصغرى در يك فرسخى بغداد، هر چند حموى مى‌گويد من تنها يكى را مى‌شناسم كه از نهر عيسى منشعب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ابى‌نصربن‌ماكولا، على بن‌هبة الله، الاكمال فى رفع الإرتياب عن المؤتلف والمختلف فى الأسماء والكنى وبذيله تكملة إكمال الإكمال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بيروت، دار الكتب العلمية، ط الأولى</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الكُلبى والكُلينى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در حاشيه لسان الميزان ابن‌حجر آمده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أقول لَمّا زُرتُ قبره في سَنَةِ أربع عشرة وثلاث‌مأة بعد الألف ما وجدتُ لوحاً ولاشيئاً عند رأسه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ضريح صاحب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5/433</w:t>
      </w:r>
      <w:r>
        <w:rPr>
          <w:rFonts w:ascii="IRNazanin" w:hAnsi="IRNazanin" w:eastAsia="IRNazanin"/>
          <w:b w:val="false"/>
          <w:b w:val="false"/>
          <w:bCs w:val="false"/>
          <w:i w:val="false"/>
          <w:i w:val="false"/>
          <w:iCs w:val="false"/>
          <w:color w:val="333333"/>
          <w:sz w:val="20"/>
          <w:sz w:val="20"/>
          <w:szCs w:val="20"/>
          <w:rtl w:val="true"/>
        </w:rPr>
        <w:t>، معلوم است كه پس از هزار سال وحوادث مختلف آن لوح سنگى باقى نخواهد ماند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فى الاجازات وتراجم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مهدى، الفوائد الرّجالية، ج</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مصطفى‌بن‌الحسين الحسينى، نقدالرجال، تحقيق و نشر مؤسسة آل‌البيت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لإحياء التراث،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 ج</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و فوائد الرضويه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 ج</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كركى، رسائل الكركى، ج</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فى احوال العلماء والسادات، ج</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الى تصانيف الشيعة، ج</w:t>
      </w:r>
      <w:r>
        <w:rPr>
          <w:rFonts w:eastAsia="IRNazanin" w:cs="IRNazanin"/>
          <w:b w:val="false"/>
          <w:bCs w:val="false"/>
          <w:i w:val="false"/>
          <w:iCs w:val="false"/>
          <w:color w:val="333333"/>
          <w:sz w:val="20"/>
          <w:szCs w:val="20"/>
        </w:rPr>
        <w:t>6/179</w:t>
      </w:r>
      <w:r>
        <w:rPr>
          <w:rFonts w:ascii="IRNazanin" w:hAnsi="IRNazanin" w:eastAsia="IRNazanin"/>
          <w:b w:val="false"/>
          <w:b w:val="false"/>
          <w:bCs w:val="false"/>
          <w:i w:val="false"/>
          <w:i w:val="false"/>
          <w:iCs w:val="false"/>
          <w:color w:val="333333"/>
          <w:sz w:val="20"/>
          <w:sz w:val="20"/>
          <w:szCs w:val="20"/>
          <w:rtl w:val="true"/>
        </w:rPr>
        <w:t>؛ طبقات اعلام الشيعه، ج</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الكاظمى، عبدالنبى، تكملة الرجال، تحقيق السيد محمدصادق بحرالعلوم، قم، انوارالهدى، ط الأولى</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المعروف فيما بين علمائنا واهل العصرنا ان قبره فى بغداد فى مكان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 الجسر، وقبره الآن مشهور يزوره الخاصة والعامة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فى احوال الرجال، تحقيق و نشر مؤسسةآل‌البيت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لإحياءالتراث، ط الأولى</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6/237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الشيخ محمد رضا، تاريخ العلماعبر العصور المختلفة، بيروت، مؤسسة الاعلمى،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البحرانى،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رُصافة البغداد، محلى است كه در جانب شرقى واقع است؛ وقتى منصور عباسى شهر را در طرف غربى ساخت به‌فرزندش مهدى دستور داد كه درجانب شرقى آن ديوار كشى كند وآنجارا عسكر خانه قراردهد، و با ساخت رصافه مجموعه بزرگى ايجاد شد كه هم‌اكنون از آن مجموعه جز جامع باقى نمانده است و بقيه آن نواحى خراب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حموى، معجم البلدان، مجلد</w:t>
      </w:r>
      <w:r>
        <w:rPr>
          <w:rFonts w:eastAsia="IRNazanin" w:cs="IRNazanin"/>
          <w:b w:val="false"/>
          <w:bCs w:val="false"/>
          <w:i w:val="false"/>
          <w:iCs w:val="false"/>
          <w:color w:val="333333"/>
          <w:sz w:val="20"/>
          <w:szCs w:val="20"/>
        </w:rPr>
        <w:t>3/46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البحرانى،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يرو عن‌الائمة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قسم الاول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ج</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مدينة دمشق، ج</w:t>
      </w:r>
      <w:r>
        <w:rPr>
          <w:rFonts w:eastAsia="IRNazanin" w:cs="IRNazanin"/>
          <w:b w:val="false"/>
          <w:bCs w:val="false"/>
          <w:i w:val="false"/>
          <w:iCs w:val="false"/>
          <w:color w:val="333333"/>
          <w:sz w:val="20"/>
          <w:szCs w:val="20"/>
        </w:rPr>
        <w:t>56/297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ابى‌نصربن‌ماكولا، على‌بن‌هبةالله، الاكمال فى رفع الإرتياب عن المؤتلف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7/144</w:t>
      </w:r>
      <w:r>
        <w:rPr>
          <w:rFonts w:ascii="IRNazanin" w:hAnsi="IRNazanin" w:eastAsia="IRNazanin"/>
          <w:b w:val="false"/>
          <w:b w:val="false"/>
          <w:bCs w:val="false"/>
          <w:i w:val="false"/>
          <w:i w:val="false"/>
          <w:iCs w:val="false"/>
          <w:color w:val="333333"/>
          <w:sz w:val="20"/>
          <w:sz w:val="20"/>
          <w:szCs w:val="20"/>
          <w:rtl w:val="true"/>
        </w:rPr>
        <w:t>، باب الكُلبى والكُلينى</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الشيخ الكلينى البغدادى وكتابه 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و وفيات المشاهير والأعلام، تحقيق عمر عبدالسّلام تدمرى، بيروت، دار الكتاب العربى، ط الثانية</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به‌مراقدالمعارف، تأليف الشيخ محمد حرزالدين، تعليق وتحقيق محمد حسين حرزالدين، النجف، مطبعة الآداب،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بر اصول كافى، ج</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قمى، الكنى والالقاب، ج</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الامين، السيد محسن، اعيان الشيعه، ج</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دوانى، على، مفاخراسلام، ج</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ثامر هاشم حبيب، الشيخ الكلينى البغدادى و كتابه 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ثامرهاشم حبيب، دفاع عن الكافى، ايران، مركز الغديرللدراسات الإسلامية، ط الأولى</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 احد من الائمة،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ابن داود، رجال ابن داود، قسم الاول</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ابراهيم بن‌علّان يعرف بعلّان الكلينى؛ كه در اين عبارت ابن داود،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زايد است؛ الخويى، معجم الرجال الحديث، ج</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معجم رجال الحديث وتفصيل طبقات الرواة، قم، منشورات مدينة العلم، ط الثالثة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13/137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العمرى، على‌بن محمدبن على‌بن محمد العلوى النسبابة، المجدى فى انساب الطالبيين، تحقيق الشيخ أحمدالمهدوى الدامغانى، قم، مكتبة آية الله المرعشى،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بحر العلوم، الفوائد الرّجالية، ج</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التفرشى، نقد الرجال، ج</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الثالثة والثلاثون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الحموى، معجم البلدان، بيروت، داراحياء التراث العربى، ج</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رى، سه طايفه‌اند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شافعى‌ها كه در اقليتند، حنفى‌ها كه بيشترند، اكثر مردم آن‌جا شيعه مذهبند و نيمى از شهر رى، مذهب تشيع دارند، و در روستاى اطراف آن جز مذهب امامى و اندكى حنفى مذهب ديگرى وجود ندارد؛ دوانى، مفاخر اسلام، ج</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الكلينى البغدادى و كتابه 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السيد حسن الصدرالكاظمى، نهاية الدراية شرح الوجيزة للشيخ البهايى، تحقيق الشيخ ماجد الغرباوى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نشرالمشعر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العاملى، السيد حسن الصدر، نهاية الدراية شرح الوجيزة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العميدى، دفاع عن الكافى، ج</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عابدى، احمد، المعجم المفهرس لِألفاظ احاديث بحارالأنوار، 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البروجردى، السيد آقاحسين الطباطبايى، أسانيد كتاب الكافى، تخريج واستدراك محمود درياب النجفى، قم، مؤسسة آية الله العظمى البروجردى، ط الاولى</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عابدى، المعجم المفهرس لألفاظ احاديث بحار، 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عابدى، المعجم المفهرس لألفاظ احاديث بحار، 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البروجردى، اسانيد كتاب الكافى، ج</w:t>
      </w:r>
      <w:r>
        <w:rPr>
          <w:rFonts w:eastAsia="IRNazanin" w:cs="IRNazanin"/>
          <w:b w:val="false"/>
          <w:bCs w:val="false"/>
          <w:i w:val="false"/>
          <w:iCs w:val="false"/>
          <w:color w:val="333333"/>
          <w:sz w:val="20"/>
          <w:szCs w:val="20"/>
        </w:rPr>
        <w:t>1/37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مدرسى‌تبريزى، ميرزا محمدعلى، ريحانة الادب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النجفى، محمود درياب، المعجم الموحد لاعلام الاصول الرجالية والخلاصة العلامة، قم، مجمع الفكر الاسلامى، ط الاولى، ج</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معجم رجال الحديث، ج</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بيشتر از معلى بن محمد نقل حديث مى‌كند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كتاب فضل العلم، باب فرض العلم،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فروع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الصيام، باب ادب الصائم،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حج ابرهيم و اسماعيل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رجال ابن داود، قسم الاول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كتاب‌هاى مقتل‌الحسين و النوادر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معجم رجال الحديث، ج</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زيررقم</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ج</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كتاب‌الحج، باب ما يجوز للمحرمة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باب‌الرجل يحرم فى قميص، و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باب‌المحرم يغطى رأسه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كتاب النوادر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معجم رجال الحديث</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زيررقم</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به‌حسين بن محمدعامر الإشعرى نيز ياد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معجم رجال الحديث</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الكافى، ج</w:t>
      </w:r>
      <w:r>
        <w:rPr>
          <w:rFonts w:eastAsia="IRNazanin" w:cs="IRNazanin"/>
          <w:b w:val="false"/>
          <w:bCs w:val="false"/>
          <w:i w:val="false"/>
          <w:iCs w:val="false"/>
          <w:color w:val="333333"/>
          <w:sz w:val="20"/>
          <w:szCs w:val="20"/>
        </w:rPr>
        <w:t>8/176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محمد الاشعرى، عن معلى بن محمد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عن‌الكافى، ج</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الكلينى البغدادى كتابه 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مقدمه اصول كافى از استاد محفوظ، ج</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پانزده نفر را برشمرده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 الحديث و نقش آن در شناخت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زين‌العابدين قربانى‌لاهيجى، قم، انتشارات أنصاريان، چ اول</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طهرانى، آقابزرگ، طبقات اعلام الشيعة، ج</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طهرانى، آقا بزرگ، طبقات أعلام الشيعة، ج</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أبى‌غالب‌الزّرارى، رسالة فى آل‌أعين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همراه تاريخ آل‌زرارة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شرحها للسيد على الموسوى الموحّد الأصفهانى، ايران، چ ربّانى</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طهرانى، آقا بزرگ، طبقات اعيان الشّيعة، ج</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طهرانى، آقا بزرگ، طبقات أعلام الشيعة، ج</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ابوغالب الزّرارى، رسالة فى آل اعين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الطوسى،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غالب الزّرارى، رسالة فى‌آل أعين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كوفى، سكن بغداد، ثقة فى الحديث، صحيح العقيدة؛ البحرانى، لؤلؤةالبحرين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نجاشى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هنگامى كه به‌مسجد لؤلؤى براى قرائت قرآن رفت‌وآمد مى‌كردم، گروهى از اصحاب ما در آنجا كافى را براى ابوالحسن احمدبن‌الكوفى الكاتب قرائت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الامين، السيد محسن، اعيان الشّيعة، ج</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النورى، حاجى نورى، خاتمة مستدرك الوسائل، ج</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كتاب‌هاى كلينى را توسط گروهى از شيوخ كه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محمدبن‌محمد و حسين بن عبيدالله واحمد بن على‌بن‌نوح، از ابوالقاسم جعفربن محمدبن قولويه از كلينى، به‌ما رسيده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 لؤلؤةالبحرين، ج</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رجال‌النجاشى، ج</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 نجاح المسائل فى عمل اليوم والليلة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لثمرة المهجّة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الكركى، ج</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مرءات‌العقول فى شرح أخبار آل الرسول، تهران، دارالكتب الاسلامية</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ثقة الاسلام، مورد قبول طوايف انام و ممدوح خاص و عام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يعقوب، هنگامى كه در رَى مى‌زيست، شيخ اصحاب ما و موجه‌ترين و موثق‌ترين و با ثبات‌ترين آن‌ها، در حديث بود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ج</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رياست فقهاى اماميه در زمان حكومت‌مقتدر عباسى، به‌كلينى منتهى شد، مجلس‌درس او مملو از اكابر و بزرگانى بودند كه به‌قصد فراگيرى علم به‌سوى او شتافته بودند، و براى تفقُّه و مذاكره دور او حلقه مى‌زدند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شيخ اجل، قدوة الانام، و ملاذ المحدثين العظام، و مروّج المذهب فى غيبت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ابوجعفر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ملقّب به‌ثقة الاسلام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 فى تراجم المعروفين بالكنية واللقب، ج</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شيخ مشايخ شيعه، رئيس محدّثين علماى اماميه، از أوثق و أعدل و أضبط ايشان و مروج مذهب شيعه در زمان غيبت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ممدوح خاص و عام،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به‌همين مناسبت وى نخستين كسى است كه در دوره اسلامى به‌ثقةالاسلام شهرت يافت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فى احوال العلماء والسادات، ج</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اين مرد، اجل و اعظم از آن است كه نزد اعيان و بزرگان سنى و شيعه پوشيده باشد،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در وثاقت او براى احدى سخنى، و در جايگاه او نزد پيشوايان سخنى، و در فضيلت او ترديدى نيست، مطمئن‌ترين بودن كلينى در ميان محمد سه‌گانه صاحبان كتب اربعه، مورد اتفاق‌نظر طايفه اماميه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56/297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فى احاديث الرّسول، إخراج أحاديث و تعليق عبدالقادر الأرنؤوط، بيروت، دارالفكر، طالثانية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15/297</w:t>
      </w:r>
      <w:r>
        <w:rPr>
          <w:rFonts w:ascii="IRNazanin" w:hAnsi="IRNazanin" w:eastAsia="IRNazanin"/>
          <w:b w:val="false"/>
          <w:b w:val="false"/>
          <w:bCs w:val="false"/>
          <w:i w:val="false"/>
          <w:i w:val="false"/>
          <w:iCs w:val="false"/>
          <w:color w:val="333333"/>
          <w:sz w:val="20"/>
          <w:sz w:val="20"/>
          <w:szCs w:val="20"/>
          <w:rtl w:val="true"/>
        </w:rPr>
        <w:t>، ذيل حديث شماره</w:t>
      </w:r>
      <w:r>
        <w:rPr>
          <w:rFonts w:eastAsia="IRNazanin" w:cs="IRNazanin"/>
          <w:b w:val="false"/>
          <w:bCs w:val="false"/>
          <w:i w:val="false"/>
          <w:iCs w:val="false"/>
          <w:color w:val="333333"/>
          <w:sz w:val="20"/>
          <w:szCs w:val="20"/>
        </w:rPr>
        <w:t>8881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الفقهاء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وابوجعفر محمدبن يعقوب الرّازى من الإمامية؛ متن حديث از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درسنن ابى داود رقم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إن‌الله يبعث لهذه الامّة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يجدّد لهادينها</w:t>
      </w:r>
      <w:r>
        <w:rPr>
          <w:rFonts w:eastAsia="IRNazanin" w:cs="IRNazanin"/>
          <w:b w:val="false"/>
          <w:bCs w:val="false"/>
          <w:i w:val="false"/>
          <w:iCs w:val="false"/>
          <w:color w:val="333333"/>
          <w:sz w:val="20"/>
          <w:szCs w:val="20"/>
          <w:rtl w:val="true"/>
        </w:rPr>
        <w:t>» .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حققه و اعتنى به‌عبدالسلام تدمرى، بيروت، دارالكتاب العربى، ط الثانية</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دراين منبع اولاً،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اشتباهاً به‌جاى قيل به‌كار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على ابوجعفرالكلينى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كه در هيج منبعى نيامده است لذا عبارت ياد شده در مورد كلينى غلط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دوانى، مفاخر اسلام،</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24/416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هر چند كه متأسفانه اين عبارت را هم دارد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فقهائهم المصنفين في مذاهبهم الرذلة</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ِسَيرُاَعلام النبلاء، تحقيق محمدنعيم العرقوسى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بإشراف شعيب الأرنؤوط، بيروت، مؤسسة الرّسالة،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تبصير المنتبة بتحرير المشتبه، ج</w:t>
      </w:r>
      <w:r>
        <w:rPr>
          <w:rFonts w:eastAsia="IRNazanin" w:cs="IRNazanin"/>
          <w:b w:val="false"/>
          <w:bCs w:val="false"/>
          <w:i w:val="false"/>
          <w:iCs w:val="false"/>
          <w:color w:val="333333"/>
          <w:sz w:val="20"/>
          <w:szCs w:val="20"/>
        </w:rPr>
        <w:t>3/1219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eastAsia="IRNazanin" w:cs="IRNazanin"/>
          <w:b w:val="false"/>
          <w:bCs w:val="false"/>
          <w:i w:val="false"/>
          <w:iCs w:val="false"/>
          <w:color w:val="333333"/>
          <w:sz w:val="20"/>
          <w:szCs w:val="20"/>
        </w:rPr>
        <w:t>9/322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فضلاء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رؤس فضلائهم فى أيام المقتدر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5/433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عن أسامى الكتب والفنون، ج</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محمدبن‌يعقوب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از فقهاى شيعه اماميه بود كه در بغداد از دنيا رفت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قاموس التراجم، ج</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 الكلينى</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ابوجعفرالكلينى فقيه امامى از اهل كلين رى، شيخ الشّيعه در بغداد بود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 تراجم مصنفى الكتب العربية، ج</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از فقهاى شيعه، عارف به‌اخبار و حديث و ساكن بغداد بود</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الطوسى،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البحرانى، لؤلؤةالبحرين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القسطنطنى الحنفى، كشف الظنون عن أسامى الكتب والفنون، ج</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قمى، الكنى والألقاب، ج</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الكنى والالقاب، ج</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الجابلقى، السيد على‌أصغر، طرائف المقال، تحقيق السيد محمد الرجايى، قم، مكتبة آيةالله المرعشى، ط الأولى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حاجى نورى، خاتمة مستدرك‌الوسائل، ج</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ابن‌طاووس اين كتاب را داشته و از آن حديث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لثمرة المهجة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السيد محسن امين، اعيان الشيعة، ج</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الطوسى،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طرائف المقال، ج</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اعيان الشيعة، ج</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لؤلؤةالبحرين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اعيان الشّيعة، ج</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طهرانى، آقابزرگ، الذريعة، ج</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الكنى والالقاب، ج</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طرائف‌المقال، ج</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چرا اسم قسمت آخركافى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 همين سؤال را على اكبر غفارى از مؤلف مقدمه بر اصول كافى دكتر حسين على محفوظ، پرسيده است، وى درپاسخ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اينكه كلينى كافى را در باب‌هاى مختلف تقسيم و روايات را در آنها جايگزين ساخت، بسيارى از روايات، خطبه‌ها، نامه‌هاى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باقى ماند كه در آن باب‌ها نمى‌گنجيد، و چون آنها از اهميت خاصى برخوردار بود،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روضه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شمارش كتاب كافى چاب بيروت به‌تصحيح و تعليق محمدجعفر شمس‌الدين، توسط محقق و چاپ دارالحديث قم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شمارش كتاب كافى چاب بيروت به‌تصحيح و تعليق محمدجعفر شمس‌الدين، توسط محقق و چاپ دارالحديث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روضه به‌عنوان يك‌كتاب محسوب شده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شماره‌گذارى نسخه مؤسسه دارالحديث قم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انتشار</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الحججى، محمد حسين الموحّد، الأوليات من الكافى فيما أودعه فى الكافى، قم، مطبعة الخيام،</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نسخه‌هاى مشهور در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الفوائد الرجالية، ج</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الخوانسارى، روضات الجنات، ج</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القسطنطنى، كشف الظنون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كحالة، معجم الؤلفين، ج</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نمونه ممكن است برخى، اين عبارت كلينى را يك‌حديث بشمارند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رواية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بأيّهما اخذت من باب التسليم وسَعَك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 باب اختلاف الحديث، ذيل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الحجة، باب الاشارة والنص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 اين حديث در نسخه دارالكتب الاسلامية تهران، شماره گذارى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معلى بن محمد، عن الحسين بن على الوشّاء، عن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 اين كار سبب كاهش و افزايش تعداد روايات خواهد شد</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السيد حسن الصدرالكاظمى، نهاية الدراية شرح الوجيزة للشيخ البهايى، تحقيق الشيخ ماجد الغرباوى،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المشعر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العميدى، دفاع عن الكافى، ج</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كشف المحجة لثمرة المهجة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البحرانى، لؤلؤةالبحرين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مدرسى تبريزى، ريحانة الادب، ج</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ابن‌طاووس، كشف المحجة لثمرة المهجة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خطبه كافى؛ فروع كافى، ج</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الطهارة، باب مسح الخف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كه درحاشيه با استناد به‌من لايحضره الفقيه، گوينده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الخوانسارى، روضات الجنات، ج</w:t>
      </w:r>
      <w:r>
        <w:rPr>
          <w:rFonts w:eastAsia="IRNazanin" w:cs="IRNazanin"/>
          <w:b w:val="false"/>
          <w:bCs w:val="false"/>
          <w:i w:val="false"/>
          <w:iCs w:val="false"/>
          <w:color w:val="333333"/>
          <w:sz w:val="20"/>
          <w:szCs w:val="20"/>
        </w:rPr>
        <w:t>6/115</w:t>
      </w:r>
      <w:r>
        <w:rPr>
          <w:rFonts w:ascii="IRNazanin" w:hAnsi="IRNazanin" w:eastAsia="IRNazanin"/>
          <w:b w:val="false"/>
          <w:b w:val="false"/>
          <w:bCs w:val="false"/>
          <w:i w:val="false"/>
          <w:i w:val="false"/>
          <w:iCs w:val="false"/>
          <w:color w:val="333333"/>
          <w:sz w:val="20"/>
          <w:sz w:val="20"/>
          <w:szCs w:val="20"/>
          <w:rtl w:val="true"/>
        </w:rPr>
        <w:t xml:space="preserve">؛ هر چند كه ملا صالح مازندرانى عنوان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جامع للأصول الكافى والروضة، تصحيح على اكبر غفارى، تعليق ميرزا ابوالحسن الشعرانى، طهران، المكتبة الإسلامية</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 شيخ عباس، سفينة البحار ومدينة الحِكَم والآثار، ايران، دارالأسوة للطباعة والنشر، ط الأولى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9/181</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الكلينى هو الشيخ الاجل الاقدم، و مروّج المذهب فى غيبة الامام، ابوجعفر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الملقب بثقةالاسلام، مؤلف كتاب الكافى و غيره نسب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كاف لشيعتنا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الخوانسارى، روضات الجنات، ج</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مدرسى تبريزى، ريحانة الادب، ج</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حاجى نورى، خاتمة مستدرك الوسائل، ج</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لثمرة المهجة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حاجى نورى، خاتمة مستدرك الوسائل، ج</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 و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شهيد تبريزى، ميرزا على آقا، مرءات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عبدالله ثقة الاسلامى، نسخه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حاجى نورى، خاتمة مستدرك الوسائل، ج</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عابدى، المعجم المفهرس لِألفاظ أحاديث بحارالأنوار، ج</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البروجردى، السيد آقاحسين الطباطبايى، اسانيد الكافى، ج</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العسكرى، السيد مرتضى، معالم المدرستَين، ايران، مركز الطباعة والنشر للمجمع العلمى لاهل‌البيت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الاولى</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زين العابدين قربانى لاهيجى، علم حديث</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خاتمة مستدرك الوسائل، ج</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اين بعض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خليل القزوينى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مى‌داند؛ القزوينى، المولى خليل، الشافى فى شرح اصول الكافى، تحقيق محمد حسين الدرايتى، قم، دارالحديث، ط الاولى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مرءات العقول فى شرح أخبارآل الرسول، ج</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به‌مقدمه المعجم المفهرس لالفاظ احاديث بحارالانوار، ج</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اصول‌الكافى در دو مجلد، به‌ترتيب 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والجهل، فضل العلم، التوحيد، الحجة، الايمان والكفر، الدعا، فضل القرآن، العشرة، تكميل شده است</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محمدبن‌اسماعيل البخارى، صحيح البخارى، تحقيق مصطفى ديب البغا،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 للطباعة والنشر، ط الخامسة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بخارى اين جمله را در ابتداى كتاب خود قرار داده، جاى سؤال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محمدبن‌اسماعيل البخارى، صحيح البخارى، تحقيق مصطفى ديب البغا،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 للطباعة والنشر، ط الخامسة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محمدبن‌اسماعيل البخارى، صحيح البخارى، تحقيق مصطفى ديب البغا،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 للطباعة والنشر، ط الخامسة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محمدبن‌اسماعيل البخارى، صحيح البخارى، تحقيق مصطفى ديب البغا،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 للطباعة والنشر، ط الخامسة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محمدبن‌اسماعيل البخارى، صحيح البخارى، تحقيق مصطفى ديب البغا،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 للطباعة والنشر، ط الخامسة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قمى، الكنى و الألقاب، ج</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محقق كركى، رسائل الكركى، ج</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زركلى، خيرالدين، ألاعلام قاموس الرجال، ج</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احمد امين، 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اتفق فى جمعه عشرين عاماً</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السيد حسن،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وسائل الشّيعه به‌ترتيب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شرائع به‌ترتيب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احمد، ضحى‌الاسلام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از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فروع كافى، ج</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باب الهدية،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ج</w:t>
      </w:r>
      <w:r>
        <w:rPr>
          <w:rFonts w:eastAsia="IRNazanin" w:cs="IRNazanin"/>
          <w:b w:val="false"/>
          <w:bCs w:val="false"/>
          <w:i w:val="false"/>
          <w:iCs w:val="false"/>
          <w:color w:val="333333"/>
          <w:sz w:val="20"/>
          <w:szCs w:val="20"/>
        </w:rPr>
        <w:t>5/499</w:t>
      </w:r>
      <w:r>
        <w:rPr>
          <w:rFonts w:ascii="IRNazanin" w:hAnsi="IRNazanin" w:eastAsia="IRNazanin"/>
          <w:b w:val="false"/>
          <w:b w:val="false"/>
          <w:bCs w:val="false"/>
          <w:i w:val="false"/>
          <w:i w:val="false"/>
          <w:iCs w:val="false"/>
          <w:color w:val="333333"/>
          <w:sz w:val="20"/>
          <w:sz w:val="20"/>
          <w:szCs w:val="20"/>
          <w:rtl w:val="true"/>
        </w:rPr>
        <w:t>، كتاب النكاح، باب الاوقات التى يكره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اصحابنا، عن احمدبن محمدبن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بكربن صالح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درحديث سوم سند را اين‌گونه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ابيه، عمن ذكره، عن ابى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كه توهم مى‌شود سند حديث قطع شده است، درحالى‌كه چنين نيست؛ زيرا ضمير در دو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به‌احمدبن محمدبن خالد برمى‌گردد و نه‌تنها هيج اخلالى ايجاد نمى‌شود كه ضمن خلاصه شدن، تصريح به‌سند شده است</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ج</w:t>
      </w:r>
      <w:r>
        <w:rPr>
          <w:rFonts w:eastAsia="IRNazanin" w:cs="IRNazanin"/>
          <w:b w:val="false"/>
          <w:bCs w:val="false"/>
          <w:i w:val="false"/>
          <w:iCs w:val="false"/>
          <w:color w:val="333333"/>
          <w:sz w:val="20"/>
          <w:szCs w:val="20"/>
        </w:rPr>
        <w:t>5/535</w:t>
      </w:r>
      <w:r>
        <w:rPr>
          <w:rFonts w:ascii="IRNazanin" w:hAnsi="IRNazanin" w:eastAsia="IRNazanin"/>
          <w:b w:val="false"/>
          <w:b w:val="false"/>
          <w:bCs w:val="false"/>
          <w:i w:val="false"/>
          <w:i w:val="false"/>
          <w:iCs w:val="false"/>
          <w:color w:val="333333"/>
          <w:sz w:val="20"/>
          <w:sz w:val="20"/>
          <w:szCs w:val="20"/>
          <w:rtl w:val="true"/>
        </w:rPr>
        <w:t>، باب الغيرة،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اصحابنا، عن احمدبن محمدبن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عثمان بن عيسى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درحديث دوم، بدون جمله عدة من اصحابنا، مى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احمدبن محمدبن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پدراحمدبن محمدبن خالد</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در الاستبصار، ج</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المرأة الحائضة متى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مارواه موسى القاسم عن صفوان‌بن‌يحيى، عن ابن مسكان، عن ابى‌اسحاق بياع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در كافى، ج</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المرأة تحيض بعد ما دخلت</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ابوعلى الاشعرى، عن محمدبن عبد الجبار، عن صفوان بن يحيى، عن ابن مسكان، عن اسحق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كه دو واسطه يعنى ابوعلى الاشعرى و محمدبن‌عبد الجبار، حذف شده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شهيدثانى، جمال‌الدّين الحسن‌بن زين‌الدين، المنتقى الجمان، تصحيح على اكبر غفارى، قم، مؤسسة النشر الإسلامى التابعة لجماعة المدرسين،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فائده سوم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السيد حسن،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عابدى، المعجم المفهرس لالفاظ أحاديث البحارالأنوار، 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مدعا، موارد زير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الاستبصار، ج</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انه تحج المرأة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موسى القاسم، عن الحسن اللؤلؤى، عن الحسن بن محبوب، عن مصادف،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تحج المرأة عن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كانت فقيهة مسلمة و كانت قد حجت، ربّ إمرأة خير من 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كافى،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المرأة تحج عن الرجل،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اصحابنا، عن سهل‌بن‌زياد، عن الحسن بن محبوب، عن ابن رئاب، عن مصادف، عن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المرأة تحج عن الرجل الصّرورة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قد حجّت و كانت مسلمة فقيهة فربّ إمرأة افقه من 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ضمن متفاوت بودن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سند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استبصار، ج</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مارواه محمدبن‌يعقوب عن رجل عن على‌بن‌ابراهيم، عن ابيه، عن اسماعيل‌بن‌مرار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كافى، ج</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العمرة المبتولة،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على‌بن‌ابراهيم، عن ابيه، عن اسماعيل بن مرار عن يونس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در اين نقل ميان كلينى و على‌بن‌ابراهيم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اضافه شده كه اشتباه است و سند را بى‌اعتبار مى‌سازد</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العاملى، السيد حسن الصدر، نهاية الدراية شرح الوجيزة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العميدى، دفاع عن الكافى، ج</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56/297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درعبارت وى اين جمله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محمدبن‌على ابوجعفر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اشتباه است و در هيچ‌جا كلينى به‌محمدبن‌على، ياد نشده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الاشارة والنص</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احمدبن‌محمد، عن الوشّاء مثله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ثلاثيات، رواياتى است كه باسه واسطه نقل شود؛ كه البته اين اصطلاح نزد اماميه و اهل‌سنت، فرق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اهل سنت ثلاثيات عبارت است از اين‌كه ميان مُخرِج حديث و ميان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سه راوى بيشتر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صحابى، تابعى، و تابع تابعى؛ و مصداق آن در مسند شافعى ديده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مالك بن انس، عن نافع، عن عبدالله‌بن‌عمر، عن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ألأُمّ، للامام الشافعى، بيروت، دارالفكر، ط الثانية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بيع الخيار؛ وج</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كتاب الحدود؛ المزنى، اسماعيل بن يحيى، بيروت، 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فضل الجمعة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اما ثلاثيات نزد اماميه عبارت است از اينكه ميان مُخرِج حديث 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راوى بيشتر نباشد كه شاهدش در فروع كافى، ج</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كتاب الجنائز، باب فى كم يعاد المريض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على بن ابراهيم، عن هارون بن مسلم، عن مسعدة بن صدقة، عن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أميرالمؤمنين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اين بحث، بدان جهت مطرح شد كه علما وقتى فاصله زمانى ميان رسول‌الله و يا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مصنف كتاب بررسى نمودند بدين نتيجه رسيدند كه در ميان روايات، روايات قليل‌الاسناد و عالية الاسناد، ديده مى‌شود كه حفظ آنها بسيار سهل و از خطا در امانند، و اين معنا به‌تدريج جزء امتيازات حديث شمرده شد؛ ازاين‌رو در ميان اهل‌سنت ثلاثيات بخارى، مسلم، ترمذى، نسائى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تدوين شد و در ميان اماميه از قرن دوم بدين سو، به‌بحث ثلاثيات حديث از جمله ثلاثيات كلينى، توجه خاصى مبذول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العاملى، أمين ترمس، ثلاثيات‌الكلينى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امين ترمس، ثلاثيات الكلينى،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دار الحديث الثقافة، ط الأولى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الكافى، ج</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كتاب‌الحجة، باب‌الفئى والانفال وتفسير الخمس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فروع كافى، ج</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الغزو مع الناس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وصية رسول‌الله، و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اعطاء الامان؛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باب دخول الصوفية على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السيد حسن،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عابدى، المعجم المفهرس لألفاظ احاديث البحارالأنوار، 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به‌اصطلاح متأخران، يعنى همه سلسله سند، امامى عادل باشند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الخوانسارى، روضات الجنات، ج</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الصدر، السيد حسن، نهايةالدراية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عابدى، المعجم المفهرس لالفاظ أحاديث البحارالأنوار، 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به‌اظهار نظرهاى عالمان اهل‌سنت و شيعه در صفحات قبل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كتاب ج</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كتاب التوحيد،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لايعرف إلاّ به، ذيل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از نسخه دارالحديث؛ 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به‌مقدمه المعجم‌المفهرس لاحاديث البحارالأنوار، 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به‌مقدمه مؤلف در كافى،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 لؤلؤةالبحرين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الخوانسارى، روضات‌الجنات، ج</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القسطنطنى، كشف الظنون، ج</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الصدر، السيد حسن، تأسيس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شماره‌گذارى آخرين نسخه اين‌كتاب كه توسط مؤسسه دارالحديث، الكافى، تحقيق قسم إحياء التراث مركز بحوث دارالحديث، قم، دارالحديث للطباعة والنشر، ط الأولى</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اين نسخه احاديث مكرر شماره‌گذارى نشده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اول، الذكرى حجرية غير مرقمة الصفحات بخط كرمانى</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ابن‌حجرالعسقلانى، هدى‌السارى مقدمة فتح البارى فى شرح البخارى، تصحيح عبدالعزيزبن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عبدالباقى، بيروت، دارالكتب العلمية، ط الأولى</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ابن‌حجرالعسقلانى، هدى‌السارى مقدمة فتح البارى فى شرح البخارى، تصحيح عبدالعزيزبن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عبدالباقى، بيروت، دارالكتب العلمية، ط الأولى</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محمود، الاضواء على السّنة المحمّدية أو دفاع عن الحديث، قم، مؤسسة دار الكتاب الإسلامى، ط الثانية</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امين، احمد، 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حديث متصل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النووى، محيى‌الدين ابى‌ذكريا يحيى‌بن‌شرف، شرح صحيح مسلم، مراجعة الشيخ خليل الميس، بيروت، دار العلم،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ابوزرعة الرازى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صحيح خودش را از ميان سيصد هزار حديثى كه شنيده بود برگزيده است، عدد حديث مسلم بدون تكرار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٠٠٠</w:t>
      </w:r>
      <w:r>
        <w:rPr>
          <w:rFonts w:ascii="IRNazanin" w:hAnsi="IRNazanin" w:eastAsia="IRNazanin"/>
          <w:b w:val="false"/>
          <w:b w:val="false"/>
          <w:bCs w:val="false"/>
          <w:i w:val="false"/>
          <w:i w:val="false"/>
          <w:iCs w:val="false"/>
          <w:color w:val="333333"/>
          <w:sz w:val="20"/>
          <w:sz w:val="20"/>
          <w:szCs w:val="20"/>
          <w:rtl w:val="true"/>
        </w:rPr>
        <w:t xml:space="preserve"> حديث است</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السندى، ابى‌الحسن الحنفى، شرح سنن ابن‌ماجه، بيروت، دارالجليل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السيد حسن،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السيد حسن،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مالك‌بن‌انس كه اگر جزء صحاح شمرده شود حدود</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حديث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سيوطى نقل شده كه مالك از ميان ده‌هزار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حديث را بر گزيد، اما بعد از عرضه كردن آن به‌كتاب و سنت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حديث باقى ماند؛ ابهرى گفته مجموع آن‌چه را مالك در موطأ گرد آورى كرده از صحابه و تابعين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حديث است، كه مسندش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حديث و مرسل آن</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حديث و موقوف آن</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السيد حسن،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المؤتمر العالمى لالفية الشيخ المفيد، ط الاولى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835/37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الكركى، ج</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مرءات العقول،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امامت و جمهور شيعه اتفاق‌نظر دارند بر برترى و فضيلت كافى</w:t>
      </w:r>
      <w:r>
        <w:rPr>
          <w:rFonts w:eastAsia="IRNazanin" w:cs="IRNazanin"/>
          <w:b w:val="false"/>
          <w:bCs w:val="false"/>
          <w:i w:val="false"/>
          <w:iCs w:val="false"/>
          <w:color w:val="333333"/>
          <w:sz w:val="20"/>
          <w:szCs w:val="20"/>
          <w:rtl w:val="true"/>
        </w:rPr>
        <w:t>. . .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فى أحوال الرجال، ج</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همانند جامع كافى در اسلام تصنيف نشده است</w:t>
      </w:r>
      <w:r>
        <w:rPr>
          <w:rFonts w:eastAsia="IRNazanin" w:cs="IRNazanin"/>
          <w:b w:val="false"/>
          <w:bCs w:val="false"/>
          <w:i w:val="false"/>
          <w:iCs w:val="false"/>
          <w:color w:val="333333"/>
          <w:sz w:val="20"/>
          <w:szCs w:val="20"/>
          <w:rtl w:val="true"/>
        </w:rPr>
        <w:t>. . .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فى شرح الاحاديث الامامية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كتاب پر محتوايى است كه همانند آن نصيب هيچ يك از فقها و علما و عقلا و حكما از زمان تصنيف آن تاكنون نشده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تحقيق حسن‌بن على‌النمازى، مؤسسةالنشر الإسلامى لجماعة المدرسين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كافى تأليف كلينى، از اجل كتاب‌هاى اسلامى و اعظم تصنيفات اماميه و اشرف تأليفات شيعه در طول بيست‌سال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كتابى تأليف كرد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كه عظيم‌ترين تصنيفات اماميه است، كتابى كه در اماميه مانندش وجود ندارد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 ج</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صاحب كتابى است كه در حديث مانندش از سوى اصحاب انجام نشده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قاموس التراجم، ج</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كتاب‌هاى كلينى، كافى در علم دين است كه در اجزاى سه‌گانه، اصول الفقه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دو جزء ديگر در فروع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اصول‌الفقه فهميده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 ج</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تصانيف كلينى، كافى فى علم الدين است كه داراى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كتاب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جامع‌ترين كتاب‌هاى شيعه، الكافى فى علم الدين، تأليف ابوجعفر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است كه حاوى</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٠٠٠</w:t>
      </w:r>
      <w:r>
        <w:rPr>
          <w:rFonts w:ascii="IRNazanin" w:hAnsi="IRNazanin" w:eastAsia="IRNazanin"/>
          <w:b w:val="false"/>
          <w:b w:val="false"/>
          <w:bCs w:val="false"/>
          <w:i w:val="false"/>
          <w:i w:val="false"/>
          <w:iCs w:val="false"/>
          <w:color w:val="333333"/>
          <w:sz w:val="20"/>
          <w:sz w:val="20"/>
          <w:szCs w:val="20"/>
          <w:rtl w:val="true"/>
        </w:rPr>
        <w:t xml:space="preserve"> حديث</w:t>
      </w:r>
      <w:r>
        <w:rPr>
          <w:rFonts w:eastAsia="IRNazanin" w:cs="IRNazanin"/>
          <w:b w:val="false"/>
          <w:bCs w:val="false"/>
          <w:i w:val="false"/>
          <w:iCs w:val="false"/>
          <w:color w:val="333333"/>
          <w:sz w:val="20"/>
          <w:szCs w:val="20"/>
          <w:rtl w:val="true"/>
        </w:rPr>
        <w:t>. .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قربانى لاهيجى، زين العابدين، علم حديث و</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القزوينى، المولى‌خليل، الشافى فى شرح اصول الكافى، تحقيق محمد حسين الدرايتى، قم، دار الحديث، ط الأولى</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قزوينى از بزرگان اخبارى‌ها است و به‌همين جهت كتاب‌هاى او مورد نقد و انتقاد بسيارى از فقهاى شيعه قرار گرفت و او همه احاديث كافى را صحيح و واجب العمل دانسته و هيچ روايت آن را تقيه‌اى نمى‌داند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شهيدى تبريزى، ميرزا على، مرءات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عبدالله ثقة الإسلامى، چ أول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به‌كتاب صحيح الكافى، محمد باقرالبهبودى، بيروت، الدارالاسلامية،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كتاب از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كافى فقط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آن را صحيح مى‌شمارد، و بعد از نقل گفته ابن‌ابى‌العوجاء كه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چهارهزار حديث كه روزه شما را افطار و افطار شمارا روزه مى‌سازد، مخلوط احاديث شما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دسته از أحاديث دروغ بيشتر در منابع شيعه است تا منابع اهل‌سنت، از جمله در كتاب كافى؛ روى همين جهت ازكتاب عقل وجهل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حديث واز كتاب فضل العلم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را صحيح مى‌شمارد، كه علامه عسكرى سخن او را نمى‌پذيرد و مى‌گويد اين نويسنده بر اساس اعتمادى كه بر رجال ابن غضائرى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چنين نتيجه را گرفته است درحالى‌كه اين شخص مورد تأييد همگان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ايران، مركز الطباعة للمجمع العالمى لأهل‌البيت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سنى در كافى عبارتند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زُهرى، ج</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كتاب الموارث، باب إبطال‌العول،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كتاب الصيام، باب وجوب الصوم،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كتاب النكاح، باب النوادر،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اوزاعى، ج</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كتاب الجهاد، باب الرفق بالأسير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كتاب النكاح، باب النوادر،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الثورى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الحجة، باب أمرالنّبى بالنصيحة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كتاب الجنائز، باب الجريدة،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كتاب المعيشة، باب دخول الصوفية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7/229</w:t>
      </w:r>
      <w:r>
        <w:rPr>
          <w:rFonts w:ascii="IRNazanin" w:hAnsi="IRNazanin" w:eastAsia="IRNazanin"/>
          <w:b w:val="false"/>
          <w:b w:val="false"/>
          <w:bCs w:val="false"/>
          <w:i w:val="false"/>
          <w:i w:val="false"/>
          <w:iCs w:val="false"/>
          <w:color w:val="333333"/>
          <w:sz w:val="20"/>
          <w:sz w:val="20"/>
          <w:szCs w:val="20"/>
          <w:rtl w:val="true"/>
        </w:rPr>
        <w:t>، كتاب الحدود، باب حدّ من سرق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كتاب الجنائز، باب مايعاين المؤمن والكافر،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كتاب الوصايا، باب بعض الورثة يقر بعتق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كتاب العقل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كتاب الإيمان والكفر، باب فطرة الخلق على‌التوحيد،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اذا ارادالله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كتاب الزكات، باب الصدقة على‌القرابة،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كتاب الجهاد، باب افضل ارتباط الخيل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ديگر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شهيدثانى، منتقى الجمان،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فائده چهارم به‌نقل از شهيد اول در الذكرى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شهيدثانى، منتقى الجمان،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فائده چهارم به‌نقل از شهيد اول در الذكرى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شهيدثانى، منتقى‌الجمان،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فائده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بما إتَّصل سنده إلى المعصوم بنقل الإمامي عن مثله في جميع الطبقات وان اعتراه شذوذ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كه به‌اين تعريف مؤلف ايراد مى‌گيرد كه با قيد عدالت، بى‌نياز از آوردن قيد امامى است؛ العميدى، دفاع عن الكافى، ج</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تعريف قدما، حديثى كه مورد اعتماد باشد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بهبودى، محمد باقر، صحيح الكافى؛ بيروت، الدارالإسلامية،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يادآورى شد معيار اين محقق را علامه عسكرى نادرست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ج</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الخوانسارى، روضات الجنات، ج</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الخوانسارى، روضات الجنات، ج</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به‌مقدمه 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دارالكتب الاسلامية؛ الذريعه، ج</w:t>
      </w:r>
      <w:r>
        <w:rPr>
          <w:rFonts w:eastAsia="IRNazanin" w:cs="IRNazanin"/>
          <w:b w:val="false"/>
          <w:bCs w:val="false"/>
          <w:i w:val="false"/>
          <w:iCs w:val="false"/>
          <w:color w:val="333333"/>
          <w:sz w:val="20"/>
          <w:szCs w:val="20"/>
        </w:rPr>
        <w:t>17/246</w:t>
      </w:r>
      <w:r>
        <w:rPr>
          <w:rFonts w:ascii="IRNazanin" w:hAnsi="IRNazanin" w:eastAsia="IRNazanin"/>
          <w:b w:val="false"/>
          <w:b w:val="false"/>
          <w:bCs w:val="false"/>
          <w:i w:val="false"/>
          <w:i w:val="false"/>
          <w:iCs w:val="false"/>
          <w:color w:val="333333"/>
          <w:sz w:val="20"/>
          <w:sz w:val="20"/>
          <w:szCs w:val="20"/>
          <w:rtl w:val="true"/>
        </w:rPr>
        <w:t xml:space="preserve">؛ الشيخ الكلينى البغدادى وكتابه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دراصطلاح محدثين اهل‌سنت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الحديث المستند الذي يتصل اسناده من الرّاوي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كل راو من رواته عدلاً ضابطاً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به‌تعبير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اتصل سنده بالعدول الضابطين من غير شذوذ ولا علة، فهذا متفق على أنّه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النووى، ج</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ابى‌عبدالله محمدبن‌اسماعيل بن المغيرة البخارى متوفى</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احمد، ضحى‌الاسلام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تكرار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ديگرهمان منبع، ج</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ابوريه، أضواء على الستة المحمديه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اين كتاب در طول شانزده‌سال تدوين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البغدادى، احمدبن‌على‌بن الخطيب، تاريخ مدينة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و ضبط تعليق بشّار عواد معروف، بيروت، دارالغرب الإسلامى، ط الأولى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ابن‌حجرالعسقلانى، هدى 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الزبيدى، احمد بن عبداللطيف، مختصر صحيح البخارى المسمى التجريد الصريح لاحاديث الجامع الصحيح، تخريج احمد ابراهيم زهوة، بيروت، دارالكتاب العربى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جلال‌الدين، تدريب الراوى فى شرح تقريب النواوى، تحقيق الشيخ عرفان العشّا حسّونة، بيروت، دارالفكر</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الهرساوى، حسين، الإمام البخارى وصحيحه الجامع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دراسته فى حياته و إتّجاهه الفكرى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دليل ما، ط الأولى</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الهرساوى، حسين، الإمام البخارى وصحيحه الجامع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دراسته فى حياته و إتّجاهه الفكرى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دليل ما، ط الأولى</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النووى، صحيح مسلم بشرح النووى، ج</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هدى 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هدى السارى مقدمة 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فضائل الجامع الصحيح</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هدى السارى مقدمة 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فضائل الجامع الصحيح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عدّة من‌المشايخ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حوّل‌محمدبن اسماعيل البخاري كتابه تراجم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قبرالنّبي ومنبره و كان يصلّي لكل ترجمة ركعتين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هدى السارى مقدمة 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فضائل الجامع الصحيح</w:t>
      </w:r>
      <w:r>
        <w:rPr>
          <w:rFonts w:eastAsia="IRNazanin" w:cs="IRNazanin"/>
          <w:b w:val="false"/>
          <w:bCs w:val="false"/>
          <w:i w:val="false"/>
          <w:iCs w:val="false"/>
          <w:color w:val="333333"/>
          <w:sz w:val="20"/>
          <w:szCs w:val="20"/>
          <w:rtl w:val="true"/>
        </w:rPr>
        <w:t>. .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النّووى، صحيح مسلم بشرح النووى، ج</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ابن‌حجرالعسقلانى، هدى‌السارى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سقف آسمان كتابى صحيح‌تر از كتاب مسلم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نوشته نشده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ابن‌حجرالعسقلانى، هدى‌السارى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سقف آسمان كتابى صحيح‌تر از كتاب مسلم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نوشته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چند كه نووى بخارى را أجود مى‌شمارد</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محمود، أضواء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محمود، أضواء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ابن‌حجرالعسقلانى، هدى‌السارى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اعلم في‌الارض كتاباً في العلم اكثرثواباً من كتاب مالك، يا أصح من</w:t>
      </w:r>
      <w:r>
        <w:rPr>
          <w:rFonts w:eastAsia="IRNazanin" w:cs="IRNazanin"/>
          <w:b w:val="false"/>
          <w:bCs w:val="false"/>
          <w:i w:val="false"/>
          <w:iCs w:val="false"/>
          <w:color w:val="333333"/>
          <w:sz w:val="20"/>
          <w:szCs w:val="20"/>
          <w:rtl w:val="true"/>
        </w:rPr>
        <w:t>. . .)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محمود، أضواء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النّووى، صحيح مسلم بشرح النووى، ج</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الهرساوى، الامام البخارى و صحيحه الجامع المختصر، قم، دليل ما، ط الاولى</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ابى‌الفدا اسماعيل، اختصار علوم الحديث، تصحيح و تعليق محمدبن عبدالرازق حمزة، مكه، المطبعة المجدية، ط الأولى</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النووى، ج</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شارح</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 فى تقريب النواوى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الهرساوى، حسن، الامام البخارى</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المزّى، يوسف، تهذيب الكمال، تحقيق بشّار عوّاد معروف، بيروت، مؤسسةالرسالة، طالثانية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ابراهيم بن مخلدبن‌ابراهيم بن مطرالحنظلى، المعروف بابن راهويه، احدأئمة المسلمين و علماءالدين، اجتمع له الحديث، والفقه، الحفظ، الصدق، الورع، الزهد</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العسقلانى، هدى‌السّارى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السيوطى، تدريب الراوى</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ابوريه، اضواء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ابن‌حجرالعسقلانى، هدى‌السارى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بيت الافكار الدولية، ج</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البغدادى، احمد بن على بن الخطيب، تاريخ مدينة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رقم</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البغدادى، تاريخ مدينة السلام، ج</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رقم</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العسقلانى، هدى 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شواهد، مى‌تواند گواه بر اين باشد كه روايات صحيح و ارزشمند و راه‌گشا، و مجموعه بزرگى در 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عمداً در اين كتاب نياورده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اثبات آن، اين‌كار را نمى‌توان جز خيانت، نام نهاد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أضواء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 البخاري مات قبل أن يتم تبييض كتابه،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الهرساوى، الامام البخارى</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الزركلى، الاعلام، ج</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ذيل المستملى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ابراهيم‌بن احمدبن ابراهيم بلخى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بالمستملى، محدث، ثقة من اهل البلخ؛ عمركحالة، معجم المؤلفين،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احمد بن ابراهيم بن‌داود البخارى اصلاً، البلخى منزلاً و مدفناً، المعروف المستملى، محدث مات ببلخ</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الذهبى، سيراعلام النبلاء، ج</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الثقةُ العالم، ابوعبدالله محمدبن يوسف‌بن‌مَطَربن صالح بن بشر الفَربرى، راوى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ابى‌عبدالله البخارى، سَمِعَه منه بفَربَر مَرّتين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 ثقةً، ورعاً؛ الزركلى، الاعلام قاموس تراجم، ج</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اهل فربر از بلاد بخارا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ابن‌حجرالعسقلانى، هدى‌السّارى مقدمه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بيت الافكار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السمعانى، الانساب، ج</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ابوالوليد سليمان‌بن خلف‌بن سعدبن ايوب الباجي، المشهور صاحب تصانيف،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بلاد الآندلس،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إمام كبير ورد العراق و قرأ الفقه واحكم الاصول، و سمع صحيح البخاري بمكة عن ابي ذر عن عبد بن احمد الهروي</w:t>
      </w:r>
      <w:r>
        <w:rPr>
          <w:rFonts w:eastAsia="IRNazanin" w:cs="IRNazanin"/>
          <w:b w:val="false"/>
          <w:bCs w:val="false"/>
          <w:i w:val="false"/>
          <w:iCs w:val="false"/>
          <w:color w:val="333333"/>
          <w:sz w:val="20"/>
          <w:szCs w:val="20"/>
          <w:rtl w:val="true"/>
        </w:rPr>
        <w:t>. . .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إنتسخت كتاب البخاري من أصله الذي كان عند صاحبه محمدبن‌يوسف الفربري، فرأيت فيه شيئاً لم تتم و اشياءً مبيضة،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أمين، 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ماجاء فى العلم، نسخه يك‌جلدى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رنگى</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ماجاء فى العلم 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 ربّ زدنى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البخارى بشرح السندى، بيروت، دارالمعرفة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البخارى، مصر، ادارة الطباعة المنيرية، ج</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باب، ذيل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تصحيح و اخراج احاديث مصطفى ديب البغا،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 ط الخامسة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در همان باب، 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سلام، حدثنا اسحق الواسطي، عن عوف، عن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بالقرائة على العالم، و حدثناعبيدالله بن موسى، عن سفيان،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قُرئ على المحدث فلا بأس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اسماعيل‌البخارى، حذف شده است</w:t>
      </w:r>
      <w:r>
        <w:rPr>
          <w:rFonts w:eastAsia="IRNazanin" w:cs="IRNazanin"/>
          <w:b w:val="false"/>
          <w:bCs w:val="false"/>
          <w:i w:val="false"/>
          <w:iCs w:val="false"/>
          <w:color w:val="333333"/>
          <w:sz w:val="20"/>
          <w:szCs w:val="20"/>
          <w:rtl w:val="true"/>
        </w:rPr>
        <w:t>!) .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ابن‌حجرالعسقلانى، فتح البارى، ج</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باب مناقب عبيدةبن‌الجراح، رقم</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كتاب فضائل اصحاب‌النّبى؛ ابوريه، أضواء على‌السنة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العسقلانى، هدى السارى مقدمة فتح البارى،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الوليد الباجي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على صحة هذالقول أنّ رواية ابي اسحق المستملي و رواية ابي محمد السرخسي و رواية ابي الهيثم الكشميهني و رواية ابي زيد المروزي، مختلفة بالتقديم والتأخير مع أنّهم إنتسخوا من اصل الواحد، و إنّما ذلك بحسب ماقُدر كلّ واحد منهم فيما كان في طُرّةٍ او رَقعةٍ، مضافة أنّه من موضع ما أضاف اليه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بيت الافكار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أمين، 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ابوريه، اضواء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الهرساوى، الامام البخارى</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يك‌جلدى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 عبدالله‌بن الزبير، قال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قال سمعت عمربن الخطاب على المنبر،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رسول‌الله انّما الاعمال بالنيات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العتق،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مناقب الانصار،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الأيمان والنذور،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6689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الهرساوى، الامام البخارى</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منتهى‌الآمال فى شرح حديث انّما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الوجه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منصور از علما وادباى اسكندريه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المشهورعند النظار، حمل الحديث على العبادات، واتسع البخاري في الاستنباطات، فحمله على العبادات وعلى المعاملات وتبع مالك في القول بسدّ الذرائع، واعتبار المقاصد، فلو فسد اللفظ صح القصد ألغى اللفظ و اعمل القصد تصحيحاً و إبطالاً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منتهى‌الآمال فى شرح حديث انّما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منتهى‌الآمال فى شرح حديث انّما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منتهى‌الآمال فى شرح حديث انّما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منتهى‌الآمال فى شرح حديث انّما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منتهى‌الآمال فى شرح حديث انّما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النووى، صحيح مسلم بشرح النووى،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اتفقت الأمة على أنّ ما إتفقا البخاري ومسلم على صحته فهوحق و صدق ؛ السيوطى، تدريب‌الراوى فى شرح تقريب النواوى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صنف فى الصحيح المجرد، صحيح البخارى، ثم مسلم، و هما اصح الكتب بعد القرآن، و البخارى اصحّهما و اكثرهما فوائد؛ امين، ضحى‌الاسلام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ايّاما كان فقد عُدّ كتاب البخاري بحق اصحّ كتب الحديث، و لم ينازع احد في افضليته وعدّه اصح كتب الحديث</w:t>
      </w:r>
      <w:r>
        <w:rPr>
          <w:rFonts w:eastAsia="IRNazanin" w:cs="IRNazanin"/>
          <w:b w:val="false"/>
          <w:bCs w:val="false"/>
          <w:i w:val="false"/>
          <w:iCs w:val="false"/>
          <w:color w:val="333333"/>
          <w:sz w:val="20"/>
          <w:szCs w:val="20"/>
          <w:rtl w:val="true"/>
        </w:rPr>
        <w:t>. . .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احمد، ضحى‌الاسلام، بيروت، دارالكتب العلمية، ط الأولى</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2/93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هدى السارى مقدمة فتح البارى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الثانى؛ أمين، ضحى الإسلام، ج</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احمد، ضحى الإسلام، بيروت، دارالكتب العلمية، ط الأولى</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النووى، صحيح مسلم بشرح النووى، ج</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ابن‌حجر العسقلانى، هدى‌السّارى،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الفصل الثانى؛ أمين، ضحى الإسلام، ج</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ابوريه، أضواء على السنة المحديه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ابن‌حجرالعسقلانى، هدى‌السّارى مقدمة البخارى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الفصل‌الثالث، مواردى از پريشانى در روايات بخارى را ذكر و به‌نوعى توجيه مى‌كند</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ابن‌حجرالعسقلانى، هدى‌السّارى مقدمة البخارى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 ج</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 ج</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 الامام البخارى للهرساوى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 ج</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نسخه ديگر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باتلخيص</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مثال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الاعمال بالنيات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كه اشاره‌اش رفت، در هر مورد از موارد هفت‌گانه بدون تفاوت نقل نشده است</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البغدادى، تاريخ مدينة السلام، ج</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رقم</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ابوريه، اضواء على‌السّنّة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الاصبهانى، شيخ الشريعة، القول الصراح فى‌البخارى و صحيحه الجامع، تحقِق حسين الهرساوى، مقدمه جعفر سبحانى، قم، مؤسسة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السبحانى، جعفر، الحديث النبوى بين الرواية والدراية على ضوء الكتاب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قم، مؤسسة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الاولى</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سيرأعلام النبلاء، تحقيق محمد نعيم العرقوسى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مأمون صاغرجى، اشراف بر تحقيق شعيب الأرنؤوط، بيروت، مؤسسةالرسالة،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كبارالتابعين، 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ابن‌حجرالعسقلانى، تهذيب التهذيب،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قبل از عثمان بن عفان كسى جرأت نكرد طريد رسول‌الله را بازگرداند، ولى عثمان نه‌تنها او را به‌مدينه بازگرداند بلكه او را رئيس دفتر كارش قرار داد و بر جان و مال مردم مسلمان مسلط كرد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الذهبى، سير اعلام النبلاء، ج</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نجمى، محمدصادق، سيرى در صحيحين، قم، بوستان كتاب، چاپ اول</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الحرّانى، احمدبن‌عبدالحليم بن‌تيمية، منهاج‌السّنة النبوية فى‌الرد على‌الشّيعة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تحقيق محمد رشاد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القرطبة، ط الأولى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7/533</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ولن رووا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چهارگانه اهل‌سنت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كما روَوا عن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أحاديث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أضعاف أحاديثه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قد استراب البخاري في بعض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بلغه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بن‌سعيد القطان فيه كلام لم يخرج 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نجمى، محمدصادق، سيرى در 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بيروت، دارالفكر،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وعاب اسماعيلي على البخاري تخريج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من موبقاته أنّه رمى طلحة احد العشرة يوم الجمل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وثب على الخلافة بالسيف وإعتذرتُ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شرح البخاري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مروان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به‌بغض بخارى نسبت به‌اهل‌بيت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الصراح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سيرى در صحيحين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القشيرى النيسابورى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احمد، 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ابوريه، اضواء على السنة المحمديه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العسقلانى، هدى 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العسقلانى، هدى 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صحيح مسلم بشرح النووى، ج</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ابوريه، أضواء على‌السنة المحمديه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تزاد لفظة فى متن الحديث من كلام الراوى فيحسبها من يسمعها منه مرفوعة فى‌الحديث فيرويها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ابن‌كثير، اختصار علوم الحديث، تصحيح وتعليق محمدبن‌عبدالرازق حمزة، مكة، المطبعة المجدية، ط الأولى</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احمد، 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العسقلانى، هدى 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العسقلانى، هدى 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ابوريه، اضواء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بشرح جلال‌الدين السيوطى وحاشية الإمام السندى، بيروت، دارالكتب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تدريب الراوى فى شرح تقريب النواوى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 داستان از اين قرار است كه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 غديرخم، عمامه مخصوصى به‌نام سحاب را بر سر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به‌عنوان تاج گذاشت از آن پس هرگاه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عمامه را بر سر مى‌نهاد، پيامبر با خوشحالى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عَلِى فى السّحاب؛ شيعيان، خوشحال شده و گفته پيامبر را نشانه برترى على مى‌دانستند و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عَلِيٌّ في السّحاب ؛ ابن‌اثير در النهاية فى غريب الحدِيث،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احمد الزاوى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بيروت، المكتبة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مى‌آورد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اسم عمامة النّبي السّحاب، سمُّيت به‌تشبيهاً بسحاب المطر، لانسحابه في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كتاب الرياض‌النضرة فى مناقب العشرة، ابوجعفر احمد الشهير المحب‌الطبرى، بيروت، دارالكتب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خصائص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تعميمه إياه بيده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يوم غديرخم، فعمّمه و أرخى عذبة العمامة من خلفه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نجمى، سيرى در 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بعضى از كتاب‌هاى اهل‌سنت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ناميده‌اند نه‌جامع، بدان جهت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در اصطلاح محدثان، به‌كتاب‌هايى گفته مى‌شود كه در آن احاديث احكام، چون طهارت، صلات، زكات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را در خود گرد آورده باشد، اما جامع كتابى است كه همه انواع حديث از عقايد و احكام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 بشرح السيوطى و حاشيه سندى،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ابوداود سليمان بن الاشعث الازدى السجستانى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السجستانى، سليمان‌بن الأشعث، سنن ابى‌داود، تحقيق وتعليق سعيد اللحّاف بيروت، دارالفكر، ط الأولى</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اضواء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اضواء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ابن‌راهويه، اسحق‌بن ابراهيم، مسند ابن راهويه، تحقيق عبدالغفور عبدالحق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برد البلوسى، مدينة، مكتبة الإيمان، ط الأولى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النسائى، السنن‌الكبرى به‌تحقيق عبدالغفار البندارى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 بشرح السيوطى،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يخرج الحديث المتفق على ثقتة نقلة إلى الصحابي المشهور من غير اختلاف بين الثقات الاثبات و يكون اسناده متصلاً غير 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الحديث متصل الاسناد بنقل الثقة من الثقة من أوله إلى منتهاه سالماً من الشذوذ والعلة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ابن‌حجرالعسقلانى، هدى‌السارى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به‌كتاب هدى‌السارى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 بشرح السيوطى،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ابوعيسى محمدبن عيسى بن الترمذى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الحديث الشريف الكتب 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يك‌جلدى صحاح شش‌گانه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دارالسلام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ابن‌راهويه، مسند ابن راهويه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النسائى، احمدبن شعيب، السنن الكبرى، تحقيق عبد الغفار سليمان البندارى و سيد كسروى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دارالكتب العلمية، ط الأولى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أضواء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علوم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علوم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 بشرح السيوطى،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ابو عبدالرحمن احمد بن شعيب النسائى متولد نيشابور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شماره‌گذارى نسخه اين‌كتاب، طبع بيروت، دارالفكر</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6385</w:t>
      </w:r>
      <w:r>
        <w:rPr>
          <w:rFonts w:ascii="IRNazanin" w:hAnsi="IRNazanin" w:eastAsia="IRNazanin"/>
          <w:b w:val="false"/>
          <w:b w:val="false"/>
          <w:bCs w:val="false"/>
          <w:i w:val="false"/>
          <w:i w:val="false"/>
          <w:iCs w:val="false"/>
          <w:color w:val="333333"/>
          <w:sz w:val="20"/>
          <w:sz w:val="20"/>
          <w:szCs w:val="20"/>
          <w:rtl w:val="true"/>
        </w:rPr>
        <w:t>، باب عنوان شده كه اكثر باب‌ها يك‌حديث بيشتر ندارد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ابن‌راهويه، مسند ابن‌راهويه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النسائى،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عبدالغفار البندارى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 بشرح السيوطى،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ابو عبدالله بن رشيد</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 بشرح السيوطى،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ابو عبدالله بن رشيد</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 بشرح السيوطى،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 بشرح السيوطى،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شرط نسائى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الاحاديث اقوام لم يجمعوا على تركهم اذا صحّ الحديث باتصال الاسناد من غير قطع ولا ارسال ؛ لذا راويى كه ابى‌داود وترمذى اعتماد كرده‌اند، نسائى اعتماد نكرده بلكه نسائى بر پايه اين شرط، از برخى رجال بخارى و مسلم هم اجتناب ورزيده است</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اختصارعلوم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ابوريه، أضواء على‌السّنة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حاجى‌خليفه، كشف الظنون عن اسامى‌الكتب والفنون، ج</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امروزه به‌نام سنن نسائى معروف است همين كتاب است كه با همين عنوان به‌تحقيق عبدالغفار البندارى در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به‌طبع رسيده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كنيد در نرم‌افزار معجم فقهى</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 بشرح السيوطى،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قال القاضى‌تاج الدين السبكى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التي هي احدى الكتب الستة هي الصغرى لا الكبرى ؛ حاجى‌خليفه، كشف الظنون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 و نسائى و ترمذى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 بشرح السيوطى و حاشيه سندى،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دارالفكر طبع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القزوينى، محمدبن‌يزيد ابن‌ماجه، سنن ابن ماجه، به‌تحقيق فؤاد عبدالباقى،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توسط عبدالباقى مسلسل و با احاديث مكررش شماره‌گذارى وتبويب شده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القزوينى، محمدبن‌يزيد ابن‌ماجه، سنن ابن ماجه، به‌تحقيق فؤاد عبدالباقى،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محمد ناصرالدين الألبانى، دركتابى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بيروت، المكتب الإسلامى،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روايت آن را ضعيف شمرده است</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سنن‌النسائى بشرح السيوطى و حاشيه سندى،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كتاب‌هاى پنج‌گانه ديگر تا حدودى ديدگاه هماهنگ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السندى، ابى‌الحسن الحنفى، شرح سنن ابن‌ماجه، بيروت، دارالجليل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إتان‌كلبرگ، كتابخانه ابن‌طاووس و احوال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ترجمه سيد على قرائى و رسول جعفريان، قم، كتابخانه مرعشى</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ابن ماجه،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محمود، اضواء على‌السّنة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ابن‌كثير الدمشقى، اختصار علوم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كتاب‌هايى‌كه درعربستان منتشر مى‌شود به ويژه پايان‌نامه‌ها، بيشتر رويكرد تهاجم به‌مذاهب ديگر به‌ويژه اعتقادات اماميه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ناصربن‌عبدالله القفارى در رساله‌هاى كارشناسى ارشد و دكتراى خود و كتاب‌هاى صلاح عبدالفتاح الخالدى و احسان الهى ظهير از اين نمونه‌اند</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بيست سال تلاش پى‌گير مرحوم كلينى براى تأليف اين كتاب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تولد ياف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 در انتهاى سده سوم و ابتداى قرن چهارم هجرى قمرى</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رَى مهد دانش و تضارب آراء مذاهب مختلف و بغداد مركز دانش حديث در روزگار خود و</w:t>
      </w:r>
      <w:r>
        <w:rPr>
          <w:rFonts w:eastAsia="IRNazanin" w:cs="IRNazanin"/>
          <w:b w:val="false"/>
          <w:bCs w:val="false"/>
          <w:i w:val="false"/>
          <w:iCs w:val="false"/>
          <w:color w:val="333333"/>
          <w:sz w:val="20"/>
          <w:szCs w:val="20"/>
          <w:rtl w:val="true"/>
        </w:rPr>
        <w:t>. . .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متقن‌ترين كتاب از نظر ضبط و ثبت احاديثى اعتقادى، فقهى، اخلاقى، تاريخى و</w:t>
      </w:r>
      <w:r>
        <w:rPr>
          <w:rFonts w:eastAsia="IRNazanin" w:cs="IRNazanin"/>
          <w:b w:val="false"/>
          <w:bCs w:val="false"/>
          <w:i w:val="false"/>
          <w:iCs w:val="false"/>
          <w:color w:val="333333"/>
          <w:sz w:val="20"/>
          <w:szCs w:val="20"/>
          <w:rtl w:val="true"/>
        </w:rPr>
        <w:t>. . .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٠٠٠</w:t>
      </w:r>
      <w:r>
        <w:rPr>
          <w:rFonts w:ascii="IRNazanin" w:hAnsi="IRNazanin" w:eastAsia="IRNazanin"/>
          <w:b w:val="false"/>
          <w:b w:val="false"/>
          <w:bCs w:val="false"/>
          <w:i w:val="false"/>
          <w:i w:val="false"/>
          <w:iCs w:val="false"/>
          <w:color w:val="333333"/>
          <w:sz w:val="20"/>
          <w:sz w:val="20"/>
          <w:szCs w:val="20"/>
          <w:rtl w:val="true"/>
        </w:rPr>
        <w:t xml:space="preserve"> حديث مستند در ابواب مختلف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بخش نخست ديدگاه اماميه مفصل مطرح شد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صلاح عبدالفتاح، الكلينى و تأويلاته الباطنية لآيات القرآنية فى كتابه اصول الكافى، اردن، دارعمار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صلاح عبدالفتاح، الكلينى و تأويلاته الباطنية لآيات القرآنية فى كتابه اصول الكافى، اردن، دارعمار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القفارى، ناصربن عبدالله‌بن‌على، اصول مذهب الشيعة الامامية الاثنى عشرية، عربستان، دارالرضا،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محب‌الدّين، الخطوط العريضة لأُسس التى قام عليها دين‌الشّيعة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اردن، دارعمار،</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مجدى، محمدعلى، انتصارالحق، رياض، دارطيبة للنشر والتوزيع، ط الاولى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جلال الدين، تدريب الراوى فى شرح تقريب النواوى، بيروت، دارالكتب العلمية، ط الثانية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النيسابورى، مسلم‌بن‌الحجاج، صحيح مسلم بشرح النّووى، مرجعة خليل الميس، بيروت، دارالقلم،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وكتابه الكافى</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وكتابه الكافى</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وكتابه الكافى</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الخطوط العريضة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قفارى، اصول مذهب الشيعه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قفارى، اصول مذهب الشيعه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قفارى، اصول مذهب الشيعه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قفارى، اصول مذهب الشيعه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قفارى، اصول مذهب الشيعه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مجدى، انتصارالحق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قفارى، اصول مذهب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وتأويلاته الباطنية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الخطوط العريضة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 تأويلاته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مجدى، انصار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السالوس، احمدعلى، مع الشّيعة الإثنى عشرية فى الاصول والفروع، الدوحة، دارالتقوى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 ج</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الخالدى، الكلينى وتأويلاته الباطنية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 ج</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 ج</w:t>
      </w:r>
      <w:r>
        <w:rPr>
          <w:rFonts w:eastAsia="IRNazanin" w:cs="IRNazanin"/>
          <w:b w:val="false"/>
          <w:bCs w:val="false"/>
          <w:i w:val="false"/>
          <w:iCs w:val="false"/>
          <w:color w:val="333333"/>
          <w:sz w:val="20"/>
          <w:szCs w:val="20"/>
        </w:rPr>
        <w:t>2/1133</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الحلى، الحسن‌بن يوسف‌بن المطهر، منهاج الكرامة فى‌الامامة، تحقيق عبدالرحيم مبارك، قم، مؤسسه پژوهش‌هاى عاشورا، طالاولى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جمله قفارى</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فى نقض كلام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تحقيق محمّدرشاد سالم، مؤسسة قرطبة،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لهؤلاء الشّيعة مِن أينَ لَكم انّ‌الذينَ نَقَلوا هذهِ الاحاديث في الزّمان القديم ثقاتٌ، وانتُم لم تدركوا هُم ولم تعلموا احوالَهُم ولا لكُم كُتُبٌ مصنّفةٌ تعتَمِدون عليها في اَخبارِهم الّتي يميّزبها بين الثّقة وغيره ولا لكم اسانيد تعرفون رجالها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القفارى، اصول مذهب الشيعة، ج</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الدهلوى، شاه‌عبدالعزيز غلام حكيم، مختصرالتّحفة الإثنى‌عشرية، اختصره وهذّبه سنة</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الشكرى‌الآلوسى، استامبول تركيه،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اَنَّ اكثرالشّيعةِ كانوا يَعملونَ سابقاً بروايات اصحابهم بدون تحقيق وتفتيش، ولم يَكن فيهم مَن يميزُ رجال‌الاسناد، ولا مَن الّف كتاباً في الجَرحِ والتعديلِ، حتّى صَنّفَ الكش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سَنَة اربَعمأة تقريباً، كتاباً في اسماء الرّجال واحوال الرّواة</w:t>
      </w:r>
      <w:r>
        <w:rPr>
          <w:rFonts w:eastAsia="IRNazanin" w:cs="IRNazanin"/>
          <w:b w:val="false"/>
          <w:bCs w:val="false"/>
          <w:i w:val="false"/>
          <w:iCs w:val="false"/>
          <w:color w:val="333333"/>
          <w:sz w:val="20"/>
          <w:szCs w:val="20"/>
          <w:rtl w:val="true"/>
        </w:rPr>
        <w:t>. . . .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 الإثنى عشرية، ج</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القفارى، مسألة التقريب بين اهل السنة والشيعة، رياض، دارطيبةللنشر</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ج</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الحلى، حسن‌بن يوسف‌بن المطهر، منهاج الكرامة فى معرفة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الأئمة معصومون كالانبياء لما تقدّم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عدم بقاءالوثوق بما يبلغون عن‌الرسول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وأخذوا احكام الفروعية عن الأئمة المعصومين الناقلين عن جدّهم رسول‌الله الآخذ ذلك من‌الله بوحي‌الجبرئيل اليه يتناقلون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خَلَفاً عن سَلف لحفظ الاسناد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ذلك عن الثّقات خلف عن سلف الي ان يتّصل الرواية باحد المعصومين ولم يلتقوا الى القول بالرأي الاجتهاد</w:t>
      </w:r>
      <w:r>
        <w:rPr>
          <w:rFonts w:eastAsia="IRNazanin" w:cs="IRNazanin"/>
          <w:b w:val="false"/>
          <w:bCs w:val="false"/>
          <w:i w:val="false"/>
          <w:iCs w:val="false"/>
          <w:color w:val="333333"/>
          <w:sz w:val="20"/>
          <w:szCs w:val="20"/>
          <w:rtl w:val="true"/>
        </w:rPr>
        <w:t>. . .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مذهب‌الشّيعة الامامية، ج</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عبارت را به‌منهاج اهل‌السنّة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مى‌دهد درحالى‌كه چنين عبارتى از ابن‌تيميه در ردّ كلام علامه حلّى، وجود ندارد، لكن در جاى ديگر، اين عبارت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والرّافضة اعظم اهل‌البدع دخولاً في هذالوصف المذموم فانّهم اعظم الطوائف افتراء للكذب على‌الله و اعظم تكذيباً بالصدق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منهاج‌السنّة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تحقيق محمّدرشاد سالم، ج</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مسلم‌بن‌حجاج، صحيح مسلم،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فقال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اَن تشهد اَن‌لا إله اِلّا الله و أنَّ محمّداً رسول‌الله و تقيم الصلاة و تؤتي‌الزكاة و تصوم الرّمضان و تحجّ البيت</w:t>
      </w:r>
      <w:r>
        <w:rPr>
          <w:rFonts w:eastAsia="IRNazanin" w:cs="IRNazanin"/>
          <w:b w:val="false"/>
          <w:bCs w:val="false"/>
          <w:i w:val="false"/>
          <w:iCs w:val="false"/>
          <w:color w:val="333333"/>
          <w:sz w:val="20"/>
          <w:szCs w:val="20"/>
          <w:rtl w:val="true"/>
        </w:rPr>
        <w:t>. . . .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الرازى الخزارالقمى، كفايةالاثر فى‌النّص على‌الائمة الاثنى‌عشر، تحقيق، السيد عبداللطيف الحسينى الكوه‌كمرى الخويى، قم، انتشارات بيدار،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ستفرق أُمتي على ثلاث سبعين فرقة، منها فرقة ناجية و الباقون هالك، والناجية الذين يتمسّكون بولاتيكم و يقتبسون من علمكم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فَلَيَعْلَمَنَّ اللهُ الَّذِينَ صَدَقُوا وَ لَيَعْلَمَنَّ الْكاذِبِينَ</w:t>
      </w:r>
      <w:r>
        <w:rPr>
          <w:rFonts w:eastAsia="IRNazanin" w:cs="IRNazanin"/>
          <w:b w:val="false"/>
          <w:bCs w:val="false"/>
          <w:i w:val="false"/>
          <w:iCs w:val="false"/>
          <w:color w:val="333333"/>
          <w:sz w:val="20"/>
          <w:szCs w:val="20"/>
          <w:rtl w:val="true"/>
        </w:rPr>
        <w:t>. .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الحلّى، منهاج الكرامة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الموسوى، السيد عبدالحسين شرف‌الدّين، المراجعات، ايران، دارالأسوة، ط الرابعة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مراجعه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الرازى، ابوعلى مسكويه، تجارب‌الامم، ترجمه ابوالقاسم امامى، تهران، دارسروش</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6/229</w:t>
      </w:r>
      <w:r>
        <w:rPr>
          <w:rFonts w:ascii="IRNazanin" w:hAnsi="IRNazanin" w:eastAsia="IRNazanin"/>
          <w:b w:val="false"/>
          <w:b w:val="false"/>
          <w:bCs w:val="false"/>
          <w:i w:val="false"/>
          <w:i w:val="false"/>
          <w:iCs w:val="false"/>
          <w:color w:val="333333"/>
          <w:sz w:val="20"/>
          <w:sz w:val="20"/>
          <w:szCs w:val="20"/>
          <w:rtl w:val="true"/>
        </w:rPr>
        <w:t>، پاورقى؛ جعفريان، رسول، تاريخ تشيع در ايران از آغاز تا قرن دهم، قم، انصاريان، چ اول</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اسماعيل سال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درحالى‌كه كودك سيزده ساله بود برتخت نشست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ابن‌ماكولا، ابى‌نصر، اكمال الاكمال، تحقيق نايف عباس، القاهرة، دارالكتاب الإسلامى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مدينة دمشق، تحقيق على شيرى، بيروت، دارالفكر</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56/297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المبارك‌بن‌محمّد الشيبانى، جامع الاصول فى احاديث الرسول، إخراج أحاديث وتعليق عبدالقادر الأرناؤوط، بيروت، دارالفكر،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رقم</w:t>
      </w:r>
      <w:r>
        <w:rPr>
          <w:rFonts w:eastAsia="IRNazanin" w:cs="IRNazanin"/>
          <w:b w:val="false"/>
          <w:bCs w:val="false"/>
          <w:i w:val="false"/>
          <w:iCs w:val="false"/>
          <w:color w:val="333333"/>
          <w:sz w:val="20"/>
          <w:szCs w:val="20"/>
        </w:rPr>
        <w:t>8881</w:t>
      </w:r>
      <w:r>
        <w:rPr>
          <w:rFonts w:ascii="IRNazanin" w:hAnsi="IRNazanin" w:eastAsia="IRNazanin"/>
          <w:b w:val="false"/>
          <w:b w:val="false"/>
          <w:bCs w:val="false"/>
          <w:i w:val="false"/>
          <w:i w:val="false"/>
          <w:iCs w:val="false"/>
          <w:color w:val="333333"/>
          <w:sz w:val="20"/>
          <w:sz w:val="20"/>
          <w:szCs w:val="20"/>
          <w:rtl w:val="true"/>
        </w:rPr>
        <w:t xml:space="preserve">، إنّ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إن‌الله يبعث لهذه الامة على كل مأة سنة مَن يجدد لها دينها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أما من‌كان على رأس المأة الثالثة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من‌الفقهاء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ابوجعفر محمدبن‌يعقوب الرازى من الإمامية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بيروت دار احياء التراث</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سال</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تحقيق بشارعواد معروف، بيروت، مؤسسة الرّسالة،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ذيل رقم</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رقم</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تحقيق شعيب الارنؤوط وابراهيم الزيبق، بيروت، مؤسسة الرسالة، ط التاسعة</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رقم</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 يعقوب از سران فضلاى شيعه در ايام مقتدر عباسى بود و در بغداد سكونت داشت و در آن‌جا از محمدبن احمدبن جبار وعلى‌بن‌ابراهيم بن‌هاشم و ديگران حديث مى‌كرد، او از فضلاى شيعه بود كه بروفق آن مذهب كتاب‌ها نوشت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هديةالعارفين اسماء المؤلفين وآثار المصنّفين، بيروت، دار احياء 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اين نويسنده كتاب‌هاى فروع و اصول را كتاب‌هاى مستقل نام مى‌برد و از كافى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 فى‌الحديث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ياد مى‌كند</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العسكرى، السيد مرتضى، مقدمة مرآت العقول فى شرح اخبارآل‌الرسول، بيروت، دارالمعرفة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كتاب فضل العلم،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حضرت اين است كه اگر مقصود سائل اين‌باشد كه من رأى اجتهادى وظنيم را بيان بدارم، بايد بداند كه ما چيزى نمى‌گوييم جز با قطع و مستند به‌رسول‌الله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الكلينى، اصول كافى، ج</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كتاب فضل العلم، باب البدع والرّأى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الكبرى فى فضائل آل‌محمد، تحقيق السيد محمدحسن السيد حسين المعلم، بيروت، دارجوادالأئمة، طالاولى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أنّ الأئمة عندهم اصول العلم ما ورثوه عن‌النّبى،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ابراهيم بن‌هاشم، عن يحيى‌بن ابى‌عمران، عن يونس، عن قتيبة،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عن ابى عبدالله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العسكرى، مقدمة مرأة العقول، ج</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الكبرى فى فضائل آل‌محمد، تحقيق السيد محمدحسن السيد حسين المعلم، بيروت، دارجوادالأئمة، طالاولى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الكبرى فى فضائل آل‌محمد، تحقيق السيد محمدحسن السيد حسين المعلم، بيروت، دارجوادالأئمة، طالاولى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الأئمة أنّ عندهم اصول العلم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العسكرى، مقدمة مرأة العقول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المزّى، جمال الدّين يوسف، تهذيب الكمال فى‌أسماء الرجال، تحقيق بشّارعوّاد، بيروت، مؤسسةالرسالة، طالثانية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العسكرى، مقدمة مرأةالعقول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اميرالمؤمنين انّ النّبى علمه العلم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اميرالمؤمنين انّ النّبى علمه العلم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العسكرى، مقدمة مرأة العقول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المزّى، يوسف، تهذيب‌الكمال فى أسماء الرجال، ج</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رقم</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باب فيه ذكر الحديث الذى علّم رسول‌الله عَلِياً، و</w:t>
      </w:r>
      <w:r>
        <w:rPr>
          <w:rFonts w:eastAsia="IRNazanin" w:cs="IRNazanin"/>
          <w:b w:val="false"/>
          <w:bCs w:val="false"/>
          <w:i w:val="false"/>
          <w:iCs w:val="false"/>
          <w:color w:val="333333"/>
          <w:sz w:val="20"/>
          <w:szCs w:val="20"/>
          <w:rtl w:val="true"/>
        </w:rPr>
        <w:t>. . .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باب فى اَنَّ عَلِياً عَلّم كل ما انزل على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العسكرى، مقدمة مرأة العقول، ج</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؛العسكرى، مقدمة مرأة العقول ج</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القندوزى، سليمان بن ابراهيم الحنفى، ينابيع المودّة،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محمدمهدى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قم، الشريف‌الرضى،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جزءاول، باب الثالث فى بيان أن دوام الدنيا بدوام اهل بيته؛ الاحمدى الميانجى، على بن الحسين، مكاتيب الرسول، قم، دارالحديث، ط الاولى</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الهندى، متقى، كنزالعمال، تحقيق الشيخ بكرى حيانى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صفوة السقا، بيروت، مؤسسة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13/641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37621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السيوطى، جلال‌الدين، الجامع الصغير، بيروت، دارالفكر،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الزرندى الحنفى، محمدبن يوسف بن الحسن، نظم دررالسمطين، من مخطوطات مكتبة اميرالمؤمنين العامة، ط الاولِ</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سليمان‌بن احمدبن ايوب، المعجم الاوسط، تحقيق ابراهيم الحسينى،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7/311</w:t>
      </w:r>
      <w:r>
        <w:rPr>
          <w:rFonts w:ascii="IRNazanin" w:hAnsi="IRNazanin" w:eastAsia="IRNazanin"/>
          <w:b w:val="false"/>
          <w:b w:val="false"/>
          <w:bCs w:val="false"/>
          <w:i w:val="false"/>
          <w:i w:val="false"/>
          <w:iCs w:val="false"/>
          <w:color w:val="333333"/>
          <w:sz w:val="20"/>
          <w:sz w:val="20"/>
          <w:szCs w:val="20"/>
          <w:rtl w:val="true"/>
        </w:rPr>
        <w:t>؛ نظم دررالسّمطين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ابن‌عساكر، تاريخ مدينة دمشق، ج</w:t>
      </w:r>
      <w:r>
        <w:rPr>
          <w:rFonts w:eastAsia="IRNazanin" w:cs="IRNazanin"/>
          <w:b w:val="false"/>
          <w:bCs w:val="false"/>
          <w:i w:val="false"/>
          <w:iCs w:val="false"/>
          <w:color w:val="333333"/>
          <w:sz w:val="20"/>
          <w:szCs w:val="20"/>
        </w:rPr>
        <w:t>42/154</w:t>
      </w:r>
      <w:r>
        <w:rPr>
          <w:rFonts w:ascii="IRNazanin" w:hAnsi="IRNazanin" w:eastAsia="IRNazanin"/>
          <w:b w:val="false"/>
          <w:b w:val="false"/>
          <w:bCs w:val="false"/>
          <w:i w:val="false"/>
          <w:i w:val="false"/>
          <w:iCs w:val="false"/>
          <w:color w:val="333333"/>
          <w:sz w:val="20"/>
          <w:sz w:val="20"/>
          <w:szCs w:val="20"/>
          <w:rtl w:val="true"/>
        </w:rPr>
        <w:t xml:space="preserve">؛ الذهبى، تذكرة الحفاظ، تصحيح بر اساس نسخه خطى توسط وزارت حكومت هند، بيروت، دارإحياء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ابن حجرالعسقلانى، تهذيب التهذيب، بيروت، دارالفكر،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تحقيق محمدرشاد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قرطبة، ط الأولى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7/533</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البلاذرى، احمدبن يحيى‌بن جابر، جمل‌أنساب الأشراف، تحقيق و تقديم سهيل ذكّار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زركلى، بيروت، دارالفكر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يقتل‌الله علي‌بن الحسين؟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لي أخ يقال له علي‌بن‌الحسين وإنّما قَتَلَه الناس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الطبرى، محمدبن‌جرير، تاريخ الطبرى، تحقيق ابوالفضل ابراهيم، بيروت، روائع 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حوادث سال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البلاذرى، احمدبن يحيى‌بن جابر، جمل‌أنساب الأشراف، تحقيق و تقديم سهيل ذكّار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زركلى، بيروت، دارالفكر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؛الطبرى، محمدبن‌جرير، تاريخ الطبرى، تحقيق ابوالفضل ابراهيم، بيروت، روائع 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تعبيراتى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فراوان در اين منابع به‌چشم مى‌خورد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ارزش اين كتاب تا چه حد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به‌بخش اول اين كتاب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تدريب الراوى فى شرح تقريب النواوى، تحقيق عرفان عشّا حسّونة، بيروت، دارالفكر</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ابوهريره كه به‌صاحب الالوف شهرت يافته حدود</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اهل‌سنت به‌ويژه صحيح بخارى از وى نقل شده است، ابن‌راهويه، مسندابن‌راهويه، مدينةالمنوّرة، مكتبةالايمان، ط الاولى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بخارى نقل مى‌كند كه وقتى از او پرسيده شد، يا اباهريرة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هذا مِن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هَذا مِن كيس ابي‌هريرة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الخارى، ج</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5355</w:t>
      </w:r>
      <w:r>
        <w:rPr>
          <w:rFonts w:ascii="IRNazanin" w:hAnsi="IRNazanin" w:eastAsia="IRNazanin"/>
          <w:b w:val="false"/>
          <w:b w:val="false"/>
          <w:bCs w:val="false"/>
          <w:i w:val="false"/>
          <w:i w:val="false"/>
          <w:iCs w:val="false"/>
          <w:color w:val="333333"/>
          <w:sz w:val="20"/>
          <w:sz w:val="20"/>
          <w:szCs w:val="20"/>
          <w:rtl w:val="true"/>
        </w:rPr>
        <w:t>، كتاب النّفقات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تصحيح وضبط مصطفى ديب‌البغا، بيروت، دارابن‌كثير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اليمامة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كتاب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خوف المؤمن من أن‌يحبط عمله،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سؤال الجبريل‌النّبى عن الايمان،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اداء الخمس من الايمان،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قول‌النّبى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النصيحة،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كتاب‌العلم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جعل لاهل العلم اياماً معلومة،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كتابة العلم، 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حفظ العلم،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كثرة النساء، ح</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3/1017</w:t>
      </w:r>
      <w:r>
        <w:rPr>
          <w:rFonts w:ascii="IRNazanin" w:hAnsi="IRNazanin" w:eastAsia="IRNazanin"/>
          <w:b w:val="false"/>
          <w:b w:val="false"/>
          <w:bCs w:val="false"/>
          <w:i w:val="false"/>
          <w:i w:val="false"/>
          <w:iCs w:val="false"/>
          <w:color w:val="333333"/>
          <w:sz w:val="20"/>
          <w:sz w:val="20"/>
          <w:szCs w:val="20"/>
          <w:rtl w:val="true"/>
        </w:rPr>
        <w:t>، كتاب الوصايا،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للوصى ان يعمل فى مال اليتيم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تعالى، ح</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نفقة القيم للوقف، ح</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كتاب الفضائل الصحابة،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مناقب الحسن والحسن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مناقب بلال، ح</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المسمى‌الجامع الصحيح، تحقيق محمد فؤاد عبدالباقى، بيروت، دارالفكر، ط الثانية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كتاب المساجد و مواضع الصلاة،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استحباب التكبير بالعصر،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الصيام،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حفظ اللسان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كتاب الجمعة،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ذكر الخطبتين قبل الصلاة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ما يقرأ فى صلاة الجمعة،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السندى، ابى الحسن الحنفى، شرح سنن ابن‌ماجه، بيروت، دار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تحقيق محمد فؤاد عبدالباقى، بيروت، دار احياء التراث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كتاب الطهارة، باب</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ماجاء فى الحائض بعد الطهر الصفرة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النفساءكم تجلس، ح</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كتاب الاذان،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السنة فى الأذان، ح</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إفراد الاقامة، ح</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اذا اذن و انت فى المسجد فلاتخرج، ح</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كتاب الاقامة،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فى سكتتى الامام، ح</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اليدين على الركبتى، ح</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المصلى يسلم عليه كيف يرد، ح</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ماجاء فى وقت الجمعة، ح</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ماجاء فى الوتر بركعة، ح</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ماجاء فى‌القنوت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ابى‌داود، مراجعه وتعليق وضبط محمد محيى الدين عبدالحميد،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الطهارة، باب الجنُب يأكل، 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كتاب الصلاة، باب فى اعتزال النساء فى المساجد عن‌الرجال،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 من‌قال يتمّ على اكبر ظنه ح</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 الجمعة فى القرى، ح</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باب اذا وافق يوم الجعة يوم العيد، ح</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النداء يوم الجمعة، ح</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سنن‌الترمذى، تحقيق احمد محمدشاكر،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ابواب الطهارة،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ما جاء فى‌كم تمكث النفساء؟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ماجاء فى التيمم، 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ابواب الصلاة،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ما فى افراد الاقامة، ح</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ماجاء فى كراهية الخروح من المسجد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ماجاء فى كراهية الصف بين السوارى، ح</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مافى ترك الجهر بسم الله، ح</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ماجاء فى السكتتين فى الصلاة، ح</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ماجاء فى وضع اليدين على‌الركبتين فى الركوع، ح</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بهانه‌هايى كه براى ممنوعيت حديث ذكرشده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 از اختلاف مردم در مورد سنت پيامبرخدا، در روايتى از ابابكر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خليفه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الذهبى، محمد، تذكرة الحفاظ، تصحيح از نسخه قديم توسط وزارت معارف هند، بيروت، دارإحياء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خوف ازاشتباه شدن قرآن با احاديث، دركلام عمربن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البغدادى، على‌بن‌ثابت الخطيب، تقييدالعلم، تحقيق وتصديد يوسف العش،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نشرية داراحياء السنة النبوية، ط الثانية</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الموسوى، السيد شرف‌الدين، المراجعات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الشّهرستانى، على، منع تدوين‌الحديث، بيروت، مؤسسة الاعلمى، ط الاولى</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أوّلُ المستفيدين بالتّدوين الباكر أُولئكَ الذين يلوذون بالائمة من أهل‌البيت فيتَعلَّمون شفاهاً أوتحريراً، أي مِن فَمٍ لِفمٍ أو بالكتابة، فما تناقلته كُتُبُ الشّيعة من الحديث، هو التراث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صميمه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الشّيعة في يسر طوع لعلمهم الازدهار، في حينٍ لم يجمع أهل‌السنّة هذا التراث إلّا بعد أن انكبَّ عليه علماؤهم قرناً ونصف قرن حتّى حَصَلُوا ما دوّنوه في المدوّنات الأولى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جعفرالصادق، تأليف الحليم الجندى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رجال‌النجاشى، تحقيق محمدجواد النائينى، بيروت، دار الأضواء،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فاَخرج كتاباً مدروجاً عظيماً فَفَتَحَه و جعل ينظر حتى أخرج المسألة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الصدر، السيد حسن، تأسيس‌الشّيعة لعلوم الإسلام، عراق، مركز النشر والطباعة العراقية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الصفار، ابو جعفر محمدبن‌الحسن، بصائر الدرجات فى فضائل‌آل‌محمد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 و مقدمه و تصحيح ميرزا محسن كوچه باغى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شركت چاپ كتاب</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در اين كتاب به‌سند ديگر اين قضيه را نقل مى‌كند و در مورد ويژگى‌هاى كتاب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فخذ الرجل مطوى، فاذا فيه انّ النساء ليس لهن من عقار الرجل اذا هو توفى عنها شىء فقال ابوجعفر</w:t>
      </w:r>
      <w:r>
        <w:rPr>
          <w:rFonts w:eastAsia="IRNazanin" w:cs="IRNazanin"/>
          <w:b w:val="false"/>
          <w:bCs w:val="false"/>
          <w:i w:val="false"/>
          <w:iCs w:val="false"/>
          <w:color w:val="333333"/>
          <w:sz w:val="20"/>
          <w:szCs w:val="20"/>
          <w:rtl w:val="true"/>
        </w:rPr>
        <w:t>. . .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محمد بن اسماعيل، صحيح البخارى،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كتاب العلم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الحديث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ابى جحيفة قال، قلت 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هل‌عندكم كتاب؟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إلاّ كتاب‌الله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 ما فى هذه الصحيفة؛ ج</w:t>
      </w:r>
      <w:r>
        <w:rPr>
          <w:rFonts w:eastAsia="IRNazanin" w:cs="IRNazanin"/>
          <w:b w:val="false"/>
          <w:bCs w:val="false"/>
          <w:i w:val="false"/>
          <w:iCs w:val="false"/>
          <w:color w:val="333333"/>
          <w:sz w:val="20"/>
          <w:szCs w:val="20"/>
        </w:rPr>
        <w:t>6/2482</w:t>
      </w:r>
      <w:r>
        <w:rPr>
          <w:rFonts w:ascii="IRNazanin" w:hAnsi="IRNazanin" w:eastAsia="IRNazanin"/>
          <w:b w:val="false"/>
          <w:b w:val="false"/>
          <w:bCs w:val="false"/>
          <w:i w:val="false"/>
          <w:i w:val="false"/>
          <w:iCs w:val="false"/>
          <w:color w:val="333333"/>
          <w:sz w:val="20"/>
          <w:sz w:val="20"/>
          <w:szCs w:val="20"/>
          <w:rtl w:val="true"/>
        </w:rPr>
        <w:t>، كتاب الفرائض، باب اثم من تبرأ من مواليه ح</w:t>
      </w:r>
      <w:r>
        <w:rPr>
          <w:rFonts w:eastAsia="IRNazanin" w:cs="IRNazanin"/>
          <w:b w:val="false"/>
          <w:bCs w:val="false"/>
          <w:i w:val="false"/>
          <w:iCs w:val="false"/>
          <w:color w:val="333333"/>
          <w:sz w:val="20"/>
          <w:szCs w:val="20"/>
        </w:rPr>
        <w:t>6374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ابراهيم التميمي عن ابيه،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عندنا كتاب نقرؤه الاّ كتاب الله غير هذه الصحيفة، قال فأخرَجَها فاذا فيها اشياء من الجراحات و أسنان الابل، قال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حَرَمٌ ما بين عِير إلى ثور</w:t>
      </w:r>
      <w:r>
        <w:rPr>
          <w:rFonts w:eastAsia="IRNazanin" w:cs="IRNazanin"/>
          <w:b w:val="false"/>
          <w:bCs w:val="false"/>
          <w:i w:val="false"/>
          <w:iCs w:val="false"/>
          <w:color w:val="333333"/>
          <w:sz w:val="20"/>
          <w:szCs w:val="20"/>
          <w:rtl w:val="true"/>
        </w:rPr>
        <w:t>. . .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تحقيق و تصحيح محمد فؤاد عبدالباقى، بيروت، دارالفكر، ط الثانية</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xml:space="preserve">، كتاب الحج، باب فضل المدينه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اضافه كه بر صحيح بخارى دارد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صحيفة معلّقة فى قِراب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ابن‌حنبل، المسند، تحقيق صدقى محمدجميل العطار، بيروت، دارالفكر، طالثانية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باب مسند على</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 عبدالرسول، الكلينى و الكافى، قم، مؤسسة النشر الاسلامى، ط الاولى</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فى الرّد على‌أهل‌البدع والزّندقة، قاهره، مكتبه القاهره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ابوجعفر محمدبن الحسن فروخ، بصائرالدرجات فى فضائل آل محمد، ج</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اسد، الامام الصادق و المذاهب الاربعة،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دارالزهراء، ط الألى</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ابن ابى‌الحديد، عبدالحميد، شرح نهج البلاغه، تحقيق محمد ابوالفضل ابراهيم، بيروت، داراحياء التراث العربى، ط الثانية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گروه‌هاى هفتگانه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اداره‌كنندگان 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هيئت 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قضاء، واليان، زارعان، تاجران، توده‌عادى مردم، شمس‌الدين، محمدمهدى، دراسات فى نهج البلاغه، بيروت، دارالزهراء، ط الثانية،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بصائرالدرجات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متن حديث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اِنّ عندنا لمصحف فاطمة، وما يدريهم ما مصحف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مصحف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فيه مثل قرآنكم هذا ثلاث مرّات، واللهِ ما فيه من قرآنكم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انماهي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املاه‌الله عليها و أوحى اليها؛ الصدوق، من لايحضره الفقيه، ج</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الموسوى، سيد شرف الدين، المراجعات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العسكرى، مقدمة مرءات العقول،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السيد حسن، تأسيس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 اولى</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محمدبن‌الحسن، فهرست كتب الشيعة و اصولهم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تحقيق، السيد عبدالعزيز الطباطبائى، قم، مكتبة المحقق الطباطبائى، ط الاولى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له خطبة شرح فيها الامور بعد النبى؛ الصدر، تأسيس‌الشّيعة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طوسى، رجال‌الطوسى، نجف، مطبعة الحيدرية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اصحاب اميرالمؤمنين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الصدر، تأسيس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وى كتاب قضاياى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نوشته و از خواص و مورد اطمينان حضرت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جواهرالفقه وتليه رسالتان، للسيد المرتضى والشيخ الطوسى، تحقيق ابراهيم بهادرى بإشراف جعفر سبحانى، قم، جامعة المدرسين، ط الأولى</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حاء؛ الصدر، تأسيس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داراى كتاب و رسائلى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الصدر، تأسيس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كتاب سليم اصلى از اصولى است كه اهل‌سنّت نيز آن را نقل كرده است؛ ابن البرّاج،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تأسيس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ابن برّاج،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داراى كتاب در فنون فقه، و ضو، صلاة، و ساير ابواب داشته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له كتاب فى زكوة النعم؛ الصدر، تأسيس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ابن برّاج، جواهرالفقه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تأسيس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له كتاب فى قضايا اميرالمؤمنين و له كتاب آخر، نوادر، تأسيس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كتاب الصحيفه الكامله مشهوريه صحيفه سجاديه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جيم، اصحاب امام‌سجاد، رقم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تأسيس‌الشّيعه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جابر كتاب‌هايى در تفسير و احكام دارد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از اصحاب امام سجاد؛ تأسيس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كتاب قراءة اميرالمؤمنين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الموسوى، سيد شرف الدين، المراجعات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مسند زيدبن‌على كه احاديث پدرانش و برادرش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جزء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تأسيس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رجال‌النجاشى، ج</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اصحاب امام‌صادق رقم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تأسيس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رجال‌النجاشى، ج</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 الانصارى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از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تأسيس الشيعه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رجال‌النجاشى، ج</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از اصحاب امام باقر و امام‌صادق و امام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تأسيس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كتابى دارد كه أن را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اصحاب امام‌صادق، 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تأسيس الشيعه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رجال‌النجاشى، ج</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فى‌حياة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تأسيس‌الشيعه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رجال‌النجاشى، ج</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تأسيس‌الشّيعه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دارد كه از امام باقر نقل كرده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رجال‌النجاشى، ج</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ثوربن ابى‌فاخه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امام‌صادق 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تأسيس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دارد كه جماعتى از او نقل كرده‌اند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دارداز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رجال‌النجاشى، ج</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اصحاب، داراى شأن عظيم از امام‌صادق و امام‌كاظم روايت و كتاب‌هاى الحج، الصلاة، يوم و ليلة، دعاء، طلاق و مزار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اوست؛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امام‌صادق رقم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تأسيس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تأسيس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دارد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كتاب‌هاى مبعث النبى، صفة الجنة و النار از اوست؛ تأسيس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احمدبن‌يعقوب بن واضح، تاريخ يعقوبى، تحقيق عبدالاميرمهنّا، بيروت، مؤسسة الاعلمى، ط الاولى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اسد حيدر، الامام الصادق و المذاهب الاربعة، ج</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 تاريخ يعقوبى، ج</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حيدر، الامام الصادق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ابن‌حجرالعسقلانى، شهاب الدين احمد بن على، تهذيب التهذيب، بيروت، دارالفكر،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ابن‌تيميه، التوسل والوسيلة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جلية فى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الاولى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اسد حيدر، الامام الصادق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ميزان الاعتدال، تحقيق على‌بن محدالبيجاوى،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العسقلانى، تهذيب التهذيب، ج</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جيم</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المزّى، جمال‌الدين ابى‌الحجاج يوسف، تهذيب‌الكمال فى اسماء الرجال، مراجعه و مقدمه سهيل زكار، تحقيق احمدعلى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احمدآغا؛ بيروت، دارالفكر</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إذا نظرتُ الى جعفربن محمد علمتُ أنّه من سُلالة النِبيين؛ اسدحيدر، الامام الصادق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ابن‌حجرالعسقلانى، احمدبن‌على‌بن حجر العسقلانى، تهذيب التّهذيب، ج</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نعمان‌بن ثابت‌بن زوطى الفارسى، فهو فارس النسب وكان جدّه من‌أهل‌كابُل ولدَ 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أو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محمد، ابو حنيفه آرائه الفقهية، بيروت، دار الفكرالعربى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المزى، تهذيب الكمال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الذهبى، محمد، تذكرة الحفاظ، ج</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اسد حيدر الامام الصادق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را ابوحنيفه وقتى مى‌گويد كه ابوجعفر منصور عباسى او را مأمور كرد كه تعدادى سؤال‌هاى سخت و مشكل تهيه نمايد تا در مجلسى از جعفربن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بپرسد و او را بيازمايد، ابوحنيفه با آماده كردن چهل سؤال سخت درآن مجلس حضور پيدا كرد و به‌دستور منصور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پرسيد و حضرت از سه ديدگاهِ اهل عراق و اهل مدينه و مكتب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داد و تعجب همگان را برانگيخت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السيد محمود شكرى، مختصرالتحفه الاثنى عشريه، شاه عبدالعزيز الدهلوى، اختصره الآلوسى، تركيه،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ابوحنيفة و هو من اهل‌السنه يفتخر 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السنتان لَهَلَكَ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السنتين اللّتين جلس فيهما لأخذ العلم عن الامام الصادق؛ الامام الصادق و المذاهب الاربعة، ج</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التوسل والوسيلة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جَلِية فى‌التوسل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قاموس تراجم لاشهرالرجال و النساء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بيروت، دارالعلم للملايين، ط الثالثه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أخذ منه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ابوحنيفه و مالك، و جابربن‌حيان، و لقّب بالصادق، لانه لايعرف عنه الكذب قطّ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صنف تلميذه جابربن‌حيان كتاباً فى ألف ورقة يتضمن رسائل الامام الصادق و هى‌خمسمأة رسالة؛ اسد حيدر، الامام الصادق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الزركلى، خيرالدين، الاعلام قاموس تراجم لاشهرالرجال و النسآء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اسدحيدر، الامام‌الصادق و المذاهب الاربعة، ج</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بخش اصحاب 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از محمدبن‌يعقوب الكلينى، من‌لايحضره الفقيه از صدوق، استبصار وتهذيب الاحكام از شيخ الطائفه الطوسى</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الطهرانى، آقابزرگ، الذريعه الى‌تصانيف‌الشيعه، بيروت، دارالاضواء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الموسوى، سيد شرف الدين المراجات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الذريعه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هوالكتاب الّذى جمع فيه مصنفه الاحاديث الّتى رواها عن المعصوم او عن‌الراوى عنه؛ وحيد بهبهانى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فالأصل مِن كتب‌الحديث هو مَاكان المكتوب فيه مسموعاً فيه لمؤلّفه عن المعصوم أو عمن سمع منه، لامنقولاً عن مكتوب، فإنّه فرعٌ منه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الذريعه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الشيخ بهاء الدين مشهور به‌شيخ بهائى، مشرق الشمسين، قم مكتبة بصيرتى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الذّريعة الى تصانيف الشّيعة، ج</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الاصول‌الستّة عشر، نخبة من‌الرواة، قم، دارالشبسترى للمطبوعات، ط الثانية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الى‌تصانيف‌الشّيعة، ج</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كتب‌الشّيعة و أصولهم وأسماءالمصنّفين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به‌كوشش محمودراميار، مشهد، چاپخانه دانشگاه مشهد</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الدّهلوى، مختصرتحفة الاثنى عشرية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الذّريعة الى‌تصانيف الشيعة، ج</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الذّريعة الى‌تصانيف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اصل</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الذّريعة الى‌تصانيف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اصل</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ابن‌داود الحلى، تقى‌الدين الحسن‌بن‌على، رجال ابن داود الحلّى به‌همراه رجال ابن داود، تحقيق ومقدمة السيد محمدآل بحرالعلوم، قم، منشورات الرضى</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ازنسخه نجف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اختيار معرفة الرجال؛ معروف برجال الكشى، تحقيق ميرداماد،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السيد مهدى رجايى، قم، مؤسسة آل‌البيت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الزرارى، تحقيق، السيد محمد على الابطحى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مطبعة ربانى</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ق در دو مجلد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ابى‌عبدالله الحسين بن عبيدالله تحقيق السيد محمد على‌الابطحى،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مطبعة ربّانى</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ابى‌العباس احمدبن‌على، رجال النجاشى در دو مجلد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ابى‌جعفربن‌محمد بن‌الحسن، رجال الطوسى، تحقيق جواد الفيومى، قم، مؤسسة النشرالاسلامى التابعة لجماعة المدرسين</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فهرست كتب‌الشّيعة و اصولهم و أسماء المصنفين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تحقيق السيد عبدالعزيز الطباطبايى، قم، المكتبة المحقق الطباطبايى، طالاولى</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منتخب‌الدين على‌بن بابويه الرّازى، تحقيق ومقدمه سيد جلال الدين ارموى، قم، كتابخانه آيةالله مرعشى نجفى</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الحلى، تقى‌الدين الحسن‌بن على‌بن داود، رجال ابن داود، تحقيق و تصحيح السيد محمدآل بحرالعلوم، النجف، منتشورات الرضى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الحيدريه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همراه رجال البرقى</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الحلّى، الحسن‌بن يوسف بن على‌بن المطهر، خلاصة الاقوال فى معرفة الرجال،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القيومى، ايران، نشرالفقاهة، ط الثانية</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التحريرالطاووسى المستخرج من‌كتاب حلّ‌الاشكال، حسن‌بن زين‌الدين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منتقى الجمان فى الاحاديث الصّحاح والحسان، حسن‌بن زين‌الدين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محمد بن على‌الاردبيلى الغروى الحائرى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السيد مصطفى التفرشى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علماى قرن يازدهم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أمل‌الآمل، محمدبن‌الحر العاملى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فى طبقات الشيعة، صدرالدين السيد على‌خان المدنى الشيرازى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الوحيد البهبهانى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محمد مهدى بحرالعلوم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المقال فى معرفة طبقات‌الرجال، السيد على اصغر الجابلقى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الخاقانى، على الخاقانى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سماء المقال فى علم الرجال، ابوالمهدى الكلباسى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الرجال الحديث و تفصيل الطبقات الرواة، السيد ابو القاسم الخويى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المقال فى تنقيح كتاب الرجال، السيد محمد على‌الموحد الابطحى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 .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بحث نگاه كنيد به‌كتاب منع تدوين‌الحديث اسباب ونتائج، تأليف على‌الشهرستانى</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جلال‌الدين، تنويرالحوالك شرح على‌موطأ مالك،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اين كتاب تعبير، فلبث عمر شهراً يستخيرالله تعالى فى ذلك شاكاً فيه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الصنعانى، عبدالرزاق، المصنّف، تحقيق عبدالرحمن الاعظمى، بيروت، المجلس العلمى، ج</w:t>
      </w:r>
      <w:r>
        <w:rPr>
          <w:rFonts w:eastAsia="IRNazanin" w:cs="IRNazanin"/>
          <w:b w:val="false"/>
          <w:bCs w:val="false"/>
          <w:i w:val="false"/>
          <w:iCs w:val="false"/>
          <w:color w:val="333333"/>
          <w:sz w:val="20"/>
          <w:szCs w:val="20"/>
        </w:rPr>
        <w:t>11/258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المتقى، كنز العمال، تحقيق الشيخ بكرى حبانى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الشيخ الصفوة السقا، بيروت، مؤسسه الرسالة، ج</w:t>
      </w:r>
      <w:r>
        <w:rPr>
          <w:rFonts w:eastAsia="IRNazanin" w:cs="IRNazanin"/>
          <w:b w:val="false"/>
          <w:bCs w:val="false"/>
          <w:i w:val="false"/>
          <w:iCs w:val="false"/>
          <w:color w:val="333333"/>
          <w:sz w:val="20"/>
          <w:szCs w:val="20"/>
        </w:rPr>
        <w:t>10/292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29474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 الاشراف، تحقيق سُهيل زكار و رياض زركلى، بيروت، دار الفكر، ط الأولى</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عمربن الخطاب،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يمنع من تدوين الحديث؛ ابوريه، محمود، أضواء على السنّة، ايران، دارالكتاب الإسلامى، الأولى</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 العمال، ج</w:t>
      </w:r>
      <w:r>
        <w:rPr>
          <w:rFonts w:eastAsia="IRNazanin" w:cs="IRNazanin"/>
          <w:b w:val="false"/>
          <w:bCs w:val="false"/>
          <w:i w:val="false"/>
          <w:iCs w:val="false"/>
          <w:color w:val="333333"/>
          <w:sz w:val="20"/>
          <w:szCs w:val="20"/>
        </w:rPr>
        <w:t>10/292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النص و الاجتهاد، بيروت، مؤسسة الأعلمى، ط الرابعة</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مقصودش روايتى است كه ترمذى از ابى‌سعيد الخدرى نقل مى‌كند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ابي‌سعيدالخدري،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استأذنّا النبي في الكتابة، فلم يأذن لنا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عيسى‌بن سورة، سنن الترمذى،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ماجاء فى‌كراهية كتابة العلم، رقم</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 الخطيب البغدادى، احمدبن على‌بن ثابت، تقييد العلم، تحقيق وتعليق يوسف العش،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نشرية دار احياءالسنة النبوية، ط الثانية</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 متفاوت با اين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ابى‌نضرة،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لابى‌سعيد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كتبتم لنا، فأنّا لا نحفظ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نُكتِبكُم، ولا نجعلها مصاحف؛ كان رسول‌الله يحدّثنا فنحفظ، فاحفظ عنّا كما نحفظ عن نبيكم</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هدى‌السّارى مقدمة فتح البارى فى شرح البخارى، تصحيح عبدالعزيز بن‌باز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محمدفؤاد عبدالباقى، بيروت، دارالكتب العلمية، ط الأولى</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الموصلى، احمدبن‌على‌بن المثنى ابويعلى، مسند ابويعلى، تحقيق حسين سليم اسد، بيروت، دارالمأمون للتراث،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محمد، اضواء على السنة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الذهبى، شمس الدين محمد، تذكرة الحفاظ،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الكبرى،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طبقات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تأتون أهل قرية لهم دَويّ بالقرآن كدويّ النحل فلاتصدّوهم بالأحاديث فتشغلوهم، جرّدوا القرآن وأقِلُّوا الرواية عن رسول‌الله إمضوا و أنا شريككم ؛ محمّد ابوزهوْ، محمد، الحديث والمحدثون، مصر، مطبعة مصرشركة مساهمة 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ابن البرّاج، جواهرالفقه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الطبقات‌الكبرى، ج</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ذكرمن يفتى بالمدينه ويقتدى به‌من اصحاب رسول‌الله؛ الاحمدى الميانجى، على‌بن الحسين‌بن على، مكاتيب الرسول، قم، دارالحديث، ط الاولى</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النهى عن‌المسألة،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المساقات،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كنزالعمّال، ج</w:t>
      </w:r>
      <w:r>
        <w:rPr>
          <w:rFonts w:eastAsia="IRNazanin" w:cs="IRNazanin"/>
          <w:b w:val="false"/>
          <w:bCs w:val="false"/>
          <w:i w:val="false"/>
          <w:iCs w:val="false"/>
          <w:color w:val="333333"/>
          <w:sz w:val="20"/>
          <w:szCs w:val="20"/>
        </w:rPr>
        <w:t>10/292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مات عمر بن الخطاب حتى بعث الى اصحاب رسول‌الله فجمعهم من الآفاق عبدالله بن حذافة وابادرداء و اباذر و عقبةبن‌عامر،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الاحاديث التي قدأفشَيتُم عن رسول الله في الآفاق؛ قالوا، أتنهانا؟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أقيموا عندي، لاوالله لاتفارقوني ما عِشتُ، فنحن أعلم نأخذُ و نردُّ عليكم فما فارقوه حتّى‌مات؛ شرف‌الدين‌الموسوى، النّص والاجتهاد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حاكم در المستدرك خود حصر أصحاب را به‌اين عبارت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ابراهيم، عن ابيه، أنّ عمربن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لإبن‌مسعود ولأبي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ماهذا الحديث عن رسول‌الله، وأحبسه حبسهم بالمدينة حتّى أصيب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على‌الصحيحين، تحقيق مصطفى عبدالقادرعطا، بيروت، دارالكتب‌العلمية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رقم</w:t>
      </w:r>
      <w:r>
        <w:rPr>
          <w:rFonts w:eastAsia="IRNazanin" w:cs="IRNazanin"/>
          <w:b w:val="false"/>
          <w:bCs w:val="false"/>
          <w:i w:val="false"/>
          <w:iCs w:val="false"/>
          <w:color w:val="333333"/>
          <w:sz w:val="20"/>
          <w:szCs w:val="20"/>
        </w:rPr>
        <w:t>374/85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وإنكار عمر أميرالمؤمنين على الصحابة كثرة الرواية عن رسول‌الله فيه سنة، ولم يخرجاه؛ شهرستانى، على، منع تدوين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محمدبن‌اسماعيل، صحيح البخارى،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اليمامة للطباعة والنشر، ط الخامسة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 كيفيت يقبض العلم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كنزالعمّال، ج</w:t>
      </w:r>
      <w:r>
        <w:rPr>
          <w:rFonts w:eastAsia="IRNazanin" w:cs="IRNazanin"/>
          <w:b w:val="false"/>
          <w:bCs w:val="false"/>
          <w:i w:val="false"/>
          <w:iCs w:val="false"/>
          <w:color w:val="333333"/>
          <w:sz w:val="20"/>
          <w:szCs w:val="20"/>
        </w:rPr>
        <w:t>10/285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باب فى آداب العلم و العمل، ابوبكر، دليل آن را چنين وا نمود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خَشيتُ أن أموت وهي عندكِ فيكُونَ فيهَا أحاديثٌ عن رجُلٍ إئتَمَنتُهُ و وَثّقتُ به‌ولم يَكن كَمَا حدّثَني فأكون قدتقَلّدتُ ذلك</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محمود، اضواء على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 ج</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القاسم بن محمد بن ابى بكر؛ شرف الدين، النص والاجتهاد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القرطبى، يوسف، جامع بيان العلم و فضله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مقدمه تعليق محمد عبدالقادر، احمد عطا، بيروت، مؤسسة الكتب الثقافية، ط الثالثة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عمربن‌الخطاب ارادَ أن يكتب السنّة، ثم بَدا لَهُ أن لايكتبها، ثم كتب في الامصاره من كان عنده شيء فليمحه؛ شرف‌الدين الموسوى، النص و 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القرطبى، جامع بيان العلم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المتقى، كنزالعمال ج</w:t>
      </w:r>
      <w:r>
        <w:rPr>
          <w:rFonts w:eastAsia="IRNazanin" w:cs="IRNazanin"/>
          <w:b w:val="false"/>
          <w:bCs w:val="false"/>
          <w:i w:val="false"/>
          <w:iCs w:val="false"/>
          <w:color w:val="333333"/>
          <w:sz w:val="20"/>
          <w:szCs w:val="20"/>
        </w:rPr>
        <w:t>10/292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29476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العسقلانى، احمدبن‌على‌بن‌حجر، هدى‌السّارى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حالى‌كه روايات بخارى با مكرر آن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مكرر بيش از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٠٠٠</w:t>
      </w:r>
      <w:r>
        <w:rPr>
          <w:rFonts w:ascii="IRNazanin" w:hAnsi="IRNazanin" w:eastAsia="IRNazanin"/>
          <w:b w:val="false"/>
          <w:b w:val="false"/>
          <w:bCs w:val="false"/>
          <w:i w:val="false"/>
          <w:i w:val="false"/>
          <w:iCs w:val="false"/>
          <w:color w:val="333333"/>
          <w:sz w:val="20"/>
          <w:sz w:val="20"/>
          <w:szCs w:val="20"/>
          <w:rtl w:val="true"/>
        </w:rPr>
        <w:t xml:space="preserve"> حديث نيست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العسقلانى، احمدبن‌على‌بن‌حجر، هدى‌السّارى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محمود ابوريه مجموع روايات متصل و مرفوعه بخارى را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على‌السنّة المحمديه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ذكرجمل من‌الأخبار الشاهدة لسعة حفظه</w:t>
      </w:r>
      <w:r>
        <w:rPr>
          <w:rFonts w:eastAsia="IRNazanin" w:cs="IRNazanin"/>
          <w:b w:val="false"/>
          <w:bCs w:val="false"/>
          <w:i w:val="false"/>
          <w:iCs w:val="false"/>
          <w:color w:val="333333"/>
          <w:sz w:val="20"/>
          <w:szCs w:val="20"/>
          <w:rtl w:val="true"/>
        </w:rPr>
        <w:t>. . .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البغدادى، احمدبن‌على‌بن‌ثابت، تاريخ مدينة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وضبط وتعليق بشّار عوّاد معروف، بيروت، دار الغرب الإسلامى، ط الأولى</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ذيل 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ابن‌الجوزى‌القرشى، عبدالرحمن‌بن‌على، الموضوعات، بيروت، دارالفكر، ط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هفتم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ابن‌الجوزى‌القرشى، عبدالرحمن‌بن‌على، الموضوعات، بيروت، دارالفكر، ط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ابن‌الجوزى‌القرشى، عبدالرحمن‌بن‌على، الموضوعات، بيروت، دارالفكر، ط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لاينبغي لقوم فيهم ابوبكر يؤمّهم غيره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ابن‌الجوزى‌القرشى، عبدالرحمن‌بن‌على، الموضوعات، بيروت، دارالفكر، ط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ابن‌الجوزى‌القرشى، عبدالرحمن‌بن‌على، الموضوعات، بيروت، دارالفكر، ط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ابن‌الجوزى‌القرشى، عبدالرحمن‌بن‌على، الموضوعات، بيروت، دارالفكر، ط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ابن‌الجوزى‌القرشى، عبدالرحمن‌بن‌على، الموضوعات، بيروت، دارالفكر، ط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ابن‌الجوزى‌القرشى، عبدالرحمن‌بن‌على، الموضوعات، بيروت، دارالفكر، ط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الجوزى، الموضوعات،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الجوزى، الموضوعات،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الاسلامى، ابوالفضل، مع الدكتور ناصرالقفارى فى أصول مذهبه، قم، نشرالفقاهة، ط الأولى</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مجدى محمد، انتصارالحق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مناظرةعلمية مع بعض‌الشّيعة الامامية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عربستان، دارالطيبة للنشر والتوزيع، ط الاولى</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ياليتَ الكافي بقِي على حاله الذي كان عليه يوم ألّفه الكليني، ولكنّه على مَرّ العصور ومع كلّ نسخ كان النّاسخ لابُدّ وأن يضيف شيئاً جديداً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الكتاب إلى قريب من ضُعف حجمه الأصلي وقت كتب</w:t>
      </w:r>
      <w:r>
        <w:rPr>
          <w:rFonts w:eastAsia="IRNazanin" w:cs="IRNazanin"/>
          <w:b w:val="false"/>
          <w:bCs w:val="false"/>
          <w:i w:val="false"/>
          <w:iCs w:val="false"/>
          <w:color w:val="333333"/>
          <w:sz w:val="20"/>
          <w:szCs w:val="20"/>
          <w:rtl w:val="true"/>
        </w:rPr>
        <w:t>. . .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ابوجعفر محمدبن‌الحسن، فهرست كتب الشّيعة و اصولهم واسماء المصنّفين و اصحاب الاصول، تحقيق السيد عبدالعزيز الطباطبائى، قم مكتبة المحقق الطباطبائى، طالاولى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مجدى محمد، انتصارالحق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الشّيعةالامامية الاثنى عشرية، ج</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زيدعَلَى‌الكافي فيما بين القرن الخامس، والحادي‌عشر عشرون كتاباً</w:t>
      </w:r>
      <w:r>
        <w:rPr>
          <w:rFonts w:eastAsia="IRNazanin" w:cs="IRNazanin"/>
          <w:b w:val="false"/>
          <w:bCs w:val="false"/>
          <w:i w:val="false"/>
          <w:iCs w:val="false"/>
          <w:color w:val="333333"/>
          <w:sz w:val="20"/>
          <w:szCs w:val="20"/>
          <w:rtl w:val="true"/>
        </w:rPr>
        <w:t>. . .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كتب‌الشيعة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كتاب‌هاى كافى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عقل و فضل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و كفر،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و حيض،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عتق و تدبير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و نذور و كفارات،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معيشت،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و احكام،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جنائز،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وقوف و صدقات،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صيدو ذبائح،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أطعمه و أشربه،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دواجن و رواجن،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زى و تجمّل،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فرائض،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ابى‌العباس احمد بن‌على الكوفى الاسدى، رجال النجاشى، ج</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مذهب‌الشيعة، ج</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مجدى محمد، انتصارالحق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فى احوال العلماء و السادات،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اسماعيليان،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الجامعة لدرر الاخبار الائمة الاطهار، بيروت، داراحياءالتراث، ط الثالثة، المصححة،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104/146</w:t>
      </w:r>
      <w:r>
        <w:rPr>
          <w:rFonts w:ascii="IRNazanin" w:hAnsi="IRNazanin" w:eastAsia="IRNazanin"/>
          <w:b w:val="false"/>
          <w:b w:val="false"/>
          <w:bCs w:val="false"/>
          <w:i w:val="false"/>
          <w:i w:val="false"/>
          <w:iCs w:val="false"/>
          <w:color w:val="333333"/>
          <w:sz w:val="20"/>
          <w:sz w:val="20"/>
          <w:szCs w:val="20"/>
          <w:rtl w:val="true"/>
        </w:rPr>
        <w:t xml:space="preserve">، رقم اجازه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علامه حلّى براى سيد مهنّا نجم‌الدين المدنى بن‌سنان؛ و ج</w:t>
      </w:r>
      <w:r>
        <w:rPr>
          <w:rFonts w:eastAsia="IRNazanin" w:cs="IRNazanin"/>
          <w:b w:val="false"/>
          <w:bCs w:val="false"/>
          <w:i w:val="false"/>
          <w:iCs w:val="false"/>
          <w:color w:val="333333"/>
          <w:sz w:val="20"/>
          <w:szCs w:val="20"/>
        </w:rPr>
        <w:t>105/159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اجازه‌ى شهيد ثانى براى شيخ حسين‌بن عبدالصمد پدرشيخ بهائى؛ و ج</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تصوير اجازه‌ى رقم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از شيخ محمدبن خاتون العاملى براى شيخ على‌بن الحسين‌بن عبدالعالى الكركى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وأجزتُ له أن يَروي عنّي جميع الأحاديث المنقولة عن أهل‌البيت المذكورة بالاسانيد في‌الكتب علمائنا كالتهذيب والاستبصارو غيرهما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كتاب الكافي تصنيف محمدبن يعقوب الكليني المسمّى بالكافي و هو خمسون كتاباً بالاسانيد المذكورة في هذا الكتاب</w:t>
      </w:r>
      <w:r>
        <w:rPr>
          <w:rFonts w:eastAsia="IRNazanin" w:cs="IRNazanin"/>
          <w:b w:val="false"/>
          <w:bCs w:val="false"/>
          <w:i w:val="false"/>
          <w:iCs w:val="false"/>
          <w:color w:val="333333"/>
          <w:sz w:val="20"/>
          <w:szCs w:val="20"/>
          <w:rtl w:val="true"/>
        </w:rPr>
        <w:t>. . .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105/144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105/14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104/106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105/156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105/188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شهيدى تبريزى، مرءات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ناشر عبدالله ثقة الإسلامى، چ اول</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على‌بن شهرآشوب المازندرانى، معالم العلماء فى‌فهرست كتب الشّيعة و اسماء المصنفين قديماً و حديثاً، نجف، المطبعة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الطبرسى، حسين نورى، خاتمة مستدرك الوسائل، تحقيق و انتشار مؤسسةآل‌البيت لاحياء التراث، قم، ط الاولى</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شهيدى التبريزى، مرءات الكتب، ج</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الى‌تصانيف الشيعة، بيروت، دارالاضواء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17/245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طهرانى اين نكته را تذكر مى‌دهد كه كتابى مستقل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دركافى وجود ندارد و برخى از معاصران، روايات خمس را كه در مجموعه كافى پراكنده بود، گردآورى نموده و به آخر جلد اول ضميمه كه در حاشيه به‌اين نكته اشاره شده است</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مع تعليقات نافعة مأخوذة من عدة شروح، تصحيح و تعليق على اكبر غفارى، طهران، دارالكتب الاسلامية، ط الثالثة</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الحججى، محمد حسين‌بن‌على‌الموحّد، الأوّليات ممّا أودعه فى الكافى، قم، الخيام،</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سه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جهل،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يك‌كتاب مى‌شمارد، درحالى‌كه نجاشى دو كتاب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الكافى، تحقيق على أكبر الغفارى، بيروت، دارالأضواء</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محسن المشتهر بالفيض الكاشانى، الوافى، اصفهان، مكتبةالامام أميرالمؤمنين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الاولى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 الإمامية الإثنى عشرية، ج</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انتصار الحق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قفارى نسخه كافى، تصحيح على اكبر غفارى را در اختيار داشته است و از آن نسخه استناد مى‌كند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ينافي ما نقل عن شيخنا الطوسي في فهرسته</w:t>
      </w:r>
      <w:r>
        <w:rPr>
          <w:rFonts w:eastAsia="IRNazanin" w:cs="IRNazanin"/>
          <w:b w:val="false"/>
          <w:bCs w:val="false"/>
          <w:i w:val="false"/>
          <w:iCs w:val="false"/>
          <w:color w:val="333333"/>
          <w:sz w:val="20"/>
          <w:szCs w:val="20"/>
          <w:rtl w:val="true"/>
        </w:rPr>
        <w:t>. . . .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الطوسى، 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كتاب فضل، كتاب الاطعمة، و الاشربة</w:t>
      </w:r>
      <w:r>
        <w:rPr>
          <w:rFonts w:eastAsia="IRNazanin" w:cs="IRNazanin"/>
          <w:b w:val="false"/>
          <w:bCs w:val="false"/>
          <w:i w:val="false"/>
          <w:iCs w:val="false"/>
          <w:color w:val="333333"/>
          <w:sz w:val="20"/>
          <w:szCs w:val="20"/>
          <w:rtl w:val="true"/>
        </w:rPr>
        <w:t>. . .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عناوين پنجاه كتاب عبارتند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العقل،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الجهل،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فضل العلم،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التوحيد،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الحجة،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الايمان،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الكفر،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الدعا،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فضل القرآن،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العشرة،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الطهارة،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الحيض،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الصلاة،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الزكاة،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الصيام،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الصدقات،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السفر،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الصيد،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الزيارات،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الجهاد،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المعيشة،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النكاح،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العقيقة،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الطلاق،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العتق،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التدبير،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الكتابة،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الذبائح،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الاطعمة،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الحبوبات،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الاشربة،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الانبذة،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الزى،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التجمّل،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المروة،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الدواجن،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المواريث،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الوصايا،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الجنائر،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الحدود،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الديات،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الشهادات،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القضاء،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الاحكام،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الايمان،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النذور،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الكفارات،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الروضة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ابواب‌التاريخ، ابواب‌الصدقة ابواب‌السفر، ابواب الصيد، ابواب الزيارات، ابواب الحبوبات، و ابواب‌الانبذة كه در واقع زيرعناوين مستقل‌آمده</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فهرست شيخ طوسى آمده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نجاشى به‌جاى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 و الحيض آمده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على‌بن حجرالعسقلانى، هدى‌السارى فى شرح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و تعليق محمد فؤاد عبدالباقى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عبدالعزيزبن باز، بيروت داراحياء التراث، ط الرابعة</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بشرح كرمانى، بيروت، داراحياء التراث، ط الثانية</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با حاشيه السندى، بيروت، دارالمعرفة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اليامة للطبع و النشر و التوزيع، ط الخامسة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النووى الشافعى، يحيى الدين بن شرف، صحيح مسلم بشرح النووى، فهرست و مقابله خليل الميس، بيروت، دارالقلم،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النيسابورى، مسلم‌بن‌الحجاج، صحيح مسلم المسمّى الجامع الصحيح، مرتب، وقف، وضع المعجم المفهرس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محمد فؤاد عبدالباقى، بيروت، دارالفكر، ط الاولى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النجاشى، رجال‌النجاشى، ج</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صالحانِ طائفة و ثقه و كثير العمل و صاحب كتاب هاى ثواب الحج و حج است، از اصحاب امام ابى الحسن موسى بوده و امام ابا جعفر ثانى را هم درك كرده است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محمد، الامام الصادق، حياته و عصره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آرائه و 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احمد على مخيمر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مجدى محمد، انتصار الحق</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سندها عبارتند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محمدبن‌يعقوب الكلينى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كلام يكى از روات از كلينى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ابراهيم، عن ابيه، عن‌ابن‌فضّال، عن حفص‌المؤذن، عن ابي‌عبدالله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كتب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محمدبن اسماعيل‌بن بزيع، عن محمّدبن سنان، عن اسماعيل‌بن جابر، عن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حدّثنى الحسن‌بن محمد، عن جعفر بن محمدبن مالك الكوفى، عن القاسم بن‌الربيع الصحّاف، عن اسماعيل‌بن مخلّد السّراج، عن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 . .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مرءات العقول فى شرح أخبارآل‌الرسول، تهران، دارالكتب الإسلامية</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المازندرانى، محمدصالح، شرح اصول الكافى، تحقيق السيد على عاشور، بيروت، دار احياء التراث، مؤسسة التاريخ، ط الثانية</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11/176</w:t>
      </w:r>
      <w:r>
        <w:rPr>
          <w:rFonts w:ascii="IRNazanin" w:hAnsi="IRNazanin" w:eastAsia="IRNazanin"/>
          <w:b w:val="false"/>
          <w:b w:val="false"/>
          <w:bCs w:val="false"/>
          <w:i w:val="false"/>
          <w:i w:val="false"/>
          <w:iCs w:val="false"/>
          <w:color w:val="333333"/>
          <w:sz w:val="20"/>
          <w:sz w:val="20"/>
          <w:szCs w:val="20"/>
          <w:rtl w:val="true"/>
        </w:rPr>
        <w:t>؛ الكافى، الكلينى، الروضه، تحقيق قسم احياء التراث مركز بحوث دارالحديث، قم، دارالحديث، ط الاولى</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الكلينى، الروضه، تحقيق قسم احياء التراث مركز بحوث دارالحديث، قم، دارالحديث، ط الاولى</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مرءات العقول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دارالحديث قم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طبع</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الحديث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ج</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عمران بن ابى بكر الاشعرى القمى، ابوعبدالله ثقة، له كتاب النوادر، محمدبن‌يعقوب از او روايت مى‌كند؛ 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من لم يرو عن الائمة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احمد بن عامر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كه در حاشيه نقل از برخى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حسين‌بن‌محمد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و يكى از اجلاءِ مشايخ كلينى خوانده است</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الكافى، ج</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كتاب فضل العلم،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مسلسل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كتاب الحجة،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الغيبة،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كراهية التوقيت،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التمحيض و الامتحان،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9/525</w:t>
      </w:r>
      <w:r>
        <w:rPr>
          <w:rFonts w:ascii="IRNazanin" w:hAnsi="IRNazanin" w:eastAsia="IRNazanin"/>
          <w:b w:val="false"/>
          <w:b w:val="false"/>
          <w:bCs w:val="false"/>
          <w:i w:val="false"/>
          <w:i w:val="false"/>
          <w:iCs w:val="false"/>
          <w:color w:val="333333"/>
          <w:sz w:val="20"/>
          <w:sz w:val="20"/>
          <w:szCs w:val="20"/>
          <w:rtl w:val="true"/>
        </w:rPr>
        <w:t>، كتاب المعيشة،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الاستعانة بالدنيا على الآخرة،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محمد، عن جعفر بن محمد، عن القاسم بن الربيع</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به‌بخش اول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 ج</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أيضا تراهم إختلفوا هل 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كتب الكافي التي تضم مجموعة من الأبواب</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من تأليف الكليني أم مزيد فيما بعد على كتاب الكافي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حياته و عصره</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الافندى، الميرزا عبدالله الاصفهانى، رياض العلماء و حياض الفضلاء، تحقيق السيد احمد الحسينى، قم، مطبعة الخيام</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ملا خليل</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الافندى، الميرزا عبدالله الاصفهانى، رياض العلماء و حياض الفضلاء، تحقيق السيد احمد الحسينى، قم، مطبعة الخيام</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ملا خليل</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الخوانسارى، روضات‌الجنات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ترجمه كلينى</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مرءات الكتب، ج</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القزوينى، المولى‌خليل، الشّافى فى شرح اصول‌الكافى، تحقيق محمدحسين الدرايتى، قم، دار الحديث، ط الأولى</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الخوانسارى، روضات الجنات، ج</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ترجمه رقم</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الأفندى الأصفهانى، رياض العلماء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الخوانسارى، روضات الجنات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الخوانسارى، روضات الجنات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رياض العلماء، ج</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يَعتقد صحّة جميع ما في‌الكافي من‌الأخبار و الافندي الأصفهاني، رياض العلماء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 اين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صحت و سقم روايات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الافندى، رياض العلماء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الخوانسارى، روضات الجنات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الخوانسارى، روضات الجنات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الأفندى، رياض‌العلماء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الأفندى، رياض‌العلماء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القزوينى، ملاخليل، الشافى فى شرح اصول الكافى، تحقيق محمدحسين الدرايتى، قم، دارالحديث، ط الاولى</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كتاب‌هاى ردّ بر او را نام برده است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الخوانسارى، روضات الجنات، ج</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القزوينى، ملاخليل، الصّافى فى شرح اصول كافى، تصحيح مولوى سيد تصدق حسين صاحب رضوى، چاپ لكنهو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كتابخانه آيةالله بروجردى به‌شماره</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يخرج بقزوين رجل اسمه اسم نبي، تسرع الناس الى طاعته، المشرك والمؤمن، يملاء الجبال خوفاً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يخرج من‌الديلم يملاء الجبال و السهل و الوعور خوفاً و مهابةً و يسرع الناس إلى طاعته، البرّ و الفاجرو يؤيد هذا الدّين</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البروجردى، السيدآقا حسين طباطبائى، اسانيدالكافى، تخريج و استدراك محمود درياب النجفى، قم، مؤسسة آيةالله البروجردى، چ اول</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آنها عبارتند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محمدبن نعمان المفيد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عبيدالله الغضائرى،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على‌بن نوح،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علم الهدى على‌بن‌الحسين،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البروجردى، السيد آقا حسين طباطبائى، اسانيد الكافى، ج</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رجال‌النجاشى، ج</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الطوسى،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اسانيدالكافى، ج</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هفت نفرعبارتند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جعفربن‌قولويه،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ابوغالب احمدبن محمدبن‌الرّازى،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ابراهيم الصميرى‌بن ابى رافع،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بن‌موسى‌التلعكبرى،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المفضّل الشيبانى،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ابن‌على‌بن‌سعيد الكوفى،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بن عبدالله بن‌نصر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اصول‌الكافى در مورد اين 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تلاميذه</w:t>
      </w:r>
      <w:r>
        <w:rPr>
          <w:rFonts w:eastAsia="IRNazanin" w:cs="IRNazanin"/>
          <w:b w:val="false"/>
          <w:bCs w:val="false"/>
          <w:i w:val="false"/>
          <w:iCs w:val="false"/>
          <w:color w:val="333333"/>
          <w:sz w:val="20"/>
          <w:szCs w:val="20"/>
          <w:rtl w:val="true"/>
        </w:rPr>
        <w:t>. . .)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هفت نفرى كه اشاره شد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اسانيدالكافى، ج</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اسانيدالكافى، ج</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على‌بن‌ابراهيم، عن‌ابيه، عن‌النوفلى، عن‌السكونى، عن‌ابى‌عبدالله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فروع، ج</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كتاب الوصايا، باب من أوصى بسهم من ماله،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عن ابيه، عن النوفلى، عن‌السكونى، عن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 .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الاسناد، قال‌النَّبى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فروع، ج</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كتاب الحدود، باب ما لايقطع فيه السارق،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الاسناد، قال وقال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 .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على‌بن‌محمد، عن صالح بن‌ابى‌حماد، عن يحيى‌بن‌المبارك، عن‌عبدالله‌بن‌جبلّة، عن اسحق‌بن‌عمار، عن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در چندين روايت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صالح، عن محمدبن أُورمة، عن ابن‌سنان، عن المفضّل‌بن‌عمر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فروع، ج</w:t>
      </w:r>
      <w:r>
        <w:rPr>
          <w:rFonts w:eastAsia="IRNazanin" w:cs="IRNazanin"/>
          <w:b w:val="false"/>
          <w:bCs w:val="false"/>
          <w:i w:val="false"/>
          <w:iCs w:val="false"/>
          <w:color w:val="333333"/>
          <w:sz w:val="20"/>
          <w:szCs w:val="20"/>
        </w:rPr>
        <w:t>7/232</w:t>
      </w:r>
      <w:r>
        <w:rPr>
          <w:rFonts w:ascii="IRNazanin" w:hAnsi="IRNazanin" w:eastAsia="IRNazanin"/>
          <w:b w:val="false"/>
          <w:b w:val="false"/>
          <w:bCs w:val="false"/>
          <w:i w:val="false"/>
          <w:i w:val="false"/>
          <w:iCs w:val="false"/>
          <w:color w:val="333333"/>
          <w:sz w:val="20"/>
          <w:sz w:val="20"/>
          <w:szCs w:val="20"/>
          <w:rtl w:val="true"/>
        </w:rPr>
        <w:t>، كتاب‌الحدود، باب حدالصبيان فى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ابوعلى‌الاشعرى، عن محمدبن عيسى بن‌عبيد، عن يونس، عن عبدالله‌بن‌سنان، قال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در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صفوان</w:t>
      </w:r>
      <w:r>
        <w:rPr>
          <w:rFonts w:eastAsia="IRNazanin" w:cs="IRNazanin"/>
          <w:b w:val="false"/>
          <w:bCs w:val="false"/>
          <w:i w:val="false"/>
          <w:iCs w:val="false"/>
          <w:color w:val="333333"/>
          <w:sz w:val="20"/>
          <w:szCs w:val="20"/>
          <w:rtl w:val="true"/>
        </w:rPr>
        <w:t>. . .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اصحابنا، عن احمدبن‌محمدخالد، عن عثمان بن‌عيسى، عن ابى‌اسحاق الجرجانى، عن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فروع، ج</w:t>
      </w:r>
      <w:r>
        <w:rPr>
          <w:rFonts w:eastAsia="IRNazanin" w:cs="IRNazanin"/>
          <w:b w:val="false"/>
          <w:bCs w:val="false"/>
          <w:i w:val="false"/>
          <w:iCs w:val="false"/>
          <w:color w:val="333333"/>
          <w:sz w:val="20"/>
          <w:szCs w:val="20"/>
        </w:rPr>
        <w:t>7/251</w:t>
      </w:r>
      <w:r>
        <w:rPr>
          <w:rFonts w:ascii="IRNazanin" w:hAnsi="IRNazanin" w:eastAsia="IRNazanin"/>
          <w:b w:val="false"/>
          <w:b w:val="false"/>
          <w:bCs w:val="false"/>
          <w:i w:val="false"/>
          <w:i w:val="false"/>
          <w:iCs w:val="false"/>
          <w:color w:val="333333"/>
          <w:sz w:val="20"/>
          <w:sz w:val="20"/>
          <w:szCs w:val="20"/>
          <w:rtl w:val="true"/>
        </w:rPr>
        <w:t>، كتاب‌الحدود، باب العفو عن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اصحابنا، عن احمد بن محمد بن خالد، عن عثمان‌بن‌عيسى، عن سماعةبن‌مهران، عن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 .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محمدبن‌احمد القمى، عن عمه عبدالله‌بن‌الصلت، عن يونس‌بن عبدالرحمن، عن عبدالله‌سنان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در حديث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عن سورةبن‌كليب، عن‌ابى‌عبدالله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كتاب الحدود، باب الزانى،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عن محمدبن‌عيسى، عن‌يونس، عن زرعة، عن‌سماعة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حديث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عن ابن‌مسكان، عن ابى‌بصير،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ابى عبدالله</w:t>
      </w:r>
      <w:r>
        <w:rPr>
          <w:rFonts w:eastAsia="IRNazanin" w:cs="IRNazanin"/>
          <w:b w:val="false"/>
          <w:bCs w:val="false"/>
          <w:i w:val="false"/>
          <w:iCs w:val="false"/>
          <w:color w:val="333333"/>
          <w:sz w:val="20"/>
          <w:szCs w:val="20"/>
          <w:rtl w:val="true"/>
        </w:rPr>
        <w:t>. . .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الكلينى البغدادى و كتابه الكافى، تأليف ثامرهاشم حبيب العميدى، هرچند كه برخى از دلايل او را محقق ديگر در كتاب بحوث روايات الكافى، از امين ترمس العاملى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 به‌چالش مى‌كشد</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احسان الهى، الشيعة و السنة، لاهور پاكستان، پخش رياض عربستان، مكتبة بيت‌الاسلام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الشيعة و القرآن، لاهور، پاكستان، ادارة ترجمان السنة، محل 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عربستان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ناصربن‌عبدالله، اصول مذهب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الجيزة، دارالرضاللنشر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الآلوسى، السيد محمود، روح المعانى فى تفسيرالقرآن و السبع المثانى، بيروت، داراحياء 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بيومى، محمد، حقيقة الشيعة و هل يمكن تقاربهم مع أهل‌السنّة، القاهره، دارالغدّ الجديد، ط الاولى</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الاصفهانى، الحسين بن محمد، المعروف بالراغب، المفردات فى غريب القرآن، ضبط هيثم طعيمى، بيروت، داراحياء، ط الاولى</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ابى‌الحسين احمدبن ذكريا، معجم مقاييس اللغة، تحقيق وضبط عبدالسلام محمد هارون، ايران، مركز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الاعلام الاسلامى،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حرف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الشىء، والعدول و تقدير الشىء</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ابن‌عباد، اسماعيل، المحيط فى‌اللغة، تحقيق محمدحسن‌آل‌ياسين، بيروت، عالم الكتب، ط الاولى</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الزبيدى، السيد محمدمرتضى، تاج العروس من‌جواهرالقاموس، تحقيق على سيرى، بيروت، دارالفكر</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تحريف قريب المعنى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چنان‌كه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 معانى تورات را به‌اشتباه، تغيير داد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المصطفوى، حسن، التحقيق فى الكلمات القرآن الكريم، تهران، مؤسسة الطباعة و النشر وزارت الثقافة والارشاد، ط الاولى، ج</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المصطفوى، حسن، التحقيق فى الكلمات القرآن الكريم، تهران، مؤسسة الطباعة و النشر وزارت الثقافة والارشاد، ط الاولى، ج</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الأصفهانى، الحسين بن محمد المعروف بالراغب، المفردات فى غريب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تربيتى؛ تنظيم قرآن برخلاف ترتيب 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ثامرهاشم حبيب، دفاع عن‌الكافى، قم، مركز الغديرللدراسات الاسلامية، ط الاولى</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يعنى سوره و آيه‌اى كه در مكه نازل شده و بايد در ابتداى قرآن قرار بگيرد در آخر قرآن جا داده شود؛ معرفت، محمدهادى، صيانة القرآن من‌التحريف، قم، مؤسسة النشر الاسلامى التابعة لجماعة المدرسين، ط الاولى</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معنوى؛ تبديل و انحراف لفظى به‌معنايى كه برخلاف مقصود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سيد ابوالقاسم، البيان فى تفسير القرآن، ترجمه جعفرحسينى، قم، دارالثقلين چاپ اول</w:t>
      </w:r>
      <w:r>
        <w:rPr>
          <w:rFonts w:eastAsia="IRNazanin" w:cs="IRNazanin"/>
          <w:b w:val="false"/>
          <w:bCs w:val="false"/>
          <w:i w:val="false"/>
          <w:iCs w:val="false"/>
          <w:color w:val="333333"/>
          <w:sz w:val="20"/>
          <w:szCs w:val="20"/>
        </w:rPr>
        <w:t>1384/263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معرفت، صيانة القرآن من‌التحريف،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لفظى كه به‌چند صورت ممكن است تحقق پيدا 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در قرائت؛ كلمه برخلاف قرائت شناخته شده، قرائت شود؛ و اين نمونه از تغيير، در قرآن واقع شده و قرائت هفتگانه يا دَه‌گانه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اهل‌سنّت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العميدى، ثامرهاشم حبيب، دفاع عن‌الكافى دراسة النقدية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ايران، مركز الغديرللدراسات الإسلامية، ط الأولى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معرفت، صيانة القرآن</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به‌تقديم وتأخير؛ لفظى كه در واقع جايگاهش مؤخر است مقدم داشته شود و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الخويى،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العميدى، دفاع عن‌الكافى، 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به‌زياده و نقيصه؛ به‌چند صورت تصور مى‌شود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حروف يا حركات؛ زياد نمودن و كاستن حروف و يا تغيير حركات الفاظ به‌گونه‌اى كه تغييرى در معنا ايجاد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كلمات قرآن؛ زياد يا كم كردن يك يا دو كلمه با حفظ اصل آيه، در صورتى كه براى توضيح و رفع ابهام باشد بدون اعتقاد به‌قرآن بودنش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صيانة القرآن</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العميدى، دفاع عن الكافى، ج</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الخويى، البيان فى تفسيرالقرآن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البيان فى تفسيرالقرآن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العميدى، دفاع عن‌الكافى، ج</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معرفت، صيانة القرآن من‌التحريف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به‌كتاب‌هايى كه اشاره شد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موضوع تحقيق درمورد تحريف به‌روايت كافى است ولى براى روشن شدن موضع كلينى دركافى، ناگزير از طرح ديدگاه شيعه و عالمان مشهور آنان هستيم</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الطباطبايى، سيدمحمدحسين، الميزان، ترجمه سيد باقرموسوى، قم، دفتر انتشارات اسلامى</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ق مراجعه شود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الطباطبايى، سيدمحمدحسين، الميزان، ترجمه سيد باقرموسوى، قم، دفتر انتشارات اسلامى، ج</w:t>
      </w:r>
      <w:r>
        <w:rPr>
          <w:rFonts w:eastAsia="IRNazanin" w:cs="IRNazanin"/>
          <w:b w:val="false"/>
          <w:bCs w:val="false"/>
          <w:i w:val="false"/>
          <w:iCs w:val="false"/>
          <w:color w:val="333333"/>
          <w:sz w:val="20"/>
          <w:szCs w:val="20"/>
        </w:rPr>
        <w:t>12/147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دست‌برد به‌هرشكلى مصداق بازر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چگونه اين نسبت باطل را به‌قرآن نسبت بدهيم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الاسلامى، ابوالفضل، مع الدكتور القفارى فى اصول مذهبه حول القرآن الكريم و التشيع، قم، نشر الفقاهة، ط الأولى</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الموسوى، سيد عبدالحسين، المراجعات، ايران، دار الأسوة للطباعة، ط الرابعة</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همواره با پيامبر بودم، چونان بچه‌اى شتر درپى‌مادرش،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پيامبر در هرسال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غار حراء اقامت مى‌نمود، تنها من او را مشاهده مى‌كردم و كسى جز من او را نمى‌ديد، من هنگامى كه وحى بر پيامبر فرو مى‌آمد، نور وحى و رسالت را مى‌ديدم، و بوى نبوت را استشمام مى‌كردم، صداى ناله شيطان را هنگام نزول وحى، مى‌شنيدم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سيدرضى، ابوالحسن محمدبن احمدبن الحسين‌بن موسى، نهج‌البلاغه، بخط فيض‌الاسلام، تهران، مركز نشر آثار فيض‌الاسلام</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لقدكنتُ إتّبعه اتّباع الفصل أثرأُمِّه</w:t>
      </w:r>
      <w:r>
        <w:rPr>
          <w:rFonts w:eastAsia="IRNazanin" w:cs="IRNazanin"/>
          <w:b w:val="false"/>
          <w:bCs w:val="false"/>
          <w:i w:val="false"/>
          <w:iCs w:val="false"/>
          <w:color w:val="333333"/>
          <w:sz w:val="20"/>
          <w:szCs w:val="20"/>
          <w:rtl w:val="true"/>
        </w:rPr>
        <w:t>. . .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تحقيق محمد ابوالفضل ابراهيم، بيروت، دار إحياء التراث، ط الثانية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سيدرضى، نهج البلاغه،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مؤلف</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تاريخ الطبرى، تحقيق محمد ابوالفضل ابراهيم، بيروت، روائع 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العالمى لاهل‌البيت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الهداية الامام‌الحسن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المجمع العالمى لاهل‌البيت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الاولى</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العالمى لاهل‌البيت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الهداية الامام‌الحسن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المجمع العالمى لاهل‌البيت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الاولى</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سخن ديگر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اللهِ فيه تفصيل كل شيءٍ لا يأتيه الباطل من بين يديه و لامن خلفه، والمعوّل عليه في كل شيء لا تخطئنا تأويله بل نتيقّن حقائقه، فاطيعونا فاطاعتنا مفروضة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العالمى لاهل‌البيت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الهداية الامام‌الحسن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المجمع العالمى لاهل‌البيت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الاولى</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البلاذرى، جمل انساب الاشراف، تحقيق ومقدمه سهيل ذكار رياض زركلى، بيروت، دارلفكر، ط الأولى</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امرالحسن بن‌على‌بن‌ابى‌طالب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الطبرى، ج</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اجمال شرايط صلح را آورده است</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حضرت در ميان راه خبر شهادت مسلم بن‌عقيل را شنيد، آيه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الْمُؤْمِنِينَ رِجَالٌ صَدَقُوا مَا عَاهَدُوا اللهَ عَلَيْهِ فَمِنْهُم مَّن قَضَى نَحْبَهُ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ابن‌كثيرالدمشقى، ابى‌الفداء اسماعيل، البداية والنهاية، تحقيق و تعليق على‌شيرى، بيروت داراحياء، ج</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سال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 عاشورا درميان اصحاب آيه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آل‌عمران وَلاَ يَحْسَبَنَّ الَّذِينَ كَفَرُواْ اَنَّمَا نُمْلِى لَهُمْ خَيْرٌ لِاَنفُسِهِمْ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در ميان دشمن از باب اتمام حجت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اللهِ تَوَكَّلْتُ فَاَجْمِعُواْ اَمْرَكُمْ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قرائت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چندين مورد از جمله در شام سرمبارك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نيزه آياتى از سوره كهف اَمْ حَسِبْتَ اَنَّ اَصْحَابَ الْكَهْفِ وَالرَّقِيمِ كَانُوا مِنْ آيَاتِنَا عَجَباً ، را زمزمه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الراوندى، قطب‌الدين، الخرائج والجرائح، قم، مؤسسة الامام المهدى،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المنهال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والله رأيت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حين حمل و أنا بدمشق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يقرء الكهف حتى بلغ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حسبت</w:t>
      </w:r>
      <w:r>
        <w:rPr>
          <w:rFonts w:eastAsia="IRNazanin" w:cs="IRNazanin"/>
          <w:b w:val="false"/>
          <w:bCs w:val="false"/>
          <w:i w:val="false"/>
          <w:iCs w:val="false"/>
          <w:color w:val="333333"/>
          <w:sz w:val="20"/>
          <w:szCs w:val="20"/>
          <w:rtl w:val="true"/>
        </w:rPr>
        <w:t>. . .»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فرهنگ سخنان حسين بن‌على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گروه حديث پژوهشكده باقرالعلوم، قم، معروف، چ اول</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الامام الحسين‌بن‌على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درجايى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كسى‌كه يك آيه از قرآن را در نمازش ايستاده بخواند، براى هر حرفش يك‌صد حسنه و اگر در غير نماز قرائت نمايد ده حسنه، و كسى‌كه به‌صوت قرآن گوش فرا دهد، يك‌حسنه منظور مى‌شود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على‌بن الحسين زين‌العابدين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صحيفه كامله سجاديه، ترجمه و تعليق عليرضا رجالى تهرانى، تهران انتشارات گاه‌سحر، چ اول</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قرآن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أعَنتَنِي عَلَى خَتمِ كِتَابِكَ الَّذِي أنزَلتَهُ نُوراً، وَجَعَلتَهُ مُهَيمِنَاً عَلَى كُلِّ كِتَابٍ أنزَلتَهُ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همان امام در حال اسارت 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زُمر درپاسخ عبيدالله‌بن‌زياد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خدا على‌بن‌الحسين را دركربلا نكشت؟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ابن‌سعد، الطبقات الكبرى، بيروت، داربيروت</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الطبقة الثانية من‌التابعين؛ على‌بن‌الحسين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مودّت، خمس، و تطهير را به‌خاطر توهين مرد شامى، قرائت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 الإمام زين‌العابدين، ج</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آيات</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سوره‌حديد 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شورى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را در مجلس يزيد تلاوت و خود و اهل‌البيت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مصاديق آيات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الكبرى، ج</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امام على‌بن‌الحسين؛ البلاذرى، جمل 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الامام‌الباقر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شنيد قتادة قرآن را تفسيرمى‌كند، كار او را نادرست خواند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قتادة إن كنتَ قد فَسَّرتَ القُرآنَ مِن تلقاءِ نَفسِكَ، فَقَد هَلَكتَ وأهلَكت، وَإن كُنتَ قد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 مِن الرِّجال، فقد هَلَكتَ وأهلَكتَ، يا قتادة، 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يَعرِفُ‌القرآنَ مَن خُوطِبَ به</w:t>
      </w:r>
      <w:r>
        <w:rPr>
          <w:rFonts w:eastAsia="IRNazanin" w:cs="IRNazanin"/>
          <w:b w:val="false"/>
          <w:bCs w:val="false"/>
          <w:i w:val="false"/>
          <w:iCs w:val="false"/>
          <w:color w:val="333333"/>
          <w:sz w:val="20"/>
          <w:szCs w:val="20"/>
          <w:rtl w:val="true"/>
        </w:rPr>
        <w:t>» .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القرآنَ فيه منارالهُدى و مصابيح الدُّجَى فليُجلِ جالٍ 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و يفتح للضياء نظره، فانَّ التفكّرحياة قلب البصير، كما يمشي المستنير في الظّلمات بالنّور</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حديث پژوهشكده باقرالعلوم، فرهنگ سخنان حسين‌بن‌على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قم، معروف، چ اول</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دورباد دورباد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سركشان اين امت و بازماندگان احزاب شرك و دور افكنان قرآن و خاموش كنندگان سنت رسول‌الله و ياران استهزاء كنندگان‌كه قرآن را پاره پاره كنند</w:t>
      </w:r>
      <w:r>
        <w:rPr>
          <w:rFonts w:eastAsia="IRNazanin" w:cs="IRNazanin"/>
          <w:b w:val="false"/>
          <w:bCs w:val="false"/>
          <w:i w:val="false"/>
          <w:iCs w:val="false"/>
          <w:color w:val="333333"/>
          <w:sz w:val="20"/>
          <w:szCs w:val="20"/>
          <w:rtl w:val="true"/>
        </w:rPr>
        <w:t>. . . .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عصام عبدالسيد، قم، المؤتمر العالمى ألفية الشيخ المفيد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المسائل السروية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قسم الدراسات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قم، المؤتمرالعالمى لألفية الشيخ المفيد، ط الثانية،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المسألة التاسعة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المسألة التّاسعة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صيانة القرآن من التحريف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القول فى‌تأليف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معرفت، محمدهادى، صيانة القرآن من التحريف، قم، مؤسسة النشرالإسلامى، ط الأولى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انديشه‌هاى‌كلامى شيخ مفيد، ترجمه احمد آرام، زير نظر دكترمهدى محقق، تهران، مؤسسه مطالعات اسلامى دانشگاه مك گسيل شعبه تهران، با همكارى دانشگاه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الطبرسى، ابى‌على الفضل‌بن‌الحسن، مجمع البيان فى تفسير القرآن، تحقيق و تعليق لجنة من العلماء، بيروت، مؤسسة الاعلمى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الطرابلسيات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المولى محسن الفيض الكاشانى، تفسيرالصّافى، تصحيح و مقدمه و تعليق الشيخ حسين‌الاعلمى، مشهد، دارالمرتضى للنشر، ط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معرفت، صيانة القرآن من‌التحريف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بيروت، دار احياء 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المسائل المهنائية، قم، مطبعة الخيام</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فى‌تفسيرالقرآن، ج</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معرفت، صيانة القرآن عن‌التحريف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الصراطالمستقيم، الى‌مستحقى التقديم، تصحيح و تعليق محمد باقرالبهيودى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المكتبة المرتضوية، لاحياء الآثار الجعفرية، ط الاولى</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اين‌عالم در بحث زير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الفصل‌الثالث فى‌الاعتراضات على نبوة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قرآن و تفاصيل آن بالضروره معلوم است، و براى حفظ آن تلاش‌هاى سخت و كامل انجام گرفت تا آن‌حد كه اصحاب در اسم‌گذارى سوره‌ها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دچار اختلاف مى‌شدند و گروه كثيرى به‌خاطر حراست از آن، به‌تفكّر در معانى و احكام آن مشغول بودند، و اگر چنانچه چيزى در قرآن افزوده و ياكاسته مى‌شد، بى‌ترديد هر خردمندى آن را متوجه مى‌شد هرچند كه قرآن را از حفظ نبود؛ زيرا اين زيادى و نقصان با فصاحت و اسلوب قرآن مخالفت داشت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فى شرح ارشادالاذهان، قم، جامعة المدرسين</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وجوب القرائة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فقيه ضمن بحث در اين‌كه در هر نمازى واجب است سوره كاملِ از قرآن كه به‌تواتر ثابت شده قرائت شود، مى‌افزايد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چون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به‌تواتر ثابت شده از اختلال و دگرگونى در امان است، گذشته از آن، چون قرآن در كتاب‌ها ضبط شده حتى حروف و حركات آن شمرده شده است، و نيز نحوه كتابت و غير كتابت آن، مشخص است، ظن غالب بلكه علم به‌عدم زيادى و نقصان آن موجود است</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البلاغى، موسوعة العلاّمة البلاغى آلاءالرّحمن فى تفسير القرآن، تحقيق لطيف فرادى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محمدى، قم، مركز العلوم والثقافة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 الأولى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معرفت، محمدهادى، صيانة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أنَّ القرآنَ العظيم محفوظٌ عن ذلك، زيادةً كان أو نقصاناً و يدلّ عليه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له لحافظون</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تفسيرالصافى، ج</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علم اليقين فى اصول‌الدين، قم، انتشارات بيدار،</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فى فضائل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نقل رواياتى كه توهم وقوع تحريف را مى‌دهد، و اينكه برفرض وقوع تحريف، هيچ اعتمادى نسبت به‌قرآن و آيات باقى‌نخواهد ماند،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فاذا كان‌القرآن‌الَّذي بأيدينا مُحّرفاً فما فائدة العرض مع أن خبرالتحريف مخالف للكتاب‌الله مُكَذِّب له، فيجب ردّه والحكم بفساده أوتأويله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باتلخيص</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السيد عبدالحسين شرف‌الدين،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ابوهريرة، اعداد و تحقيق مركز العلوم و الثقافة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احياء التراث الاسلامى، بيروت، دارالمورّخ ط الاولى</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هركسى تتبّع اخبار و تفصّح تواريخ و آثار نموده، به‌علم يقينى مى‌داند كه قرآن در غايت و اعلى درجه تواتر بوده، وآلاف صحابه آن را حفظ و نقل مى‌كردند و در عهد رسول‌خدا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و مؤلف بود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العاملى، السيدمحسن الامين، نقض‌الوشيعة او الشيعة بين الحقائق والاوهام، بيروت، مؤسسة الأعلمى، ط الرابعة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معرفت، صيانة القرآن</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لإجماع على عدم الزيادة المعروف بين علمائنا حتّى حَكى‌عليه الاجماع عدم النقيصة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كشف‌الغطاء عن‌مبهمات الشّريعة الغرّاء، تحقيق مكتبة الاعلام الاسلامى، فرع خراسان، قم، بوستان‌كتاب، ط الاولى</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القرآن مبحث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لازيادة فيه، مِن‌سورة، ولا آية، من بسملة، و غيرها، لا كلمة، و لاحرف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جميع ما بين الدفتين ممّا يتُلى كلام الله تعالى بالضَّرورة من المذهب، بل‌الدّين و إجماع المسلمين و اخبارالنبى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والائمة الطاهرين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 در مورد نقص آن‌تصريح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لارَيب فى أنَّه محفوظ من‌النقصان، بحفظ المَلِك الديان، كما دلّ صريح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اجماع العلماء فى جميع الأزمان ولا عِبرة بالنّادر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فى‌شرح الرّسائل، قم، انتشارات كتبى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 رحلى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كتابخانه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معرفت، صيانة القرآن من‌التحريف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فقيه اصولى در توضيح ديدگاهِ شيخ انصارى در بحث حجيت ظواهر كتاب پس از بيان اين‌كه اخبارى‌ها از شيعه وحشويه از عامّه، قائل به‌تحريف قرآن شده‌اند، با دليل‌هاى زير نظرش را بر عدم تحريف اعلام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برعدم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اجماعاتى كه از شيخ صدوق، طبرسى، سيدمرتضى و شيخ طوسى حكايت شده؛ آياتى از خود قرآن مبنى بر حفظ قرآن از سوى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عقلى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اينكه قرآن پايه و اساس دين و شرع و معجزه رسول‌الله و تصديق‌كننده آن است، تحريف را از دامن قرآن دور مى‌شمارد، و اضافه مى‌كند كه اگر چنانچه دست‌هاى تحريف‌كنندگان به‌آن رسيده باشد، اسلام، مورد سرزنش كفار واقع شده و منافى با همه اهداف ياد شده خواهد بود</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البلاغى، آلاءالرّحمن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طرح ديدگاه‌هاى گروه كثيرى از عالمان شيعه تحريف قرآن را مردود شمرده و نسبت به‌سلامت اين كتاب آسمانى تأكيد مى‌كند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اصل‌الشّيعة و أصولها، بيروت، دارالاضواء، ط الاولى</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الكتابَ الموجود فى أيدى المسلمين هو الكتاب الّذى أنزله الله إليه للاعجاز و التحدّى، لتعليم الاحكام، و تمييز الحلال من الحرام و أنَّه لانقص‌فيه و لا تحريف ولا زيادة و على‌هذا إجماعهم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ذهَبَ منهُم أو غيرهم من فرقِ المسلمين إلى وجود النّقص فيه أو تحريف فهو مخطئ</w:t>
      </w:r>
      <w:r>
        <w:rPr>
          <w:rFonts w:eastAsia="IRNazanin" w:cs="IRNazanin"/>
          <w:b w:val="false"/>
          <w:bCs w:val="false"/>
          <w:i w:val="false"/>
          <w:iCs w:val="false"/>
          <w:color w:val="333333"/>
          <w:sz w:val="20"/>
          <w:szCs w:val="20"/>
          <w:rtl w:val="true"/>
        </w:rPr>
        <w:t>. . .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اجوبةمسائل جارالله، صيدا، مطبعة العرفان، ط الثانية</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قائل شدن به‌تحريف قرآن به‌خدا پناه مى‌برم و از اين نادانى به‌سوى خدا بيزارى مى‌جويم، و هركسى كه تحريف را به‌مذهب ما نسبت مى‌دهد، جاهل به‌مذهب است و افترا مى‌بندد؛ زيرا قرآن عظيم بدون هيچ ترديدى همه آيات، كلمات، حروف، حركات و سَكَناتش، به‌تواتر قطعى از طريق ائمه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همگى از رسول‌الله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از خداوند به‌ما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القرآن، مجموعاً أيام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ماهو عليه الان من الترتيب و التنسيق فى آياته و سوره، و سائر كلماته و حروفه بلا زيادة ولانقصان، ولاتقديم ولا تأخير، ولا تبديل ولاتغيير</w:t>
      </w:r>
      <w:r>
        <w:rPr>
          <w:rFonts w:eastAsia="IRNazanin" w:cs="IRNazanin"/>
          <w:b w:val="false"/>
          <w:bCs w:val="false"/>
          <w:i w:val="false"/>
          <w:iCs w:val="false"/>
          <w:color w:val="333333"/>
          <w:sz w:val="20"/>
          <w:szCs w:val="20"/>
          <w:rtl w:val="true"/>
        </w:rPr>
        <w:t>. . .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حول‌القرآن، بيروت، دارالهادى، ط الاولى</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سه‌دليل كه عبارت باشد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فقدان دليل بر تحريف؛ ويژگى خاص عرب‌ها و استعداد حرفه آنان بر حفظ قرآن؛ و وجود قرآن به‌صورت كتاب و مدوَّن از زمان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به‌حديث ثقلين، تحريف را از ساحت قرآن بدور مى‌داند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فى‌الكتاب والسنّة والادب، بيروت، مؤسسة الاعلمى للمطبوعات، ط الاولى</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أعلام الامامية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مجتمعة عَلَى أنّ مَابين‌الدّفتين هو ذلك الكتاب الذى لاريب فيه و هو المحكوم باحكامه ليس إلاّ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اعيان‌الشّيعة، تحقيق و اخراج حسن الامين، بيروت، دارالثقافة للمطبوعات</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لايقول أحدٌ من الإماميّة لاقديماً و لاحديثاً أنَّ القرآن مَزِيدٌ فيه، قليلٌ او كثيرٌ، فضلاً عن كلِّهم بل كلُّهم متّفقُون على عدم الزّيادة، و من يعتد بقوله من محقّقيهم متّفقُون على أنَّه لم ينقص‌منه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نقض الوشيعة او الشيعة بين الحقائق و الاوهام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تعبير متفاوت</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تفسيرالقرآن، بيروت، مؤسسة الأعلمى، طالثانية</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حجر، مفصل‌ترين بحث را در عدم تحريف قرآن ارائه داده است</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الاصول، تقريرجعفر سبحانى، قم، مؤسسة النشر الاسلامى التابعة لجماعة المدرسين</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باطل شمردن ديدگاه اخبارى ها مبنى بر عدم حجيت ظواهر قرآن به‌خاطر رخ دادن تحريف در آن، توجه مسلمانان بر گردآورى و ضبط وحراست قرائت و كتابت قرآن را، دليل بر عدم تحريف آن مى‌داند، و احاديثى كه شائبه تحريف را ارائه مى‌دهد، ضعيف يا مجعول يا مضمون آن‌ها را تأويل و تفسير قرآن مى‌شمارد، آن‌گاه اين‌گونه جمع‌بندى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وأوضَحنا عليك أنَّ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عَين ما بين‌الدّفتَين، و الاختلاف ناشئة بين القرّاء ليس إلاّ أمرا حَدِيثاً لارَبط له بما نَزّل روح الأمين على قلب سيد المرسلين</w:t>
      </w:r>
      <w:r>
        <w:rPr>
          <w:rFonts w:eastAsia="IRNazanin" w:cs="IRNazanin"/>
          <w:b w:val="false"/>
          <w:bCs w:val="false"/>
          <w:i w:val="false"/>
          <w:iCs w:val="false"/>
          <w:color w:val="333333"/>
          <w:sz w:val="20"/>
          <w:szCs w:val="20"/>
          <w:rtl w:val="true"/>
        </w:rPr>
        <w:t>» .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حول القرآن، تأليف الامام السيد على الفانى الاصفهانى طبع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ق، دارالهادى؛ آلاء الرحمن فى تفسير القرآن، العلامة البلاغى در موسوعة العلاّمة البلاغى، ط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صيانة القرآن عن التحريف، تأليف محمدهادى معرفت ط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بيومى، محمد، حقيقة الشيعة و هل يمكن تقاربهم مع أهل‌السنة؟ ، القاهرة، دار الغدّ الجديد، ط الأولى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اصول‌مذهب الشيعة، ج</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اصول‌مذهب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اصول‌مذهب الشيعة، ج</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هناك طائفة من المفكرين يرمون الشيعة بالقول بهذالكفر، ويعمّمون ذلك، و</w:t>
      </w:r>
      <w:r>
        <w:rPr>
          <w:rFonts w:eastAsia="IRNazanin" w:cs="IRNazanin"/>
          <w:b w:val="false"/>
          <w:bCs w:val="false"/>
          <w:i w:val="false"/>
          <w:iCs w:val="false"/>
          <w:color w:val="333333"/>
          <w:sz w:val="20"/>
          <w:szCs w:val="20"/>
          <w:rtl w:val="true"/>
        </w:rPr>
        <w:t>. . .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مجد على، انتصارالحق، رياض، دارطيبة، ط الأولى</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ظهير احسان الهى، الشيعة و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به‌كتاب الإعتقادات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السروّيه،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فى‌تفسير القرآن، بيروت، دارإحياء 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الطبرسى، مجمع البيان، ج</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الخامس، نقل از المسائل الطرابلسيات</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المسائل المهنائية، قم، مطبعة الخيام</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الى‌مستحقى التقديم، ج</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مجمع الفائده فى‌شرح الارشاد الاذهان، ج</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تفسيرالصافى، ج</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السادسة</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شرف‌الدين، عبدالحسين، موسوعة الامام السيد شرف الدين، الفصول المهمة، ج</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مبهمات الشريعة الغرّاء، تحقيق مكتبة الأعلام الإسلامى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بوستان كتاب، ط الأولى</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القرآن، مبحث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السيد محسن، اعيان الشيعة، تحقيق و إخراج حسن الأمين، بيروت، دارالتعارف</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مسائل‌جارالله، صيدا، مطبعة العرفان، ط الثانية</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مسائل‌جارالله، صيدا، مطبعة العرفان، ط الثانية</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 الهى، الشيعة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مجد على،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بيومى، محمد، حقيقة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به‌زودى اشاره خواهد شد</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فيض‌كاشانى، مولى‌محسن فيض، تفسيرالصّافى، ج</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الدين، سيد عبدالحسين، اجوبة مسائل جارالله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عن ابواب التوحيد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املاء القاضى‌ابى‌الحسن عبدالجبارالاسد الآبادى، مقايسه نسخه‌ها امين الخولى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 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روزها بيشتر به‌جاى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به‌كار مى‌رفت، چنان‌كه طبرى، نام كامل تفسير خودش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جامع‌البيان فى تأويل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مى‌گذارد و در جاى جاى تفسير خود تعبير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فى تأويل قوله تعالى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را به‌كار مى‌برد</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ضبط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شرح الفاظ مصطفى ديب البغا،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دارابن 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تحقيق و تصحيح محمد فؤاد عبدالباقى، بيروت، دارالفكر</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محمدبن‌جرير، تفسيرالطبرى، المسمّى جامع البيان فى‌تأويل القرآن، بيروت، دارالكتب العلمية، ط الثالثة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جلال‌الدين عبدالرحمن بن‌الكمال، الدّرالمنثور فى‌تفسير المأثور، ضبط و تصحيح، با شراف دارالفكر، بيروت، دارالفكر</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الكلينى، محمدبن‌يعقوب، الاصول من‌الكافى،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 كتاب فضل القرآن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الكوفى، ابى‌القاسم بن ابراهيم‌بن‌فرات، تفسير فرات الكوفى، تحقيق محمد الكاظم، بيروت، مؤسسة النعمان للطباعة،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ابوجعفر محمدبن الحسن، بيروت، داراحياء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حسين‌بن على‌بن محمد مشهور به ابوالفتوح الرّازى، روض‌الجنان و روح الجنان فى تفسيرالقرآن، تصحيح محمد جعفرياحقى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مهدى ناصح، مشهد، بنياد پژوهش‌هاى اسلامى آستان قدس رضوى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 اماميه مخلوق بودن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محمدجواد، الشيعة فى‌الميزان، بيروت، دارالتعارف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هرچند اشعرى، دو ديدگاه را به‌شيعه نسبت مى‌دهد، يكى ديدگاه هشام بن الحكم كه قائل بود قرآن نه مخلوق و نه‌خالق است، لانه صفة و الصفة لا توصف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 دوم مخلوق بودن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و اختلاف المصلّين، تحقيق محمد محيى‌الدين عبدالحميد، بيروت، المكتبة المصرية للطباعة و النشر</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البغدادى، ابى‌بكر احمدبن على الخطيب، تاريخ بغداد او مدينة السلام، بيروت، دارالكتب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رأس‌الفتنة فى‌القول بخلق‌القرآن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الباقلانى وآراؤه الكلامية، اعداد محمد رمضان عبدالله، بغداد، مطبعة الامة</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فى‌كلام الله تعالى</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تكفير ابن‌ابى‌دؤاد</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فى‌ابواب التوحيد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 بى‌تا</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فى‌ابواب التوحيد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 بى‌تا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اصول‌الخمسة، تعليق احمدبن‌الحسين بن ابى‌هاشم، تحقيق ومقدمه عبدالكريم عثمان، قاهره، مكتبة وهبة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الاشعرى، ابى‌الحسن على‌بن اسماعيل، مقالات الاسلاميين و اختلاف المصلين، ج</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الرّوافض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زيد أو نقص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إختلف الرّوافض في‌القرآن، و هُم ثلاث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توضيح آن، تنها دو ديدگاه را مطرح مى‌كند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الفرقة الأولى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يَزعَمُون أنّ القرآنَ قد نُقِصَ منه، و أمّا الزِّيادةُ فذلك غيرُ جائزٍ أن‌يَكونَ قدكان، و كذلك لا يجوز أن يكون قد غُيّرمنه شيء عمّاكان عليه، فأمّا ذهابُ كثيرٍ منه فقد ذهب كثيرٌ منه، و الإمام يحيط علماً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الفرقه الثَّالثة منهم، و هم القائلون بالاعتزال والامامة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فيزعَمُون أنَّ القرآنَ ما نُقِصَ منه و لا زيدَ فيه و أنَّه على‌ما أنزل‌الله تعالى على نبيّه عليه‌الصّلاة والسّلام لم يُغَيِّر و لم يُبَدَّل ولازال عمّاكان عليه</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بين‌الفرق و بيان الفرقة الناجية، تحقيق لجنة احياء التراث العربى، بيروت، دارالجليل و دار الآفاق الجديدة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محمد على‌بن احمد المعروف بابن‌حزم الظاهرى، الفصل فى‌الملل والاهواء والنحل، تحقيق محمد ابراهيم نصر عبدالرّحمن عميرة، بيروت، دارالجليل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الاسلامى، ابوالفضل، مع الدكتور ناصرالقفارى فى اصول مذهبه حول القرآن الكريم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قم، نشرالفقاهة، ط الأولى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 الهى، الشيعة والقرآن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الهلالى‌الكوفى، سليم‌بن‌قيس العامرى، كتاب سليم‌بن‌قيس، تحقيق علاء الدين الموسوى، تهران، مؤسسة البعثة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مبحث مصحف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درپايان همين بخش متن روايت اشاره و بحث خواهد شد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 على‌بن ابراهيم، تفسيرالقمى، تصحيح وتعليق السيد طيب الموسوى الجزائرى، قم، مؤسسة دارالكتاب، ط الثالثة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الامامية الاثنى عشرية، ج</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كتاب‌الحجة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بِئْسَمَا اشْتَرَوْاْ به‌اَنفُسَهُمْ اَن يَكْفُرُواْ بِمَا انَزَلَ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كُنتُمْ فِى رَيْبٍ مِّمَّا نَزَّلْنَا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عَبْدِنَا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فَاْتُواْ بِسُورَةٍ مِن مِّثلِهِ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بهذه الآية يَا اَيُّهَا الَّذِينَ اُوتُواْ الْكِتَابَ آمِنُواْ بِمَا نَزَّلْنَا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 مُّبِيناًً كه ابتداى حديث، بخشى از آيه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نساء و ذيل آن نوراً مبيناً آيه</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همان سوره 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اصول‌مذهب الشيعة، ج</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همان، مسألة التقريب بين أهل‌السنة والشيعة، رياض عربستان، دار طيبة للنشر والتوزيع،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التليدى، عبدالله‌بن عبدالقادر، أهل‌السنة والشيعة بين الإعتدال والغلو،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 بى‌نا و 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كتاب‌الحجة،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جبرئيل بهذه 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أبى‌أكثرالناس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بولاية على</w:t>
      </w:r>
      <w:r>
        <w:rPr>
          <w:rFonts w:eastAsia="IRNazanin" w:cs="IRNazanin"/>
          <w:b w:val="false"/>
          <w:bCs w:val="false"/>
          <w:i w:val="false"/>
          <w:iCs w:val="false"/>
          <w:color w:val="333333"/>
          <w:sz w:val="20"/>
          <w:szCs w:val="20"/>
          <w:rtl w:val="true"/>
        </w:rPr>
        <w:t>) . . .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كتاب‌الحجة،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الْحَقُّ مِنْ رَبِّكُمْ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ولاية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شاءَ فَلْيُؤْمِنْ وَ مَنْ شاءَ فَلْيَكْفُرْ إِنَّا أَعْتَدْنا لِلظَّالِمِينَ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ناراً ؛ الخالدى، الكلينى و تأويلاته الباطنية للآيات القرآنية فى‌كتابه الاصول الكافى، الأردن، دارعمار للنشرو التوزيع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محمد، الامام الصادق، حياته وعصره، آرائه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احمد على مخيمر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تفسيرالصّافى، ج</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ششم</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تفسيرالصّافى، ج</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برفرض صحت اين روايات؛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حذف شده چيزهايى بوده كه خللى به‌مقصود آيات نمى‌رساند، مانند اسم على، وآل‌محمد و اسامى منافقان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بعض‌آنچه حذف شده، از قبيل تفسير و بيان بوده است نه الفاظ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روايتى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حضرت در رساله‌اى به‌سعدالخير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نبذهم الكتاب ان اقاموا حروفه وحرّفوا حدوده، فهم يروَونَه ولايرعونه؛ علم اليقين، ج</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التليدى، اهل‌السنة والشيعة بين‌الإعتدال والغلو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مجدى محمد، إنتصارالحق مناظرة علمية مع بعض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بن‌سلمة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رَجُلٌ عَلَى أبى‌عبدالله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أستَمعُ حُروفاً مِنَ‌القرآنِ لَيسَ عَلَى مَايقرؤُها النّاسُ، فقال ابوعبدالله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 عن هذه القراءة، إقرأ كَمَا يقرأ النَّاسُ حتّى يقومَ القائم، فإذا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كتابَ‌اللهِ عزّ وجلّ عَلَى حدِّهِ و أخرَجَ المصحفَ الّذى كَتَبَهُ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إلَى‌النّاس حين فَرَغَ منه و كتبه،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كتابُ‌الله عزّ وجل كَمَا أنزله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وقدجَمَعتُه من‌اللَّوحَين،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هَوذا عندنا مُصحَفٌ جامعٌ فيه القرآن لاحاجة لنا فيه،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ماتَرَونَه بَعديومِكم هذا أبداً، إنّما كان عَلَى أن أُخبركُم حين جعمتُه لتقرؤوهُ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كتاب فضل‌القرآن باب‌النّوادر،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احسان‌الهى، الشيعة والقرآن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القرآن يرفع كما أنزل،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عن ابى‌الحسن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إنّا نَسمَعُ الآيات فى‌القرآنِ لَيسَ هِى عِندَنا كَمَا نَسمَعها ولا نحسن أن نقرأها كَمَا بَلَغنَا عنكُم، فهل نَأثم؟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إقرؤُوا كَمَا تَعَلّمتُم فَسَيجيئُكُم مَن يعلِّمُكُم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محب‌الدّين، الخطوط العريضة لأسس الّتى قام عليها دين الشّيعة الامامية الاثنى‌عشرية، اردن، دارعمان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البندارى، محمد، التّشيع بين‌مفهوم الائمة والمفهوم الفارسى،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سعيدحوّى، عمان، دارعمار للنّشر،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الزّياده والنّقصان فى القرآن هو مذهبُ علماء التّشيع الفارسى، وقدأجمع أهلُ النّقلِ والتّفسيرِ عندهم على أنّ القرآن المتداول بين أيدى‌المسلمين ليسَ القرآن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بذلك على‌بن‌ابراهيم و تلميذه الكلينى</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السّالوس، على‌احمد، مع الشيعة الاثنى‌عشريه فى‌الاصول والفروع، الدّوحة، دارالتقوى، دارالثقافة، ط الأولى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الاسلامى، ابوالفضل، مع‌الدكتور ناصرالقفارى فى اصول مذهبه حول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ابوزهره، محمد، الامام الصادق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السالوس، على احمد، مع‌الشيعة الاثنى عشرية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 تأويلاته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 تأولاته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كتاب الحجة، موارد زيادى دراين كتاب آورده است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 النوادر،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هشام‌بن‌سالم، عن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القرآنَ الَّذى جاءَ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عشرألف‌آية</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الآلوسى، روح المعانى فى‌تفسيرالقرآن العظيم، بيروت، دارإحياء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ظهير، احسان الهى، الشيعة والسنّة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همان، الشيعة والقرآن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اين شخص مثل اينكه كتاب كافى را نديده است، زيرا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فى‌الاصول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القفارى، اصول مذهب الشيعة، ج</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شعث، احمدكمال، الشيعة، فلسفه وتاريخ، قاهرة، مكتبة مدبولى، ط الاولى</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 ج</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شعث، احمدكمال، الشيعة، فلسفه وتاريخ، قاهرة، مكتبة مدبولى، ط الاولى</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 أنَّ القرآن يرفع كما أنزل،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عن سهل‌بن‌زياد، عن بعض أصحابه، عن أبى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إنّا نَسمع الآيات فى القرآن ليس هى عندنا كما سمعنا ولانحسن أن نقرأها كما بلغنا عنكم، فهل نأثم؟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إقرؤوا كما تَعلّمتم، فَسَيجيئُكُم مَن‌يعلّمكم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كتاب‌الحجة،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ذكر الصّحيفة</w:t>
      </w:r>
      <w:r>
        <w:rPr>
          <w:rFonts w:eastAsia="IRNazanin" w:cs="IRNazanin"/>
          <w:b w:val="false"/>
          <w:bCs w:val="false"/>
          <w:i w:val="false"/>
          <w:iCs w:val="false"/>
          <w:color w:val="333333"/>
          <w:sz w:val="20"/>
          <w:szCs w:val="20"/>
          <w:rtl w:val="true"/>
        </w:rPr>
        <w:t>. . .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 الهى، الشيعة والقرآن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التليدى، ابوالفتوح عبدالله‌بن عبدالقادر، أهل‌السنّة والشيعة بين الإعتدال والغلوّ،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إعتقاد ما ذكرفى هذه الكتاب كفر بواح لايعدّ صاحبه من أهلِ القبلة فضلاً أن يكون ثقة الإسلام</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 على‌بن‌ابى‌طالب رضى‌الله عنه،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البيهقى، احمد بن الحصين‌بن على‌بن موسى، السّنن‌الكبرى، تحقيق محمد عبدالقادر عطا، ج</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باب بيان اهل‌بيته الذين هم‌آله، ح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الطبرانى، سليمان‌بن احمدبن ايوب، المعجم الكبير، تحقيق حمدى‌بن عبدالمجيد السلف، القاهرة، المكتبة ابن‌تيمية،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الحاء حسن‌بن على‌بن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أبامحمد، ح</w:t>
      </w:r>
      <w:r>
        <w:rPr>
          <w:rFonts w:eastAsia="IRNazanin" w:cs="IRNazanin"/>
          <w:b w:val="false"/>
          <w:bCs w:val="false"/>
          <w:i w:val="false"/>
          <w:iCs w:val="false"/>
          <w:color w:val="333333"/>
          <w:sz w:val="20"/>
          <w:szCs w:val="20"/>
        </w:rPr>
        <w:t>2679/46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الجزرى، المبارك بن‌محمد ابن‌الأثير، جامع الاصول فى احاديث الرسول، تحقيق عبدالقادر الارنؤوط،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مكتبة الحلوانى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الملاح، ط الاولى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الاول فى الفضائل، الفضل الثالث أهل‌البيت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روايت آورده است؛ الهندى، كنز العمال فى سنن الاقوال والافعال، ج</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الكتاب الاول من حرف همزه، باب الثانى فى الاعتصام بالكتاب والسنة، ح</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احمدبن‌حنبل، مسند احمدبن‌حنبل، تحقيق صدقى محمدجميل العطار، بيروت، دار الفكر، ط الثانية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جزء</w:t>
      </w:r>
      <w:r>
        <w:rPr>
          <w:rFonts w:eastAsia="IRNazanin" w:cs="IRNazanin"/>
          <w:b w:val="false"/>
          <w:bCs w:val="false"/>
          <w:i w:val="false"/>
          <w:iCs w:val="false"/>
          <w:color w:val="333333"/>
          <w:sz w:val="20"/>
          <w:szCs w:val="20"/>
        </w:rPr>
        <w:t>39/264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كوفيين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ابن‌الجوزى، على‌بن‌محمد، عجائب القرآن، تحقيق ومقدمة عبد الفتاح عاشور، قاهره، الزهراء للإعلام، ط الاولى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ابن‌الجوزى، على‌بن‌محمد، عجائب القرآن، تحقيق ومقدمة عبد الفتاح عاشور، قاهره، الزهراء للإعلام، ط الاولى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 در مجموع مى شود</w:t>
      </w:r>
      <w:r>
        <w:rPr>
          <w:rFonts w:eastAsia="IRNazanin" w:cs="IRNazanin"/>
          <w:b w:val="false"/>
          <w:bCs w:val="false"/>
          <w:i w:val="false"/>
          <w:iCs w:val="false"/>
          <w:color w:val="333333"/>
          <w:sz w:val="20"/>
          <w:szCs w:val="20"/>
        </w:rPr>
        <w:t>37325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حرف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فى‌علوم القرآن، ضبط وتصحيح محمد سالم هاشم، قم، ذوى‌القربى، ط الثانية</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التاسع عشر، فصل فى عدد الآى، جميع حروف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ثلاثمأة ألف‌حرف، و ثلاثة وعشرون الف حرف و ستمأة حرف، و واحد و سبعون‌حرف</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w:t>
      </w:r>
      <w:r>
        <w:rPr>
          <w:rFonts w:eastAsia="IRNazanin" w:cs="IRNazanin"/>
          <w:b w:val="false"/>
          <w:bCs w:val="false"/>
          <w:i w:val="false"/>
          <w:iCs w:val="false"/>
          <w:color w:val="333333"/>
          <w:sz w:val="20"/>
          <w:szCs w:val="20"/>
        </w:rPr>
        <w:t>7325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حرف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الهيتمى، نورالدين على‌بن ابى‌بكر، مجمع الزوائد و منبع الفوائد، بتقريرالعراقى و ابن‌حجر، بيروت، دارالكتب العربى، ط الثالثة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منه فى فضل‌القرآن ومن قرأهُ؛ العاملى، السيد جعفر المرتضى، حقائق الهامّة حول‌القرآن، قم، مؤسسة النشر الاسلامى التابعة لجماعة المدرسين، ط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هاى ديگرى هم در اين كتاب آمده 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محمدهادى، صيانة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فى‌علوم القرآن، 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التاسع عشر فى عدد سوره وآياته و حروفه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ابن‌الجوزى، عجائب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ابن‌الجوزى، عجائب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الزرقانى، الشيخ محمدعبدالعظيم، مناهج العرفان فى علوم القرآن، قاهرة، داراحياء والكتب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 ج</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سيوطى عدد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را هم از ابن‌عباس روايت كرده است</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 ج</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ابن‌الجوزى، عجائب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الزرقانى، مناهج العرفان فى‌علوم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انّه ستة آلاف ومأتا آية و 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الاتقان فى علوم القرآن، ج</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الزرقانى، مناهج العرفان فى‌علوم القرآن، ج</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النوع التاسع عشر، فصل فى عدد الآى</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النوع التاسع عشر، فصل فى عدد الآى</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صيانة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روايت كافى مبنى بر اينكه قرآن هفده هزار آيه است، در مباحث بعدى خواهدآمد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محمدبن‌اسماعيل، صحيح البخارى، ج</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المحاربين من أهل‌الكفر والردّة، باب رجم الحبلى فى‌الزّنا إذا أحصنت، ح</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خَشيتُ أن يطُولَ بِالنَّاسِ زمانٌ، حتَّى يقولَ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لانَجِدُ الرّجم فى كتابِ‌اللهِ، فَتَضِلّوا بِتَركِ فَريضة أنزَلهَااللهُ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النّيسابورى، مسلم‌بن‌الحجاج، صحيح مسلم، ج</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رجم الثيب فى‌الزّنى،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السجستانى، ابى‌داود سلميان بن‌الاشعث، سنن ابى‌داود، مراجعه وتعليق سعيد محمد محيى‌الدين عبدالحميد،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كتاب‌الحدود،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الرجم، ح</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ابن‌حنبل، احمد، المسند، ج</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الطبرى، محمدبن‌جرير، تاريخ الطبرى،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ابوريه، محمود، اضواء على السّنة المحمّدية، قم، مؤسسةدار الكتاب الإسلامى، ط الثانية</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المعلم، محمدعلى، الحقيقة المظلومة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الطائى، دكتور نجاح، الوهابيون خوارج أم سنة، بيروت، دارالميزان، ط الاولى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فى‌علوم القرآن، ج</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الثّامن عشر فى جمعه وترتيبه</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الدّرالمنثور فى تفسير المأثور، ضبط النص إسناد الآيات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بإشراف دارالفكر، بيروت، دارالفكر،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ابتداى تفسير سوره احزاب؛ الاتقان فى علوم القرآن، ج</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السابع والاربعون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الحزب الثالث</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كنزالعمّال،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15371</w:t>
      </w:r>
      <w:r>
        <w:rPr>
          <w:rFonts w:ascii="IRNazanin" w:hAnsi="IRNazanin" w:eastAsia="IRNazanin"/>
          <w:b w:val="false"/>
          <w:b w:val="false"/>
          <w:bCs w:val="false"/>
          <w:i w:val="false"/>
          <w:i w:val="false"/>
          <w:iCs w:val="false"/>
          <w:color w:val="333333"/>
          <w:sz w:val="20"/>
          <w:sz w:val="20"/>
          <w:szCs w:val="20"/>
          <w:rtl w:val="true"/>
        </w:rPr>
        <w:t>؛ نجاح الطايى، الوهابيون خوارج ام‌سنة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المحاربين من اهل الكفر،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 الحُبلى، ح</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الهندى، كنزالعُمّال، ج</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مسند عمر، باب لواحق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القزوينى، علاءالدين السيد أمير، مع الدكتور موسى الموسوى، قم، مركز الغديرللدراسات الإسلامية، ط الثانية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الطايى، الوهابيون خوارج أو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المعلم، محمدعلى، الحقيقة المظلومة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تفسيرالطبرى، ج</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تفسير آيه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تفسير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العلماء فى معنى الآية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تفسيرالطبرى، ج</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لأحكام القرآن، ج</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الاتقان، ج</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السابع والاربعون؛ معرفت، صيانة القرآن من‌التحريف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ابن‌حنبل، المسند، تحقيق صدقى محمدجميل‌العطار، بيروت، دارالفكر</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الانصار، حديث زربن حبيش؛ الهندى، كنز العمال، ج</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سيوطى، الدّر المنثور، ج</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احزاب</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على‌الصحيحين، تحقيق يوسف المرعشلى، بيروت، دارالمعرفة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كتاب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سوره احزاب</w:t>
      </w:r>
      <w:r>
        <w:rPr>
          <w:rFonts w:eastAsia="IRNazanin" w:cs="IRNazanin"/>
          <w:b w:val="false"/>
          <w:bCs w:val="false"/>
          <w:i w:val="false"/>
          <w:iCs w:val="false"/>
          <w:color w:val="333333"/>
          <w:sz w:val="20"/>
          <w:szCs w:val="20"/>
          <w:rtl w:val="true"/>
        </w:rPr>
        <w:t>) .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السابع والاربعون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الضرب الثالث</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ابتداى تفسير سوره احزاب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كتاب الصلاة، باب حجة من قال لا يجهر بالبسلمة،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كتاب الصلاة، باب حجة من قال لا يجهر بالبسلمة،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النسايى بشرح السيوطى، بيروت، دارالفكر، ط الأولى</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الافتتاح، باب ترك الجهر ببسم الله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ابن‌حنبل، المسند، ج</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مسندانس‌بن‌مالك، ح</w:t>
      </w:r>
      <w:r>
        <w:rPr>
          <w:rFonts w:eastAsia="IRNazanin" w:cs="IRNazanin"/>
          <w:b w:val="false"/>
          <w:bCs w:val="false"/>
          <w:i w:val="false"/>
          <w:iCs w:val="false"/>
          <w:color w:val="333333"/>
          <w:sz w:val="20"/>
          <w:szCs w:val="20"/>
        </w:rPr>
        <w:t>13336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13959</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حديث عبدالله مغفل المزنى</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سنن‌ابن ماجة، تحقيق محمدفؤاد عبدالباقى،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ابواب الصلاة،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مايقول عند الافتتاح الصلاة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به‌همين جهت حنفى‌ها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نماز آهسته مى‌آورند، مالكى‌ها به‌خاطر حديث عائشه نَه جهراً مى‌آورند، و نَه آهسته، شافعى‌ها آن را به‌جهر مى‌خوانند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السّرخسى، شمس‌الدين ابوبكربن محمدبن ابى‌سهل، المبسوط، بيروت، دارالفكر، ط الاولى</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بسم الله الرّحمن الرحيم، در همه قرآن‌ها به خط قرآن نوشته مى‌شود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6/195</w:t>
      </w:r>
      <w:r>
        <w:rPr>
          <w:rFonts w:ascii="IRNazanin" w:hAnsi="IRNazanin" w:eastAsia="IRNazanin"/>
          <w:b w:val="false"/>
          <w:b w:val="false"/>
          <w:bCs w:val="false"/>
          <w:i w:val="false"/>
          <w:i w:val="false"/>
          <w:iCs w:val="false"/>
          <w:color w:val="333333"/>
          <w:sz w:val="20"/>
          <w:sz w:val="20"/>
          <w:szCs w:val="20"/>
          <w:rtl w:val="true"/>
        </w:rPr>
        <w:t>، كتاب فضل القرآن، باب مدّ القراءة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كتاب الصلاة باب حجة من‌قال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البسملة آية</w:t>
      </w:r>
      <w:r>
        <w:rPr>
          <w:rFonts w:eastAsia="IRNazanin" w:cs="IRNazanin"/>
          <w:b w:val="false"/>
          <w:bCs w:val="false"/>
          <w:i w:val="false"/>
          <w:iCs w:val="false"/>
          <w:color w:val="333333"/>
          <w:sz w:val="20"/>
          <w:szCs w:val="20"/>
          <w:rtl w:val="true"/>
        </w:rPr>
        <w:t>. . .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 ج</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من رأى الجهر ببسم‌الله</w:t>
      </w:r>
      <w:r>
        <w:rPr>
          <w:rFonts w:eastAsia="IRNazanin" w:cs="IRNazanin"/>
          <w:b w:val="false"/>
          <w:bCs w:val="false"/>
          <w:i w:val="false"/>
          <w:iCs w:val="false"/>
          <w:color w:val="333333"/>
          <w:sz w:val="20"/>
          <w:szCs w:val="20"/>
          <w:rtl w:val="true"/>
        </w:rPr>
        <w:t>. . .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السنن‌الكبرى، تحقيق محمد عبدالقادر عطا، بدروت، دارالكتب العلمية، ط الأولى</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الامامة و صلاة الجمعة،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على شرط مسلم ولم يخرجاه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قرأ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ولا الضآلّين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البيهقى، السّنن‌الكبرى،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 افتتاح القراءة فى‌الصلاة ببسم‌الله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السيوطى، الدّرالمنثور،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الفاتحة الكتاب</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التفسيرالكبير، طبعة جديدة مصحّحة، بيروت، داراحياء التراث، ط الاولى</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الفقهيه، المسألة الخامسة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التفسيرالكبير، طبعة جديدة مصحّحة، بيروت، داراحياء التراث، ط الاولى</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التفسيرالكبير، طبعة جديدة مصحّحة، بيروت، داراحياء التراث، ط الاولى</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الجهر بالبسملة تأليف ابى‌سعيد البوشنجى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البسملة تأليف ابن‌خزيمة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الجهر بالبسملة، تأليف خطيب البغدادى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الدار قطنى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كه بسم‌الله را جزء آيات قرآن شمرده 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در دو كتابش ضمن اينكه نظر شافعى‌ها و غير آنان را مبنى بر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جزء سوره‌هاى قرآن مى‌دانند، خطا مى‌خواند،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البِسملَةَ آيةٌ مِن كتابِ اللهِ حَيثُ كَتَبَها الصَّحابةُ فى المُصحَفِ، اِذلم يكْتُبوا فيه إلاّ القرآنَ، وَجَرَّدُوها عَمّا لَيسَ مِنهُ، كالتَّخميسِ والتَّغييرِ واسماءُ السُوَرِ، ولكن مَعَ ذلكَ لا يقالُ يعى مِن السُّورَةِ الّتى بَعدَها كما لَيست مِنَ السُورةِ الّتى قبلها، بَل هِى كتبت آيةً انزَلها اللهُ فى اوّل كُلِّ سورةٍ، وان لم يكن مِن السُّورةِ، وهذا اعدلُ الاقوالِ الثلاثةِ فى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عبدالحليم بن تيمية الحرانى، الفتاوى الكبرى، تحقيق محمد عبدالقادر عطا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عبدالقادر عطا، بيروت، دارالكتب العلمية، ط الاولى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 جزء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همان، مجموع الفتاوى، تحقيق انور الباز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الجزّار، بيروت، دار الوفا، ط الثالثة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ق، 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معوذتين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سوره‌هاى الفلق والناس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فى تفسيرالقرآن العظيم والسبع المثانى، بيروت، دارإحياء 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فى تفسيرالقرآن العظيم والسبع المثانى، بيروت، دارإحياء 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 ج</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فى تفسيرالمأثور، ج</w:t>
      </w:r>
      <w:r>
        <w:rPr>
          <w:rFonts w:eastAsia="IRNazanin" w:cs="IRNazanin"/>
          <w:b w:val="false"/>
          <w:bCs w:val="false"/>
          <w:i w:val="false"/>
          <w:iCs w:val="false"/>
          <w:color w:val="333333"/>
          <w:sz w:val="20"/>
          <w:szCs w:val="20"/>
        </w:rPr>
        <w:t>8/683</w:t>
      </w:r>
      <w:r>
        <w:rPr>
          <w:rFonts w:ascii="IRNazanin" w:hAnsi="IRNazanin" w:eastAsia="IRNazanin"/>
          <w:b w:val="false"/>
          <w:b w:val="false"/>
          <w:bCs w:val="false"/>
          <w:i w:val="false"/>
          <w:i w:val="false"/>
          <w:iCs w:val="false"/>
          <w:color w:val="333333"/>
          <w:sz w:val="20"/>
          <w:sz w:val="20"/>
          <w:szCs w:val="20"/>
          <w:rtl w:val="true"/>
        </w:rPr>
        <w:t>؛ الاتقان فى علوم القرآن،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التنبيهات، التنبيه اول؛ البلاغى، محمد جواد، موسوعة العلامة البلاغى، آلاء الرحمن فى تفسيرالقرآن، ج</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عبيدبن‌عمر از عمربن‌الخطاب؛ عبدالله بن عبدالرحمن از پدرش كه در مصحف ابن عباس وجود داشته؛ از ابن جريح و ابن مسعود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الطبرانى، بسند صحيح، عن ابى اسحق، قال</w:t>
      </w:r>
      <w:r>
        <w:rPr>
          <w:rFonts w:eastAsia="IRNazanin" w:cs="IRNazanin"/>
          <w:b w:val="false"/>
          <w:bCs w:val="false"/>
          <w:i w:val="false"/>
          <w:iCs w:val="false"/>
          <w:color w:val="333333"/>
          <w:sz w:val="20"/>
          <w:szCs w:val="20"/>
          <w:rtl w:val="true"/>
        </w:rPr>
        <w:t>: . . . .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الآلوسى، روح‌المعانى، ج</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الاتقان فى‌علوم القرآن، ج</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عشر فى عدد سوره وآياته و كلماته وحروفه؛ ابوريه، محمد، اضواء على‌السنة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المعلم، محمد على، الحقيقة المظلومة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ج</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باب كراهة الحرص على الدنيا؛ النيسابورى، محمدبن‌مسلم،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الكسوف، باب لوأنّ لابن‌آدم واديين،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ابوريه، محمد، اضواء على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ابن‌حنبل، احمد، المسند، ج</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باب مسند الانصار، ح</w:t>
      </w:r>
      <w:r>
        <w:rPr>
          <w:rFonts w:eastAsia="IRNazanin" w:cs="IRNazanin"/>
          <w:b w:val="false"/>
          <w:bCs w:val="false"/>
          <w:i w:val="false"/>
          <w:iCs w:val="false"/>
          <w:color w:val="333333"/>
          <w:sz w:val="20"/>
          <w:szCs w:val="20"/>
        </w:rPr>
        <w:t>21169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ابن‌حنبل، احمد، المسند، ج</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باب مسند الانصار، ح</w:t>
      </w:r>
      <w:r>
        <w:rPr>
          <w:rFonts w:eastAsia="IRNazanin" w:cs="IRNazanin"/>
          <w:b w:val="false"/>
          <w:bCs w:val="false"/>
          <w:i w:val="false"/>
          <w:iCs w:val="false"/>
          <w:color w:val="333333"/>
          <w:sz w:val="20"/>
          <w:szCs w:val="20"/>
        </w:rPr>
        <w:t>21169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21261</w:t>
      </w:r>
      <w:r>
        <w:rPr>
          <w:rFonts w:ascii="IRNazanin" w:hAnsi="IRNazanin" w:eastAsia="IRNazanin"/>
          <w:b w:val="false"/>
          <w:b w:val="false"/>
          <w:bCs w:val="false"/>
          <w:i w:val="false"/>
          <w:i w:val="false"/>
          <w:iCs w:val="false"/>
          <w:color w:val="333333"/>
          <w:sz w:val="20"/>
          <w:sz w:val="20"/>
          <w:szCs w:val="20"/>
          <w:rtl w:val="true"/>
        </w:rPr>
        <w:t>؛ الهندى، كنزالعمّال، ج</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xml:space="preserve">؛ الاصفهانى، ابى‌نعيم احمدبن‌عبدالله، حيلة الاولياء وطبقات‌الاصفياء، مقدمة ابن‌تيميه، قاهرة، دارامّ القرى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ترجمه رقم</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زربن‌حبيش؛ و ج</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ترجمه رقم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ابوموسى، البلاغى، محمد جواد، موسوعة العلامة البلاغى، آلاءالرحمن فى تفسيرالقرآن، ج</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4/2322</w:t>
      </w:r>
      <w:r>
        <w:rPr>
          <w:rFonts w:ascii="IRNazanin" w:hAnsi="IRNazanin" w:eastAsia="IRNazanin"/>
          <w:b w:val="false"/>
          <w:b w:val="false"/>
          <w:bCs w:val="false"/>
          <w:i w:val="false"/>
          <w:i w:val="false"/>
          <w:iCs w:val="false"/>
          <w:color w:val="333333"/>
          <w:sz w:val="20"/>
          <w:sz w:val="20"/>
          <w:szCs w:val="20"/>
          <w:rtl w:val="true"/>
        </w:rPr>
        <w:t>، كتاب‌التفسير باب، سورة البراءة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السيوطى، الاتقان، ج</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معرفة اسمائه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سوره التوبة</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الاتقان، ج</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معرفة اسمائه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الاتقان، ج</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معرفة اسمائه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كتاب التفسير، تفسير 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الاسناد ولم يخرجاه</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كنزالعّمال، ج</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باب لواحق تفسير، رقم</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4745</w:t>
      </w:r>
      <w:r>
        <w:rPr>
          <w:rFonts w:ascii="IRNazanin" w:hAnsi="IRNazanin" w:eastAsia="IRNazanin"/>
          <w:b w:val="false"/>
          <w:b w:val="false"/>
          <w:bCs w:val="false"/>
          <w:i w:val="false"/>
          <w:i w:val="false"/>
          <w:iCs w:val="false"/>
          <w:color w:val="333333"/>
          <w:sz w:val="20"/>
          <w:sz w:val="20"/>
          <w:szCs w:val="20"/>
          <w:rtl w:val="true"/>
        </w:rPr>
        <w:t>؛ السيوطى، الدّر المنثور، ج</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 العمال، ج</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باب لواحق التفسير رقم</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لزيد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إقرأ يازيد، فقرأ زيد قراءة العامّة، فقال عمر</w:t>
      </w:r>
      <w:r>
        <w:rPr>
          <w:rFonts w:eastAsia="IRNazanin" w:cs="IRNazanin"/>
          <w:b w:val="false"/>
          <w:bCs w:val="false"/>
          <w:i w:val="false"/>
          <w:iCs w:val="false"/>
          <w:color w:val="333333"/>
          <w:sz w:val="20"/>
          <w:szCs w:val="20"/>
          <w:rtl w:val="true"/>
        </w:rPr>
        <w:t>: . . .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 العمال، ج</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باب لواحق التفسير،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السيوطى، الدّرالمنثور، ج</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سوره جمعه</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الدّرالمنثور، ج</w:t>
      </w:r>
      <w:r>
        <w:rPr>
          <w:rFonts w:eastAsia="IRNazanin" w:cs="IRNazanin"/>
          <w:b w:val="false"/>
          <w:bCs w:val="false"/>
          <w:i w:val="false"/>
          <w:iCs w:val="false"/>
          <w:color w:val="333333"/>
          <w:sz w:val="20"/>
          <w:szCs w:val="20"/>
        </w:rPr>
        <w:t>8/621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الهندى، كنزالعمال، ج</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لواحق التفسير، ح</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كتاب التفسير، باب و ما خلق الذّكر والانثى، ح</w:t>
      </w:r>
      <w:r>
        <w:rPr>
          <w:rFonts w:eastAsia="IRNazanin" w:cs="IRNazanin"/>
          <w:b w:val="false"/>
          <w:bCs w:val="false"/>
          <w:i w:val="false"/>
          <w:iCs w:val="false"/>
          <w:color w:val="333333"/>
          <w:sz w:val="20"/>
          <w:szCs w:val="20"/>
        </w:rPr>
        <w:t>4944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ابن‌حنبل، المسند، ج</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حديث ابى‌درداء</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وَلْتَكُن مِّنكُمْ اُمَّةٌ يَدْعُونَ إِلَى الْخَيْرِ وَيَاْمُرُونَ بِالْمَعْرُوفِ وَيَنْهَوْنَ عَنِ الْمُنكَرِ وَاُوْلَ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ئِكَ هُمُ الْمُفْلِحُونَ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 العمال، ج</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باب لواحق التفسير، ح</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الانصارى، محمدبن احمد القرطبى، الجامع لاحكام القرآن، رياض، دارعالم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آل عمران</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أولى بالمؤمنين من أنفسهم و ازواجه أُمهاتُهم واولو الارحام </w:t>
      </w:r>
      <w:r>
        <w:rPr>
          <w:rFonts w:eastAsia="IRNazanin" w:cs="IRNazanin"/>
          <w:b w:val="false"/>
          <w:bCs w:val="false"/>
          <w:i w:val="false"/>
          <w:iCs w:val="false"/>
          <w:color w:val="333333"/>
          <w:sz w:val="20"/>
          <w:szCs w:val="20"/>
          <w:rtl w:val="true"/>
        </w:rPr>
        <w:t>. .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الانصارى، محمدبن احمد القرطبى، الجامع لاحكام القرآن، رياض، دارعالم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الهندى، كنزالعمال، ج</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باب لواحق التفسير، ح</w:t>
      </w:r>
      <w:r>
        <w:rPr>
          <w:rFonts w:eastAsia="IRNazanin" w:cs="IRNazanin"/>
          <w:b w:val="false"/>
          <w:bCs w:val="false"/>
          <w:i w:val="false"/>
          <w:iCs w:val="false"/>
          <w:color w:val="333333"/>
          <w:sz w:val="20"/>
          <w:szCs w:val="20"/>
        </w:rPr>
        <w:t>4746</w:t>
      </w:r>
      <w:r>
        <w:rPr>
          <w:rFonts w:ascii="IRNazanin" w:hAnsi="IRNazanin" w:eastAsia="IRNazanin"/>
          <w:b w:val="false"/>
          <w:b w:val="false"/>
          <w:bCs w:val="false"/>
          <w:i w:val="false"/>
          <w:i w:val="false"/>
          <w:iCs w:val="false"/>
          <w:color w:val="333333"/>
          <w:sz w:val="20"/>
          <w:sz w:val="20"/>
          <w:szCs w:val="20"/>
          <w:rtl w:val="true"/>
        </w:rPr>
        <w:t>؛ البيهقى، احمد بن الحسين بن على، السنن الكبرى، ج</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ماخصّ به‌من انّ ازواجه امهات المؤمنين، ح</w:t>
      </w:r>
      <w:r>
        <w:rPr>
          <w:rFonts w:eastAsia="IRNazanin" w:cs="IRNazanin"/>
          <w:b w:val="false"/>
          <w:bCs w:val="false"/>
          <w:i w:val="false"/>
          <w:iCs w:val="false"/>
          <w:color w:val="333333"/>
          <w:sz w:val="20"/>
          <w:szCs w:val="20"/>
        </w:rPr>
        <w:t>13419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كان يلهينى القرآن ويلهيك الصّفق بالاسواق</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ابن‌ماجة، سنن ابن‌ماجة ج</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 الكبير، ولاتحرم المصّة</w:t>
      </w:r>
      <w:r>
        <w:rPr>
          <w:rFonts w:eastAsia="IRNazanin" w:cs="IRNazanin"/>
          <w:b w:val="false"/>
          <w:bCs w:val="false"/>
          <w:i w:val="false"/>
          <w:iCs w:val="false"/>
          <w:color w:val="333333"/>
          <w:sz w:val="20"/>
          <w:szCs w:val="20"/>
          <w:rtl w:val="true"/>
        </w:rPr>
        <w:t>. . .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المسلم، ج</w:t>
      </w:r>
      <w:r>
        <w:rPr>
          <w:rFonts w:eastAsia="IRNazanin" w:cs="IRNazanin"/>
          <w:b w:val="false"/>
          <w:bCs w:val="false"/>
          <w:i w:val="false"/>
          <w:iCs w:val="false"/>
          <w:color w:val="333333"/>
          <w:sz w:val="20"/>
          <w:szCs w:val="20"/>
        </w:rPr>
        <w:t>2/1076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الرضاع، باب تحريم بخمس رضعات،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ابن‌ماجة، سنن‌ابن‌ماجة، ج</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رضاع الكبير، ح</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السيوطى، الدّرالمنثور، ج</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سوره نسآء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الطايى، نجاح، الوهابيون خوارج ام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الاتقان، ج</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السابع والاربعون؛ الدرّ المنثور، ج</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الآلوسى، روح المعانى فى تفسير القرآن، ج</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تفسيرالفاتحة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مفسّر پس از نقل روايات دال برتحريف،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فى هذا الباب اكثر من ان تحصى الاّ أنّها محمولة على ما ذكرناهُ، وأين ذلك ما يقوله الشيعى الجسور؛ و اين جمله را در پاسخ طبرسى در مجمع البيان مى‌آورد كه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واما النقصان، فقد روى عن قوم من أصحابنا وقوم من حشوية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آلوسى توجيه چنين روايات را اين مى‌داند كه يا كذب يا سوء فهم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ج</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المعلّم، محمدعلى، الحقيقة المظلومة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كنزالعمال، ج</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باب لواحق التفسير، ح</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القزوينى، السيد امير محمد، مع الدكتور موسى الموسوى فى كتابه الشيعة و التصحيح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 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الصنعانى، عبدالرزاق بن همام، المصنف، تحقيق عبدالرحمن الاعظمى، بيروت، المكتب الاسلامى،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7/329</w:t>
      </w:r>
      <w:r>
        <w:rPr>
          <w:rFonts w:ascii="IRNazanin" w:hAnsi="IRNazanin" w:eastAsia="IRNazanin"/>
          <w:b w:val="false"/>
          <w:b w:val="false"/>
          <w:bCs w:val="false"/>
          <w:i w:val="false"/>
          <w:i w:val="false"/>
          <w:iCs w:val="false"/>
          <w:color w:val="333333"/>
          <w:sz w:val="20"/>
          <w:sz w:val="20"/>
          <w:szCs w:val="20"/>
          <w:rtl w:val="true"/>
        </w:rPr>
        <w:t>، باب الرجم والاحصان، ح</w:t>
      </w:r>
      <w:r>
        <w:rPr>
          <w:rFonts w:eastAsia="IRNazanin" w:cs="IRNazanin"/>
          <w:b w:val="false"/>
          <w:bCs w:val="false"/>
          <w:i w:val="false"/>
          <w:iCs w:val="false"/>
          <w:color w:val="333333"/>
          <w:sz w:val="20"/>
          <w:szCs w:val="20"/>
        </w:rPr>
        <w:t>13363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ابى‌داود، سنن ابى‌داود،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لزوم السنة،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إنّى أوتِيتُ الكِتَابَ، وَ مِثلَهُ مَعَهُ، لَا يوشِكُ رَجُلٌ شَبعَانُ عَلَى أرِيكَتِهِ يقُولُ عليكم بهذا القرآن، فَمَا وَجَدتم فيه من حلال فاحِلّوهُ، وما وَجَدتم فيه من حرام فَحَرِّموه</w:t>
      </w:r>
      <w:r>
        <w:rPr>
          <w:rFonts w:eastAsia="IRNazanin" w:cs="IRNazanin"/>
          <w:b w:val="false"/>
          <w:bCs w:val="false"/>
          <w:i w:val="false"/>
          <w:iCs w:val="false"/>
          <w:color w:val="333333"/>
          <w:sz w:val="20"/>
          <w:szCs w:val="20"/>
          <w:rtl w:val="true"/>
        </w:rPr>
        <w:t>. . .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سليمان‌بن‌أحمد، المعجم الكبير، تحقيق حمدى عبدالمجيد السلفى، القاهرة، مكتبة ابن‌تيمية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ميم، المقدام بن‌معدى‌كرب، ح</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الدارالقطنى البغدادى، على‌بن عمر، سنن الدار قطنى، تحقيق السيد عبدالله هاشم يمانى المدنى، بيروت، دارالمعرفة</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الاشربة، باب الصيد والذبائح و الاطعمة</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اين‌كه مقصود از آن را همان مصحف و يا كتاب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بدانيم</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 الهى، الشيعة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بيومى، محمد، حقيقة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احسان الهى، الشيعة السنة،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محمود، اضواء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المشكل الثالث</w:t>
      </w:r>
      <w:r>
        <w:rPr>
          <w:rFonts w:eastAsia="IRNazanin" w:cs="IRNazanin"/>
          <w:b w:val="false"/>
          <w:bCs w:val="false"/>
          <w:i w:val="false"/>
          <w:iCs w:val="false"/>
          <w:color w:val="333333"/>
          <w:sz w:val="20"/>
          <w:szCs w:val="20"/>
          <w:rtl w:val="true"/>
        </w:rPr>
        <w:t>) .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مفصّل‌تر و عميق آن از حد اين تحقيق خارج است و نياز به‌پژوهش مستقل است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هذان الرجلان هما من أرسى دعائم هذه العقيدة الباطلة وعملا على ترويجها ونشرها والاكثار من الحديث عنها، وقد اكملت صورة هذه الاسطورة على ايديهما</w:t>
      </w:r>
      <w:r>
        <w:rPr>
          <w:rFonts w:eastAsia="IRNazanin" w:cs="IRNazanin"/>
          <w:b w:val="false"/>
          <w:bCs w:val="false"/>
          <w:i w:val="false"/>
          <w:iCs w:val="false"/>
          <w:color w:val="333333"/>
          <w:sz w:val="20"/>
          <w:szCs w:val="20"/>
          <w:rtl w:val="true"/>
        </w:rPr>
        <w:t>. . .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الخالدى، عبدالفتاح، الكلينى وتأويلاته الباطنيةللآيات القرآنية فى كتابه اصول 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القمى، على‌بن‌ابراهيم، تفسيرالقمى، تصحيح وتعليق السيد طيب الموسوى الجزائرى، قم، مؤسسة دارالكتاب،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ماهوكان على خلاف ما أنزل‌الله فهو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كُنتُمْ خَيْرَ اُمَّةٍ اُخْرِجَتْ لِلنَّاسِ تَاْمُرُونَ بِالْمَعْرُوفِ وَتَنْهَوْنَ عَنِ الْمُنكَرِ وَتُؤْمِنُونَ بِاللهِ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ابوعبدالله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لقارى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يقتلون أميرالمؤمنين والحسن والحسين‌ابن‌على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فقيل‌له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نزلت يابن رسول‌الله؟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كُنتُمْ خَيْرَ اُمَّةٍ اُخْرِجَتْ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ألاترى مدح‌الله لهم فى آخر الآية تأمرون بالمعروف</w:t>
      </w:r>
      <w:r>
        <w:rPr>
          <w:rFonts w:eastAsia="IRNazanin" w:cs="IRNazanin"/>
          <w:b w:val="false"/>
          <w:bCs w:val="false"/>
          <w:i w:val="false"/>
          <w:iCs w:val="false"/>
          <w:color w:val="333333"/>
          <w:sz w:val="20"/>
          <w:szCs w:val="20"/>
          <w:rtl w:val="true"/>
        </w:rPr>
        <w:t>. . .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السبحانى، جعفر، كليات فى علم، قم، مؤسسة النشر الاسلامى التابعة لجماعة المدرسين، ط الثالثة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المحمدى، فتح‌الله، سلامة القرآن من التحريف و تفنيد الافتراءات على الشيعة الامامية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تهران، مشعر</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تفسيرالقمى، ج</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سبحانى، كليات فى علم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رجال النجاشى، تحقيق محمد جواد النائينى، بيروت، دارالأضواء،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منذر ابوالجارود الهمدانى، الخارقى الاعمى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كوفى، كان من اصحاب ابى‌جعفر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تغير لمّا خرج زيد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البخارى، اسماعيل بن ابراهيم، التاريخ الكبير،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باب الميم، رقم</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منذر ابوالجارود الثقفى،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روى عنه مروان بن معاوية و على بن هاشم، يتكلون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 به‌تشيع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الطوسى، الفهرست، به‌كوشش محمود راميار، مشهد، چاپخانه دانشگاه مشهد</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زيدى المذهب و اليه تنسب الزيدية الجارودية؛ همان، رجال الطوسى، النجف، منشورات المكتبة الحيدرية</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امام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اختيار معرفة الرجال المعروف برجال الكشى، تصحيح وتعليق ميرداماد الإسترآبادى، قم، مؤسسة آل‌لبيت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ابى‌الجارود زياد بن منذر الاعمى السرحوب</w:t>
      </w:r>
      <w:r>
        <w:rPr>
          <w:rFonts w:eastAsia="IRNazanin" w:cs="IRNazanin"/>
          <w:b w:val="false"/>
          <w:bCs w:val="false"/>
          <w:i w:val="false"/>
          <w:iCs w:val="false"/>
          <w:color w:val="333333"/>
          <w:sz w:val="20"/>
          <w:szCs w:val="20"/>
          <w:rtl w:val="true"/>
        </w:rPr>
        <w:t>) .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معجم الرجال الحديث، بيروت، دار الزهراء للطباعة، ط الثالثة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7/324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سلامة القرآن من التحريف</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السيد ابوالقاسم، البيان فى تفسيرالقرآن، ترجمه سيد جعفرحسينى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 سوم</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البيان فى تفسيرالقرآن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به‌اين‌كتاب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به‌اين كتاب</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القمى، تفسيرالقمى، ج</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القرطبى، محمدبن‌احمد الانصارى، الجامع الاحكام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يقول الظالمون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ابوجهل والوليدبن‌مغيرة و أمثالهما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تتّبعون إلّا رجلاً مسحوراً؛ السيوطى، الدّرالمنثور، ج</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عن ابن‌عباس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عتبة وشيبة إبنَى ربيعة، و أباسفيان‌بن حرب، والنّضربن‌الحارث، و أبالبخترى، والاسودبن‌المطلب، و زمعةبن‌الاسود، والوليد ابن‌المغيرة و أباجهل‌بن‌هشام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اشراف مكه نزد پيامبر آمدند كه هرچه او بخواهد، در اختيارش قرار مى‌دهند و درعوض دست از تبليغش بردارد،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مَالِى تقولون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باتلخيص</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شواهدالتّنزيل لقواعد التفضيل فى‌الآيات النازلة فى أهل‌البيت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باقرالمحمودى، طهران، مؤسسة الطبع والنشر التابعة لوزارة الثقافة والارشاد الاسلامى، ط الاولى</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شواهدالتّنزيل لقواعد التفضيل فى‌الآيات النازلة فى أهل‌البيت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باقرالمحمودى، طهران، مؤسسة الطبع والنشر التابعة لوزارة الثقافة والارشاد الاسلامى، ط الاولى</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فتح الله،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شعث، احمد،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وتاريخ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القفارى، اصول مذهب الشيعة، ج</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شعث، احمد،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وتاريخ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القفارى، اصول مذهب الشيعة، ج</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 الهى، الشيعة والسنة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هو عندهم بمنزلة الامام البخارى عند المسلمين فى‌الكافى فى الاصول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الخطيب، محب الدين الخطوط العريضة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تدريب الراوى فى شرح تقريب النواوى، تحقيق عرفان العشّا حسّونة، بيروت، دارالفكر</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ابن‌حجر العسقلانى، هدى‌السّارى مقدمة فتح البارى، طبعة جديدة ومصححة عبدالعزيزبن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عبدالباقى، بيروت، دارالكتب العلمية، ط الأولى</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نسبت به‌صحيح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 تحت أديم السماء كتاب أصَحّ من كتاب مسلم بن‌الحجاج؛ ابوريه، محمود، اضواء على‌السنة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الكتب بعد كتاب‌الله موطأ مالك؛ نسبت به‌سنن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ابن‌حجرالعسقلانى، هدى السارى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يصنف فى علم الحديث مثل سنن ابى داود، و هو أحسن وضعاً و اكثر فقهاً من الصحيحين</w:t>
      </w:r>
      <w:r>
        <w:rPr>
          <w:rFonts w:eastAsia="IRNazanin" w:cs="IRNazanin"/>
          <w:b w:val="false"/>
          <w:bCs w:val="false"/>
          <w:i w:val="false"/>
          <w:iCs w:val="false"/>
          <w:color w:val="333333"/>
          <w:sz w:val="20"/>
          <w:szCs w:val="20"/>
          <w:rtl w:val="true"/>
        </w:rPr>
        <w:t>. . .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الخوانسارى، روضات الجنات فى أحوال 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تحقيق اسدالله اسماعيليان،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بى‌نا، 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xml:space="preserve">؛ الجرانى، لؤلؤة البحرين فى الاجازات وتراجم رجال الحديث، تحقيق وتعليق السيد محمديوسف‌بن احمدا لبحرانى، قم، بهرام، چ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شهيد اول، الذكرى حجرية، بخط كرمانى</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الطهرانى، الذريعة فى تصانيف الشّيعة، بيروت، دارالأضواء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17/245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مجلسى، مرءات العقول فى شرح أخبارآل الرسول، تهران، دارالكتب الإسلامية</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به‌فصل سوم از بخش اول</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فى علم الرجال، ترتيب عبدالله السبزالى الحاج، بيروت، منشورات مؤسسة الاعلمى، ط الاولى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الحدّاد، محمد سوقى، الموسوعة الوهابيةّ والشيعة الامامية، بيروت، الغدير للطباعة والنشر، ط الاولى</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البهبودى، محمدباقر، صحيح الكافى اختياره من كتاب الكافى للشيخ</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بيروت، الدار الاسلامية، ط الاولى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ج</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العسكرى، معالم المدرستين، ايران، مركز الطباعة والنشر للمجمع العالمى لأهل‌البيت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اين كتاب با اعتمادى كه بر رجال ابن الغضائرى داشته، بسيارى از روايات كافى را ضعيف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انه لم يجمع</w:t>
      </w:r>
      <w:r>
        <w:rPr>
          <w:rFonts w:eastAsia="IRNazanin" w:cs="IRNazanin"/>
          <w:b w:val="false"/>
          <w:bCs w:val="false"/>
          <w:i w:val="false"/>
          <w:iCs w:val="false"/>
          <w:color w:val="333333"/>
          <w:sz w:val="20"/>
          <w:szCs w:val="20"/>
          <w:rtl w:val="true"/>
        </w:rPr>
        <w:t>. . .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فتح الله،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الاسلامى، ابوالفضل، مع الدكتورالقفارى، فى اصول مذهبه حول القرآن الكريم</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ابوزهره، محمد، الامام الصادق، حياته وعصره</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تفسيرالصافى، ج</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فتح الله،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الميلانى، السيد على الحسينى، عدم تحريف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مركز الابحاث العقائدية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آلاء الرحمن فى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موسوعة العلامة البلاغى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كتاب سلامة القرآن من التحريف، تأليف فتح الله محمدى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 زادگان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كتاب صيانة القرآن من التحريف، محمد هادى معرفت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به بعد؛ التحقيق فى نفى التحريف عن القرآن الشريف، السيد على الميلانى، قم، دارالقرآن الكريم، ط الاولى</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بحث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ديدگاه علماى شيعه درباره تحريف قرآن، در همين بخش كه همه اخبار تحريف را مردود دانسته‌اند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كتاب‌هايى كه به‌طور مستقل بر ردّ فصل الخطاب نوشته شد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عن التحريف الكتاب، تأليف الشيخ محمود الطهرانى، مشهور به‌معرّب؛ الحجة على‌فصل‌الخطاب فى إبطال القول بتحريف الكتاب، عبدالرحمن المحمدى الهيدجى، قم، مؤلف،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 و كتاب‌هاى ديگر كه 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الشّيعه ج</w:t>
      </w:r>
      <w:r>
        <w:rPr>
          <w:rFonts w:eastAsia="IRNazanin" w:cs="IRNazanin"/>
          <w:b w:val="false"/>
          <w:bCs w:val="false"/>
          <w:i w:val="false"/>
          <w:iCs w:val="false"/>
          <w:color w:val="333333"/>
          <w:sz w:val="20"/>
          <w:szCs w:val="20"/>
        </w:rPr>
        <w:t>16/232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الذريعة الى‌تصانيف الشيعة، ج</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ص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ش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الذريعة الى‌تصانيف الشيعة، ج</w:t>
      </w:r>
      <w:r>
        <w:rPr>
          <w:rFonts w:eastAsia="IRNazanin" w:cs="IRNazanin"/>
          <w:b w:val="false"/>
          <w:bCs w:val="false"/>
          <w:i w:val="false"/>
          <w:iCs w:val="false"/>
          <w:color w:val="333333"/>
          <w:sz w:val="20"/>
          <w:szCs w:val="20"/>
        </w:rPr>
        <w:t>16/231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به‌نقل از آيةالله‌مرعشى سفارت انگليس در انتشار اين كتاب براى ايجاد اختلاف ميان مسلمانان نقش داشته است؛ روزى سيد معمّمى با حالت گريان نزد نورى آمده و از نبودن اسم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شكوه مى‌كند، نورى هم براى تسلّى او مطالبى را در ظرف چند روز براى او مى‌گويد كه بعداً همان مطالب تحت عنوان فصل‌الخطاب منتشر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شرق‌شناسان و غربيان، تأليف محمدزمانى، بوستان كتاب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خيلى احتمال مى‌رود كه محدّث نورى مى‌خواسته بگويد كه براساس رواياتى كه در منابع اهل‌سنت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درهمين فصل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در منابع اهل‌سنت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بخشى از قرآن حذف شده است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16/232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عبدالله‌بن‌مسلم، تأويل مختلف الحديث، تصحيح وضبط محمد زهرى النّجار، بيروت، دارالجليل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قريب به‌همين مضمون را نويسنده فتح المنّان در توجيه آيات رجم و رضاع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 رجم و 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وَحياً اوحاه‌الله الى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أوحى‌اليه من‌القرآن، فقرأ المتلوّ مكتوباً فى المصاحف والصّلوات، وقُرأ سائر الوحى منقولاً محفوظاً معمولاً به، كسائر كلامه الذى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يعنى وحى است اما قرآن نيست كه به‌آن متعبد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 على‌حسن، فتح المنّان فى نسخ القرآن، مصر مكتبة الخانجى بمصر، ط الاولى</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 الإمامية الإثنى عشرية، ج</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الكافى، ج</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 ج</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اعتقادهم بانّ الائمة اختصوا بمعرفة القرآن لايشاركهم فيه احداً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كتاب الحجة، باب فيه نكت و نتف من التنزيل فى الولاية،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 تأويلاته الباطنية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اصول مذهب الشيعة، ج</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 نتف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 تأويلاته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بيومى، محمد، حقيقة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باب،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مجدى، محمد على محمد،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كتاب الحجة، باب فيه نكت ونتف من التنزيل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بيومى، محمد، حقيقة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مجدى محمد على،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القفارى، اصول مذهب الشيعة، ج</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 تأويلاته الباطنية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اين آيه يا أيها الّذين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بما نزّلنا در سوره نساء،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بخش ديگر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سوره است كه احتمال دارد اشتباه از نسّاخ يا چيزى از حديث حذف شده باشد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بيومى، حقيقة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القفارى، اصول مذهب الشيعة، ج</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بيومى، حقيقة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القفارى، اصول مذهب الشيعة، ج</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 ذلكم آمده است كه اشتباه از نسّاخ است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بيومى، حقيقة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القفارى، اصول مذهب الشيعة، ج</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الذين ظلموا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الله ليغفر لهم</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شريفه در كافى بدون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احتمال دارد هنگام نسخه‌بردارى افتاده باشد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 ج</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بيومى، حقيقة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الخالدى، الكلينى وتأويلاته الباطنية</w:t>
      </w:r>
      <w:r>
        <w:rPr>
          <w:rFonts w:eastAsia="IRNazanin" w:cs="IRNazanin"/>
          <w:b w:val="false"/>
          <w:bCs w:val="false"/>
          <w:i w:val="false"/>
          <w:iCs w:val="false"/>
          <w:color w:val="333333"/>
          <w:sz w:val="20"/>
          <w:szCs w:val="20"/>
          <w:rtl w:val="true"/>
        </w:rPr>
        <w:t xml:space="preserve">. . .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بيومى، حقيقة الشيعة،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مجدى محمد على،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الخالدى، الكلينى وتأويلاته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كتاب فضل القرآن، باب النوادر،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 الهى، الشيعة والقرآن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ابوزهره، محمد، الامام‌الصادق</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قفارى، اصول مذهب الشّيعة، ج</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الخالدى، الكلينى وتأويلانه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شعث، احمد كمال، الشّيعة فلسفة وتاريخ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وتأويلانه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شعث، احمد كمال، الشّيعة فلسفة وتاريخ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باب أنّ القرآن يرفع كما أنزل،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الشّيعة و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اصول مذهب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الخالدى، الكلينى و تأويلاته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وتأويلاته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است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الشّيعة والقرآن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الخالدى، الكلينى و تأويلاته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شعث، احمد كمال، الشيعة فلسفه وتاريخ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الشّيعة والقرآن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الخالدى، الكلينى و تأويلاته الباطنية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الشّيعة والقرآن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القفارى، اصول مذهب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الخالدى، الكلينى وتأويلاته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وتأويلاته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الشّيعةالإمامية الإثنى عشرية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 تأويلاته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الكلينى و تأويلاته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ابوزهرة، محمد، الامام الصادق، حياته و عصره</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السالوس، احمد على، مع الشيعة الاثنى عشرية فى الاصول والفروع، قطر و مصر، دارالتقوى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دارالثقافة، ط الاولى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القفارى، اصول مذهب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قرآنا عربياً غير ذى عوج</w:t>
      </w:r>
      <w:r>
        <w:rPr>
          <w:rFonts w:eastAsia="IRNazanin" w:cs="IRNazanin"/>
          <w:b w:val="false"/>
          <w:bCs w:val="false"/>
          <w:i w:val="false"/>
          <w:iCs w:val="false"/>
          <w:color w:val="333333"/>
          <w:sz w:val="20"/>
          <w:szCs w:val="20"/>
          <w:rtl w:val="true"/>
        </w:rPr>
        <w:t>. .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العسقلانى، احمدبن‌على‌بن‌حجر، هدى‌السّارى مقدمه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الذهبى، شمس‌الدين‌محمد، تذكرة الحفاظ، تصحيح از روى نسخه خطى قديم، توسط وزارت معارف حكومت هند، بيروت، دارإحياء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بخارى خود ادعا مى‌كند بيش از آنچه به‌عنوان روايات صحيح در بخارى نقل كرده، از نقل آنها خوددارى كرده، اهل خرد احتمال نمى‌دهند دربارة فضايل اهل‌بيت و امامت باشد؟ </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فضل العلم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باب النوادر كه مورد انتقاد منتقدين است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أعطى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إسم الله الاعظم؛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الائمة من آيات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از اين‌كه قرآن نزد امامان شيعه، چگونه است در بحث‌هاى بعدى خواهدآمد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به‌الاتقان فى علوم القرآن تأليف سيوطى</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سلامة القرآن من التحريف</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انه لم يجمع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آنجا كه مجلسى در مرءات العقول، ج</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 صالح مازندرانى در شرح اصول كافى، ج</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چيزى نمى‌گويد، سند حديث مشكل ندارد</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فى شرح أخبارآل الرسول، ج</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اختيار معرفةالرّجال المعروف برجال الكشّى، ج</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از اصحاب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فى شرح المقنعة للشيخ المفيد، تحقيق وتعليق السيد حسن الخراسانى، بيروت، دارالاضواء ط الثالثة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روايت شماره </w:t>
      </w:r>
      <w:r>
        <w:rPr>
          <w:rFonts w:eastAsia="IRNazanin" w:cs="IRNazanin"/>
          <w:b w:val="false"/>
          <w:bCs w:val="false"/>
          <w:i w:val="false"/>
          <w:iCs w:val="false"/>
          <w:color w:val="333333"/>
          <w:sz w:val="20"/>
          <w:szCs w:val="20"/>
        </w:rPr>
        <w:t>1464/27</w:t>
      </w:r>
      <w:r>
        <w:rPr>
          <w:rFonts w:ascii="IRNazanin" w:hAnsi="IRNazanin" w:eastAsia="IRNazanin"/>
          <w:b w:val="false"/>
          <w:b w:val="false"/>
          <w:bCs w:val="false"/>
          <w:i w:val="false"/>
          <w:i w:val="false"/>
          <w:iCs w:val="false"/>
          <w:color w:val="333333"/>
          <w:sz w:val="20"/>
          <w:sz w:val="20"/>
          <w:szCs w:val="20"/>
          <w:rtl w:val="true"/>
        </w:rPr>
        <w:t>؛ الاستبصار فيما اختلف من الاخبار، تحقيق وتعليق السيد حسن الخرسانى، بيروت، دارالاضواء، ط الثالثة</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810/11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ج</w:t>
      </w:r>
      <w:r>
        <w:rPr>
          <w:rFonts w:eastAsia="IRNazanin" w:cs="IRNazanin"/>
          <w:b w:val="false"/>
          <w:bCs w:val="false"/>
          <w:i w:val="false"/>
          <w:iCs w:val="false"/>
          <w:color w:val="333333"/>
          <w:sz w:val="20"/>
          <w:szCs w:val="20"/>
        </w:rPr>
        <w:t>16/160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هولا شئ، متّهم بالغلو</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الحلّى، الحسن‌بن‌يوسف، رجال العلامة الحلى، تصحيح محمدصادق بحرالعلوم، قم، منشورات‌الرّضى</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رجال‌ابن‌داود الحلى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تعليقه بر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حياته وعصره</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الآندلسى، الفصل فى الملل والاهواء، تحقيق محمد ابراهيم نصرو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بيروت، دار الجليل</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نكت و نتف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عن معلى بن محمد، عن محمد بن جمهور، عن يونس قال أخبرنى من رفعه إلى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قوله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الاسناد، عن ابى‌عبدالله فى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 الذين آمنوا</w:t>
      </w:r>
      <w:r>
        <w:rPr>
          <w:rFonts w:eastAsia="IRNazanin" w:cs="IRNazanin"/>
          <w:b w:val="false"/>
          <w:bCs w:val="false"/>
          <w:i w:val="false"/>
          <w:iCs w:val="false"/>
          <w:color w:val="333333"/>
          <w:sz w:val="20"/>
          <w:szCs w:val="20"/>
          <w:rtl w:val="true"/>
        </w:rPr>
        <w:t>. .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النجاشى، رجال النجاشى، ج</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الطوسى، فهرست كتب‌الشيعة و اصولهم و اسماء المصنفين</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الحديث والمذهب، قال ابن الغضائرى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المعلى‌بن‌محمد ابومحمد، يعرف حديثه وينكر ويروى عن الضعفاء و يجوز ان يخرج شاهداً</w:t>
      </w:r>
      <w:r>
        <w:rPr>
          <w:rFonts w:eastAsia="IRNazanin" w:cs="IRNazanin"/>
          <w:b w:val="false"/>
          <w:bCs w:val="false"/>
          <w:i w:val="false"/>
          <w:iCs w:val="false"/>
          <w:color w:val="333333"/>
          <w:sz w:val="20"/>
          <w:szCs w:val="20"/>
          <w:rtl w:val="true"/>
        </w:rPr>
        <w:t>. . . .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ج</w:t>
      </w:r>
      <w:r>
        <w:rPr>
          <w:rFonts w:eastAsia="IRNazanin" w:cs="IRNazanin"/>
          <w:b w:val="false"/>
          <w:bCs w:val="false"/>
          <w:i w:val="false"/>
          <w:iCs w:val="false"/>
          <w:color w:val="333333"/>
          <w:sz w:val="20"/>
          <w:szCs w:val="20"/>
        </w:rPr>
        <w:t>18/258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12507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اصحاب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عربى غال</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ج</w:t>
      </w:r>
      <w:r>
        <w:rPr>
          <w:rFonts w:eastAsia="IRNazanin" w:cs="IRNazanin"/>
          <w:b w:val="false"/>
          <w:bCs w:val="false"/>
          <w:i w:val="false"/>
          <w:iCs w:val="false"/>
          <w:color w:val="333333"/>
          <w:sz w:val="20"/>
          <w:szCs w:val="20"/>
        </w:rPr>
        <w:t>15/179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شيخ كه محمدبن جمهور القمى آمده غلط است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ج</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كتاب الدعاء باب‌الدعاء للعلل والاَمراض،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كتاب الحجة، باب مولد ابى عبدالله جعفربن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معجم‌الرجال، ج</w:t>
      </w:r>
      <w:r>
        <w:rPr>
          <w:rFonts w:eastAsia="IRNazanin" w:cs="IRNazanin"/>
          <w:b w:val="false"/>
          <w:bCs w:val="false"/>
          <w:i w:val="false"/>
          <w:iCs w:val="false"/>
          <w:color w:val="333333"/>
          <w:sz w:val="20"/>
          <w:szCs w:val="20"/>
        </w:rPr>
        <w:t>20/228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13845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13834</w:t>
      </w:r>
      <w:r>
        <w:rPr>
          <w:rFonts w:ascii="IRNazanin" w:hAnsi="IRNazanin" w:eastAsia="IRNazanin"/>
          <w:b w:val="false"/>
          <w:b w:val="false"/>
          <w:bCs w:val="false"/>
          <w:i w:val="false"/>
          <w:i w:val="false"/>
          <w:iCs w:val="false"/>
          <w:color w:val="333333"/>
          <w:sz w:val="20"/>
          <w:sz w:val="20"/>
          <w:szCs w:val="20"/>
          <w:rtl w:val="true"/>
        </w:rPr>
        <w:t>؛ رجال النجاشى، ج</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وجيهاً من اصحابنا، متقدماً، عظيم المنزلة</w:t>
      </w:r>
      <w:r>
        <w:rPr>
          <w:rFonts w:eastAsia="IRNazanin" w:cs="IRNazanin"/>
          <w:b w:val="false"/>
          <w:bCs w:val="false"/>
          <w:i w:val="false"/>
          <w:iCs w:val="false"/>
          <w:color w:val="333333"/>
          <w:sz w:val="20"/>
          <w:szCs w:val="20"/>
          <w:rtl w:val="true"/>
        </w:rPr>
        <w:t>. . .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ج</w:t>
      </w:r>
      <w:r>
        <w:rPr>
          <w:rFonts w:eastAsia="IRNazanin" w:cs="IRNazanin"/>
          <w:b w:val="false"/>
          <w:bCs w:val="false"/>
          <w:i w:val="false"/>
          <w:iCs w:val="false"/>
          <w:color w:val="333333"/>
          <w:sz w:val="20"/>
          <w:szCs w:val="20"/>
        </w:rPr>
        <w:t>20/192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13830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باب التقبيل،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صالح، شرح اصول الكافى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تصحيح على اكبر الغفارى، تعليق الشعرانى، تهران، المكتبة الإسلامية</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نكت ونتف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الحسين‌بن‌محمد، عن معلى‌بن‌محمد، عن جعفر ابن‌محمدبن عبيدالله عن محمدبن عيسى‌القمى، عن محمدبن‌سليمان، عن عبدالله‌سنان، عن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 .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تفسيرى سه قسم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تبيين كننده مفهوم آيات كه‌اندك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كننده و بيان مصداق آيات كه اين نوع زياد است،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توسعه دهنده آيات؛ برگرفته از درس حديث‌شناسى استاد احمد عابدى مورخ</w:t>
      </w:r>
      <w:r>
        <w:rPr>
          <w:rFonts w:eastAsia="IRNazanin" w:cs="IRNazanin"/>
          <w:b w:val="false"/>
          <w:bCs w:val="false"/>
          <w:i w:val="false"/>
          <w:iCs w:val="false"/>
          <w:color w:val="333333"/>
          <w:sz w:val="20"/>
          <w:szCs w:val="20"/>
        </w:rPr>
        <w:t>28/2/139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الدرّ المنثور فى تفسير المأثور، ج</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الشافعى، على‌بن‌محمدبن المغازلى، مناقب الامام على‌بن‌ابى‌طالب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داراضواء ط الثانية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ج</w:t>
      </w:r>
      <w:r>
        <w:rPr>
          <w:rFonts w:eastAsia="IRNazanin" w:cs="IRNazanin"/>
          <w:b w:val="false"/>
          <w:bCs w:val="false"/>
          <w:i w:val="false"/>
          <w:iCs w:val="false"/>
          <w:color w:val="333333"/>
          <w:sz w:val="20"/>
          <w:szCs w:val="20"/>
        </w:rPr>
        <w:t>7/447</w:t>
      </w:r>
      <w:r>
        <w:rPr>
          <w:rFonts w:ascii="IRNazanin" w:hAnsi="IRNazanin" w:eastAsia="IRNazanin"/>
          <w:b w:val="false"/>
          <w:b w:val="false"/>
          <w:bCs w:val="false"/>
          <w:i w:val="false"/>
          <w:i w:val="false"/>
          <w:iCs w:val="false"/>
          <w:color w:val="333333"/>
          <w:sz w:val="20"/>
          <w:sz w:val="20"/>
          <w:szCs w:val="20"/>
          <w:rtl w:val="true"/>
        </w:rPr>
        <w:t>، كتاب الأيمان والنذور والكفارات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الاستثناء فى اليمين،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سلام‌بن‌المستنِر، عن ابى‌جعفر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قول‌الله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عَهِدْنَا إِلَى آدَمَ مِنْ قَبْلُ فَنَسِيَ وَلَمْ نَجِدْ لَهُ عَزْمًا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 . .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شرح الاصول الكافى، ج</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حاشيه اين كلام مازندرانى را كلام دقيق مى‌شمارد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الزرقانى، محمدعبدالعظيم، مناهل العرفان فى علوم القرآن، تحقيق احمد طعمة حلى، بيروت، دارالمعرفة، ط الثانية</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فرازهاى بعدى در اين مورد و توضيح كلام الزّرقانى بحث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ان‌شاءالله</w:t>
      </w:r>
      <w:r>
        <w:rPr>
          <w:rFonts w:eastAsia="IRNazanin" w:cs="IRNazanin"/>
          <w:b w:val="false"/>
          <w:bCs w:val="false"/>
          <w:i w:val="false"/>
          <w:iCs w:val="false"/>
          <w:color w:val="333333"/>
          <w:sz w:val="20"/>
          <w:szCs w:val="20"/>
          <w:rtl w:val="true"/>
        </w:rPr>
        <w:t>) .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به‌اين دو مورد، در بحث تحريف در منابع اهل‌سنت قبلاً اشاره شد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المختلف الحديث، تصحيح و ضبط محمد زهرى النّجار، بيروت، دارالجليل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الكاشانى، محمدبن‌المرتضى المولى الحسن، علم اليقين فى اصول الدين، قم، انتشارات بيدار،</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أبى‌جعفر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سعدالخير</w:t>
      </w:r>
      <w:r>
        <w:rPr>
          <w:rFonts w:eastAsia="IRNazanin" w:cs="IRNazanin"/>
          <w:b w:val="false"/>
          <w:bCs w:val="false"/>
          <w:i w:val="false"/>
          <w:iCs w:val="false"/>
          <w:color w:val="333333"/>
          <w:sz w:val="20"/>
          <w:szCs w:val="20"/>
          <w:rtl w:val="true"/>
        </w:rPr>
        <w:t>) .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كتاب الحجة، باب نكت ونتف،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على‌بن‌ابراهيم، عن احمدبن محمد البرقى، عن ابيه، عن محمدبن الفضيل، عن ابى‌حمزة، عن ابى‌جعفر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 .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رجال‌الطوسى،</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اصحاب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فضيل الكوفى الازدى ضعيف،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اصحاب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يرمى بالغلو، له كتاب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معجم الرجال، ج</w:t>
      </w:r>
      <w:r>
        <w:rPr>
          <w:rFonts w:eastAsia="IRNazanin" w:cs="IRNazanin"/>
          <w:b w:val="false"/>
          <w:bCs w:val="false"/>
          <w:i w:val="false"/>
          <w:iCs w:val="false"/>
          <w:color w:val="333333"/>
          <w:sz w:val="20"/>
          <w:szCs w:val="20"/>
        </w:rPr>
        <w:t>17/147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11564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محمدهادى، صيانة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شرح الاصول الكافى، ج</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كتاب الحجة، باب نكت ونتف،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كتاب‌المغازى، باب دعاء النبى على كفار قريش، احاديث</w:t>
      </w:r>
      <w:r>
        <w:rPr>
          <w:rFonts w:eastAsia="IRNazanin" w:cs="IRNazanin"/>
          <w:b w:val="false"/>
          <w:bCs w:val="false"/>
          <w:i w:val="false"/>
          <w:iCs w:val="false"/>
          <w:color w:val="333333"/>
          <w:sz w:val="20"/>
          <w:szCs w:val="20"/>
        </w:rPr>
        <w:t>3747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ابن المغازلى، مناقب الامام على‌بن‌ابى‌طالب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على‌بن‌ابراهيم، عن احمدبن محمد البرقى، عن ابيه، عن محمدبن‌سنان، عن‌عماربن مروان، عن منخّل، عن جابر</w:t>
      </w:r>
      <w:r>
        <w:rPr>
          <w:rFonts w:eastAsia="IRNazanin" w:cs="IRNazanin"/>
          <w:b w:val="false"/>
          <w:bCs w:val="false"/>
          <w:i w:val="false"/>
          <w:iCs w:val="false"/>
          <w:color w:val="333333"/>
          <w:sz w:val="20"/>
          <w:szCs w:val="20"/>
          <w:rtl w:val="true"/>
        </w:rPr>
        <w:t>. . .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گذشته شرح حال آن دو، بحث شد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ملا صالح، شرح اصول كافى، ج</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ابى محمد على بن‌حزم الآندلسى الظاهرى، الاحكام فى اصول الاحكام، ج</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العريض، على حسن، فتح المنّان فى نسخ القرآن، مصر، مكتبة الخانجى، ط الاولى</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يُرِيدُونَ لِيُطْفِئُوا نُورَ اللهِ بِأَفْوَاهِهِمْ وَاللُه مُتِمُّ نُورِهِ وَلَوْ كَرِهَ الْكَافِرُونَ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 ج</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 ج</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على‌بن‌ابراهيم، عن‌احمدبن محمّد البرقى، عن‌ابيه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عن‌محمد بن‌سنان، عن‌عمار بن مروان، عن منخّل، عن جابر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على‌بن محمد، عن احمدبن محمد خالد، عن ابيه، عن‌ابى‌طالب، عن يونس بن‌بكّار، عن ابيه، عن جابر</w:t>
      </w:r>
      <w:r>
        <w:rPr>
          <w:rFonts w:eastAsia="IRNazanin" w:cs="IRNazanin"/>
          <w:b w:val="false"/>
          <w:bCs w:val="false"/>
          <w:i w:val="false"/>
          <w:iCs w:val="false"/>
          <w:color w:val="333333"/>
          <w:sz w:val="20"/>
          <w:szCs w:val="20"/>
          <w:rtl w:val="true"/>
        </w:rPr>
        <w:t>. . .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نفر را به‌اين نام ذكر مى‌كند كه برخى ضعيف و برخى ثقه‌اند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معجم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13824</w:t>
      </w:r>
      <w:r>
        <w:rPr>
          <w:rFonts w:ascii="IRNazanin" w:hAnsi="IRNazanin" w:eastAsia="IRNazanin"/>
          <w:b w:val="false"/>
          <w:b w:val="false"/>
          <w:bCs w:val="false"/>
          <w:i w:val="false"/>
          <w:i w:val="false"/>
          <w:iCs w:val="false"/>
          <w:color w:val="333333"/>
          <w:sz w:val="20"/>
          <w:sz w:val="20"/>
          <w:szCs w:val="20"/>
          <w:rtl w:val="true"/>
        </w:rPr>
        <w:t>، از او نام برده و همين روايت را از او نقل كرده است بدون تأييد و تضعيف</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ملاصالح، شرح اصول الكافى، ج</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الحسين‌بن‌محمد، عن معلى‌بن‌محمد، عن على‌بن‌اسباط، عن على‌بن ابى‌حمزة، عن ابى بصير</w:t>
      </w:r>
      <w:r>
        <w:rPr>
          <w:rFonts w:eastAsia="IRNazanin" w:cs="IRNazanin"/>
          <w:b w:val="false"/>
          <w:bCs w:val="false"/>
          <w:i w:val="false"/>
          <w:iCs w:val="false"/>
          <w:color w:val="333333"/>
          <w:sz w:val="20"/>
          <w:szCs w:val="20"/>
          <w:rtl w:val="true"/>
        </w:rPr>
        <w:t>. . .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ج</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مرءات العقول فى شرح أخبارآل الرسول،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مورد روايات قبلى بيان شد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ملاصالح، شرح اصول الكافى،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مجلسى، مرءات العقول فى شرح أخبارآل الرسول،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مناع، مباحث فى علوم القرآن، بيروت، مؤسسة الرسالة</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التأويل فى‌اللغة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الأول، وهو الرجوع الى الاصول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الحسين‌بن‌محمد، عن معلى‌بن‌محمد، عن على‌بن‌اسباط، عن على‌بن ابى‌حمزة، عن ابى بصير</w:t>
      </w:r>
      <w:r>
        <w:rPr>
          <w:rFonts w:eastAsia="IRNazanin" w:cs="IRNazanin"/>
          <w:b w:val="false"/>
          <w:bCs w:val="false"/>
          <w:i w:val="false"/>
          <w:iCs w:val="false"/>
          <w:color w:val="333333"/>
          <w:sz w:val="20"/>
          <w:szCs w:val="20"/>
          <w:rtl w:val="true"/>
        </w:rPr>
        <w:t>. . .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مناع، مباحث فى علوم القرآن، بيروت، مؤسسة الرسالة</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الإصطلاح لايتفق مع يراد بلفظ التأويل فى القرآن عندالسّلف، تأويل‌الكلام، اى تفسيره وهو معنى التأويل عندالسّلف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شكى نيست كه بر اساس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وَمَا يعْلَمُ تَاْوِيلَهُ إِلاَّ اللُه وَالرَّاسِخُونَ فِى الْعِلْمِ يقُولُونَ آمَنَّا بِهِ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راسخ در علم‌اند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الحسكانى، عبيدالله‌بن عبدالله‌بن احمد المعروف بالحاكم الحسكانى الحنفى النيسابورى، شواهد النتزيل لقواعد التفضيل فى‌الآيات النّازلة فى اهل‌البيت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ذيل‌آيه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الزّرقانى، مناهل‌العرفان فى‌علوم القرآن، ج</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الآلوسى، روح المعانى،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الزّرقانى، مناهل‌العرفان فى‌علوم القرآن، ج</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الآلوسى، روح المعانى،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فى تفسيرالقرآن العظيم والسّبع المثانى،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وَمَا يَعْلَمُ تَاْوِيلَهُ إِلاَّ اللهُ وَالرَّاسِخُونَ فِى الْعِلْمِ يَقُولُونَ آمَنَّا بِهِ</w:t>
      </w:r>
      <w:r>
        <w:rPr>
          <w:rFonts w:eastAsia="IRNazanin" w:cs="IRNazanin"/>
          <w:b w:val="false"/>
          <w:bCs w:val="false"/>
          <w:i w:val="false"/>
          <w:iCs w:val="false"/>
          <w:color w:val="333333"/>
          <w:sz w:val="20"/>
          <w:szCs w:val="20"/>
          <w:rtl w:val="true"/>
        </w:rPr>
        <w:t>. . . .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نكت و نتف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محمدبن‌الفضيل چنانچه قبلاً اشاره شد، ضعيف است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رَأَوْهُ زُلْفَةً سِيئَتْ وُجُوهُ الَّذِينَ كَفَرُوا وَقِيلَ هَذَا الَّذِي كُنْتُمْ به‌تَدَّعُونَ</w:t>
      </w:r>
      <w:r>
        <w:rPr>
          <w:rFonts w:eastAsia="IRNazanin" w:cs="IRNazanin"/>
          <w:b w:val="false"/>
          <w:bCs w:val="false"/>
          <w:i w:val="false"/>
          <w:iCs w:val="false"/>
          <w:color w:val="333333"/>
          <w:sz w:val="20"/>
          <w:szCs w:val="20"/>
          <w:rtl w:val="true"/>
        </w:rPr>
        <w:t>.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القندوزى، ينابيع المودة، مقدمة السيدمحمدمهدى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قم، الشريف الرضى، ط السابعة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الثامن والعشرون</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نكت ونتف من التنزيل وفى الولاية، از كتاب‌الحجة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الحسين‌بن‌محمد، عن معلى‌بن‌محمد، عن عبدالله‌بن‌ادريس، عن محمّدبن‌سنان، عن‌الرّضا،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تأييد و ردّ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مرءات العقول فى شرح أخبارآل الرسول، ج</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الكافى، ج</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مرءات العقول، ج</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الشرباصى، الدكتور احمد، قصة التفسير، بيروت، دارالجليل، ط الثانية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التفسيرالاسلامى، تحقيق و تعليق دكتور عبدالحليم النجار، مصر، مكتبة الخانجى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الحسين‌بن‌محمد، عن معلى‌بن‌محمد، عن على‌بن‌اسباط، عن على‌منصور، عن ابراهيم بن‌عبدالحميد عن الوليد بن صبيح، عن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 .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رجال‌النجاشى، ج</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كوفى‌ثقة وكان فطحياً وقد روى عن‌الرّضا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ذلك وكان اوثق‌الناس واصدقهم‌لهجة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مرءات العقول فى شرح أخبارآل‌الرسول،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احمدبن‌مهران، عن عبدالعظيم بن‌عبدالله، عن محمدبن الفضيل، عن ابى‌حمزة عن ابى‌جعفر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الاسناد، عن عبدالعظيم‌بن عبدالله الحسنى، عن محمدبن الفضيل، عن أبى‌حمزة، عن أبى‌جعفر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 . .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القهپايى، عناية الله‌بن‌على، مجمع‌الرّجال، تصحيح وتعليق السيد ضياء الدين الاصفهانى، قم، مؤسسة اسماعيليان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الخويى، معجم‌الرجال، ج</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العميدى، دفاع عن الكافى، ج</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القهپايى، عناية الله‌بن‌على، مجمع‌الرّجال، تصحيح وتعليق السيد ضياء الدين الاصفهانى، قم، مؤسسة اسماعيليان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الخويى، معجم‌الرجال، ج</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العميدى، دفاع عن الكافى، ج</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مرءات العقول فى شرح أخبارآل الرسول، ج</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مرءات العقول فى شرح أخبارآل الرسول، ج</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مرءات العقول فى شرح أخبارآل الرسول، ج</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الهيثمى، نورالدين، مجمع الزوائد و منبع الفوائد، بيروت، دارالكتب العلميه،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فى فضل اهل‌البيت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الطبرانى، سليمان‌بن‌احمد، المعجم الكبير، تحقيق حمدى‌عبد المجيدالسلفى، القاهرة، مكتبة ابن‌تيميه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xml:space="preserve">؛ همان، المعجم الاوسط، تحقيق ابراهيم الحسينى،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الهندى كنزالعمال، ج</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32910</w:t>
      </w:r>
      <w:r>
        <w:rPr>
          <w:rFonts w:ascii="IRNazanin" w:hAnsi="IRNazanin" w:eastAsia="IRNazanin"/>
          <w:b w:val="false"/>
          <w:b w:val="false"/>
          <w:bCs w:val="false"/>
          <w:i w:val="false"/>
          <w:i w:val="false"/>
          <w:iCs w:val="false"/>
          <w:color w:val="333333"/>
          <w:sz w:val="20"/>
          <w:sz w:val="20"/>
          <w:szCs w:val="20"/>
          <w:rtl w:val="true"/>
        </w:rPr>
        <w:t>؛ الحسكانى، شواهد التنزيل، ج</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كنزالعمال، ج</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32910</w:t>
      </w:r>
      <w:r>
        <w:rPr>
          <w:rFonts w:ascii="IRNazanin" w:hAnsi="IRNazanin" w:eastAsia="IRNazanin"/>
          <w:b w:val="false"/>
          <w:b w:val="false"/>
          <w:bCs w:val="false"/>
          <w:i w:val="false"/>
          <w:i w:val="false"/>
          <w:iCs w:val="false"/>
          <w:color w:val="333333"/>
          <w:sz w:val="20"/>
          <w:sz w:val="20"/>
          <w:szCs w:val="20"/>
          <w:rtl w:val="true"/>
        </w:rPr>
        <w:t>؛ المناوى، محمد عبدالرؤف، فيض القدير شرح جامع الصغير، تحقيق احمد عبدالسلام، بيروت، دارالكتب العلميه، ط الاولى</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الطباطبايى، الميزان، ج</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34143</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34155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12/102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34191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12/103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34194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12/105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الحسكانى، شواهد التنزيل، ج</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الزرندى الحنفى، جمال الدين محمد بن يوسف، نظم درر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مخطوطات مكتبة الامام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 ط الاولى</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الهيثمى، احمدبن محمدبن على‌بن‌حجر، الصواعق المحرقة، تحقيق عبدالرحمن بن عبدالله التركى و كامل محمد الخراط، بيروت، مؤسسة الرسالة، ط الاولى</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الباب الحادى، عشر فى فضائل اهل النبوة، الفصل الاول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احمدبن‌ادريس، عن محمدبن‌حسان، عن محمدبن‌على، عن عماربن‌مروان، عن منخّل، </w:t>
      </w:r>
      <w:r>
        <w:rPr>
          <w:rFonts w:eastAsia="IRNazanin" w:cs="IRNazanin"/>
          <w:b w:val="false"/>
          <w:bCs w:val="false"/>
          <w:i w:val="false"/>
          <w:iCs w:val="false"/>
          <w:color w:val="333333"/>
          <w:sz w:val="20"/>
          <w:szCs w:val="20"/>
          <w:rtl w:val="true"/>
        </w:rPr>
        <w:t>. . .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شيخ طوسى، 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مرءات العقول فى شرح أخبارآل الرسول، ج</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شريفه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أَفَكُلَّمَا جَاءَكُمْ رَسُولٌ بِمَا لا تَهْوَى أَنْفُسُكُمُ اسْتَكْبَرْتُمْ فَفَرِيقًا كَذَّبْتُمْ وَفَرِيقًا تَقْتُلُونَ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شرح اصول الكافى، ج</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كتاب الحجة، باب ما نصّ‌الله عزّوجل و رسوله على‌الائمه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فواحداً،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بصيرقال سألت ابا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عزّوجل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أَطِيعُوا الله وَأَطِيعُوا الرَّسُولَ وَأُولِي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نسآء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فى على‌بن‌ابى‌طالب والحسن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 لم يسمّ عَلِياً 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كتاب‌الله عزّوجل؟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عَليه الصّلاةُ ولم يسمّ‌اللهُ لهَمُ ثَلاثاً ولا أربَعاً، حتى كان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هُوَالَّذى فَسّر ذلك لهم، </w:t>
      </w:r>
      <w:r>
        <w:rPr>
          <w:rFonts w:eastAsia="IRNazanin" w:cs="IRNazanin"/>
          <w:b w:val="false"/>
          <w:bCs w:val="false"/>
          <w:i w:val="false"/>
          <w:iCs w:val="false"/>
          <w:color w:val="333333"/>
          <w:sz w:val="20"/>
          <w:szCs w:val="20"/>
          <w:rtl w:val="true"/>
        </w:rPr>
        <w:t>. . .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شعث، احمد،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وتاريخ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الخمينى، السيد روح‌الله، كشف‌الاسرار،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 بى‌جا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احسان الهى، الشيعة والقرآن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القفارى، اصول مذهب الشيعة، ج</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الخالدى، الكلينى وتأويلاته الباطنيه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شعث احمد كمال، الشيعة فلسفة و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كتاب فضل القرآن، باب النوادر،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مرءات العقول، ج</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سند هشام بن‌سالم صحيح و براساس سند هارون مسلم موثق است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به‌صفحات قبل در ارتباط به همين بحث</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مرءات‌العقول فى شرح أخبارآل الرسول، ج</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اصفهان، مكتبة الإمام أميرالمؤمنين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طالأولى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سعبة آلاف‌آية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ثقة الاسلام ابو جعفر محمد بن يعقوب الكلينى الرازى، تحقيق قسم احياء التراث مركز بحوث دار الحديث، قم، دارالحديث، ط الاولى</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4/674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3598/29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محمدهادى، صيانة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آيه تا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بنا به‌روايات مختلف</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العلوم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1/6216:134</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مرءات العقول فى شرح أخبارآل الرسول، ج</w:t>
      </w:r>
      <w:r>
        <w:rPr>
          <w:rFonts w:eastAsia="IRNazanin" w:cs="IRNazanin"/>
          <w:b w:val="false"/>
          <w:bCs w:val="false"/>
          <w:i w:val="false"/>
          <w:iCs w:val="false"/>
          <w:color w:val="333333"/>
          <w:sz w:val="20"/>
          <w:szCs w:val="20"/>
        </w:rPr>
        <w:t>12/6666:525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الاسلامى، ابوالفضل، مع الدكتور ناصرالقفارى فى اصول مذهبه حول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العميدى، دفاع عن الكافى، ج</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مازندرانى، ملاصالح، شرح اصول الكافى، ج</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الوافى، ج</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معرفت، صيانة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محمدهادى، صيانة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ج</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تفسير الصافى ج</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 فى اصول الدين، ج</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 هادى، صيانة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الصدوق، 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زيادى را آورده است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 على حسن، فتح المنان فى نسخ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فى اصول الاحكام، ج</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 فتح المنّان فى نسخ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قسّم العلماء الوحى الى ثلاثة اقسام</w:t>
      </w:r>
      <w:r>
        <w:rPr>
          <w:rFonts w:eastAsia="IRNazanin" w:cs="IRNazanin"/>
          <w:b w:val="false"/>
          <w:bCs w:val="false"/>
          <w:i w:val="false"/>
          <w:iCs w:val="false"/>
          <w:color w:val="333333"/>
          <w:sz w:val="20"/>
          <w:szCs w:val="20"/>
          <w:rtl w:val="true"/>
        </w:rPr>
        <w:t>. . . .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 ج</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الحادى عشر ما تكررّ نزوله؛ الابيارى، ابراهيم، الموسوعة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مؤسسة سجل العرب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تكرر نزوله</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ج</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الاعتقادات فى دين الاماميه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باب الاعتقادات فى مبلغ القرآن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ج</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آيه رجم از قرآن</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 فى نسخ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فى اصول الاحكام، ج</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 ان القرآن يرفع كما أنزل،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اصحابنا، عن سهل بن زياد، عن محمد بن سليمان، عن بعض اصحابه، عن ابى‌الحسن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 . .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ضعيف جدّاً هذا عند نقّاد الاخبار وقد استثناهُ ابوجعفر بن بابويه فى رجال نوادر الحكمة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جزء اصحاب امام هادى</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ج</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5639</w:t>
      </w:r>
      <w:r>
        <w:rPr>
          <w:rFonts w:ascii="IRNazanin" w:hAnsi="IRNazanin" w:eastAsia="IRNazanin"/>
          <w:b w:val="false"/>
          <w:b w:val="false"/>
          <w:bCs w:val="false"/>
          <w:i w:val="false"/>
          <w:i w:val="false"/>
          <w:iCs w:val="false"/>
          <w:color w:val="333333"/>
          <w:sz w:val="20"/>
          <w:sz w:val="20"/>
          <w:szCs w:val="20"/>
          <w:rtl w:val="true"/>
        </w:rPr>
        <w:t>؛ الاسلامى، ابوالفضل، مع الدكتورالقفارى، فى اصول مذهبه حول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ج</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 ج</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حاشيه</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درس استاد احمد عابدى مورخ </w:t>
      </w:r>
      <w:r>
        <w:rPr>
          <w:rFonts w:eastAsia="IRNazanin" w:cs="IRNazanin"/>
          <w:b w:val="false"/>
          <w:bCs w:val="false"/>
          <w:i w:val="false"/>
          <w:iCs w:val="false"/>
          <w:color w:val="333333"/>
          <w:sz w:val="20"/>
          <w:szCs w:val="20"/>
        </w:rPr>
        <w:t>18/7/91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الاسلامى، مع الدكتور ناصر القفارى فى اصول مذهبه حول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ملا صالح، شرح اصول الكافى، ج</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مفصل از مصحف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به‌زودى خواهد آمد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اسدالغابة، ج</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عمربن‌الخطاب نقل شده كه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إنَّ‌هذا القرآنَ أنزل على سَبعة أحرف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البخارى، اسماعيل، التاريخ الكبير، دياربكر، المكتبة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الهندى، كنز العمال، ج</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الفصل الخامس من لواحق الباب و فيه ثلاثة فروع، الفرع الاول،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الكوثرى، محمدزاهد، مقالات الكوثرى، مصر، المكتبة الأزهرية للتّراث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به‌تفسير قرطبى و البيان خويى و الموسوعة القرآنيه، تأليف ابراهيم الابيارى</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البيان فى تفسيرالقرآن، ترجمه سيد جعفر حسينى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مفصل روايات و ديدگاه‌ها را بررسى نموده است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البيان فى تفسيرالقرآن، ترجمه سيد جعفر حسينى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به‌كنزالعمال، ج</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فى لواحق الباب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 تفسير 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الابيارى، الموسوعة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وتصنيف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إشراف ابراهيم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مؤسسة سجل العرب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ابن حجر، فتح البارى، تصحيح حسان‌عبدالمنان، بيروت، داراحياء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القرآن على سبعة احرف</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 النوادر،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القرآن واحد نزل من عند واحد ولكنّ الاختلاف يجىء من قبل الرواة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 النوادر،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محمدبن‌يحيى عن محمدبن‌الحسين، عن عبدالرحمن‌بن ابى‌هاشم، عن سالم‌بن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رجل</w:t>
      </w:r>
      <w:r>
        <w:rPr>
          <w:rFonts w:eastAsia="IRNazanin" w:cs="IRNazanin"/>
          <w:b w:val="false"/>
          <w:bCs w:val="false"/>
          <w:i w:val="false"/>
          <w:iCs w:val="false"/>
          <w:color w:val="333333"/>
          <w:sz w:val="20"/>
          <w:szCs w:val="20"/>
          <w:rtl w:val="true"/>
        </w:rPr>
        <w:t>. . .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ج</w:t>
      </w:r>
      <w:r>
        <w:rPr>
          <w:rFonts w:eastAsia="IRNazanin" w:cs="IRNazanin"/>
          <w:b w:val="false"/>
          <w:bCs w:val="false"/>
          <w:i w:val="false"/>
          <w:iCs w:val="false"/>
          <w:color w:val="333333"/>
          <w:sz w:val="20"/>
          <w:szCs w:val="20"/>
        </w:rPr>
        <w:t>12/523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اين در صورتى است كه مقصود از محمدبن‌الحسين، محمدبن الحسين‌بن‌الصائغ، باشد كه ضعيف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اگر چنانچه محمدبن الحسين ابى‌الخطاب و يا محمدبن الحسين‌بن سفر جله يا محمدبن الحسين بن موسى باشد، همه ثقه‌اند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اصحابنا، عن سهل بن زياد، وعلى بن ابراهيم عن ابيه جميعاً عن ابن محبوب، عن ابى حمزة عن ابى‌يحيى عن الاصبغ بن نباتة قال سمعت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 . .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مرءات العقول فى شرح أخبارآل‌الرسول، ج</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ابويحيى الحناط، ابو يحيى المكفوف، ابو يحيى‌الواسطى كه شيخ طوسى فقط نام مى‌برد بدون تأييد و 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به‌ترتيب رقم‌هاى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فينا، وربع فى عدوّنا و ربع سنن و امثال و ربع فرائض و احكام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ملاصالح، شرح اصول الكافى، ج</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فيض الكاشانى، الوافى، مجلد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ابواب فضائل قرآن، باب متى نزل القرآن و فيم نزل،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 ج</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الاسلامى، ابوالفضل، مع الدكتور ناصر القفارى فى اصول مذهبه حول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الثعالبى‌المالكى، عبدالرّحمن‌بن محمدبن مخلوف، تفسير الثعالبى المسمى الجواهر الحسان فى تفسيرالقرآن، تحقيق عبدالفتاح ابوسنة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على محمدمعوض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بيروت، داراحياء التراث، ط الاولى</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كنزالعمال، ج</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باب فى القرآن فصل فى حقوق القرآن، ح</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كنزالعمال، ج</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فى آيات النازلة فى اهل‌البيت، ج</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 وتصرّف</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فى آيات النازلة فى اهل‌البيت،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فى آيات النازلة فى اهل‌البيت، ج</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فى آيات النازلة فى اهل‌البيت، ج</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فى آيات النازلة فى اهل‌البيت، ج</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فى آيات النازلة فى اهل‌البيت، ج</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فى آيات النازلة فى اهل‌البيت، ج</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به‌مقدمه اين كتاب</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فى آيات النازلة فى اهل‌البيت، ج</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الفصل الخامس،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فى آيات النازلة فى اهل‌البيت، ج</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فى آيات النازلة فى اهل‌البيت،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فى آيات النازلة فى اهل‌البيت، ج</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ابتداى الفصل السادس</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فى آيات النازلة فى اهل‌البيت، ج</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الشافعى ابى الحسن على بن محمد الشهير بابن المغازلى، مناقب الامام على‌بن‌ابى‌طالب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مع الدكتور ناصرالقفارى فى اصول مذهبه حول القرآن موارد زيادى از مناقب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آيات را ذكر مى‌كند و يك‌صد عالم و نويسنده كه به‌فضائل اهل بيت قلم زده، نام مى‌برد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عن بعض اصحابه، عن احمد بن محمد بن ابى‌نصر،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إلى أبوالحسن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الكلينى و تأويلاته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فى شرح أخبارآل‌الرسول، ج</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اختيار معرفةالرّجال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صيانة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صيانة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جلد</w:t>
      </w:r>
      <w:r>
        <w:rPr>
          <w:rFonts w:eastAsia="IRNazanin" w:cs="IRNazanin"/>
          <w:b w:val="false"/>
          <w:bCs w:val="false"/>
          <w:i w:val="false"/>
          <w:iCs w:val="false"/>
          <w:color w:val="333333"/>
          <w:sz w:val="20"/>
          <w:szCs w:val="20"/>
        </w:rPr>
        <w:t>9/1781</w:t>
      </w:r>
      <w:r>
        <w:rPr>
          <w:rFonts w:ascii="IRNazanin" w:hAnsi="IRNazanin" w:eastAsia="IRNazanin"/>
          <w:b w:val="false"/>
          <w:b w:val="false"/>
          <w:bCs w:val="false"/>
          <w:i w:val="false"/>
          <w:i w:val="false"/>
          <w:iCs w:val="false"/>
          <w:color w:val="333333"/>
          <w:sz w:val="20"/>
          <w:sz w:val="20"/>
          <w:szCs w:val="20"/>
          <w:rtl w:val="true"/>
        </w:rPr>
        <w:t>، ابواب القرآن و فضله، باب اختلاف القراءات وعدد آيات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معرفت، صيانة القرآن</w:t>
      </w:r>
      <w:r>
        <w:rPr>
          <w:rFonts w:eastAsia="IRNazanin" w:cs="IRNazanin"/>
          <w:b w:val="false"/>
          <w:bCs w:val="false"/>
          <w:i w:val="false"/>
          <w:iCs w:val="false"/>
          <w:color w:val="333333"/>
          <w:sz w:val="20"/>
          <w:szCs w:val="20"/>
          <w:rtl w:val="true"/>
        </w:rPr>
        <w:t xml:space="preserve">. . .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گلدزيهر، مذاهب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الشرباصى، قصّه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ابن مسعود دركنار آيه النَّبِيُّ أَوْلَى بِالْمُؤْمِنِينَ مِنْ أَنْفُسِهِمْ وَأَزْوَاجُهُ أُمَّهَاتُهُمْ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هوأب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حسن بصرى در كنار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مِنْكُمْ إِلا وَارِدُهَا كَانَ عَلَى رَبِّكَ حَتْمًا مَقْضِيًّا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الورود والدخول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دو منبع به‌ترتيب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ابن‌حنبل، احمد، المسند، ج</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باب مسند الانصار، ح</w:t>
      </w:r>
      <w:r>
        <w:rPr>
          <w:rFonts w:eastAsia="IRNazanin" w:cs="IRNazanin"/>
          <w:b w:val="false"/>
          <w:bCs w:val="false"/>
          <w:i w:val="false"/>
          <w:iCs w:val="false"/>
          <w:color w:val="333333"/>
          <w:sz w:val="20"/>
          <w:szCs w:val="20"/>
        </w:rPr>
        <w:t>21169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كنزالعمّال، ج</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xml:space="preserve">؛ الاصفهانى، ابى‌نعيم احمدبن‌عبدالله، حلية الاولياء وطبقات الاصفياء، مقدمة ابن‌تيميه، قاهرة، دار امّ القرى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ترجمه رقم</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زربن حبيش؛ و ج</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ترجمه رقم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ابوموسى؛ البلاغى، محمد جواد، موسوعة العلامة البلاغى، آلاءالرحمن فى تفسيرالقرآن، ج</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باب كراهة الحرص على الدنيا؛ ابوريه، محمد، اضواء على‌السنة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الدّرالمنثور، ج</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سوره توبه</w:t>
      </w:r>
      <w:r>
        <w:rPr>
          <w:rFonts w:eastAsia="IRNazanin" w:cs="IRNazanin"/>
          <w:b w:val="false"/>
          <w:bCs w:val="false"/>
          <w:i w:val="false"/>
          <w:iCs w:val="false"/>
          <w:color w:val="333333"/>
          <w:sz w:val="20"/>
          <w:szCs w:val="20"/>
          <w:rtl w:val="true"/>
        </w:rPr>
        <w:t>)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الدّرالمنثور، ج</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مسلم، صحيح مسلم، ج</w:t>
      </w:r>
      <w:r>
        <w:rPr>
          <w:rFonts w:eastAsia="IRNazanin" w:cs="IRNazanin"/>
          <w:b w:val="false"/>
          <w:bCs w:val="false"/>
          <w:i w:val="false"/>
          <w:iCs w:val="false"/>
          <w:color w:val="333333"/>
          <w:sz w:val="20"/>
          <w:szCs w:val="20"/>
        </w:rPr>
        <w:t>4/2322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سورة براءة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مسلم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ملاصالح، شرح اصول الكافى، ج</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به‌صفحات بعدى، در خصوص مصحف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سهل</w:t>
      </w:r>
      <w:r>
        <w:rPr>
          <w:rFonts w:eastAsia="IRNazanin" w:cs="IRNazanin"/>
          <w:b w:val="false"/>
          <w:bCs w:val="false"/>
          <w:i w:val="false"/>
          <w:iCs w:val="false"/>
          <w:color w:val="333333"/>
          <w:sz w:val="20"/>
          <w:szCs w:val="20"/>
          <w:rtl w:val="true"/>
        </w:rPr>
        <w:t>. . .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ج</w:t>
      </w:r>
      <w:r>
        <w:rPr>
          <w:rFonts w:eastAsia="IRNazanin" w:cs="IRNazanin"/>
          <w:b w:val="false"/>
          <w:bCs w:val="false"/>
          <w:i w:val="false"/>
          <w:iCs w:val="false"/>
          <w:color w:val="333333"/>
          <w:sz w:val="20"/>
          <w:szCs w:val="20"/>
        </w:rPr>
        <w:t>25/295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به‌مباحث جواب نقضى</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فضل القرآن، باب فضل حامل القرآن،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زندانبان ظالمى كه امام وقتى در حبس او قرار گرفت به‌خاطر شدت شكنجه و آزار وى، از خداوند در خواست مرگش را كرد</w:t>
      </w:r>
      <w:r>
        <w:rPr>
          <w:rFonts w:eastAsia="IRNazanin" w:cs="IRNazanin"/>
          <w:b w:val="false"/>
          <w:bCs w:val="false"/>
          <w:i w:val="false"/>
          <w:iCs w:val="false"/>
          <w:color w:val="333333"/>
          <w:sz w:val="20"/>
          <w:szCs w:val="20"/>
          <w:rtl w:val="true"/>
        </w:rPr>
        <w:t>.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ناصر بن عبدالله، اصول مذهب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ناصر بن عبدالله، اصول مذهب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مجدى محمد،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كتاب الحجة، باب انه لم يجمع القرآن كله الّا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العسقلانى، احمدبن‌على‌بن‌حجر، فتح البارى بشرح صحيح البخارى، تحقيق محمدفؤاد عبدالباقى عبدالعزيز بن‌باز، بيروت، دارالكتب العلمية، ط الاولى</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باب جمع القرآن، ذيل رقم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ابن‌حنبل، احمدبن‌محمد، المسند، تحقيق صدقى محمد جميل العطار، بيروت، دارالفكر، ط الثانية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مسند ابى‌سعيد رقم</w:t>
      </w:r>
      <w:r>
        <w:rPr>
          <w:rFonts w:eastAsia="IRNazanin" w:cs="IRNazanin"/>
          <w:b w:val="false"/>
          <w:bCs w:val="false"/>
          <w:i w:val="false"/>
          <w:iCs w:val="false"/>
          <w:color w:val="333333"/>
          <w:sz w:val="20"/>
          <w:szCs w:val="20"/>
        </w:rPr>
        <w:t>11158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11344</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ج</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ج</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جارالله، موسى، الوشيعة فى نقد عقائدالشّيعة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مطبعة الكيلانى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 النوادر،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رجل على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استمع حروفاً من القرآن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كتاب‌الله عزّوجل على حدّه وأخرج المصحف الّذى كتبه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 .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 الهى، الشّيعة والسّنّة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 احمدكمال، الشّيعة، فلسفة و 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وى اشاره به‌روايت سليم است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مردم قرآن را نپذيرفتند، حضرت به‌خانه بازگشت</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اصول كافى، ج</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كتاب‌الحجة، باب انه لم يجمع القرآن كله إلّا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النوادر،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صدوق، 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فى مبلغ القرآن؛ المازندرانى، ابوجعفر محمدبن على‌بن شهرآشوب، مناقب آل ابوطالب، تحقيق و فهرست يوسف البقاعى، بيروت، دارالأضواء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المجلسى، محمدباقر، بحارالانوار الجامعة لدرر الاخبار الائمة الاطهار، طبعة مصححّة و مرتّبة على حسب ترتيب المصنف، قم، مؤسسة احياء الكتب الاسلامية، ط الاولى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تحقيق حبيب عبدالرحمن الأعظمى،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المجلس‌العلمى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9765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من جمع القرآن،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ترجمه على‌بن‌ابى‌طالب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اسماعيل بن ابراهيم، عن ايوب و ابن‌عون عن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نبّئتُ انّ علياً ابطأ عن بيعة ابى‌بكر، فلقيه ابوبكر،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أكَرِهتَ أمارتى؟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ولكّنى آليتُ بيمين أن لا أرتدى بردائ الّا إلى الصّلاة حتى أجمع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فزعموا أنّه كتبه على تنزيله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اصيب ذلك الكتابُ كان فيه علم؛ كنز العمال، ج</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تعليق و اعتنابها الشيخ ابراهيم رمضان، بيروت، دارالمعرفة</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سور القرآن فى مصحف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عن عبدخير، عن على فهو اوّل مصحف جمع فيه القرآن من قبله</w:t>
      </w:r>
      <w:r>
        <w:rPr>
          <w:rFonts w:eastAsia="IRNazanin" w:cs="IRNazanin"/>
          <w:b w:val="false"/>
          <w:bCs w:val="false"/>
          <w:i w:val="false"/>
          <w:iCs w:val="false"/>
          <w:color w:val="333333"/>
          <w:sz w:val="20"/>
          <w:szCs w:val="20"/>
          <w:rtl w:val="true"/>
        </w:rPr>
        <w:t>. .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وطبقات الاصفياء، بيروت، دارالكتب العلمية ط الاولى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خير، عن على</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 عمر يوسف‌بن عبدالله بن محمد، الاستيعاب،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ذيل رقم</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ترجمه عبدالله بن ابى‌قحافة، باب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ايوب عن عكرمة</w:t>
      </w:r>
      <w:r>
        <w:rPr>
          <w:rFonts w:eastAsia="IRNazanin" w:cs="IRNazanin"/>
          <w:b w:val="false"/>
          <w:bCs w:val="false"/>
          <w:i w:val="false"/>
          <w:iCs w:val="false"/>
          <w:color w:val="333333"/>
          <w:sz w:val="20"/>
          <w:szCs w:val="20"/>
          <w:rtl w:val="true"/>
        </w:rPr>
        <w:t>. . .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الاسرار ومصابيح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الشهرستانى المسمّى بمفاتيح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تحقيق وتعليق محمد على آذرشب، طهران، مركز البحوث والدراسات للتراث المخطوط، ط الاولى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اذ كان على مأمور بذلك امراً جزماً فجمعه كما اُنزل من غير تحريف وتبديل ونقصان</w:t>
      </w:r>
      <w:r>
        <w:rPr>
          <w:rFonts w:eastAsia="IRNazanin" w:cs="IRNazanin"/>
          <w:b w:val="false"/>
          <w:bCs w:val="false"/>
          <w:i w:val="false"/>
          <w:iCs w:val="false"/>
          <w:color w:val="333333"/>
          <w:sz w:val="20"/>
          <w:szCs w:val="20"/>
          <w:rtl w:val="true"/>
        </w:rPr>
        <w:t>. . .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التنزيل لقواعد التفضيل فى الآيات النازلة فى اهل‌البيت، ج</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تحقيق على شيرى، بيروت، دارالفكر</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32/397</w:t>
      </w:r>
      <w:r>
        <w:rPr>
          <w:rFonts w:ascii="IRNazanin" w:hAnsi="IRNazanin" w:eastAsia="IRNazanin"/>
          <w:b w:val="false"/>
          <w:b w:val="false"/>
          <w:bCs w:val="false"/>
          <w:i w:val="false"/>
          <w:i w:val="false"/>
          <w:iCs w:val="false"/>
          <w:color w:val="333333"/>
          <w:sz w:val="20"/>
          <w:sz w:val="20"/>
          <w:szCs w:val="20"/>
          <w:rtl w:val="true"/>
        </w:rPr>
        <w:t xml:space="preserve">، ترجمه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جزء</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اصلى</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بن المكى، المناقب، تحقيق الشيخ مالك المحمودى، قم، مؤسسة النشر الاسلامى، ط الثانية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احمدبن جزى، التسهيل لعلوم التنزيل، بيروت، دارالكتب العربى، ط الرابعة،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عثمان الذهبى، سيراعلام النبلاء، بيروت، مؤسسة الرسالة، طالرابعة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خيرعن على</w:t>
      </w:r>
      <w:r>
        <w:rPr>
          <w:rFonts w:eastAsia="IRNazanin" w:cs="IRNazanin"/>
          <w:b w:val="false"/>
          <w:bCs w:val="false"/>
          <w:i w:val="false"/>
          <w:iCs w:val="false"/>
          <w:color w:val="333333"/>
          <w:sz w:val="20"/>
          <w:szCs w:val="20"/>
          <w:rtl w:val="true"/>
        </w:rPr>
        <w:t>. . .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ابن‌ابى‌داود سليمان‌بن‌الاشعث، المصاحف، بيروت، دارالكتب العلمية، طالاولى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ابن‌فضيل، عن اشعث، عن محمد بن‌سيرين قال</w:t>
      </w:r>
      <w:r>
        <w:rPr>
          <w:rFonts w:eastAsia="IRNazanin" w:cs="IRNazanin"/>
          <w:b w:val="false"/>
          <w:bCs w:val="false"/>
          <w:i w:val="false"/>
          <w:iCs w:val="false"/>
          <w:color w:val="333333"/>
          <w:sz w:val="20"/>
          <w:szCs w:val="20"/>
          <w:rtl w:val="true"/>
        </w:rPr>
        <w:t>: . . .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ابى‌عبدالله محمدبن احمد الانصارى القرطبى، الجامع لاحكام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داراحياء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 ماجاء فى ترتيب السور القرآن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هذا اوّل مصحف على رضى‌الله عنه</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جلال‌الدين السيوطى، الاتقان فى علوم القرآن، ج</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چند طريق، ابن اشته فى المصاحف من وجه آخر عن ابن‌سيرين، و فيه انه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مصحفه الناسخ والمنسوخ وانّ ابن‌سيرين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فطلبتُ ذلك الكتاب، وكتبت فيه الى المدنية فلم أقدرعليه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فى علوم القرآن، ج</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عن محمدبن‌سيرين عن عكرمة</w:t>
      </w:r>
      <w:r>
        <w:rPr>
          <w:rFonts w:eastAsia="IRNazanin" w:cs="IRNazanin"/>
          <w:b w:val="false"/>
          <w:bCs w:val="false"/>
          <w:i w:val="false"/>
          <w:iCs w:val="false"/>
          <w:color w:val="333333"/>
          <w:sz w:val="20"/>
          <w:szCs w:val="20"/>
          <w:rtl w:val="true"/>
        </w:rPr>
        <w:t>. . .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الابيارى، الموسوعة القرآنية، ج</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احمدبن‌ابى يعقوب‌بن جعفربن وهب‌بن واضح الكاتب العباسى المعروف باليعقوبى، تاريخ اليعقوبى، تحقيق عبدالامير مهنا، بيروت، مؤسسة الاعلمى، ط الاولى</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المزّى، تهذيب الكمال فى اسماء الرجال، ج</w:t>
      </w:r>
      <w:r>
        <w:rPr>
          <w:rFonts w:eastAsia="IRNazanin" w:cs="IRNazanin"/>
          <w:b w:val="false"/>
          <w:bCs w:val="false"/>
          <w:i w:val="false"/>
          <w:iCs w:val="false"/>
          <w:color w:val="333333"/>
          <w:sz w:val="20"/>
          <w:szCs w:val="20"/>
        </w:rPr>
        <w:t>25/334</w:t>
      </w:r>
      <w:r>
        <w:rPr>
          <w:rFonts w:ascii="IRNazanin" w:hAnsi="IRNazanin" w:eastAsia="IRNazanin"/>
          <w:b w:val="false"/>
          <w:b w:val="false"/>
          <w:bCs w:val="false"/>
          <w:i w:val="false"/>
          <w:i w:val="false"/>
          <w:iCs w:val="false"/>
          <w:color w:val="333333"/>
          <w:sz w:val="20"/>
          <w:sz w:val="20"/>
          <w:szCs w:val="20"/>
          <w:rtl w:val="true"/>
        </w:rPr>
        <w:t>به بعد،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سيرين الانصارى، بصرى من الثقات، ثقة ولم يكن فى هؤلاء مثل محمد، لم يكن بهذه البصرة أحد اعلم بالقضاء من محمدبن سيرين تابعى ثقة</w:t>
      </w:r>
      <w:r>
        <w:rPr>
          <w:rFonts w:eastAsia="IRNazanin" w:cs="IRNazanin"/>
          <w:b w:val="false"/>
          <w:bCs w:val="false"/>
          <w:i w:val="false"/>
          <w:iCs w:val="false"/>
          <w:color w:val="333333"/>
          <w:sz w:val="20"/>
          <w:szCs w:val="20"/>
          <w:rtl w:val="true"/>
        </w:rPr>
        <w:t>. . .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المزّى، تهذيب الكمال فى اسماء الرجال، ج</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عبدخير بن يزيد، ثقة، كوفى، تابعى ثقة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ابن‌نديم در الفهرست، ابو نعيم الاصفهانى درحلية الاولياء، الذهبى در سير اعلام النبلاء، حسكانى در الشواهد التنزيل، الخوارزمى در المناقب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المزى، تهذيب الكمال فى اسماءالرجال،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القريش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الهاشمى ابوعبدالله المدنى والياً لعلى على البصرة، ثقة مكى تابعى ثقة، ثقة ثقة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در المصنف؛ حسكانى در الشواهد التنزيل؛ ابن‌عبدالبرّ در الاستيعاب</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السجستانى، 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فضيل، عن اشعث، عن محمد بن سيرين،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توفّى‌النبى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 .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السجستانى، 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فضيل، عن اشعث، عن محمد بن سيرين،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توفّى‌النبى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 .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الاصفهانى، حلية الاولياء، ج</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ترجمه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العسقلانى، احمد بن على بن حجر، فتح البارى بشرح البخارى، بيروت، داراحياء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كتاب فضائل القرآن، باب جمع القرآن، ذيل رقم</w:t>
      </w:r>
      <w:r>
        <w:rPr>
          <w:rFonts w:eastAsia="IRNazanin" w:cs="IRNazanin"/>
          <w:b w:val="false"/>
          <w:bCs w:val="false"/>
          <w:i w:val="false"/>
          <w:iCs w:val="false"/>
          <w:color w:val="333333"/>
          <w:sz w:val="20"/>
          <w:szCs w:val="20"/>
        </w:rPr>
        <w:t>4988</w:t>
      </w:r>
      <w:r>
        <w:rPr>
          <w:rFonts w:ascii="IRNazanin" w:hAnsi="IRNazanin" w:eastAsia="IRNazanin"/>
          <w:b w:val="false"/>
          <w:b w:val="false"/>
          <w:bCs w:val="false"/>
          <w:i w:val="false"/>
          <w:i w:val="false"/>
          <w:iCs w:val="false"/>
          <w:color w:val="333333"/>
          <w:sz w:val="20"/>
          <w:sz w:val="20"/>
          <w:szCs w:val="20"/>
          <w:rtl w:val="true"/>
        </w:rPr>
        <w:t>؛ السيوطى، الاتقان فى علوم القرآن، ج</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تفسيرالعظيم والسبع المثانى، بيروت، دارإحياء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الفائدة السادسة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راوى از او، ابن فضيل و مروى عنه، محمدبن‌سيرين است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المزّى، يوسف، تهذيب الكمال فى اسماء الرجال، ج</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تهذيب التهذيب، بيروت، دارصادر، ج</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المصنف، ج</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جمع القرآن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الطبقات‌الكبرى، ج</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ترجمه على‌بن‌ابى‌طالب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الاستيعاب،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 ج</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الثامن من عشر فى جمعه وترتبيه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بشربن‌موسى، حدثنا هوذةبن‌خليفة، حدثنا عوف، عن محمدبن‌سيرين، عن عكرمة، قال</w:t>
      </w:r>
      <w:r>
        <w:rPr>
          <w:rFonts w:eastAsia="IRNazanin" w:cs="IRNazanin"/>
          <w:b w:val="false"/>
          <w:bCs w:val="false"/>
          <w:i w:val="false"/>
          <w:iCs w:val="false"/>
          <w:color w:val="333333"/>
          <w:sz w:val="20"/>
          <w:szCs w:val="20"/>
          <w:rtl w:val="true"/>
        </w:rPr>
        <w:t>: . . .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فى‌تفسيرالقرآن العظيم والسبع المثانى، ج</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صح، كما قيل على الجمع فى الصدور، در حاشيه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به‌روايت ابن‌الضريس فى فضائل على، تفسير مى‌كند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فى‌تفسيرالقرآن العظيم والسبع المثانى، ج</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صح، كما قيل على الجمع فى الصدور، در حاشيه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به‌روايت ابن‌الضريس فى فضائل على، تفسير مى‌كند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رقم</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ابن‌ابى‌داود، 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متن را ابن عساكر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الاتقان فى علم القرآن، ج</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جمع القرآن،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ابن‌عون، عن محمد</w:t>
      </w:r>
      <w:r>
        <w:rPr>
          <w:rFonts w:eastAsia="IRNazanin" w:cs="IRNazanin"/>
          <w:b w:val="false"/>
          <w:bCs w:val="false"/>
          <w:i w:val="false"/>
          <w:iCs w:val="false"/>
          <w:color w:val="333333"/>
          <w:sz w:val="20"/>
          <w:szCs w:val="20"/>
          <w:rtl w:val="true"/>
        </w:rPr>
        <w:t>. . .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 تاريخ اليعقوبى، ج</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وأتى به‌يحمله على الجمل؛ شهرستانى، مفاتيح الاسرار و مصابيح الانوار، ج</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لمّافرغ من جمعه اخرجه هو و غلامه قنبر الى الناس وهم فى المسجد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السجستانى، ابن‌ابى‌داود، 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تقّدم من رواية عبدخير عن على اصحّ و هو المعتمد، وآن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الناس فى المصاحف اجراً، ابوبكر، رحمةالله على ابى بكر، هو اوّل من جمع كتاب الله</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فضيل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شبرمة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أحد على المنبر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سلونى عن ما بين اللوحين الّا على‌بن‌ابى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الشيعةالإمامية الإثنى عشرية، ج</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الطبقات‌الكبرى، ج</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الاستيعاب،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ذيل رقم</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كلبى، التسهيل لعلوم التنزيل،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القرطبى، الجامع لاحكام القرآن، ج</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الاتقان فى علوم القرآن، ج</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الزرقانى، مناهل العرفان فى علوم القرآن، ج</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الاتقان فى علوم القرآن، ج</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الزرقانى، مناهل العرفان فى علوم القرآن، ج</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بن اشته فى المصاحف من وجه آخر عن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 .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مدينة دمشق، ج</w:t>
      </w:r>
      <w:r>
        <w:rPr>
          <w:rFonts w:eastAsia="IRNazanin" w:cs="IRNazanin"/>
          <w:b w:val="false"/>
          <w:bCs w:val="false"/>
          <w:i w:val="false"/>
          <w:iCs w:val="false"/>
          <w:color w:val="333333"/>
          <w:sz w:val="20"/>
          <w:szCs w:val="20"/>
        </w:rPr>
        <w:t>42/397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مدينة دمشق، ج</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مدينة دمشق، ج</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الشهرستانى، مفاتيح الاسرار و مصابيح الانوار، ج</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المحمدى، سلامة القرآن من التحريف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ايام ابوبكرذيل حادثه يمامه</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تعليق وإعتنا بها الشيخ ابراهيم رمضان، بيروت، دار المعرفة، ط الثانية</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الشهرستانى، مفاتيح الاسرار و مصابيح الانوار، ج</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الحسكانى، شواهد التنزيل،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ابن عساكر، تاريخ مدينة دمشق، ج</w:t>
      </w:r>
      <w:r>
        <w:rPr>
          <w:rFonts w:eastAsia="IRNazanin" w:cs="IRNazanin"/>
          <w:b w:val="false"/>
          <w:bCs w:val="false"/>
          <w:i w:val="false"/>
          <w:iCs w:val="false"/>
          <w:color w:val="333333"/>
          <w:sz w:val="20"/>
          <w:szCs w:val="20"/>
        </w:rPr>
        <w:t>42/386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اخبرنا ابوالفرج غيث بن على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ادخلُ على رسول الله ليلاً و نهاراً وكنت اذا سألتُه أجابنى وإن سكت ابتدأنى، وما نزلت عليه آية إلاّ قرأتُها عليه وعلمتُ تفسيرها و تأويلها، دعاالله لى أن لا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شئياً علّمنى إياهُ فما نسيتُ من حرام ولا حلال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الاسلامى، ابوالفضل، مع دكتور ناصرالقفارى فى اصول مذهبه حول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آن‌گونه كه يعقوبى گزارش داد</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سوره 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در هفت جزء</w:t>
      </w:r>
      <w:r>
        <w:rPr>
          <w:rFonts w:eastAsia="IRNazanin" w:cs="IRNazanin"/>
          <w:b w:val="false"/>
          <w:bCs w:val="false"/>
          <w:i w:val="false"/>
          <w:iCs w:val="false"/>
          <w:color w:val="333333"/>
          <w:sz w:val="20"/>
          <w:szCs w:val="20"/>
          <w:rtl w:val="true"/>
        </w:rPr>
        <w:t>.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به‌مبحث بررسى روايات تحريف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الزرقانى، مناهل العرفان فى علوم القرآن، ج</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هو اعلام فى جميع اطلاقاته</w:t>
      </w:r>
      <w:r>
        <w:rPr>
          <w:rFonts w:eastAsia="IRNazanin" w:cs="IRNazanin"/>
          <w:b w:val="false"/>
          <w:bCs w:val="false"/>
          <w:i w:val="false"/>
          <w:iCs w:val="false"/>
          <w:color w:val="333333"/>
          <w:sz w:val="20"/>
          <w:szCs w:val="20"/>
          <w:rtl w:val="true"/>
        </w:rPr>
        <w:t>. . .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فى اصول الاحكام، ج</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 فى نسخ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الطبقات‌الكبرى، ج</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الطبرانى، المعجم الكبير، ج</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عبدالرّزاق، المصنف، ج</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 النسايى، ابى عبدالرحمن احمدبن شعيب، السنن الكبرى، تحقيق عبدالغفار سليمان البندارى، بيروت، دارالكتب العلمية، ط الاولى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الهندى، كنز العمال، ج</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13/104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 .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المغازى، باب مرض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حجر، فتح البارى بشرح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8/167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ابن‌سعد، الطبقات الكبرى، ج</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مسلم، صحيح مسلم، ج</w:t>
      </w:r>
      <w:r>
        <w:rPr>
          <w:rFonts w:eastAsia="IRNazanin" w:cs="IRNazanin"/>
          <w:b w:val="false"/>
          <w:bCs w:val="false"/>
          <w:i w:val="false"/>
          <w:iCs w:val="false"/>
          <w:color w:val="333333"/>
          <w:sz w:val="20"/>
          <w:szCs w:val="20"/>
        </w:rPr>
        <w:t>3/1259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 باب ترك الوصية لمن ليس له شىء،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ابن‌حجر العسقلانى، فتح البارى بشرح صحيح البخارى، ج</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العسقلانى، فتح البارى بشرح صحيح البخارى،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شماره‌هاى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7366</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3/1257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بشرح صحيح البخارى، همان، ج</w:t>
      </w:r>
      <w:r>
        <w:rPr>
          <w:rFonts w:eastAsia="IRNazanin" w:cs="IRNazanin"/>
          <w:b w:val="false"/>
          <w:bCs w:val="false"/>
          <w:i w:val="false"/>
          <w:iCs w:val="false"/>
          <w:color w:val="333333"/>
          <w:sz w:val="20"/>
          <w:szCs w:val="20"/>
        </w:rPr>
        <w:t>8/167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الخويى، البيان فى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البلاغى، آلاء الرحمن فى تفسيرالقرآن، ج</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بشرح البخارى،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ذيل رقم</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به‌مضمون</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نديم،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الخامس من المقالة السادسية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سين؛ البرقى، رجال البرقى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آقا بزرگ، الذريعة الى تصانيف الشيعة، ج</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سليم بن قيس</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آقا بزرگ، الذريعة الى تصانيف الشيعة، ج</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سليم بن قيس</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نديم،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أوّل كتاب ظهرللشيعة كتاب سليم‌بن‌قيس الهلالى؛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كتابى كه امر شيعه را آشكار كرد</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الذّريعة إلى تصانيف الشيعة، ج</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الذّريعة إلى تصانيف الشيعة، ج</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الذّريعة إلى تصانيف الشيعة، ج</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الطهرانى، الذّريعة إلى تصانيف الشيعة، ج</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الحلّى، رجال ابن داود الحلى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اختيار معرفة الرجال المعروف برجال الكشّى، ج</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اختيار معرفة الرجال المعروف برجال الكشّى،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اين كتاب توسط محمدباقر الأنصارى الزنجانى الخوئينى، نشرالهادى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انجام و در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منتشر شده است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تابعى ضعيف</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المازندرانى، محمدبن‌اسماعيل، منتهى المقال فى احوال الرجال، تحقيق و نشر مؤسسة آل‌البيت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ط الاولى</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الخويى، معجم الرجال، ج</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أنّه لم يجمع القرآن كله الاّ الائمة،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 النوادر،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سلامة القرآن من التحريف</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سليم بن قيس، حيثُ نجد الصورة لهذالفرية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التى يرويها أبان‌بن‌عياش المتفق على ضعفه</w:t>
      </w:r>
      <w:r>
        <w:rPr>
          <w:rFonts w:eastAsia="IRNazanin" w:cs="IRNazanin"/>
          <w:b w:val="false"/>
          <w:bCs w:val="false"/>
          <w:i w:val="false"/>
          <w:iCs w:val="false"/>
          <w:color w:val="333333"/>
          <w:sz w:val="20"/>
          <w:szCs w:val="20"/>
          <w:rtl w:val="true"/>
        </w:rPr>
        <w:t>. . .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 ج</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حدّثنى، ابى، ثنا يزيد، أنا همام بن يحيى، عن زيد بن اسلم، عن عطاء بن يسار، عن ابى سعيد الخدرى،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لاتكتبوا عنّى شيئاً إلاّ القرآن، فمن كتب عنى شيئاً غيرالقرآن فليمحه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النيسابورى، مسلم، صحيح مسلم، ج</w:t>
      </w:r>
      <w:r>
        <w:rPr>
          <w:rFonts w:eastAsia="IRNazanin" w:cs="IRNazanin"/>
          <w:b w:val="false"/>
          <w:bCs w:val="false"/>
          <w:i w:val="false"/>
          <w:iCs w:val="false"/>
          <w:color w:val="333333"/>
          <w:sz w:val="20"/>
          <w:szCs w:val="20"/>
        </w:rPr>
        <w:t>4/2298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و الرقائق،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التثبيت فى الحديث و حكم كتابة العلم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هدّاب بن خالد الازدى، حدّثنا همام، عن زيد بن اسلم، عن عطاء بن يسار، عن ابى سعيد الخدرى، إنَّ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لاتكتبواعنّى و من كتب عنّى غيرالقرآن فليمحه، و حدّثوا عنّى، ولاحرج، و من كذب على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متعّمداً فلتبّوأ معقده من‌النار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العثيمين، محمدبن‌صالح، الحديث ومصطلح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 بى‌نا، 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هو ان ينفرد الراوى بالحديث، يعنى ان يروى الحديث رجل واحد، و الغالب على الافراد ضعف</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البغدادى، احمد بن على بن ثابت الخطيب، تقييد العلم، تحقيق وتعليق يوسف العش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دارإحياء السنة النبوية، ط الثانية</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همام برواية هذا الحديث</w:t>
      </w:r>
      <w:r>
        <w:rPr>
          <w:rFonts w:eastAsia="IRNazanin" w:cs="IRNazanin"/>
          <w:b w:val="false"/>
          <w:bCs w:val="false"/>
          <w:i w:val="false"/>
          <w:iCs w:val="false"/>
          <w:color w:val="333333"/>
          <w:sz w:val="20"/>
          <w:szCs w:val="20"/>
          <w:rtl w:val="true"/>
        </w:rPr>
        <w:t>. .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 رفعت فوزى، توثيق السنّة فى القرن الثانى الهجرى، قاهرة، مكتبة الخانجى،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المناوى، زين الدين محمد عبدالرئوف، فيض‌القدير شرح جامع الصغير، تحقيق احمد عبدالسلام، بيروت، دارالكتب، ط الاولى</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تَدَايَنْتُمْ بِدَيْنٍ إِلَى أَجَلٍ مُسَمًّى فَاكْتُبُوهُ وَلْيَكْتُبْ بَيْنَكُمْ كَاتِبٌ بِالْعَدْلِ </w:t>
      </w:r>
      <w:r>
        <w:rPr>
          <w:rFonts w:eastAsia="IRNazanin" w:cs="IRNazanin"/>
          <w:b w:val="false"/>
          <w:bCs w:val="false"/>
          <w:i w:val="false"/>
          <w:iCs w:val="false"/>
          <w:color w:val="333333"/>
          <w:sz w:val="20"/>
          <w:szCs w:val="20"/>
          <w:rtl w:val="true"/>
        </w:rPr>
        <w:t>. . .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احمدبن‌حنبل، ج</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6816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عبدالله‌بن‌عمر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القرطبى، يوسف‌بن‌عبدالبرّ، جامع بيان العلم، مقدمة وتعليق محمد عبدالقادر احمد عطا، بيروت، مؤسسة الكتب الثقافية، ط الثانية</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الرخصة فى كتابة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35</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ابن‌تيميه، احمدبن عبدالحليم الحرّانى، منهاج السنّة، تحقيق محمدرشاد،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قرطبة، ط الاولى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الرافضى البرهان الحادى والثلاثون قوله تعالى</w:t>
      </w:r>
      <w:r>
        <w:rPr>
          <w:rFonts w:eastAsia="IRNazanin" w:cs="IRNazanin"/>
          <w:b w:val="false"/>
          <w:bCs w:val="false"/>
          <w:i w:val="false"/>
          <w:iCs w:val="false"/>
          <w:color w:val="333333"/>
          <w:sz w:val="20"/>
          <w:szCs w:val="20"/>
          <w:rtl w:val="true"/>
        </w:rPr>
        <w:t>. . .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ابن‌تيميه، احمدبن عبدالحليم الحرّانى، منهاج السنّة، تحقيق محمدرشاد،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قرطبة، ط الاولى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الرافضى البرهان الحادى والثلاثون قوله تعالى</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تحقيق شعيب الارنؤوط وآخرون، بيروت، مؤسسةالرّساله، ط الثانية</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ق، جزء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اسماعيل‌بن ابراهيم عن أبى‌حيان التّميمى، حدّثنى يزيدبنُ حيان التّميمى،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إنطَلَقتُ أنا وحُصَين‌بنُ سبرة وعمربنُ مسلم إلى زيدبن أرقم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رسول‌الله يوماً خَطيبا ً فينا بماءٍ يدعَى خُمّاً بين مكّة والمدينةِ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إنّى‌تاركٌ فيكم ثقلين؛ اوّلهما كتاب‌الله</w:t>
      </w:r>
      <w:r>
        <w:rPr>
          <w:rFonts w:eastAsia="IRNazanin" w:cs="IRNazanin"/>
          <w:b w:val="false"/>
          <w:bCs w:val="false"/>
          <w:i w:val="false"/>
          <w:iCs w:val="false"/>
          <w:color w:val="333333"/>
          <w:sz w:val="20"/>
          <w:szCs w:val="20"/>
          <w:rtl w:val="true"/>
        </w:rPr>
        <w:t>. . . .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مسندالامام احمدبن‌حنبل، القاهرة، مؤسسة قرطبة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 سعيدالخدرى، حدثنا عبدالله، حدّثنى ابى، ثنا يزيد أنا همام بن يحيى، عن زيد بن‌أسلم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نسخة وزارت الاوقاف المصرية، جزء</w:t>
      </w:r>
      <w:r>
        <w:rPr>
          <w:rFonts w:eastAsia="IRNazanin" w:cs="IRNazanin"/>
          <w:b w:val="false"/>
          <w:bCs w:val="false"/>
          <w:i w:val="false"/>
          <w:iCs w:val="false"/>
          <w:color w:val="333333"/>
          <w:sz w:val="20"/>
          <w:szCs w:val="20"/>
        </w:rPr>
        <w:t>32/415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 سعيد</w:t>
      </w:r>
      <w:r>
        <w:rPr>
          <w:rFonts w:eastAsia="IRNazanin" w:cs="IRNazanin"/>
          <w:b w:val="false"/>
          <w:bCs w:val="false"/>
          <w:i w:val="false"/>
          <w:iCs w:val="false"/>
          <w:color w:val="333333"/>
          <w:sz w:val="20"/>
          <w:szCs w:val="20"/>
          <w:rtl w:val="true"/>
        </w:rPr>
        <w:t>. . .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بشرح الصحيح البخارى، ج</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النووى، صحيح مسلم بشرح النووى، ج</w:t>
      </w:r>
      <w:r>
        <w:rPr>
          <w:rFonts w:eastAsia="IRNazanin" w:cs="IRNazanin"/>
          <w:b w:val="false"/>
          <w:bCs w:val="false"/>
          <w:i w:val="false"/>
          <w:iCs w:val="false"/>
          <w:color w:val="333333"/>
          <w:sz w:val="20"/>
          <w:szCs w:val="20"/>
        </w:rPr>
        <w:t>18/339</w:t>
      </w:r>
      <w:r>
        <w:rPr>
          <w:rFonts w:ascii="IRNazanin" w:hAnsi="IRNazanin" w:eastAsia="IRNazanin"/>
          <w:b w:val="false"/>
          <w:b w:val="false"/>
          <w:bCs w:val="false"/>
          <w:i w:val="false"/>
          <w:i w:val="false"/>
          <w:iCs w:val="false"/>
          <w:color w:val="333333"/>
          <w:sz w:val="20"/>
          <w:sz w:val="20"/>
          <w:szCs w:val="20"/>
          <w:rtl w:val="true"/>
        </w:rPr>
        <w:t>، كتاب الزهد والرقاق،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التثبيت فى الحديث،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المناوى، فيض القدير، ج</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 xml:space="preserve">؛ الكردى، محمد طاهر الخطاط، تاريخ القرآن، مكه، مصطفى يغمور، ط الاولى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أكتُب، فوالذى نَفسى بيده ما خَرَجَ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ابن‌حنبل، المسند، ج</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عبدالله بن عمروبن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القرطبى، يوسف‌بن‌عبدالبرّ، جامع بيان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الرخصة فى كتابة العلم، رقم</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يا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قَيدُوا العلمَ بالكتابة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النووى،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باب التثبّت فى الحديث وحكم كتابة العلم؛ فيض القدير،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تاريخ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النووى،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باب التثبّت فى الحديث وحكم كتابة العلم؛ فيض القدير،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تاريخ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الذهبى، سير أعلام النبلاء،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المناوى، فيض القدير، ج</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قيدوا العلم بالكتابة</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العريض، حسن، فتح المّنان فى نسخ القرآن، مصر، مكتبة الخانجى بمصر، ط الأولى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الاستيعاب،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سعيد بن العاص؛ الكتانى، محمدعبدالحى، التراتيب الإدارية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الحكومة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دارالكتب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 سعدبن العاص را مأمور كرد به‌اهل مدينه كتابت تعليم دهد و همچنين اسراى بدر را در مقابل تعليم كتابت به‌ده نفر از جوانان، آزاد مى‌كردند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المحمدى،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بشرح الصحيح البخارى،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ذيل رقم</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 احمدكمال،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و تاريخ</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كتاب فضائل القرآن، باب من قال لم يترك النَّبى الّا ما بين الدَّفتين، رقم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شدّادبن‌معقل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أترك النبى من شىءٍ؟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w:t>
      </w:r>
      <w:r>
        <w:rPr>
          <w:rFonts w:eastAsia="IRNazanin" w:cs="IRNazanin"/>
          <w:b w:val="false"/>
          <w:bCs w:val="false"/>
          <w:i w:val="false"/>
          <w:iCs w:val="false"/>
          <w:color w:val="333333"/>
          <w:sz w:val="20"/>
          <w:szCs w:val="20"/>
          <w:rtl w:val="true"/>
        </w:rPr>
        <w:t>. . . .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6/187</w:t>
      </w:r>
      <w:r>
        <w:rPr>
          <w:rFonts w:ascii="IRNazanin" w:hAnsi="IRNazanin" w:eastAsia="IRNazanin"/>
          <w:b w:val="false"/>
          <w:b w:val="false"/>
          <w:bCs w:val="false"/>
          <w:i w:val="false"/>
          <w:i w:val="false"/>
          <w:iCs w:val="false"/>
          <w:color w:val="333333"/>
          <w:sz w:val="20"/>
          <w:sz w:val="20"/>
          <w:szCs w:val="20"/>
          <w:rtl w:val="true"/>
        </w:rPr>
        <w:t>، باب القراء من اصحاب النبى، رقم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الابيارى، الموسوعة القرآنية، ج</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النميرى، ابوزيد عمربن شبّة البصرى، تاريخ مدينة المنورّة،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عنه رضى‌الله عنه فى جمع القرآن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الابيارى، الموسوعة القرآنية، ج</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ابن اثير، ابوالحسن على‌بن‌الكرم محمد بن محمد، الكامل فى التاريخ، تحقيق عبدالقاضى، بيروت، دارالكتب العلمية،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سال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القرآن، باب جمع القرآن، رقم</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القرآن، باب جمع القرآن، رقم</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گلدزيهر، مذاهب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الشرياصى، قصّة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جارالله، موسى، الوشيعة فى نقد عقائد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اَكْمَلْتُ لَكُمْ دِينَكُمْ وَاَتْمَمْتُ عَلَيْكُمْ نِعْمَتِى وَرَضِيتُ لَكُمُ الإِسْلاَمَ دِيناً</w:t>
      </w:r>
      <w:r>
        <w:rPr>
          <w:rFonts w:eastAsia="IRNazanin" w:cs="IRNazanin"/>
          <w:b w:val="false"/>
          <w:bCs w:val="false"/>
          <w:i w:val="false"/>
          <w:iCs w:val="false"/>
          <w:color w:val="333333"/>
          <w:sz w:val="20"/>
          <w:szCs w:val="20"/>
          <w:rtl w:val="true"/>
        </w:rPr>
        <w:t>. . .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به‌بحث محتواى مصحف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درهمين فصل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مرحله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نقضى بر تحريف</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 ج</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ابن‌عساكر، تاريخ مدينة دمشق، ج</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 ج</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ابن‌عساكر، تاريخ مدينة دمشق، ج</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الاصفهانى، ابونعيم احمد بن عبدالله، حلية الاولياء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الشهرستانى، عبدالكريم، مفاتيح الاسرار و مصابيح الانوار، ج</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الشهرستانى، عبدالكريم، مفاتيح الاسرار و مصابيح الانوار، ج</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الشهرستانى، عبدالكريم، مفاتيح الاسرار و مصابيح الانوار، ج</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المحمدى، سلامة القرآن من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الوشيعة فى نقد عقائد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الشهرستانى، مفاتيح الاسرار و مصابيح الانوار، ج</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كيفيت يقبض العلم؛ اين ممنوعيت توسط عمربن عبدالعزيز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لغوشد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به‌شرح نهج البلاغه ابن ابى الحديد، ج</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روى من سبّ معاوية وحزبه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الغدير، ج</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به‌تاريخ زندگى امامان‌معصوم در دوران بنى‌عباس، از جمله سيره پيشوايان تأليف مهدى پيشوايى</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على، يا جامعه، يا جفر، يا صحيفة، يا الفرائض در فصل اول از بخش دوم تحت عنوان مكتوبات على‌بن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ابن‌ابى‌الحديد، شرح نهح البلاغة، ج</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اين جمله را وقتى گفت كه گروهى از بنى‌أميه از لعن و دشنام على به‌ستوه آمدند و نزد معاويه آمدند وگفتند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اميرالمؤمنين، إنَّكَ قد بَلّغت ما أمّلتَ فلوكففت عن لعن هذه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حتى يربو</w:t>
      </w:r>
      <w:r>
        <w:rPr>
          <w:rFonts w:eastAsia="IRNazanin" w:cs="IRNazanin"/>
          <w:b w:val="false"/>
          <w:bCs w:val="false"/>
          <w:i w:val="false"/>
          <w:iCs w:val="false"/>
          <w:color w:val="333333"/>
          <w:sz w:val="20"/>
          <w:szCs w:val="20"/>
          <w:rtl w:val="true"/>
        </w:rPr>
        <w:t>. . .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الاسلامى، ابوالفضل، مع الدكتور ناصرالقفارى فى اصول مذهبه حول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بصائر الدرجات الكبرى فى فضائل آل محمد، تأليف ابوجعفر محمدبن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تفسيرالعياشى، از ابى‌النّصر محمدبن مسعودبن عياش السلمى السمرقندى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بحارالانوار الجامعة لدرر الاخبار الائمة الاطهار، تأليف محمد 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مذهب‌الشيعة الامامية الاثنى عشرية، ج</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شعث، احمد كمال، الشّيعة فلسفة و 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ظهير، احسان إلهى، الشّيعة والسنّة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همان، الشيعة والتشيع،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محمد، مجدى على، انتصارالحق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فتستر هذالحاقد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 الامام عَلِى و أظهرالغلو فى موالاته و التشيع له و كانَ هذا الشّيطان أوّل من ادّعى النّص بإمامة على، و أوّل من أشهر القول بغرض إمامته</w:t>
      </w:r>
      <w:r>
        <w:rPr>
          <w:rFonts w:eastAsia="IRNazanin" w:cs="IRNazanin"/>
          <w:b w:val="false"/>
          <w:bCs w:val="false"/>
          <w:i w:val="false"/>
          <w:iCs w:val="false"/>
          <w:color w:val="333333"/>
          <w:sz w:val="20"/>
          <w:szCs w:val="20"/>
          <w:rtl w:val="true"/>
        </w:rPr>
        <w:t>. . . .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را ببينيد چگونه زشت‌ترين تعبيرات را به‌كار برده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ديدگاه‌هاى شيعه درمورد ظهور 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رسالت پيامبرخدا؛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جنگ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ديدگاه‌هاى غير شيعى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وفات رسول‌الله؛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قتل عثمان‌بن‌عفان؛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هجرى در جريان صفين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فلسفة و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الآندلسى، احمدبن محمدبن عبدربّه، العقد الفريد، تحقيق مفيد محمد قميحة، بيروت، دارالكتب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أمّا الرّافضة فلها غُلُوّ شديد فى عَلِى، ذَهبَ بعضهم مذهب النّصارى فى المسيح و هُم السبئية أصحاب عبدالله بن‌سبأ، عليهم لعنةالله</w:t>
      </w:r>
      <w:r>
        <w:rPr>
          <w:rFonts w:eastAsia="IRNazanin" w:cs="IRNazanin"/>
          <w:b w:val="false"/>
          <w:bCs w:val="false"/>
          <w:i w:val="false"/>
          <w:iCs w:val="false"/>
          <w:color w:val="333333"/>
          <w:sz w:val="20"/>
          <w:szCs w:val="20"/>
          <w:rtl w:val="true"/>
        </w:rPr>
        <w:t>.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الآندلسى، احمدبن محمدبن عبدربّه، العقد الفريد، تحقيق مفيد محمد قميحة، بيروت، دارالكتب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رافضه را در مواردى همانند يهود مى‌داند،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ولايت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تأخيرانداختن نماز مغرب، قبول نداشتن طلاق سه‌گانه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حلال دانستن خون مسلمان، تحريف قرآن، مبغوض داشتن جبرئيل بدان جهت كه او اشتباه كرد وحى را به‌جاى اين‌كه به‌عَلِى ابلاغ كند به‌محمّد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كرد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فى الملل و الاهواء والنحل، تحقيق محمدابراهيم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عميرة، بيروت، دارالجليل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شنيع الشيعة</w:t>
      </w:r>
      <w:r>
        <w:rPr>
          <w:rFonts w:eastAsia="IRNazanin" w:cs="IRNazanin"/>
          <w:b w:val="false"/>
          <w:bCs w:val="false"/>
          <w:i w:val="false"/>
          <w:iCs w:val="false"/>
          <w:color w:val="333333"/>
          <w:sz w:val="20"/>
          <w:szCs w:val="20"/>
          <w:rtl w:val="true"/>
        </w:rPr>
        <w:t>)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بيروت، دارالمعرفة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الاشعرى، ابى الحسن على بن اسماعيل، مقالات الاسلامين و اختلاف المصلّين، تحقيق محمد محيى الدين عبدالحميد، بيروت، المكتبة العصرية</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الصنف الرابع عشر من اصناف الغالية</w:t>
      </w:r>
      <w:r>
        <w:rPr>
          <w:rFonts w:eastAsia="IRNazanin" w:cs="IRNazanin"/>
          <w:b w:val="false"/>
          <w:bCs w:val="false"/>
          <w:i w:val="false"/>
          <w:iCs w:val="false"/>
          <w:color w:val="333333"/>
          <w:sz w:val="20"/>
          <w:szCs w:val="20"/>
          <w:rtl w:val="true"/>
        </w:rPr>
        <w:t>) .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موضوع كتاب در مورد كافى است ولى چون اشكال بر كلينى و كتاب او در حقيقت بر شيعه است، ناگزير نخست دامن شيعه را از اين اتهام تطهير نمود تا از اشكال بر كافى واضح‌تر پاسخ داده شود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الجزرى، المبارك‌بن محمدبن اثير، النهاية فى غريب الحديث و الاثر، ج</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الجوهرى، اسماعيل‌بن حماد، الصحّاح تاج اللّغة و صحاح العربية، ج</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الفراهيدى، ابى‌عبدالرّحمن الخليل‌بن الاحمد، العين،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المحزومى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السامرايى، قم، دارالهجرة،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الزبيدى، السيد محمدمرتضى، تاج العروس فى جواهرالقاموس،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على‌شيرى، بيروت، دارالفكر،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الفراهيدى، العين، 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الجوهرى، الصحاح تاج اللغة، ج</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الزبيدى، تاج العروس، ج</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الجوهرى، الصحاح تاج اللغة، ج</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الزبيدى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الجزرى، النهايه فى غريب الحديث و الاثر، ج</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الظاهرى، على‌بن‌احمد، الفصل فى الملل و الاهواء و النحل، ج</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ذكرما اعتمدت عليه كل فرقة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العاملى، السيد محسن، اعيان الشيعه، تحقيق و اخراج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الامين، بيروت، دارالتعارف،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7/356</w:t>
      </w:r>
      <w:r>
        <w:rPr>
          <w:rFonts w:ascii="IRNazanin" w:hAnsi="IRNazanin" w:eastAsia="IRNazanin"/>
          <w:b w:val="false"/>
          <w:b w:val="false"/>
          <w:bCs w:val="false"/>
          <w:i w:val="false"/>
          <w:i w:val="false"/>
          <w:iCs w:val="false"/>
          <w:color w:val="333333"/>
          <w:sz w:val="20"/>
          <w:sz w:val="20"/>
          <w:szCs w:val="20"/>
          <w:rtl w:val="true"/>
        </w:rPr>
        <w:t>؛ ابن‌خلدون، عبدالرّحمن، تاريخ ابن‌خلدون، المسمّى ديوان المبتدء و الخبر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وضع حواشى خليل شحادة، مراجعه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زكار، بيروت، دارالفكر، ط الثالثة</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الفصل‌السابع و العشرون فى مذاهب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المظفرى، محمدحسين، تاريخ الشيعة، قم، مكتبة بصيرتى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فريدوجدى شبيه تعريف شيخ مفيد، با تعبيرات ديگر، چنين تعريف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الشيعةُ هُمُ الذين شايعُوا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إمامته و اعتقدوا أنّ الإمامةَ لاتخرج عن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ليست الإمامة قضية مصلحية تناط باختيارالعامة بل هى قضيةٌ أصوليةٌ هى ركن الدّين ولابد أن يكون الرّسول قد نَصّ على ذلك صريحاً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القرن العشرين، بيروت، دارالمعرفة، ط الثانية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الخراسانى، السيدطالب، النّشأ التشيع، قم، انتشارات الشريف‌الرّضى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الوائلى، احمد، هوية التشيع، بيروت، دارالصفوة، ط الثالثة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السيبى، كامل مصطفى، الصلّة بين التصوّف و التشيع، بيروت، دارالآندلس، ط الثالثة،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التبصير فى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أبوالحسن‌الاشعرى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همين تعريف شيخ مفيد را بدون قيدهاى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بارادةالله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 و وصفاً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قيل لهم الشيعة، لانّهم شايعُوا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يقدّمونه على سائر أصحاب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الاسلاميين و اختلاف‌المصلّين، ج</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الاسلامية على ضوأ تراث أهل‌البيت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الوكالة العالمية للتوزيع،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السيبى، كامل مصطفى، الصّلة بين التصوّف و التشيع،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دركتاب هاى خود شيخ مفيد تا آن جايى كه جست وجو شد، اين تعريف يافت نشد و دركتاب موسوعة العتبات‌المقدسة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جعفرالخليلى، بيروت، مؤسسة الاعلمى،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اين تعريف را به‌شيخ مفيد نسبت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على الفرقة و الجماعة الّتى تابعت و ناصرت الامام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اعتقدت بامامة نصّ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 الخليفة من بعده مباشرة كماهوعليه مذهب‌الشيعة الجعفريه الإمامية الاثنى عشرية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السيبى، كامل مصطفى، الصّلة بين التصوّف و التشيع،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النوبختى، محمدبن الحسن‌بن موسى، فرق‌الشيعة، تعليق و تصحيح السيد محمدصادق آل‌بحرالعلوم، نجف، المطبعة الحيدريه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قيادت و مرجعيت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شامل قيادت فكرى مى‌شود و هم شامل قيادت سياسى و اجتماعى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التشيع والشيعه، تأليف الشهيدالسيد محمدباقرصدر، تحقيق عبدالجبار شراره، ايران، مركز الغدير للدراسات الاسلامية، ط الاولى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سليمان الكوفى القاضى، در كتاب مناقب‌الامام أميرالمؤمنين على‌بن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عنوان، و أبى‌الحسن على‌بن محمد الشافعى مشهوربه ابن المغازلى</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در كتاب مناقب‌الامام على‌بن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تحت عنوان مناقب آن حضرت از كتاب المسند لأبى الحسين عبدالوهاب الكلابى متوفى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ق، و حسكانى حنفى از علماى قرن پنجم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فضيلت براى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دركتاب شواهد التنزيل خود، و سمهودى ده‌ها منقبت در شأن على و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جواهرالعقدين خود، از منابع اهل‌سنت استخراج نموده‌اند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على‌بن الحسن‌بن هبةالله‌بن عبدالله الشّافعى، تاريخ مدينة دمشق، ج</w:t>
      </w:r>
      <w:r>
        <w:rPr>
          <w:rFonts w:eastAsia="IRNazanin" w:cs="IRNazanin"/>
          <w:b w:val="false"/>
          <w:bCs w:val="false"/>
          <w:i w:val="false"/>
          <w:iCs w:val="false"/>
          <w:color w:val="333333"/>
          <w:sz w:val="20"/>
          <w:szCs w:val="20"/>
        </w:rPr>
        <w:t>42/449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على‌بن ابى‌طالب، رقم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محمدبن سليمان الكوفى، در كتاب المناقب الامام أميرالمؤمنين، تحقيق محمد باقر المحمودى، قم، مجمع احياء الثقافة الاسلامية، ط الاولى،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به‌اين عبارت هم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لايزال الدّين مَع عَلِى و عَلِى معه حتّى يرِدا عَلَى الحوض</w:t>
      </w:r>
      <w:r>
        <w:rPr>
          <w:rFonts w:eastAsia="IRNazanin" w:cs="IRNazanin"/>
          <w:b w:val="false"/>
          <w:bCs w:val="false"/>
          <w:i w:val="false"/>
          <w:iCs w:val="false"/>
          <w:color w:val="333333"/>
          <w:sz w:val="20"/>
          <w:szCs w:val="20"/>
          <w:rtl w:val="true"/>
        </w:rPr>
        <w:t>»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مدينه دمشق، ج</w:t>
      </w:r>
      <w:r>
        <w:rPr>
          <w:rFonts w:eastAsia="IRNazanin" w:cs="IRNazanin"/>
          <w:b w:val="false"/>
          <w:bCs w:val="false"/>
          <w:i w:val="false"/>
          <w:iCs w:val="false"/>
          <w:color w:val="333333"/>
          <w:sz w:val="20"/>
          <w:szCs w:val="20"/>
        </w:rPr>
        <w:t>42/449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مدينه دمشق، ج</w:t>
      </w:r>
      <w:r>
        <w:rPr>
          <w:rFonts w:eastAsia="IRNazanin" w:cs="IRNazanin"/>
          <w:b w:val="false"/>
          <w:bCs w:val="false"/>
          <w:i w:val="false"/>
          <w:iCs w:val="false"/>
          <w:color w:val="333333"/>
          <w:sz w:val="20"/>
          <w:szCs w:val="20"/>
        </w:rPr>
        <w:t>42/185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الجزءالثانى وتسعين بعدالاربعمأة من‌الفرع</w:t>
      </w:r>
      <w:r>
        <w:rPr>
          <w:rFonts w:eastAsia="IRNazanin" w:cs="IRNazanin"/>
          <w:b w:val="false"/>
          <w:bCs w:val="false"/>
          <w:i w:val="false"/>
          <w:iCs w:val="false"/>
          <w:color w:val="333333"/>
          <w:sz w:val="20"/>
          <w:szCs w:val="20"/>
          <w:rtl w:val="true"/>
        </w:rPr>
        <w:t>.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به‌تفسيرالكشّاف عن حقائق غوامض‌التنزيل وعيون‌الأقاويل فى وجوه‌التأويل، جارالله محمودبن‌عمر الزّمخشرى، بيروت، دارالكتاب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قصص و ج</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 و التفسيرالكبير، فخررازى، بيروت، داراحياء التراث، طالأولى</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 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قصص؛ تفسير روح المعانى فى‌تفسير القرآن العظيم والسّبع المثانى، السيد محمود الآلوسى البغدادى، بيروت، داراحياء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قصص و جزء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 الطبرسى، ابى على الفضل‌بن الحسن، مجمع البيان فى تفسير القرآن، تحقيق و تعليق لجنةمن العلماء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بيروت، مؤسسة الأعلمى، ط الأولى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كتاب اصول مذهب الشيعة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قصص، 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روم را به‌مفهوم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گيرد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قصص را، به‌مفهوم الاهل و النسب مى‌گيرد</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را به‌معناى الاهواء المختلفه مى‌گيرد</w:t>
      </w:r>
      <w:r>
        <w:rPr>
          <w:rFonts w:eastAsia="IRNazanin" w:cs="IRNazanin"/>
          <w:b w:val="false"/>
          <w:bCs w:val="false"/>
          <w:i w:val="false"/>
          <w:iCs w:val="false"/>
          <w:color w:val="333333"/>
          <w:sz w:val="20"/>
          <w:szCs w:val="20"/>
          <w:rtl w:val="true"/>
        </w:rPr>
        <w:t>.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به‌نام نزهةالأعين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اين‌كتاب يافت نشد</w:t>
      </w:r>
      <w:r>
        <w:rPr>
          <w:rFonts w:eastAsia="IRNazanin" w:cs="IRNazanin"/>
          <w:b w:val="false"/>
          <w:bCs w:val="false"/>
          <w:i w:val="false"/>
          <w:iCs w:val="false"/>
          <w:color w:val="333333"/>
          <w:sz w:val="20"/>
          <w:szCs w:val="20"/>
          <w:rtl w:val="true"/>
        </w:rPr>
        <w:t>)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ج</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ابى‌جعفر محمدبن جرير، تفسير الطبرى، بيروت، دارالكتب العلمية، ط الثالثة</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8/363</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السّيوطى، عبدالرّحمن جلال الدّين، الدّرالمنثور، ج</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حجر؛ الثعالبى، عبدالرحمن بن محمدبن مخلوف المالكى، تفسير الثعالبى، تحقيق عبدالفتاح ابو سنة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بيروت، داراحياء، ط الاولى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حجر؛ الشّوكانى، محمدبن‌على بن محمد، فتح القدير، بيروت، دارالمعرفة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القرطبى، ابى‌عبدالله محمدبن احمد الانصارى، الجامع لاحكام القرآن، بيروت، داراحياء التراث</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مجاهد، مجاهدبن جبرالتابعتى، تفسير مجاهد، تحقيق عبدالرّحمن الطاهربن محمد، اسلام آباد، مجمع البحوث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ابن‌كثير، ابى‌الفداء اسماعيل بن كثير القرشى الدّمشقى، تفسير القرآن العظيم، بيروت، دارالمعرفة، ط الثانية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الپغوى، ابى‌محمد الحسين‌بن مسعود الفرّاء، معالم التنزيل فى التفسير والتأويل، بيروت، دارالفكر</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النحّاس، ابى‌جعفر، معانى القرآن، تحقيق محمد على الصابونى، عربستان، جامعة أمّ القرى،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الشّوكانى، فتح‌القدير، ج</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فى‌شِيعِ‌الأوّلين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فى‌أممهم وأتباعهم، وسائرفرقهم وطوائفهم، قال‌الفرّاء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 الأُمّة التّابعة بعضهم بعضاً فيمايجتمِعُون‌عليه، وأصله من شَاعَهُ، اذا تبعه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الزمخشرى، الكشاف، ج</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شايعه عَلَى أصول الدّين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الآلوسى، روح المعانى، جزء</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صآفات</w:t>
      </w:r>
      <w:r>
        <w:rPr>
          <w:rFonts w:eastAsia="IRNazanin" w:cs="IRNazanin"/>
          <w:b w:val="false"/>
          <w:bCs w:val="false"/>
          <w:i w:val="false"/>
          <w:iCs w:val="false"/>
          <w:color w:val="333333"/>
          <w:sz w:val="20"/>
          <w:szCs w:val="20"/>
          <w:rtl w:val="true"/>
        </w:rPr>
        <w:t>)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تفسيرالطبرى، ج</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والشّيعةُ هُمُ الجمَاعة المتعاونون عَلَى‌الأمرمن الأمور، يقالُ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تشايع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تعاونوا؛ ومنه قولهم للرّجل‌الشّجاع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لمَشيع، أى مُعان؛ الشوكانى، فتح‌القدير، ج</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الأمّة التّابعة بعضهم بعضاً فيمايجتمون‌عليه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البغوى، معالم‌التّنزيل، ج</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القوم المجتمعةالمتّفقة كلمتهم عَلَى رأى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الشّعية الفرقة الّتى تبعت ديناَ من الأديان</w:t>
      </w:r>
      <w:r>
        <w:rPr>
          <w:rFonts w:eastAsia="IRNazanin" w:cs="IRNazanin"/>
          <w:b w:val="false"/>
          <w:bCs w:val="false"/>
          <w:i w:val="false"/>
          <w:iCs w:val="false"/>
          <w:color w:val="333333"/>
          <w:sz w:val="20"/>
          <w:szCs w:val="20"/>
          <w:rtl w:val="true"/>
        </w:rPr>
        <w:t>)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تفسيرالطبرى، ج</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دين موسى عَلى الّذِى من عدوّه من القبط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مِن شِيعته لإبر اهيم ، ابن‌عبّاس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أهل‌دينه؛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على‌منهاج نوح وسنّة؛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دينه وملّته؛ السدى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البغوى، معالم التّنزيل، ج</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صآفات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إن‌مِن‌شِيعته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يعنى من‌أهل‌دينه، وملّته، وسنّته؛ الشّوكانى، فتح القدير، ج</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أى‌من‌أهل‌دينه و ممّن‌شَايعه و وافقه على‌الدّعاء إلَى‌اللهِ و إلَى َوحيده والإيمان به، 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عَلَى منهاجه وسنّته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قال‌الأصمعى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الأعوان و هُوَ مأخوذٌ من الشّياع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ابن‌كثير، تفسير القرآن العظيم، ج</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البغوى، معالم‌التنزيل، ج</w:t>
      </w:r>
      <w:r>
        <w:rPr>
          <w:rFonts w:eastAsia="IRNazanin" w:cs="IRNazanin"/>
          <w:b w:val="false"/>
          <w:bCs w:val="false"/>
          <w:i w:val="false"/>
          <w:iCs w:val="false"/>
          <w:color w:val="333333"/>
          <w:sz w:val="20"/>
          <w:szCs w:val="20"/>
        </w:rPr>
        <w:t>5/26951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أهلكنا أشياعهم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أشباهكم و نظراءكم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4/51654</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الشّوكانى، فتح القدير، ج</w:t>
      </w:r>
      <w:r>
        <w:rPr>
          <w:rFonts w:eastAsia="IRNazanin" w:cs="IRNazanin"/>
          <w:b w:val="false"/>
          <w:bCs w:val="false"/>
          <w:i w:val="false"/>
          <w:iCs w:val="false"/>
          <w:color w:val="333333"/>
          <w:sz w:val="20"/>
          <w:szCs w:val="20"/>
        </w:rPr>
        <w:t>4/33454</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قُلْ‌هُوَ الْقَادِرُ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اَن يَبْعَثَ عَلَيْكُمْ عَذَاباً مِّن فَوْقِكُمْ اَوْ مِن تَحْتِ اَرْجُلِكُمْ اَوْ يَلْبِسَكُمْ شِيَعاً</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تفسيرالطبرى، ج</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الطوسى، ابى‌جعفر محمدبن الحسن، التبيان فى تفسير القرآن، بيروت، داراحياء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يجعلكم فرقاً لاتكونون شيعة واحدة</w:t>
      </w:r>
      <w:r>
        <w:rPr>
          <w:rFonts w:eastAsia="IRNazanin" w:cs="IRNazanin"/>
          <w:b w:val="false"/>
          <w:bCs w:val="false"/>
          <w:i w:val="false"/>
          <w:iCs w:val="false"/>
          <w:color w:val="333333"/>
          <w:sz w:val="20"/>
          <w:szCs w:val="20"/>
          <w:rtl w:val="true"/>
        </w:rPr>
        <w:t>. . .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ابى‌جعفر محمدبن الحسن، التبيان فى تفسير القرآن، بيروت، داراحياء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القرطبى، الجامع لاحكام القرآن، ج</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القرطبى، الجامع لاحكام القرآن، ج</w:t>
      </w:r>
      <w:r>
        <w:rPr>
          <w:rFonts w:eastAsia="IRNazanin" w:cs="IRNazanin"/>
          <w:b w:val="false"/>
          <w:bCs w:val="false"/>
          <w:i w:val="false"/>
          <w:iCs w:val="false"/>
          <w:color w:val="333333"/>
          <w:sz w:val="20"/>
          <w:szCs w:val="20"/>
        </w:rPr>
        <w:t>7/183159</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يهودونصارى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جعلوا دينهم متفرّقاً فأخذُوا ببعضه و تركوا بعضه</w:t>
      </w:r>
      <w:r>
        <w:rPr>
          <w:rFonts w:eastAsia="IRNazanin" w:cs="IRNazanin"/>
          <w:b w:val="false"/>
          <w:bCs w:val="false"/>
          <w:i w:val="false"/>
          <w:iCs w:val="false"/>
          <w:color w:val="333333"/>
          <w:sz w:val="20"/>
          <w:szCs w:val="20"/>
          <w:rtl w:val="true"/>
        </w:rPr>
        <w:t>. . .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القرطبى، الجامع لاحكام القرآن، ج</w:t>
      </w:r>
      <w:r>
        <w:rPr>
          <w:rFonts w:eastAsia="IRNazanin" w:cs="IRNazanin"/>
          <w:b w:val="false"/>
          <w:bCs w:val="false"/>
          <w:i w:val="false"/>
          <w:iCs w:val="false"/>
          <w:color w:val="333333"/>
          <w:sz w:val="20"/>
          <w:szCs w:val="20"/>
        </w:rPr>
        <w:t>7/183159</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ابن‌الجوزى، جمال‌الدين عبدالرحمن‌بن على‌بن محمد القرشى البغدادى، زاد المسير فى‌علم التفسير، تحقيق محمدبن عبدالرحمن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أحاديث ابو هاجر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بيروت، دارالفكر، طالاولى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ابن‌الجوزى، جمال‌الدين عبدالرحمن‌بن على‌بن محمد القرشى البغدادى، زاد المسير فى‌علم التفسير، تحقيق محمدبن عبدالرحمن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أحاديث ابو هاجر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بيروت، دارالفكر، طالاولى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چهارديدگاه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ضلالت از اين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 و 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مشركان،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والاحزاب، قال‌الزّجاج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شَاعَكُمُ السَّلام، و أشَاعَكُم،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فمعنى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يتّبع بعضهم بعضاً، وليس كلُّهم متفقين؛ الطبرسى، مجمع البيان،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ديدگاه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الطوسى، التبيان فى تفسير الفرآن، ج</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قول را از امام ابوجعفر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تفسير آيه به‌اعتبار عملكرد آنان،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أهل‌الضّلالة والبِدع من هذه‌الامة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الطبرسى، ابى‌على الفضل‌بن الحسن، مجمع البيان فى‌تفسير القرآن، ج</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و كُلُّ فرقة شيعة على‌حدة، و شيعّتُ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إتبعتُه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التبيان فى تفسيرالقرآن، ج</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يجعلكم فرقاً لاتكونون شيعة واحدة فاذا كنتم مختلفين قاتل بعضكم بعضاً</w:t>
      </w:r>
      <w:r>
        <w:rPr>
          <w:rFonts w:eastAsia="IRNazanin" w:cs="IRNazanin"/>
          <w:b w:val="false"/>
          <w:bCs w:val="false"/>
          <w:i w:val="false"/>
          <w:iCs w:val="false"/>
          <w:color w:val="333333"/>
          <w:sz w:val="20"/>
          <w:szCs w:val="20"/>
          <w:rtl w:val="true"/>
        </w:rPr>
        <w:t>. . .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الموسوى، السيدجاسم هاتو و شاكر عطية الساعدى، مع الدكتور السالوس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الاثنى عشرية فى الاصول و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مؤسسة التاريخ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الطباطبائى، السيد محمدحسين، الميزان، طهران، دارالكتب الاسلامية، ط الثانيه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وَلِكُلِ‌ّ أُمَّةٍ رَسُولٌ فَإِذَا جَاءَ رَسُولُهُمْ قُضِيَ بَيْنَهُمْ بِالْقِسْطِ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أَنْتُمْ بِمُعْجِزِينَ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هَذِهِ اُمَّتُكُمْ اُمَّةً وَاحِدَةً وَاَنَا رَبُّكُمْ فَاعْبُدُونِ</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وَلاَ تَكُونُوا مِنَ الْمُشْرِكِينَ</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فى علم التفسير، ج</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تفسيرالطبرى، ج</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الآلوسى، روح‌المعانى، جزء</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مَن‌شايعه وتابعه فى أمره و نهيه أو فى الدين على ما قاله جماعة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تفسيرالطبرى، ج</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قفارى، اصول مذهب‌الشيعة،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كاشف‌الغطاء، محمدحسين، أصل‌الشيعة وأصولها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العاملى، السيد محسن امين، أعيان‌الشّيعة،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به‌بعد؛ مغنيه، محمدجواد، الشيعة فى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شيعه تنها به‌دونمونه ازكافى اكتفا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 الكفر، باب تذاكرالاخوان،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شيعتنا الرّحماء بينهم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باب‌المؤمن و علاماته و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شيعتنا أهل‌الهدى وأهل‌التّقى، وأهل‌الخير وأهل‌الايمان و أهل‌الفتح والظفر</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مدينة دمشق، ج</w:t>
      </w:r>
      <w:r>
        <w:rPr>
          <w:rFonts w:eastAsia="IRNazanin" w:cs="IRNazanin"/>
          <w:b w:val="false"/>
          <w:bCs w:val="false"/>
          <w:i w:val="false"/>
          <w:iCs w:val="false"/>
          <w:color w:val="333333"/>
          <w:sz w:val="20"/>
          <w:szCs w:val="20"/>
        </w:rPr>
        <w:t>42/8895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ابن‌عساكر، تاريخ مدينة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ابن‌عساكر، 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ابن‌أثير، النهاية فى غريب‌الحديث، ج</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قمح</w:t>
      </w:r>
      <w:r>
        <w:rPr>
          <w:rFonts w:eastAsia="IRNazanin" w:cs="IRNazanin"/>
          <w:b w:val="false"/>
          <w:bCs w:val="false"/>
          <w:i w:val="false"/>
          <w:iCs w:val="false"/>
          <w:color w:val="333333"/>
          <w:sz w:val="20"/>
          <w:szCs w:val="20"/>
          <w:rtl w:val="true"/>
        </w:rPr>
        <w:t>)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الهيتمى، احمدبن‌حجرالمكى، الصواعق‌المحرقة فى‌الرّد على أهل‌البدع والزّندقة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ويليه كتاب تطهيراللسان عن الخطور التفوه سبّ سيدنا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إخراج حديث و مقدمه عبدالوهاب عبداللطيف، القاهرة، مكتبة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در مورد سند حديث چيزى نمى‌گويد</w:t>
      </w:r>
      <w:r>
        <w:rPr>
          <w:rFonts w:eastAsia="IRNazanin" w:cs="IRNazanin"/>
          <w:b w:val="false"/>
          <w:bCs w:val="false"/>
          <w:i w:val="false"/>
          <w:iCs w:val="false"/>
          <w:color w:val="333333"/>
          <w:sz w:val="20"/>
          <w:szCs w:val="20"/>
          <w:rtl w:val="true"/>
        </w:rPr>
        <w:t>.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مدينة دمشق، ج</w:t>
      </w:r>
      <w:r>
        <w:rPr>
          <w:rFonts w:eastAsia="IRNazanin" w:cs="IRNazanin"/>
          <w:b w:val="false"/>
          <w:bCs w:val="false"/>
          <w:i w:val="false"/>
          <w:iCs w:val="false"/>
          <w:color w:val="333333"/>
          <w:sz w:val="20"/>
          <w:szCs w:val="20"/>
        </w:rPr>
        <w:t>42/332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ابن‌حجرالهيتمى،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محمودبن عمر الزّمخشرى، ربيع الأبرار ونصوص الأخبار، قم، منشورات الرضى، ط الاولى</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الخير و الصّلاح و ذكرالاخيار و الصّلحاء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بحجزةالله، أى إعتصمتُ به‌والتجأتُ إليه، و حجزة الإنسان معقد السراويل و الإزار</w:t>
      </w:r>
      <w:r>
        <w:rPr>
          <w:rFonts w:eastAsia="IRNazanin" w:cs="IRNazanin"/>
          <w:b w:val="false"/>
          <w:bCs w:val="false"/>
          <w:i w:val="false"/>
          <w:iCs w:val="false"/>
          <w:color w:val="333333"/>
          <w:sz w:val="20"/>
          <w:szCs w:val="20"/>
          <w:rtl w:val="true"/>
        </w:rPr>
        <w:t>. . .) .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النّهاية فى‌غريب‌الحديث والأثر، ج</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ابن‌منظور، لسان‌العرب، بيروت، داراحياء التراث،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ابن‌حجرالهيتمى، الصواعق‌المحرقة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البندارى، التشيع بين‌مفهوم‌الائمة ومفهوم الفارسى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خود هيتمى درص،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رسول‌خدا اين‌گونه 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عَلِياً فقد أحبّنى، و من أحبّنى فقد أحبّ الله، ومَن أبغض‌عَلِياً فقدأبغَضَنى، ومن ابغضنى فقدأبغض‌الله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ابن‌عساكر به‌چند طريق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يقُل عَلِى خَيرُ النّاسِ فقدكفر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اصل‌الشّيعة و اصولها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الشيعه، ج</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از مسند احمدبن حنبل</w:t>
      </w:r>
      <w:r>
        <w:rPr>
          <w:rFonts w:eastAsia="IRNazanin" w:cs="IRNazanin"/>
          <w:b w:val="false"/>
          <w:bCs w:val="false"/>
          <w:i w:val="false"/>
          <w:iCs w:val="false"/>
          <w:color w:val="333333"/>
          <w:sz w:val="20"/>
          <w:szCs w:val="20"/>
          <w:rtl w:val="true"/>
        </w:rPr>
        <w:t>. . .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 تعليق و مراجعه صدقى محمد جميل العطار، بيروت، دارالفكر، ط الثانية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عبدالله‌بن عمرو بن‌العاص</w:t>
      </w:r>
      <w:r>
        <w:rPr>
          <w:rFonts w:eastAsia="IRNazanin" w:cs="IRNazanin"/>
          <w:b w:val="false"/>
          <w:bCs w:val="false"/>
          <w:i w:val="false"/>
          <w:iCs w:val="false"/>
          <w:color w:val="333333"/>
          <w:sz w:val="20"/>
          <w:szCs w:val="20"/>
          <w:rtl w:val="true"/>
        </w:rPr>
        <w:t>)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عمروبن أبى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ق، كتاب‌الّسّنة، تحقيق محمد ناصر الدين الالبانى، بيروت، المكتب الاسلامى، ط الثالثة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الهندى، كنزالعمّال، ج</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31222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سال هشتم هجرت</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والنّهايه، بيروت، داراحياء طالاولى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بعض أهل‌الشّقاق على‌الرّسول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أميرالمؤمنين على إلى الخوارج، الطريق السّابع</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على‌بن محمد الخزرى، أسد الغابة، تصحيح عادل أحمد الرفاعى، بيروت، داراحياء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حرقوص‌بن زهير أصل الخوارج، در اين كتاب به‌جاى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لَهُ أصحاباً يحقر أحدكم صلاته مع صلاتهم، و صيامه مع صيامهم، يمرقون من‌الدّين كمروق السّهم من‌الرّميّة</w:t>
      </w:r>
      <w:r>
        <w:rPr>
          <w:rFonts w:eastAsia="IRNazanin" w:cs="IRNazanin"/>
          <w:b w:val="false"/>
          <w:bCs w:val="false"/>
          <w:i w:val="false"/>
          <w:iCs w:val="false"/>
          <w:color w:val="333333"/>
          <w:sz w:val="20"/>
          <w:szCs w:val="20"/>
          <w:rtl w:val="true"/>
        </w:rPr>
        <w:t>. . .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حدَّثني ابوعُبَيدة بن محمدبن عمّار بن‌ياسر عن مِقسَم أبي‌القاسم مولى عبدالله‌بن الحارث‌بن نوفل،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أنا وتليدُبن كِلابٍ‌اللَّيثي، حتّى أتينا عبدالله‌بن عمروبن العاص، و هويَطوف بالبيت، معلّقاً نَعلَيه بيده،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 رسول‌الله حين يكلّمه التَّمِيميُّ يَومَ حُنَين؟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أقبَلَ رَجُلٌ من بني‌تميم، يُقال له ذوالخُوَيصِ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رَة، فوقف على رسول‌الله و هو يعطي‌النّاس،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 مَا صَنَعتَ في هذاليوم؟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فَكَيفَ رأيتَ؟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أرَكَ عَدَلتَ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رسول‌الله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 إن لم يكُن العَدلُ عِندِي فَعِندَ مَن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ألانَقتُلُهُ؟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دَعُوهُ، فإنَّهُ سَيَكُون لَه شِيعَةٌ يَتَعَمّقُون في‌الدّين، حتّى يَخرُجوا منه، كَمَا يَخرُجُ السّهمُ مِن‌الرَّمِيّةِ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متن از مسند احمد</w:t>
      </w:r>
      <w:r>
        <w:rPr>
          <w:rFonts w:eastAsia="IRNazanin" w:cs="IRNazanin"/>
          <w:b w:val="false"/>
          <w:bCs w:val="false"/>
          <w:i w:val="false"/>
          <w:iCs w:val="false"/>
          <w:color w:val="333333"/>
          <w:sz w:val="20"/>
          <w:szCs w:val="20"/>
          <w:rtl w:val="true"/>
        </w:rPr>
        <w:t>)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حديث قبلاً نقل شد</w:t>
      </w:r>
      <w:r>
        <w:rPr>
          <w:rFonts w:eastAsia="IRNazanin" w:cs="IRNazanin"/>
          <w:b w:val="false"/>
          <w:bCs w:val="false"/>
          <w:i w:val="false"/>
          <w:iCs w:val="false"/>
          <w:color w:val="333333"/>
          <w:sz w:val="20"/>
          <w:szCs w:val="20"/>
          <w:rtl w:val="true"/>
        </w:rPr>
        <w:t>) .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 عبارت است از اين‌كه همه كارهاى انسان مستند به‌خداوند است و انسان در فعل و انديشه همانند جمادات مجبور است؛ كه به‌دو گروه جبر به‌خالص كه براى عبد هيچ كار و قدرتى قايل نيست و تكليف شرعى را از او منتفى مى‌داند همانند جهميه و ضراريه و بخاريه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متوسّط، كه براى عبد قدرت غير مؤثّر قايل است، همانند حشويه از اشعرى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أميرمهنا و على‌خريس، جامع الفرق و المذاهب الاسلامية، بيروت، المركز الثقافى العربى، ط الثانية</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أبى‌داود، سليمان بن‌الأشعث، سنن أبى‌داود، تعليق محمد محيى الدين عبدالحميد،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كتاب السنّة باب فى‌القدر، رقم،</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ج</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الخامس</w:t>
      </w:r>
      <w:r>
        <w:rPr>
          <w:rFonts w:eastAsia="IRNazanin" w:cs="IRNazanin"/>
          <w:b w:val="false"/>
          <w:bCs w:val="false"/>
          <w:i w:val="false"/>
          <w:iCs w:val="false"/>
          <w:color w:val="333333"/>
          <w:sz w:val="20"/>
          <w:szCs w:val="20"/>
          <w:rtl w:val="true"/>
        </w:rPr>
        <w:t>) .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السّيبى، كامل‌المصطفى، الصلة بين‌التصوف والتشيع، بيروت، دارالآندلس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قفارى، اصول مذهب‌الشّيعة، ج</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ظهيراحسان الهى، الشّيعة والسّنّة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همان، الشّيعة والتّشيع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شعث، احمدكمال، الشّيعة فلسفة و 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على محمد، مجدى محمد، انتصارالحق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امين، عبدالله، دراسات فى الفرق المذاهب القديمة المعاصرة، بيروت، دارالحقيقه، ط ثانية مزيده،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خردى نمى‌پذيرد كه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همه تحمّل زحمت‌ها و رنج‌ها و عاقبت‌انديشى از يك‌سو، و خاتميت دين اسلام و جامع‌بودن آن و پاسخگو به‌همه نيازهاى دينى، از ديگرسو، دستاورد خويش را به‌امان‌خدا رها سازد و نسبت به‌سرنوشت آن با بى‌تفاوتى به‌لقاءالله بپيوندد</w:t>
      </w:r>
      <w:r>
        <w:rPr>
          <w:rFonts w:eastAsia="IRNazanin" w:cs="IRNazanin"/>
          <w:b w:val="false"/>
          <w:bCs w:val="false"/>
          <w:i w:val="false"/>
          <w:iCs w:val="false"/>
          <w:color w:val="333333"/>
          <w:sz w:val="20"/>
          <w:szCs w:val="20"/>
          <w:rtl w:val="true"/>
        </w:rPr>
        <w:t>!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كتاب‌هاى اصول مذهب‌الشّيعة، الشّيعة والتشيع، الشّيعة والسّنّة، انتصارالحق، الشّيعة فلسفة و تاريخ و</w:t>
      </w:r>
      <w:r>
        <w:rPr>
          <w:rFonts w:eastAsia="IRNazanin" w:cs="IRNazanin"/>
          <w:b w:val="false"/>
          <w:bCs w:val="false"/>
          <w:i w:val="false"/>
          <w:iCs w:val="false"/>
          <w:color w:val="333333"/>
          <w:sz w:val="20"/>
          <w:szCs w:val="20"/>
          <w:rtl w:val="true"/>
        </w:rPr>
        <w:t>. . . .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قبل از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الحلبى، على‌بن‌برهان‌الدين، السّيرةالحلبية فى سيرة الامين المأمون، بيروت، داراحياء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افزودن كلمه و وزيرى و وارثى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الجوزى، عبدالرحمن‌بن‌على بن محمد، المنتظم فى‌تاريخ الامم والملوك، تحقيق محمد عبدالقادر عطا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مصطفى عبدالقادر عطاء تصحيح نعيم زر زور، بيروت، دارالكتب‌العلمية، ط الاولى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حوادث سال‌چهارم نبوت، با حذف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أخى و وصيى وخليفتى</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الهندى، كنز العمال، ج</w:t>
      </w:r>
      <w:r>
        <w:rPr>
          <w:rFonts w:eastAsia="IRNazanin" w:cs="IRNazanin"/>
          <w:b w:val="false"/>
          <w:bCs w:val="false"/>
          <w:i w:val="false"/>
          <w:iCs w:val="false"/>
          <w:color w:val="333333"/>
          <w:sz w:val="20"/>
          <w:szCs w:val="20"/>
        </w:rPr>
        <w:t>13/114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36371</w:t>
      </w:r>
      <w:r>
        <w:rPr>
          <w:rFonts w:eastAsia="IRNazanin" w:cs="IRNazanin"/>
          <w:b w:val="false"/>
          <w:bCs w:val="false"/>
          <w:i w:val="false"/>
          <w:iCs w:val="false"/>
          <w:color w:val="333333"/>
          <w:sz w:val="20"/>
          <w:szCs w:val="20"/>
          <w:rtl w:val="true"/>
        </w:rPr>
        <w:t>.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محمد بن جرير، تفسير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جامع البيان فى تأويل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دارالكتب العلمية، ط الثالثة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شهاب‌الدين‌السيد محمودالبغدادى، روح المعانى، ج</w:t>
      </w:r>
      <w:r>
        <w:rPr>
          <w:rFonts w:eastAsia="IRNazanin" w:cs="IRNazanin"/>
          <w:b w:val="false"/>
          <w:bCs w:val="false"/>
          <w:i w:val="false"/>
          <w:iCs w:val="false"/>
          <w:color w:val="333333"/>
          <w:sz w:val="20"/>
          <w:szCs w:val="20"/>
        </w:rPr>
        <w:t>19/135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على‌بن‌ابى‌طالب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النّيسابورى، محمدبن عبدالله الحاكم، المستدرك على الصّحيحين، دراسة وتحقيق مطصفى عبدالقادر عطا، بيروت، دارالكتب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4579/177</w:t>
      </w:r>
      <w:r>
        <w:rPr>
          <w:rFonts w:ascii="IRNazanin" w:hAnsi="IRNazanin" w:eastAsia="IRNazanin"/>
          <w:b w:val="false"/>
          <w:b w:val="false"/>
          <w:bCs w:val="false"/>
          <w:i w:val="false"/>
          <w:i w:val="false"/>
          <w:iCs w:val="false"/>
          <w:color w:val="333333"/>
          <w:sz w:val="20"/>
          <w:sz w:val="20"/>
          <w:szCs w:val="20"/>
          <w:rtl w:val="true"/>
        </w:rPr>
        <w:t xml:space="preserve">، ترجمه‌على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حديثٌ صحيح على‌شرط مسلم ولم يخرجاه؛ ابن‌عساكر، تاريخ مدينة دمشق، ج</w:t>
      </w:r>
      <w:r>
        <w:rPr>
          <w:rFonts w:eastAsia="IRNazanin" w:cs="IRNazanin"/>
          <w:b w:val="false"/>
          <w:bCs w:val="false"/>
          <w:i w:val="false"/>
          <w:iCs w:val="false"/>
          <w:color w:val="333333"/>
          <w:sz w:val="20"/>
          <w:szCs w:val="20"/>
        </w:rPr>
        <w:t>42/1997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الطبرانى، سليمان‌بن‌احمد بن احمد ابن ايوب، المعجم‌الأوسط، تحقيق ابراهيم‌الحسينى، عربستان، دارالحرمين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xml:space="preserve">؛ الهندى، كنزالعمال، ج </w:t>
      </w:r>
      <w:r>
        <w:rPr>
          <w:rFonts w:eastAsia="IRNazanin" w:cs="IRNazanin"/>
          <w:b w:val="false"/>
          <w:bCs w:val="false"/>
          <w:i w:val="false"/>
          <w:iCs w:val="false"/>
          <w:color w:val="333333"/>
          <w:sz w:val="20"/>
          <w:szCs w:val="20"/>
        </w:rPr>
        <w:t>11/698</w:t>
      </w:r>
      <w:r>
        <w:rPr>
          <w:rFonts w:ascii="IRNazanin" w:hAnsi="IRNazanin" w:eastAsia="IRNazanin"/>
          <w:b w:val="false"/>
          <w:b w:val="false"/>
          <w:bCs w:val="false"/>
          <w:i w:val="false"/>
          <w:i w:val="false"/>
          <w:iCs w:val="false"/>
          <w:color w:val="333333"/>
          <w:sz w:val="20"/>
          <w:sz w:val="20"/>
          <w:szCs w:val="20"/>
          <w:rtl w:val="true"/>
        </w:rPr>
        <w:t>، رقم‌هاى</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32945</w:t>
      </w:r>
      <w:r>
        <w:rPr>
          <w:rFonts w:ascii="IRNazanin" w:hAnsi="IRNazanin" w:eastAsia="IRNazanin"/>
          <w:b w:val="false"/>
          <w:b w:val="false"/>
          <w:bCs w:val="false"/>
          <w:i w:val="false"/>
          <w:i w:val="false"/>
          <w:iCs w:val="false"/>
          <w:color w:val="333333"/>
          <w:sz w:val="20"/>
          <w:sz w:val="20"/>
          <w:szCs w:val="20"/>
          <w:rtl w:val="true"/>
        </w:rPr>
        <w:t>؛ المناوى، محمدعبدالرؤوف، فيض‌القدير شرح الجامع الصغير، تحقيق احمدعبدالسّلام، بيروت، دارالكتب‌العلمية، ط الاولى</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ابن‌عساكر، تاريخ مدينة دمشق، ج</w:t>
      </w:r>
      <w:r>
        <w:rPr>
          <w:rFonts w:eastAsia="IRNazanin" w:cs="IRNazanin"/>
          <w:b w:val="false"/>
          <w:bCs w:val="false"/>
          <w:i w:val="false"/>
          <w:iCs w:val="false"/>
          <w:color w:val="333333"/>
          <w:sz w:val="20"/>
          <w:szCs w:val="20"/>
        </w:rPr>
        <w:t>42/189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ابن‌كثير، البدايه والنّهاية، ج</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النيسابورى، المستدرك على الصحيحين، ج</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4641/239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صحيح‌الإسناد ولم يخرجاه؛ ابن عساكر، تاريخ مدينة دمشق، ج</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الطيالسى، أبى‌داود، مسند أبى‌داودالطياسى، بيروت، دارالحديث،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على‌الصحيحين، ج</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4625/223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 لم يخرجاه؛ ابن‌عساكر، تاريخ مدينة دمشق، ج</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چند طريق</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على‌الصحيحين، ج</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الشيخين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على‌الصحيحين، ج</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شرطالشيخين و لم يخرجاه؛ ابن‌عساكر، تاريخ مدينة دمشق، ج</w:t>
      </w:r>
      <w:r>
        <w:rPr>
          <w:rFonts w:eastAsia="IRNazanin" w:cs="IRNazanin"/>
          <w:b w:val="false"/>
          <w:bCs w:val="false"/>
          <w:i w:val="false"/>
          <w:iCs w:val="false"/>
          <w:color w:val="333333"/>
          <w:sz w:val="20"/>
          <w:szCs w:val="20"/>
        </w:rPr>
        <w:t>42/8996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3/1359</w:t>
      </w:r>
      <w:r>
        <w:rPr>
          <w:rFonts w:ascii="IRNazanin" w:hAnsi="IRNazanin" w:eastAsia="IRNazanin"/>
          <w:b w:val="false"/>
          <w:b w:val="false"/>
          <w:bCs w:val="false"/>
          <w:i w:val="false"/>
          <w:i w:val="false"/>
          <w:iCs w:val="false"/>
          <w:color w:val="333333"/>
          <w:sz w:val="20"/>
          <w:sz w:val="20"/>
          <w:szCs w:val="20"/>
          <w:rtl w:val="true"/>
        </w:rPr>
        <w:t>، كتاب فضائل‌الصّحابة،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كتاب‌المغازى، باب غزوة تبوك، رقم</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نقل،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وأنّه لانَبِى بعدى، را دارد؛ النيسابورى، مسلم‌بن‌الحجاج، صحيح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كتاب فضائل‌الصحابة، باب من‌فضائل‌على</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النّيسابورى، المستدرك على‌الصّحيحين، ج</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4652/25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الاسناد ولم يخرجاه بهذه السياقة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حديث طولانى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ابن‌ماجة، محمدبن يزيد القزوينى، سنن ابن ماجة، تحقيق محمدفؤاد و عبدالباقى، بيروت، داراحياء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الصّنعانى، المصنّف، ج</w:t>
      </w:r>
      <w:r>
        <w:rPr>
          <w:rFonts w:eastAsia="IRNazanin" w:cs="IRNazanin"/>
          <w:b w:val="false"/>
          <w:bCs w:val="false"/>
          <w:i w:val="false"/>
          <w:iCs w:val="false"/>
          <w:color w:val="333333"/>
          <w:sz w:val="20"/>
          <w:szCs w:val="20"/>
        </w:rPr>
        <w:t>11/226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8632</w:t>
      </w:r>
      <w:r>
        <w:rPr>
          <w:rFonts w:eastAsia="IRNazanin" w:cs="IRNazanin"/>
          <w:b w:val="false"/>
          <w:bCs w:val="false"/>
          <w:i w:val="false"/>
          <w:iCs w:val="false"/>
          <w:color w:val="333333"/>
          <w:sz w:val="20"/>
          <w:szCs w:val="20"/>
          <w:rtl w:val="true"/>
        </w:rPr>
        <w:t>].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ابى‌القاسم سليمان‌بن احمد، المعجم الكبير، تحقيق و اخراج احاديث حمدى عبدالمجيد السّلفى، بيروت، دار احياء التراث</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زيدبن ثابت الانصارى، ح</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كتاب معرفة الصحابه، ومناقب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4576/174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وى هر سه‌مورد را صحيح مى‌داند هرچند كه شيخين آن‌ها را نقل نكرده‌اند</w:t>
      </w:r>
      <w:r>
        <w:rPr>
          <w:rFonts w:eastAsia="IRNazanin" w:cs="IRNazanin"/>
          <w:b w:val="false"/>
          <w:bCs w:val="false"/>
          <w:i w:val="false"/>
          <w:iCs w:val="false"/>
          <w:color w:val="333333"/>
          <w:sz w:val="20"/>
          <w:szCs w:val="20"/>
          <w:rtl w:val="true"/>
        </w:rPr>
        <w:t>.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النّووى، أبى‌ذكريا يحيى‌بن شرف الدّمشقى، رياض الصّالحين، تحقيق و اخراج احاديث عبدالعزيز رباح احمديوسف الدقاق، مراجعه شعيب الارنؤوط، دمشق دارالمأمون، طالاولى</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اكرام أهل بيت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ابن‌كثير، اسماعيل‌بن كثير الدمشقى، تفسير القرآن العظيم، ج</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تفسيرآيه تطهير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جلال‌الدين، الجامع‌الصغير فى‌أحاديث البشير النذير، بيروت، دارالكتب العلمية، طالاولى</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المناوى، محمدعبدالرؤوف، فيض‌القدير شرح‌الجامع الصغير،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جلال‌الدين، الجامع‌الصغير فى‌أحاديث البشير النذير، بيروت، دارالكتب العلمية، طالاولى</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والمناوى، محمدعبدالرؤوف، فيض‌القدير شرح‌الجامع الصغير،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13/641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37621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الأمينى، عبدالحسين احمد النّجفى، الغدير فى الكتاب‌والسنّة والأدب، بيروت، مؤسسة الاعلمى للمطبوعات، ط الاولى المميزة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المناوى، فيض‌القدير، ج</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ذيل رقم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أبى عاصم، كتاب‌السّنّة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ذكرخلافت على</w:t>
      </w:r>
      <w:r>
        <w:rPr>
          <w:rFonts w:eastAsia="IRNazanin" w:cs="IRNazanin"/>
          <w:b w:val="false"/>
          <w:bCs w:val="false"/>
          <w:i w:val="false"/>
          <w:iCs w:val="false"/>
          <w:color w:val="333333"/>
          <w:sz w:val="20"/>
          <w:szCs w:val="20"/>
          <w:rtl w:val="true"/>
        </w:rPr>
        <w:t>)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بن‌محمد العجلونى الجراحى، كشف‌الخفأ و مزيل الألباس، بيروت، دارالكتب العملية،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السّقاف، حسن‌بن‌على، البشارة و الإتحاف، اردن، دارالامام النّووى، الثالثة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سيراعلام النبلاء، ج</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رقم</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المطلب‌بن‌زياد</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مدينةدمشق، ج</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ابن‌كثير، البداية والنّهاية، ج</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فى ايرادالحديث الدّالّ عَلَى‌أنّه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شهادت دهندگان را دوازده‌نفر، و اين حديث را به‌طرق مختلف نقل مى‌كند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11/332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الهيتمى، مجمع الزوائد، ج</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شمس‌الدين احمدبن احمدبن عثمان، سير اعلام النبلاء، ج </w:t>
      </w:r>
      <w:r>
        <w:rPr>
          <w:rFonts w:eastAsia="IRNazanin" w:cs="IRNazanin"/>
          <w:b w:val="false"/>
          <w:bCs w:val="false"/>
          <w:i w:val="false"/>
          <w:iCs w:val="false"/>
          <w:color w:val="333333"/>
          <w:sz w:val="20"/>
          <w:szCs w:val="20"/>
        </w:rPr>
        <w:t>8/335</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ج </w:t>
      </w:r>
      <w:r>
        <w:rPr>
          <w:rFonts w:eastAsia="IRNazanin" w:cs="IRNazanin"/>
          <w:b w:val="false"/>
          <w:bCs w:val="false"/>
          <w:i w:val="false"/>
          <w:iCs w:val="false"/>
          <w:color w:val="333333"/>
          <w:sz w:val="20"/>
          <w:szCs w:val="20"/>
        </w:rPr>
        <w:t>42/233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ج </w:t>
      </w:r>
      <w:r>
        <w:rPr>
          <w:rFonts w:eastAsia="IRNazanin" w:cs="IRNazanin"/>
          <w:b w:val="false"/>
          <w:bCs w:val="false"/>
          <w:i w:val="false"/>
          <w:iCs w:val="false"/>
          <w:color w:val="333333"/>
          <w:sz w:val="20"/>
          <w:szCs w:val="20"/>
        </w:rPr>
        <w:t>42/234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ج </w:t>
      </w:r>
      <w:r>
        <w:rPr>
          <w:rFonts w:eastAsia="IRNazanin" w:cs="IRNazanin"/>
          <w:b w:val="false"/>
          <w:bCs w:val="false"/>
          <w:i w:val="false"/>
          <w:iCs w:val="false"/>
          <w:color w:val="333333"/>
          <w:sz w:val="20"/>
          <w:szCs w:val="20"/>
        </w:rPr>
        <w:t>42/337</w:t>
      </w:r>
      <w:r>
        <w:rPr>
          <w:rFonts w:eastAsia="IRNazanin" w:cs="IRNazanin"/>
          <w:b w:val="false"/>
          <w:bCs w:val="false"/>
          <w:i w:val="false"/>
          <w:iCs w:val="false"/>
          <w:color w:val="333333"/>
          <w:sz w:val="20"/>
          <w:szCs w:val="20"/>
          <w:rtl w:val="true"/>
        </w:rPr>
        <w:t>.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شهاب‌الدين، احمدبن‌على‌بن‌حجر، لسان‌الميزان، بيروت، مؤسسة الاعلمى، ط الثالثة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ترجمه رقم</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المناوى، فيض‌القدير، ج</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٠٠٠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شهاب‌الدين، احمدبن‌على‌بن‌حجر، لسان‌الميزان، بيروت، مؤسسة الاعلمى، ط الثالثة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ترجمه رقم</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المناوى، فيض‌القدير، ج</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٠٠٠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شهاب‌الدين، احمدبن‌على‌بن‌حجر، لسان‌الميزان، بيروت، مؤسسة الاعلمى، ط الثالثة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ترجمه رقم</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المناوى، فيض‌القدير، ج</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٠٠٠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نسبت به‌اين حديث اين‌گونه موضع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حجة فى ذلك كله على تفضله على‌الشّيخين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الثّعلبى، احمدبن محمدبن‌ابراهيم النيسابورى، 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أبى‌محمدبن‌عاشور، بيروت، داراحياء التراث</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جزء</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سوره معارج</w:t>
      </w:r>
      <w:r>
        <w:rPr>
          <w:rFonts w:eastAsia="IRNazanin" w:cs="IRNazanin"/>
          <w:b w:val="false"/>
          <w:bCs w:val="false"/>
          <w:i w:val="false"/>
          <w:iCs w:val="false"/>
          <w:color w:val="333333"/>
          <w:sz w:val="20"/>
          <w:szCs w:val="20"/>
          <w:rtl w:val="true"/>
        </w:rPr>
        <w:t>)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به‌بخش ديگر از روايات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شواهد التّنزيل حسكانى، مناقب ابن‌المغازلى، فرائدالسّمطين جوينى‌الخراسانى، ينابيع المودّة قندوزى حنفى، مناقب محمدبن‌سليمان الكوفى، جواهرالعقدين سمهودى و</w:t>
      </w:r>
      <w:r>
        <w:rPr>
          <w:rFonts w:eastAsia="IRNazanin" w:cs="IRNazanin"/>
          <w:b w:val="false"/>
          <w:bCs w:val="false"/>
          <w:i w:val="false"/>
          <w:iCs w:val="false"/>
          <w:color w:val="333333"/>
          <w:sz w:val="20"/>
          <w:szCs w:val="20"/>
          <w:rtl w:val="true"/>
        </w:rPr>
        <w:t>. . . .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مهران، محمدبيومى، الامامة و أهل‌البيت، ج</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مهران، محمدبيومى، الامامة و أهل‌البيت، ج</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فخررازى، التّفسيرالكبير، ج</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تفسيرآيه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القرطبى، محمدبن احمد الانصارى، الجامع لاحكام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الآلوسى، روح‌المعانى، ج</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تفسيرآيه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القفارى، ناصربن‌عبدالله، اصول مذهب‌الشّيعة، ج</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به‌تبع شيخش ابن‌تيميه</w:t>
      </w:r>
      <w:r>
        <w:rPr>
          <w:rFonts w:eastAsia="IRNazanin" w:cs="IRNazanin"/>
          <w:b w:val="false"/>
          <w:bCs w:val="false"/>
          <w:i w:val="false"/>
          <w:iCs w:val="false"/>
          <w:color w:val="333333"/>
          <w:sz w:val="20"/>
          <w:szCs w:val="20"/>
          <w:rtl w:val="true"/>
        </w:rPr>
        <w:t>.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بيومى، الامامة وأهل‌البيت، ج</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با شواهد متعدد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به‌أولى به‌تصّرف و اولاى بر نفس مى‌گيرد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كنزالعمّال، ج</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كنزالعمّال، ج</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بيومى، الامامة وأهل‌البيت، ج</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وناداهم يوم الغدير نَبِيهم بخُمّ وأسمع بالرّسول مناديا وقد خَصّ من دون البرية كُلّها عَلِياً وسمّاه هناكَ مواخيا وقال فمن‌كنتُ مولاكم ووليكم فقالوا ولم يبدوا هناك تعاليا</w:t>
      </w:r>
      <w:r>
        <w:rPr>
          <w:rFonts w:eastAsia="IRNazanin" w:cs="IRNazanin"/>
          <w:b w:val="false"/>
          <w:bCs w:val="false"/>
          <w:i w:val="false"/>
          <w:iCs w:val="false"/>
          <w:color w:val="333333"/>
          <w:sz w:val="20"/>
          <w:szCs w:val="20"/>
          <w:rtl w:val="true"/>
        </w:rPr>
        <w:t>. .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به‌بحث پيامد منع تدوين حديث، فصل اول از بخش دوم</w:t>
      </w:r>
      <w:r>
        <w:rPr>
          <w:rFonts w:eastAsia="IRNazanin" w:cs="IRNazanin"/>
          <w:b w:val="false"/>
          <w:bCs w:val="false"/>
          <w:i w:val="false"/>
          <w:iCs w:val="false"/>
          <w:color w:val="333333"/>
          <w:sz w:val="20"/>
          <w:szCs w:val="20"/>
          <w:rtl w:val="true"/>
        </w:rPr>
        <w:t>.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مذهب‌الشّيعة الإمامية الإثنى عشرية، ج</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تحقيق محمدرشاد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مؤسسة القرطبة،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قال الرافضى البرهان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3/1394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السيبى، كامل مصطفى، الصلة بين التصّوف و التشيع، بيروت، دار الآندلس، ط الثالثة</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البندارى، التشيع بين مفهوم الائمة ومفهوم الفارسى، مقدمة سعيد حوّى، عمان، دار عمار للنشر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مجدى محمد،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 الهى، الشيعة و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الشيعة و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الفيومى، محمد ابراهيم، الفرق الاسلامية و حق الامة السياسى، قاهرة، دارالشّروق، ط الاولى</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الشيعة والتشيع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همان، الشيعة والسنّة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على محمد،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الشيعة والتشيع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پاسخ از اتهام بركافى مبتنى بر روشن شدن اين بحث است، ناگزير بايد مبناى شيعه در اين مورد برجسته گردد</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 كتاب عبدالله بن‌سبأ و اساطيراخرى، تأليف السيد مرتضى العسكرى، بيروت، دارالزهراء، ط السّادسة</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السّيبى، كامل مصطفى، الصلة بين التصوّف والتشيع، ج</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السّيبى، كامل مصطفى، الصلة بين التصوّف والتشيع، ج</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البغدادى، عبدالقاهربن طاهر، الفرق بين الفرق وبيان‌الفرقة الناجية، تحقيق وتعليق محمد محيى‌الدين عبدالحميد، بيروت، 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السّبابية أتباع عبدالله بن سبأ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مجدى، محمدفريد، دائرة المعارف القرن العشرين، بيروت، دارالمعرفة للطباعة، ط الثانية</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سبا</w:t>
      </w:r>
      <w:r>
        <w:rPr>
          <w:rFonts w:eastAsia="IRNazanin" w:cs="IRNazanin"/>
          <w:b w:val="false"/>
          <w:bCs w:val="false"/>
          <w:i w:val="false"/>
          <w:iCs w:val="false"/>
          <w:color w:val="333333"/>
          <w:sz w:val="20"/>
          <w:szCs w:val="20"/>
          <w:rtl w:val="true"/>
        </w:rPr>
        <w:t>) .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الشيعة و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الوردى، على، وعاظ السلاطين، بغداد، كلِّية الآداب والعلوم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الوردى، على، وعاظ السلاطين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محمد ابوالفضل ابراهيم، بيروت، روائع 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عبدالله، روح التشيع، بيروت، دارالبلاغة،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المقالات والفرق سعد بن عبدالله الاشعرى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فياض، عبدالله، تاريخ الامامية و اسلامهم من الشيعة، بيروت، مؤسسة الاعلمى، ط الثانية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مدينة دمشق، ج</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شباهت‌هايى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به‌كار 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اين‌كه نام ابن‌سبأ، عبدالله بود نه عمار، اين‌گونه توجيه مى‌كند كه همه مسلمانان ملقّب‌اند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يمنى بودن پدر عمار به‌اعتبار اين‌كه همه اهل يمن منسوب به‌سبأبن يشجب ابن قطحان‌اند، حب شديد عمار به‌على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عمار به‌مصر، شعار عمار مبنى بر اين‌كه عثمان خلافت را غصب كرده و نقش عمار در جنگ جمل، تحريك اباذرغفارى و پيوند دوستى محكم ميان أباذر و عمار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السيبى، كامل مصطفى، الصلة بين التصوّف و التشيع، ج</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الوردى، وعاظ السلاطين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نعمة، عبدالله، روح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ألآندلسى، احمدبن محمدبن عبد ربّه، العقد الفريد، تحقيق مفيد محمد قُمَيحة، بيروت،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الموسوى، السيد جاسم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مع الدكتورالسالوس فى كتابه مع الاثنى عشرية فى الاصول و الفروع، بيروت، مركز الزهراء، مؤسسة التاريخ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فى الدين و تمييز الفرقة الناجية عن الفرق الهالكين، تحقيق كمال يوسف الحوت، بيروت، عالم الكتب، ط الاولى</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وافق ابن السوداء عبدالله بن سبأ بعد وفاة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مقالته هذه، و كانا يدعون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الموسوى، مع الدكتور السالوس فى كتابه</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ابتداى حواث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ظهير، احسان الهى، الشعية و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الدمشقى، اسماعيل بن كثير، البداية والنهاية، تحقيق وتعليق على‌شيرى، بيروت، دارإحياء،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مجىء الاحزاب الى عثمان مرّة الثانية من مصر</w:t>
      </w:r>
      <w:r>
        <w:rPr>
          <w:rFonts w:eastAsia="IRNazanin" w:cs="IRNazanin"/>
          <w:b w:val="false"/>
          <w:bCs w:val="false"/>
          <w:i w:val="false"/>
          <w:iCs w:val="false"/>
          <w:color w:val="333333"/>
          <w:sz w:val="20"/>
          <w:szCs w:val="20"/>
          <w:rtl w:val="true"/>
        </w:rPr>
        <w:t>)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فياض، عبدالله، تاريخ الامامية وأسلافهم من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المسعودى، ابى‌الحسن على بن الحسين، مروج الذهب و معاون الجوهر، تحقيق محمد محيى‌الدين عبدالحميد، بيروت، دارالمعرفة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ذكرحروبه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اهل 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التنبيه والاشراف، تصحيح و مراجعه عبدالله اسماعيل الصاوى، قاهرة دارالصاوى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خلافة على‌بن‌ابى‌طالب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الموسوى، مع الدكتور السالوس</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الذهبى، محمد بن احمد بن عثمان، المشتبهة فى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اسمائهم و أنسابهم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على محمد البجاوى،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داراحياء الكتب العربية، ط الاولى</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بمصر،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وهب السائبى، رأس الخوارج</w:t>
      </w:r>
      <w:r>
        <w:rPr>
          <w:rFonts w:eastAsia="IRNazanin" w:cs="IRNazanin"/>
          <w:b w:val="false"/>
          <w:bCs w:val="false"/>
          <w:i w:val="false"/>
          <w:iCs w:val="false"/>
          <w:color w:val="333333"/>
          <w:sz w:val="20"/>
          <w:szCs w:val="20"/>
          <w:rtl w:val="true"/>
        </w:rPr>
        <w:t>)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محمد بن احمد بن عثمان، المشتبهة فى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اسمائهم و أنسابهم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على محمد البجاوى،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داراحياء الكتب العربية، ط الاولى</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1/346</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محمد بن احمد بن عثمان، المشتبهة فى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اسمائهم و أنسابهم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على محمد البجاوى،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داراحياء الكتب العربية، ط الاولى</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فياض، عبدالله، تاريخ الامامية واسلافهم،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الاشعرى القمى، سعد بن عبدالله، المقالات و الفرق، تصحيح و مقدمة و تعليق محمد جواد مشكور، تهران، مطبعة حيدرى</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الموسوى، مع الدكتور السالوس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الاشعرى القمى، سعدبن عبدالله، 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الموسوى، مع الدكتور السالوس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الشيعة و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الوردى، وعاظ السلاطين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العسكرى، سيدمرتضى، عبدالله بن سبأ و اساطير اخرى، بيروت، دارالزهراء، ط السادسة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الموسوى، مع الدكتور السالوس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الوردى، على، وعاظ السلاطين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ابتداى جزء</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ابتداى جزء</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البغدادى، الفرق بين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ظهير، الشيعة و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ابن ابى‌الحديد، عبدالحميد، شرح نهج البلاغه، تحقيق محمد ابوالفضل ابراهيم، بيروت، دارإحياء التراث، ط الثانية</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اشعار را هم در خصوص اين مورد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لِترمِ بى المنيةُ حيثُ شائت اذا لم تَرمِ بى‌الحُفرتين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ابن‌حجر، لسان الميزان، بيروت، مؤسسة الأعلمى، ط الثالثة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1225</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البغدادى، الفرق بين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النوبختى، فرق الشيعة، تصحيح وتعليق السيد محمد صادق آل بحرالعلوم، قم، دارالذخاير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ابن عساكر، تاريخ مدينة دمشق، ج</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ابن حجر، لسان الميزان، ج</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أظهر ابن‌سبأ هذه المقالة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امامت على و او 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انتقال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اجتمعت عليه جماعة و هم أول فرقة قالت بالتوقف و الغيبة و الرجعة</w:t>
      </w:r>
      <w:r>
        <w:rPr>
          <w:rFonts w:eastAsia="IRNazanin" w:cs="IRNazanin"/>
          <w:b w:val="false"/>
          <w:bCs w:val="false"/>
          <w:i w:val="false"/>
          <w:iCs w:val="false"/>
          <w:color w:val="333333"/>
          <w:sz w:val="20"/>
          <w:szCs w:val="20"/>
          <w:rtl w:val="true"/>
        </w:rPr>
        <w:t>. . . .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الشيعة و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على محمد، مجدى،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الشيعة و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شعث، احمد كمال، الشيعة الاماميه فلسفة وتاريخ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الفيومّى، محمد ابراهيم، الفرق الاسلامية و حق الاّمة السياسى، قاهرة، دارالشروق، ط الأولى</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الشيعة و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شعث، احمد كمال، الشيعة فلسفة وتاريخ</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الفيومى، محمد ابراهيم، الفرق الاسلامية وحق الامامة السياسى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الفيومى، محمد ابراهيم، الفرق الاسلامية وحق الامامة السياسى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الشّهرستانى، الملل والنحل، تحقيق محمد سيد كيلانى، بيروت، دارالمعرفة</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ظهير، الشيعة و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الاشعرى، مقالات الاسلاميين، ج</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عبدالله، دراسات فى الفرق و المذاهب القديمة المعاصرة، بيروت، دارالحقيقة، ط الثانية</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عبدالله، روح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البلاذرى، جمل انساب الاشراف، تحقيق ومقدمة سهيل ذكار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بيروت، دارالفكر، طالأولى</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أمرابى‌ذر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محمود، ابراهيم، ائمة و سحرة،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رياض الريس للكتب و النشر، طالاولى</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المسعودى، مروج الذهب، ج</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عثمان و ابى‌ذر</w:t>
      </w:r>
      <w:r>
        <w:rPr>
          <w:rFonts w:eastAsia="IRNazanin" w:cs="IRNazanin"/>
          <w:b w:val="false"/>
          <w:bCs w:val="false"/>
          <w:i w:val="false"/>
          <w:iCs w:val="false"/>
          <w:color w:val="333333"/>
          <w:sz w:val="20"/>
          <w:szCs w:val="20"/>
          <w:rtl w:val="true"/>
        </w:rPr>
        <w:t>) .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عبدالله، روح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ابتداى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شهرهاى حجاز، بصره، كوفه، شام و مصر؛ فياض، عبدالله، تاريخ الامامية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الوردى، وعاظ السلاطين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به‌همين رو برخى باتأثير از طبرى، اباذر را بزرگ‌ترين پرچمدار دولت اشتراكى در امور مالى و داعى تساوى ميان فقرا و اغنيا دانسته و حركت او را شبيه حركت مزدك در خطه خراسان،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الخربوطلى، الدولة العربية الإسلامية، القاهرة، دارإحياء الكتب العربية</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ابى‌ذر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فمازال حتى ولع الفقراء بمثل ذلك، واوجبوه على الاغنياء، </w:t>
      </w:r>
      <w:r>
        <w:rPr>
          <w:rFonts w:eastAsia="IRNazanin" w:cs="IRNazanin"/>
          <w:b w:val="false"/>
          <w:bCs w:val="false"/>
          <w:i w:val="false"/>
          <w:iCs w:val="false"/>
          <w:color w:val="333333"/>
          <w:sz w:val="20"/>
          <w:szCs w:val="20"/>
          <w:rtl w:val="true"/>
        </w:rPr>
        <w:t>. . . .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عبدالله، روح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البلاذرى، جمل انساب الاشراف، ج</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أبى‌ذر</w:t>
      </w:r>
      <w:r>
        <w:rPr>
          <w:rFonts w:eastAsia="IRNazanin" w:cs="IRNazanin"/>
          <w:b w:val="false"/>
          <w:bCs w:val="false"/>
          <w:i w:val="false"/>
          <w:iCs w:val="false"/>
          <w:color w:val="333333"/>
          <w:sz w:val="20"/>
          <w:szCs w:val="20"/>
          <w:rtl w:val="true"/>
        </w:rPr>
        <w:t>)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عثمان و ابى‌ذر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ابوذر به‌كعب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اليهودى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أجرك على القول فى ديننا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انساب‌الأشراف،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الجزرى، عزالدين بن اثير على بن محمد، اسدالغابة فى معرفة الصحابة، تصحيح عادل احمد الرفاعى، بيروت، دار إحياء، ط الأولى</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ابتداى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الشام فلم يقدر على ما يريد عند احد من اهل الشام فاخرجوه حتى أتى مصر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فياض، عبدالله، تاريخ الامامية و أسلافهم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عن تيسير عثمان من سير من أهل البصرة الى الشام</w:t>
      </w:r>
      <w:r>
        <w:rPr>
          <w:rFonts w:eastAsia="IRNazanin" w:cs="IRNazanin"/>
          <w:b w:val="false"/>
          <w:bCs w:val="false"/>
          <w:i w:val="false"/>
          <w:iCs w:val="false"/>
          <w:color w:val="333333"/>
          <w:sz w:val="20"/>
          <w:szCs w:val="20"/>
          <w:rtl w:val="true"/>
        </w:rPr>
        <w:t>) .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ابى ذر</w:t>
      </w:r>
      <w:r>
        <w:rPr>
          <w:rFonts w:eastAsia="IRNazanin" w:cs="IRNazanin"/>
          <w:b w:val="false"/>
          <w:bCs w:val="false"/>
          <w:i w:val="false"/>
          <w:iCs w:val="false"/>
          <w:color w:val="333333"/>
          <w:sz w:val="20"/>
          <w:szCs w:val="20"/>
          <w:rtl w:val="true"/>
        </w:rPr>
        <w:t>)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المسعودى، مروج الذهب، ج</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عثمان و ابى‌ذر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فحمله على بعير عليه قتبٌ يابس معه خمسة من الصقالبة يطيرون به‌حتى أتو المدينة وقد تسلّخت بواطن أفخاذه و كاد أن يتلف</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البلاذرى، جمل انساب الاشراف، ج</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ذى‌القعده سال</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الجزرى، اسد العابة، ج</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الطبرى، تاريخ الطبرى،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ذكرالخبر عن وفاة ابى ذر</w:t>
      </w:r>
      <w:r>
        <w:rPr>
          <w:rFonts w:eastAsia="IRNazanin" w:cs="IRNazanin"/>
          <w:b w:val="false"/>
          <w:bCs w:val="false"/>
          <w:i w:val="false"/>
          <w:iCs w:val="false"/>
          <w:color w:val="333333"/>
          <w:sz w:val="20"/>
          <w:szCs w:val="20"/>
          <w:rtl w:val="true"/>
        </w:rPr>
        <w:t>)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فياض، عبدالله، تاريخ الامامية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العسكرى، السيد مرتضى، عبدالله بن سبأ و اساطير اخرى، بيروت، دارالزهراء، ط السادسة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العربية الاسلامية، قاهرة داراحياء الكتب العربية</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البلاذرى، جمل انساب الاشراف، ج</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بار وقتى عثمان به‌مروان بخشيد آنچه را بخشيد، به‌حارث بن الحكم سيصد هزار درهم، به‌زيد بن ثابت يك‌صد هزار درهم، داد، أباذر به‌او ايراد گرفت</w:t>
      </w:r>
      <w:r>
        <w:rPr>
          <w:rFonts w:eastAsia="IRNazanin" w:cs="IRNazanin"/>
          <w:b w:val="false"/>
          <w:bCs w:val="false"/>
          <w:i w:val="false"/>
          <w:iCs w:val="false"/>
          <w:color w:val="333333"/>
          <w:sz w:val="20"/>
          <w:szCs w:val="20"/>
          <w:rtl w:val="true"/>
        </w:rPr>
        <w:t>.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سال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اخبار ابى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ابتداى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لسان الميزان، ج</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به‌اين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ديدگاه علامه عسكرى، از نظر برخى از پژوهشگران ديگر در بعضى از محورها مورد نقد قرار گرفته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 عبدالله‌بن‌سبأ الحقيقة المجهولة، تأليف محمد على المعلّم، بيروت، دارالهادى، ط الاولى</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السيد العسكرى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 كتاب طريق الحق حوار مع عالم جليل من اهل‌السّنة والجماعة، تأليف السيد الجعفر مرتضى العاملى، بيروت، المركز الاسلامى للدراسات، ط الاولى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طريق الحق حوار مع عالم جليل من اهل‌السّنة والجماعة، تأليف السيد الجعفر مرتضى العاملى، بيروت، المركز الاسلامى للدراسات، ط الاولى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رجالى شيعه تا آن‌جا كه جست‌وجو شد، از اين شخص ذكرى به‌ميان نيامده است</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الرازى، عبدالرحمن بن ابى‌حاتم محمدبن ادريس‌بن منذر لتميمى، الجرح و التعديل،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نقدالرجال، تحقيق على‌محمدالبجاوى، بيروت، دارالمعرفة، ط الأولى</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نقدالرجال، تحقيق على‌محمدالبجاوى، بيروت، دارالمعرفة، ط الأولى</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بين التصوّف و التشيع، ج</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بين التصوّف و التشيع، ج</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الكبرى، بيروت، داربيروت</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عماربن‌ياسر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البخارى، صحيح البخارى، ضبط وشرح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مصطفى ديب البغا،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دارابن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 للطباعة، ط الخامسة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التعاون فى بناء المسجد، ح</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الترمذى، سنن ترمذى، تحقيق كمال يوسف الحوت،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5/628</w:t>
      </w:r>
      <w:r>
        <w:rPr>
          <w:rFonts w:ascii="IRNazanin" w:hAnsi="IRNazanin" w:eastAsia="IRNazanin"/>
          <w:b w:val="false"/>
          <w:b w:val="false"/>
          <w:bCs w:val="false"/>
          <w:i w:val="false"/>
          <w:i w:val="false"/>
          <w:iCs w:val="false"/>
          <w:color w:val="333333"/>
          <w:sz w:val="20"/>
          <w:sz w:val="20"/>
          <w:szCs w:val="20"/>
          <w:rtl w:val="true"/>
        </w:rPr>
        <w:t xml:space="preserve">، كتاب المناقب،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عمار،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بنوه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قاهرة دارالمعارف، ط الثانية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اميرمهنّا و على خريس، جامع الفرق و المذاهب الاسلامية، بيروت، المركز الثقافى العربى، ط الثانية</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حسين، محمد، فى ادب مصر الفاطمية،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دارالفكرالعربى، ط الثانية،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ابراهيم، أئمة و سحرة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 عن مُسيلمة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وعبدالله‌بن‌سبأ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رياض‌الريس للكتب، طالأولى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بنوه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كردعلى، محمد، خطط الشام، بيروت، دارالعلم للملايين، ط الثانية</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عبدالله، روح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الذهبى، المشتبهة فى الرجال، ج</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طه حسين، على و بنوه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نگاه بلاذرى عبدالله بن سبأ همان، عبدالله بن وهب الهمدانى است؛ العسكرى، السيدمرتضى، عبدالله‌بن‌سبأ و اساطير اخرى، ج</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العاملى، السيدجعفرمرتضى، طريق الحق حوار عالم جليل من اهل السنّة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بيروت، المركز الإسلام للدراسات، ط الأولى</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ناصر، اصول مذهب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ظهير، احسان الهى، الشيعه و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همان، الشيعه و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السالوس، احمد على، مع الشيعة الاثنى عشرية فى الاصول و الفروع، ج</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البندارى، محمد، التشيع بين الائمة و المفهوم الفارسى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على محمد، مجدى محمد،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و تعليق السيد محمد صادق آل بحرالعلوم، قم، دارالذخائر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روى چاپ نسخه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و مقدمه وتعليق محمد جواد مشكور، طهران، مطبعة حيدرى</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وتصحيح محمد تقى فاضل الميبدى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ابوالفضل الموسويان، طهران، سازمان چاپ و انتشارات وزارت فرهنگ و ارشاد اسلامى، ط الاولى</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به‌اين سه كتاب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اختيارمعرفة الرجال، تصحيح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ميرداماد، تحقيق السيد مهدى الرجايى، قم،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الاشعرى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جماعة من اهل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اصحاب</w:t>
      </w:r>
      <w:r>
        <w:rPr>
          <w:rFonts w:eastAsia="IRNazanin" w:cs="IRNazanin"/>
          <w:b w:val="false"/>
          <w:bCs w:val="false"/>
          <w:i w:val="false"/>
          <w:iCs w:val="false"/>
          <w:color w:val="333333"/>
          <w:sz w:val="20"/>
          <w:szCs w:val="20"/>
          <w:rtl w:val="true"/>
        </w:rPr>
        <w:t>)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الاشعرى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جماعة من اهل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وصّى موسى</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الاشعرى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جماعة من اهل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رسول‌الله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لاشعرى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جماعة من اهل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اوّل مَن اَظهرالطعن عَلَى ابى‌بكر و عُمَر عثمان و الصّحابة و تبرأ منهم</w:t>
      </w:r>
      <w:r>
        <w:rPr>
          <w:rFonts w:eastAsia="IRNazanin" w:cs="IRNazanin"/>
          <w:b w:val="false"/>
          <w:bCs w:val="false"/>
          <w:i w:val="false"/>
          <w:iCs w:val="false"/>
          <w:color w:val="333333"/>
          <w:sz w:val="20"/>
          <w:szCs w:val="20"/>
          <w:rtl w:val="true"/>
        </w:rPr>
        <w:t>. . .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الاشعرى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جماعة من اهل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اكفرهم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النوبختى، 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القمى، 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كشّى، اختيار معرفة الرجال، ج</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القمى، 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كشّى، اختيار معرفة الرجال، ج</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 الهى، الشيعة والتشيع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أقرّ بذلك النوبختى و بعده الكشّ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و قبله سعد القمى و غيرهم الكثيرون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قفارى، اصول مذهب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الاستشهاد بما جاء فى كتب الشيعة المعتمدة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الانكار بوجود ابن‌سبأ جاء من جهة الشيعة، فالاحتجاج عليهم من كتبهم؛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طلائع العقيدة الشيعة و اصل اصولها ظهرت على يد السبئيه بإعتراف كتب الشيعة التى قالت بأنّ ابن‌سبأ أول من شهد بالقول بفرض الامامة على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شهدت كتب الشيعة بأنّ ابن‌سبأ جماعة هم أول من أظهر الطعن فى ابى بكر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ابن‌سبأ كان أوّل من قال بالنّص و الوصية، والرّجعة، و ابن‌سبأ يهودى، و هذه الآراء من اصول مذهب الشيعة، لهذا أشار القمى، و النوبختى و الكشّ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و هم شيوخ الشيعة القدامى الى هذا</w:t>
      </w:r>
      <w:r>
        <w:rPr>
          <w:rFonts w:eastAsia="IRNazanin" w:cs="IRNazanin"/>
          <w:b w:val="false"/>
          <w:bCs w:val="false"/>
          <w:i w:val="false"/>
          <w:iCs w:val="false"/>
          <w:color w:val="333333"/>
          <w:sz w:val="20"/>
          <w:szCs w:val="20"/>
          <w:rtl w:val="true"/>
        </w:rPr>
        <w:t>. . .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الموسوى، جاسم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مع الدكتور السالوس فى كتابه مع الاثنى عشرية فى الاصول و الفروع،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الموسوى، جاسم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مع الدكتور السالوس فى كتابه مع الاثنى عشرية فى الاصول و الفروع،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الموسوى، جاسم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مع الدكتور السالوس فى كتابه مع الاثنى عشرية فى الاصول و الفروع، ج</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 النجف، منشورات المكتبة الحيدرية</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همزه ازخوارج</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 النجف، منشورات المكتبة الحيدرية</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على و شيعه آن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 النجف، منشورات المكتبة الحيدرية</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شين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 النجف، منشورات المكتبة الحيدرية</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عين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 النجف، منشورات المكتبة الحيدرية</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عين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رجال الطوسى، النجف، منشورات المكتبة الحيدرية</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باب ميم</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الموسوى، جاسم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مع الدكتور السالوس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الاشعرى القمى، 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الموسوى، جاسم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مع الدكتورالسالوس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الجوهرى، اسماعيل بن حماد، الصحاح تاج اللغة و صحاح العربية، تحقيق احمد عبدالغفور عطار، بيروت، دارالعلم للملايين، ط الثالثة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ظهر الشىء بالفتح ظهوراً، تبين، و ظهرتُ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علوتُهُ؛ ابن اثير، النهاية فى غريب الحديث والأثر، تحقيق طاهر احمدالزّاوى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بيروت، المكتبة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وأظهرت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اعلنت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وأظهرتُ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بَينّتُه؛ ابن اثير، النهايةفى غريب الحديث، ج</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لنصف النهار، سُمِّى به‌من ظهيرة الشمس و هو شدة حرّها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وقيل أظهرها حراً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الفراهيدى، عبدالرحمن الخليل بن احمد، العين، تحقيق مهدى المحزومى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قم، دارالهجرة،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الشىء فى شُنعة حتى شهره الناس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وشَهَرَ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انتضاه فرفعه على الناس، و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شهر علينا السّلاح؛ ابن اثير، النهاية فى غريب الحديث</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الشهر الهلال، سمّى به، لشهرته و ظهوره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 لبس ثوب شهرة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ظهور الشىء فى شُنعة حتى يشهره الناس</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لسان‌العرب، بيروت، دار إحياء التراث العربى، طالأولى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رفعك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ىء عما يواريه و يغطيه</w:t>
      </w:r>
      <w:r>
        <w:rPr>
          <w:rFonts w:eastAsia="IRNazanin" w:cs="IRNazanin"/>
          <w:b w:val="false"/>
          <w:bCs w:val="false"/>
          <w:i w:val="false"/>
          <w:iCs w:val="false"/>
          <w:color w:val="333333"/>
          <w:sz w:val="20"/>
          <w:szCs w:val="20"/>
          <w:rtl w:val="true"/>
        </w:rPr>
        <w:t>.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الموسوى، جاسم، مع الدكتور السالوس</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اعتقاد شيعه ظهور شيعه، همزاد با اسلام است، و ده‌ها حديث درباره اين‌كه اصطلاح شيعه در زمان رسول‌الله به‌كار رفت و حضرت شيعيان خاص على و سمبل آنان را معرفى كرد، در منابع اهل‌سنت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اول از بخش چهارم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الاشعرى قمى، المقالات والفرق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الجوهرى، اسماعيل‌بن‌حماد، الصّحاح تاج اللغة صحاح العربية، ج</w:t>
      </w:r>
      <w:r>
        <w:rPr>
          <w:rFonts w:eastAsia="IRNazanin" w:cs="IRNazanin"/>
          <w:b w:val="false"/>
          <w:bCs w:val="false"/>
          <w:i w:val="false"/>
          <w:iCs w:val="false"/>
          <w:color w:val="333333"/>
          <w:sz w:val="20"/>
          <w:szCs w:val="20"/>
        </w:rPr>
        <w:t>6/2448</w:t>
      </w:r>
      <w:r>
        <w:rPr>
          <w:rFonts w:ascii="IRNazanin" w:hAnsi="IRNazanin" w:eastAsia="IRNazanin"/>
          <w:b w:val="false"/>
          <w:b w:val="false"/>
          <w:bCs w:val="false"/>
          <w:i w:val="false"/>
          <w:i w:val="false"/>
          <w:iCs w:val="false"/>
          <w:color w:val="333333"/>
          <w:sz w:val="20"/>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الفيروزآبادى، محمدبن‌يعقوب، القاموس المحيط، مصححه، بيروت، داراحياء التراث، ط الاولى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4/537</w:t>
      </w:r>
      <w:r>
        <w:rPr>
          <w:rFonts w:ascii="IRNazanin" w:hAnsi="IRNazanin" w:eastAsia="IRNazanin"/>
          <w:b w:val="false"/>
          <w:b w:val="false"/>
          <w:bCs w:val="false"/>
          <w:i w:val="false"/>
          <w:i w:val="false"/>
          <w:iCs w:val="false"/>
          <w:color w:val="333333"/>
          <w:sz w:val="20"/>
          <w:sz w:val="20"/>
          <w:szCs w:val="20"/>
          <w:rtl w:val="true"/>
        </w:rPr>
        <w:t>؛ الزبيدى، السيد محمد مرتضى، تاج العروس من جواهر القاموس،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المصطفوى، حسن، تحقيق فى كلمات القرآن، ايران، وزارة الثقافة و الارشاد الاسلامى، ط الاولى</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7/262</w:t>
      </w:r>
      <w:r>
        <w:rPr>
          <w:rFonts w:ascii="IRNazanin" w:hAnsi="IRNazanin" w:eastAsia="IRNazanin"/>
          <w:b w:val="false"/>
          <w:b w:val="false"/>
          <w:bCs w:val="false"/>
          <w:i w:val="false"/>
          <w:i w:val="false"/>
          <w:iCs w:val="false"/>
          <w:color w:val="333333"/>
          <w:sz w:val="20"/>
          <w:sz w:val="20"/>
          <w:szCs w:val="20"/>
          <w:rtl w:val="true"/>
        </w:rPr>
        <w:t>؛ ابن اثير، النهاية فى غريب الحديث و الاثر، ج</w:t>
      </w:r>
      <w:r>
        <w:rPr>
          <w:rFonts w:eastAsia="IRNazanin" w:cs="IRNazanin"/>
          <w:b w:val="false"/>
          <w:bCs w:val="false"/>
          <w:i w:val="false"/>
          <w:iCs w:val="false"/>
          <w:color w:val="333333"/>
          <w:sz w:val="20"/>
          <w:szCs w:val="20"/>
        </w:rPr>
        <w:t>23/328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الجوهرى، الصحاح تاج اللغة، ج</w:t>
      </w:r>
      <w:r>
        <w:rPr>
          <w:rFonts w:eastAsia="IRNazanin" w:cs="IRNazanin"/>
          <w:b w:val="false"/>
          <w:bCs w:val="false"/>
          <w:i w:val="false"/>
          <w:iCs w:val="false"/>
          <w:color w:val="333333"/>
          <w:sz w:val="20"/>
          <w:szCs w:val="20"/>
        </w:rPr>
        <w:t>6/2448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الرازى، حسين‌بن‌على‌بن‌محمد، روض‌الجنان و روح الجنان فى تفسيرالقرآن،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الفيروزآبادى، القاموس‌المحيط، ج</w:t>
      </w:r>
      <w:r>
        <w:rPr>
          <w:rFonts w:eastAsia="IRNazanin" w:cs="IRNazanin"/>
          <w:b w:val="false"/>
          <w:bCs w:val="false"/>
          <w:i w:val="false"/>
          <w:iCs w:val="false"/>
          <w:color w:val="333333"/>
          <w:sz w:val="20"/>
          <w:szCs w:val="20"/>
        </w:rPr>
        <w:t>4/537</w:t>
      </w:r>
      <w:r>
        <w:rPr>
          <w:rFonts w:ascii="IRNazanin" w:hAnsi="IRNazanin" w:eastAsia="IRNazanin"/>
          <w:b w:val="false"/>
          <w:b w:val="false"/>
          <w:bCs w:val="false"/>
          <w:i w:val="false"/>
          <w:i w:val="false"/>
          <w:iCs w:val="false"/>
          <w:color w:val="333333"/>
          <w:sz w:val="20"/>
          <w:sz w:val="20"/>
          <w:szCs w:val="20"/>
          <w:rtl w:val="true"/>
        </w:rPr>
        <w:t>؛ الزبيدى، تاج العروس،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محمدبن‌الحسن، التبيان فى تفسيرالقرآن، بيروت، دارإحياء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آيه</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الطبرسى، ابى على الفضل بن الحسن، مجمع البيان، تحقيق وتعليق جمعى از علما، بيروت، مؤسسة الأعلمى، ط الأولى</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محمدبن‌الحسن، التبيان فى تفسيرالقرآن، بيروت، دارإحياء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تشدّد، و تصلّب حتى جاوزالحد؛ ابن‌اثير، النهاية فى غريب الحديث، ج</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بواطن الاشياء والكشف عن عللها و غوامض متعبداتها</w:t>
      </w:r>
      <w:r>
        <w:rPr>
          <w:rFonts w:eastAsia="IRNazanin" w:cs="IRNazanin"/>
          <w:b w:val="false"/>
          <w:bCs w:val="false"/>
          <w:i w:val="false"/>
          <w:iCs w:val="false"/>
          <w:color w:val="333333"/>
          <w:sz w:val="20"/>
          <w:szCs w:val="20"/>
          <w:rtl w:val="true"/>
        </w:rPr>
        <w:t>. . .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إعتقاد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إعتقادات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حسين درگاهى، قم، المؤتمر العالمى لألفية الشيخ المفيد، الأولى</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الغلو و التفويض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والغلاة من المتظاهرين بالاِسلام همُ الذين نَسَبُوا أميرالمؤمنين والاِئمّة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الاُلُوهية والنبُوّة، و وصَفَهُم من الفضل فى الدّين والدُّنيا إلى ما تجاوَزُوا الحدّ، وخَرَجُوا عن القصد، و هم ضلال كُفّار</w:t>
      </w:r>
      <w:r>
        <w:rPr>
          <w:rFonts w:eastAsia="IRNazanin" w:cs="IRNazanin"/>
          <w:b w:val="false"/>
          <w:bCs w:val="false"/>
          <w:i w:val="false"/>
          <w:iCs w:val="false"/>
          <w:color w:val="333333"/>
          <w:sz w:val="20"/>
          <w:szCs w:val="20"/>
          <w:rtl w:val="true"/>
        </w:rPr>
        <w:t>.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الْكِتَابِ لا تَغْلُوا فِى دِينِكُمْ وَلا تَقُولُوا عَلَى اللهِ إِلا الْحَقَّ ؛ مائده</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أَهْلَ الْكِتَابِ لا تَغْلُوا فِى دِينِكُمْ غَيرَ الْحَقِ‌ّ وَلا تَتَّبِعُوا أَهْوَاءَ قَوْمٍ قَدْ ضَلُّوا مِنْ قَبْلُ وَأَضَلُّوا كَثِيرًا</w:t>
      </w:r>
      <w:r>
        <w:rPr>
          <w:rFonts w:eastAsia="IRNazanin" w:cs="IRNazanin"/>
          <w:b w:val="false"/>
          <w:bCs w:val="false"/>
          <w:i w:val="false"/>
          <w:iCs w:val="false"/>
          <w:color w:val="333333"/>
          <w:sz w:val="20"/>
          <w:szCs w:val="20"/>
          <w:rtl w:val="true"/>
        </w:rPr>
        <w:t>. .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الزمخشرى، محمود بن عمر، الكشاف عن حقائق غوامص التنزيل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بيروت، دارالكتاب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الشوكانى، محمد بن على بن محمد، فتح القدير الجامع بين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بيروت، دارالمعرفة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آيه</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ماده؛ فخررازى، التفسير الكبير، بيروت، تحقيق و نشر دارإحياء االتراث العربى، ط الأولى</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آيه</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التبيان فى تفسير القرآن،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الطبرسى، مجمع البيان، ج</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الطباطبائى، محمد حسين، الميزان فى التفسير، بيروت، مؤسسة الأعلمى، ط الثالثة</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هرسه منبع تفسير آيه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الطبرسى، مجمع البيان، ج</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الطوسى، التبيان فى تفسيرالقرآن،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الزمخشرى، الكشّاف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الشوكانى، فتح القدير، ج</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القرطبى، الجامع لاحكام القرآن، بيروت، دارإحياء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فخر الرازى، التفسير الكبير، ج</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آيه</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شهرستانى از غلوگران در اين تعريف شيعيان دوازده امامى‌اند كه اعتقاد به‌دوازده امام و غيبت امام دوازدهم و رجعت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الملل‌والنحل، ج</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غلوا فى حق أئمتهم حتى اخرجوهم من حدود الخلقية، و حكموا فيهم باحكام الالهية</w:t>
      </w:r>
      <w:r>
        <w:rPr>
          <w:rFonts w:eastAsia="IRNazanin" w:cs="IRNazanin"/>
          <w:b w:val="false"/>
          <w:bCs w:val="false"/>
          <w:i w:val="false"/>
          <w:iCs w:val="false"/>
          <w:color w:val="333333"/>
          <w:sz w:val="20"/>
          <w:szCs w:val="20"/>
          <w:rtl w:val="true"/>
        </w:rPr>
        <w:t>. . .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عبدالرحمن، تاريخ ابن‌خلدون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ديوان المبتدء و الخبر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ضبط و وضع حواشى خليل شحادة، مراجعة سهيل زكّار، بيروت، دارالفكر، ط الثالثة</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إعتقاد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إعتقادات 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الغلو و التفويض</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شيعه معيار غلو، نسبت به‌نبى و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قايل به‌الوهيت آنها شود و يا آنها را شريك خداوند در عبادت، خلقت، و رزق بدانند، و يا معتقد باشد خدا در آنها حلول نموده و با آنها متحد شده و يا اينكه آنها بدون 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غيب بدانند؛ و غلو در خصوص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آنها را انبيا، بدانند، و يا قايل باشند به‌تناسخ روح يكى به‌ديگرى، و يا معتقد باشند كه معرفت ائمه از تكاليف بى‌نياز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القمى، الشيخ عباس، سفينة البحار و مدينة الحكم والآثار، ايران، دار الاسوة،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7/666</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به‌الملل و النحل شهرستانى، ج</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السارى مقدمة فتح البارى، تصيح عبدالعزيز بن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محمدفؤاد عبدالباقى، بيروت، دارالكتب العلمية، ط الأولى</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تمييز اسباب الطعن فى المذكورين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قريب به‌همين مضمون را در كتاب تهذيب التهذيب خود،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ترجمه أبان بن تغلب، رقم</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فالتشيع فى عرف المتقدمين هو إعتقاد تفضيل عَلِى على عثمان، و أنّ علياً كان مصيباً فى حروبه و أن مخالفه مخطىء مع تقديم الشيخيين و تفضيلهما و ربما إعتقد بعضهم أنَّ علياً افضل الخلق بعد رسول‌الله و اذا كان معتقد ذلك ورعاً ديناً صادقاً مجتهداًَ فلا ترد روايته بهذا لاسّيما إن كان غير داعية؛ واما التشيع فى عرف المتأخرين فهو الرفض المحض فلا تقبل رواية الرافضى الغالى ولاكرامة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تصحيح از روى نسخه وزارت معارف حكومت هند، بيروت، دارإحياء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116/10</w:t>
      </w:r>
      <w:r>
        <w:rPr>
          <w:rFonts w:ascii="IRNazanin" w:hAnsi="IRNazanin" w:eastAsia="IRNazanin"/>
          <w:b w:val="false"/>
          <w:b w:val="false"/>
          <w:bCs w:val="false"/>
          <w:i w:val="false"/>
          <w:i w:val="false"/>
          <w:iCs w:val="false"/>
          <w:color w:val="333333"/>
          <w:sz w:val="20"/>
          <w:sz w:val="20"/>
          <w:szCs w:val="20"/>
          <w:rtl w:val="true"/>
        </w:rPr>
        <w:t>ابوعروبة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 از ريشه سبَّ، يسُبُّ، سبّاً وسباباً، به‌معنى شتم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النهاية فى غريب الحديث، ج</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 با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شتم يعنى زشتى در 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الزبيدى، تاج العروس،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الشتم قبيح الكلام، و ليس فيه 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شتيم، يعنى مرد زشت‌رو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الجوهرى، الصحاح تاج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5/1958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الزين، محمد حسين، الشيعة فى التاريخ، بيروت، دارالآثار، ط الثانية</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الهيتمى، على‌بن‌ابى‌بكر، مجمع‌الزوائد و منبع الفوائد، بيروت، دارالكتاب العربى،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فيمن يفرط فى محبته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المجلسى، بحارالأنوار، بيروت، دارإحياءالتراث العربى،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الغلاة والمفوضة، فإنهم صغّروا عصيان الله، وكفّروا به‌و أشركوا وضلّوا و أضَلّوا فراراً من إقامة الفرائض‌الله وأداء الحقوق</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ألأمالى، تحقيق مؤسسة البعثة قسم الدراسات الإسلامية، قم، دارالثقافة، ط الأولى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المجلسى، بحارالأنوار،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الوائلى، احمد، هوية التشيع، بيروت، دارالصفوة، ط الثالثة</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 محمدبن على‌بن الحسين‌بن بابويه،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و تذييل السيد مهدى الحسينى لاجوردى، قم، رضا مشهدى، چ دوم</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وجه دلائل الائمة والرد على الغلاة،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 محمدبن على‌بن الحسين‌بن بابويه،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و تذييل السيد مهدى الحسينى لاجوردى، قم، رضا مشهدى، چ دوم</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مصنّفات‌الشيخ المفيد،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فى نفى الغلو و التفويض؛ المجلسى، بحارالانوار، ج</w:t>
      </w:r>
      <w:r>
        <w:rPr>
          <w:rFonts w:eastAsia="IRNazanin" w:cs="IRNazanin"/>
          <w:b w:val="false"/>
          <w:bCs w:val="false"/>
          <w:i w:val="false"/>
          <w:iCs w:val="false"/>
          <w:color w:val="333333"/>
          <w:sz w:val="20"/>
          <w:szCs w:val="20"/>
        </w:rPr>
        <w:t>25/342</w:t>
      </w:r>
      <w:r>
        <w:rPr>
          <w:rFonts w:ascii="IRNazanin" w:hAnsi="IRNazanin" w:eastAsia="IRNazanin"/>
          <w:b w:val="false"/>
          <w:b w:val="false"/>
          <w:bCs w:val="false"/>
          <w:i w:val="false"/>
          <w:i w:val="false"/>
          <w:iCs w:val="false"/>
          <w:color w:val="333333"/>
          <w:sz w:val="20"/>
          <w:sz w:val="20"/>
          <w:szCs w:val="20"/>
          <w:rtl w:val="true"/>
        </w:rPr>
        <w:t>، كتاب الامامة، باب نفى الغلو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فصل فى بيان التفويض و معانية رمق،</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بر اعتقادات 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المجلسى، بحار الانوار، ج</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بحار الانوار، ج</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القمى، الشيخ عباس، سفينة البحار و المدينة الحكم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6/667</w:t>
      </w:r>
      <w:r>
        <w:rPr>
          <w:rFonts w:ascii="IRNazanin" w:hAnsi="IRNazanin" w:eastAsia="IRNazanin"/>
          <w:b w:val="false"/>
          <w:b w:val="false"/>
          <w:bCs w:val="false"/>
          <w:i w:val="false"/>
          <w:i w:val="false"/>
          <w:iCs w:val="false"/>
          <w:color w:val="333333"/>
          <w:sz w:val="20"/>
          <w:sz w:val="20"/>
          <w:szCs w:val="20"/>
          <w:rtl w:val="true"/>
        </w:rPr>
        <w:t xml:space="preserve">، باب غين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فى الملل و النحل و الاهواء والنحل، ج</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شنع الشيعة</w:t>
      </w:r>
      <w:r>
        <w:rPr>
          <w:rFonts w:eastAsia="IRNazanin" w:cs="IRNazanin"/>
          <w:b w:val="false"/>
          <w:bCs w:val="false"/>
          <w:i w:val="false"/>
          <w:iCs w:val="false"/>
          <w:color w:val="333333"/>
          <w:sz w:val="20"/>
          <w:szCs w:val="20"/>
          <w:rtl w:val="true"/>
        </w:rPr>
        <w:t>.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ابى‌الحسن على‌بن‌اسماعيل، مقالات الاسلاميين و اختلاف المصلين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به‌بعد و همچنين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بن طاهر، الفرق بين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بن طاهر، الفرق بين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المغنيه، محمد جواد، الشيعه فى الميزان، بيروت، دارالتعارف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موضوع تحقيق، غلو در امامت در كتاب كافى است، ولى چون مباحث گذشته زيربناى اين بحث بود ناگزير از طرح آن بوديم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مجدى محمد،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الكلينى، اصول كافى، ج</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كتاب الايمان و الكفر باب دعائم الاسلام،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السالوس، مع الشيعة الاثنى عشرية فى الاصول و الفروع، الدوحة، دارالتقوى، ط الأولى</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ناصر الدين‌شاه، العقائد الشيعة و دجّال القرن العشرين</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ظهير، احسان الهى، الشيعه و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همان، الشيعة و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برخى روايات باب</w:t>
      </w:r>
      <w:r>
        <w:rPr>
          <w:rFonts w:eastAsia="IRNazanin" w:cs="IRNazanin"/>
          <w:b w:val="false"/>
          <w:bCs w:val="false"/>
          <w:i w:val="false"/>
          <w:iCs w:val="false"/>
          <w:color w:val="333333"/>
          <w:sz w:val="20"/>
          <w:szCs w:val="20"/>
          <w:rtl w:val="true"/>
        </w:rPr>
        <w:t>)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اشاره شده در متن</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إحسان الهى، الشيعة و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الشيعه، ج</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الإمامة عند أهل‌السنة لَيست من اصول الدين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لكنها عند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بمفهومها السبئى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شأن آخر،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فى أحاديث الكلينى فى الكافى تعلوا على مرتبة النبوّة</w:t>
      </w:r>
      <w:r>
        <w:rPr>
          <w:rFonts w:eastAsia="IRNazanin" w:cs="IRNazanin"/>
          <w:b w:val="false"/>
          <w:bCs w:val="false"/>
          <w:i w:val="false"/>
          <w:iCs w:val="false"/>
          <w:color w:val="333333"/>
          <w:sz w:val="20"/>
          <w:szCs w:val="20"/>
          <w:rtl w:val="true"/>
        </w:rPr>
        <w:t>. . .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از فروع دين بودن امامت،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است بعد از 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فردى را براى رياست و زعامت و رهبرى امت منصوب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نجفى، احمد امينى، شرح جامع تجريد الاعتقاد، قم، نشر مرتضى</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6/48</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فلسفة التوحيد و الولاية، قم، مركز مطبوعات دارالتبليغ الاسلامى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از اصول دين بودن امامت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برهرفردى واجب است در هر زمانى كه زندگى مى‌كند به‌امامت شخصى كه خداوند به‌وصايت و جانشينى وى براى 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واجد جميع مقاماتى كه پيامبر دارا بوده به‌جز نبوت، خوشنود است، معتقد باشد و او را صاحب ولايت بر بندگان خدا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نجفى، احمد امينى، شرح جامع تجريد الاعتقاد، ج</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فلسفة التوحيد والولاية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التسترى، القاضى السيد نورالله‌الحسينى المرعشى الشهيد، إحقاق الحق و إزهاق الباطل، مع تعليقات السيد شهاب الدين الحسينى المرعشى النجفى،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بى‌نا، 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المجلسى، بحارالانوار، ج</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الاسلام و ج</w:t>
      </w:r>
      <w:r>
        <w:rPr>
          <w:rFonts w:eastAsia="IRNazanin" w:cs="IRNazanin"/>
          <w:b w:val="false"/>
          <w:bCs w:val="false"/>
          <w:i w:val="false"/>
          <w:iCs w:val="false"/>
          <w:color w:val="333333"/>
          <w:sz w:val="20"/>
          <w:szCs w:val="20"/>
        </w:rPr>
        <w:t>65/334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والكفر، ذيل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الخرّازى، السيد محسن، بداية المعارف فى شرح عقائد الامامية، للشيخ محمدرضا المظفر،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دارالميزان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الحوزة العلمية</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الحلّى، جمال الدين الحسن بن يوسف المطهّر، الالفين فى امامة أميرالمؤمنين على‌بن‌ابى‌طالب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بيروت، مؤسسة الاعلمى،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الامامة عندنا من جملة ماهو أعظم اركان الدين، وأنّ الإيمان لايثبت بدونها؛ حمّود، الشيخ محمد جميل، الفوائد البهية فى شرح عقائد الامامية، بيروت، مؤسسة الاعلمى، ط الثانية</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بحث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كاشف الغطاء، محمد حسين، اصل الشيعة واصولها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هو الاصل الذى إمتازت به‌الامامية وإفترقت عن سائرفرق المسلمين وهو فرق جوهرى اصلى؛ المظفر، محمد حسن، دلايل الصدق مناقشة علمية موضوعية مع ابن روز بهان، القاهرة، دارالمعلّم للطباعة، ط الثانية</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الصدوق، 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اعتقادنا فيمن جحد امامة اميرالمؤمنين على‌بن‌ابى‌طالب والائمة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بمنزلة من جحد نبوة جميع الانبياء؛ احمدى الميانجى، احمد، مواقف الشيعة، قم، مؤسسة النشر الاسلامى التابعة لجماعة المدرسين، ط الاولى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مناظرة بين الغروى والهروى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احمد الرحمانى الهمدانى، طهران، المنير للطباعة، ط الاولى</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 و الصوارم المهرقة فى جواب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جامع تجريد الاعتقاد، احمد امينى نجفى، ج</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دلايل آن را مفصل آورده است</w:t>
      </w:r>
      <w:r>
        <w:rPr>
          <w:rFonts w:eastAsia="IRNazanin" w:cs="IRNazanin"/>
          <w:b w:val="false"/>
          <w:bCs w:val="false"/>
          <w:i w:val="false"/>
          <w:iCs w:val="false"/>
          <w:color w:val="333333"/>
          <w:sz w:val="20"/>
          <w:szCs w:val="20"/>
          <w:rtl w:val="true"/>
        </w:rPr>
        <w:t>)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 الشيعة فى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يعتقدون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الإمامة اصل من اصول المذهب، لا من اصول الاسلام، وأنَّ من أنكرها فهو مسلم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حمّود، محمد جميل، الفوائد البهية فى شرح عقائد الامامية، ج</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 بعض المتأخرين الى أنّ الامامة من الاصول المذهب؛ السبحانى، جعفر، 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يبحث عن‌العدل والامامة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قم، مؤسسةالامام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الاولى</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المحسنى، آصف، صراط الحق فى المعارف الاسلامية و الاصول الاعتقادية، قم، ذوى القربى، ط الاولى</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الامامة عند الامامية من الاصول دون الفروع، لكنّها من اصول المذهب دون اصول الدين، فمن أنكرها لايخرج عن دين الاسلام إلاّ جماعة قليلة لاتجاوز 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رة بل يخرج عن مذهب الشيعه؛ الامام الخمينى، روح الله، كتاب الطهارة، تهران، مؤسسه تنظيم و نشر آثار، ط الاولى</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فى حكم المخالفين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الجرجانى، على بن محمد، شرح المواقف، للقاضى عبدالرحمن الايجى، قم، منشورات الشريف 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التفتازانى، مسعودبن عمربن عبدالله، شرح المقاصد، تحقيق وتعليق عبدالرحمن عميرة، قم، منشورات 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التفتازانى، مسعودبن عمربن عبدالله، شرح المقاصد، تحقيق وتعليق عبدالرحمن عميرة، قم، منشورات 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متن 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أصول الديانات و العقائد خلافاً للشيعه، بل 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 من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المتعلقة بافعال المكلفين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المظفر، محمدحسن، دلائل الصدق مناقشة علمية موضوعية مع ابن روزبهان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البغدادى، عبدالقاهربن طاهر، اصول‌الدين، استانبول، مطبعة الدولة</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الرازى، فخرالدين، الاربعين فى اصول الدين، القاهرة، مكتبة الكليات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وجوب الامامة اختلف الناس فيه، و ضبط المذاهب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الامام امّا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او غير واجب</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الماوردى، ابى‌الحسن على‌بن حبيب البصرى البغدادى، الاحكام السلطانية، قم، دفتر تبليغات،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يعلى محمد بن الحسين الفراء الحنبلى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ابن خلدون، عبدالرحمن، تاريخ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و عشرون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الماوردى، ابى‌الحسن على‌بن حبيب البصرى البغدادى، الاحكام السلطانية، قم، دفتر تبليغات،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يعلى محمد بن الحسين الفراء الحنبلى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ابن خلدون، عبدالرحمن، تاريخ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و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الرازى، فخرالدين الاربعين فى اصول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الجرجانى، شرح المواقف، ج</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البيضاوى، ناصرالدين ابى سعيد عبدالله عمربن محمد الشيرازى، الإبهاج فى شرح المنهاج على منهاج الوصول الى علم الاصول، تحقيق و تعليق محمود امين السيد، بيروت، دار الكتب العلمية، ط الاولى</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ق، جزء</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كه وى امامت را متواتر نمى داند؛ التسترى، احقاق الحق،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حمّود، محمد جميل، الفوائد البهية فى شرح عقائد الامامية، بيروت، مؤسسة الأعلمى، ط الثانية</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يليه تطهيرالجنان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اخراج الحديث ومقدمة عبدالوهاب عبد اللطيف، القاهرة، المكتبة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الخاتمه</w:t>
      </w:r>
      <w:r>
        <w:rPr>
          <w:rFonts w:eastAsia="IRNazanin" w:cs="IRNazanin"/>
          <w:b w:val="false"/>
          <w:bCs w:val="false"/>
          <w:i w:val="false"/>
          <w:iCs w:val="false"/>
          <w:color w:val="333333"/>
          <w:sz w:val="20"/>
          <w:szCs w:val="20"/>
          <w:rtl w:val="true"/>
        </w:rPr>
        <w:t>)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الموسوى، السيد شرف‌الدّين، موسوعة الامام السيد شرف‌الدين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الفصول‌المهمّة وابوهريرة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و تحقيق مركز العلوم الثقافة الإسلامية،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إحياء التراث الإسلامى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دارالمورخ، ط الأولى</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التسترى، احقاق الحق،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 الفصول الاسروشى</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فى الردّ على أهل البدع و الزّندقة و يليه كتاب تطهيرالجنان واللسان عن الخطور والتفوّه سبّ سيدنا معاوية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فى الردّ على أهل البدع و الزّندقة و يليه كتاب تطهيرالجنان واللسان عن الخطور والتفوّه سبّ سيدنا معاوية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الرّافضة والشّيعة ونحوهما اخوان الشّياطين وأعداء الدّين</w:t>
      </w:r>
      <w:r>
        <w:rPr>
          <w:rFonts w:eastAsia="IRNazanin" w:cs="IRNazanin"/>
          <w:b w:val="false"/>
          <w:bCs w:val="false"/>
          <w:i w:val="false"/>
          <w:iCs w:val="false"/>
          <w:color w:val="333333"/>
          <w:sz w:val="20"/>
          <w:szCs w:val="20"/>
          <w:rtl w:val="true"/>
        </w:rPr>
        <w:t>. . .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جلوه‌گاه عينى شيعه در احاديث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اول از همين بخش</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الاول فى الآيات الواردة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خاتمة، ذيل آيه يازدهم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الاول فى الآيات الواردة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خاتمة، ذيل آيه يازدهم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الآندلسى، الاصول و الفروع، تصحيح و ضبط جمعى از علماء، بيروت، دارالكتب العلمية، ط الاولى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تابواو اقامو الصلاة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النيسابورى، مسلم بن الحجاج، صحيح مسلم،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باب الدعاء الى الشهادتين،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كتاب الايمان والكفر، باب أنّ الاسلام يحقق به‌الدم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كتاب الايمان والكفر، باب أنّ الاسلام يحقق به‌الدم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به‌قول ارباب ادب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باؤك تجرّ و بائى لاتجر؟ </w:t>
      </w:r>
      <w:r>
        <w:rPr>
          <w:rFonts w:eastAsia="IRNazanin" w:cs="IRNazanin"/>
          <w:b w:val="false"/>
          <w:bCs w:val="false"/>
          <w:i w:val="false"/>
          <w:iCs w:val="false"/>
          <w:color w:val="333333"/>
          <w:sz w:val="20"/>
          <w:szCs w:val="20"/>
          <w:rtl w:val="true"/>
        </w:rPr>
        <w:t>!»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تطهيرالجنان و اللسان عن الخطور والتفوّه سبّ سيدنا</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تنبيه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الاولى فى اسلام معاوية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محمدجواد، فلسفة التوحيد و الولاية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ابى‌الحسن، الاحكام السلطانية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الاحكام السلطانية ماوردى</w:t>
      </w:r>
      <w:r>
        <w:rPr>
          <w:rFonts w:eastAsia="IRNazanin" w:cs="IRNazanin"/>
          <w:b w:val="false"/>
          <w:bCs w:val="false"/>
          <w:i w:val="false"/>
          <w:iCs w:val="false"/>
          <w:color w:val="333333"/>
          <w:sz w:val="20"/>
          <w:szCs w:val="20"/>
          <w:rtl w:val="true"/>
        </w:rPr>
        <w:t>)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على محمد، مجدى محمد،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و اختلاف المصلين، ج</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فلسفة التوحيد</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عده‌اى از اصحاب از جمله ابى عبيدة الجراح هرگز با ابوبكر بيعت نكردند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الاسكافى، محمدبن‌عبدالله المعتزلى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المعيارو الموازنة فى فضائل الامام اميرالمؤمنين على‌بن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باقر المحمودى، قم، مجمع احياء الثقافة، ط الاولى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الاصول و الفروع، جزء</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تاريخ الطبرى، ج</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شورى</w:t>
      </w:r>
      <w:r>
        <w:rPr>
          <w:rFonts w:eastAsia="IRNazanin" w:cs="IRNazanin"/>
          <w:b w:val="false"/>
          <w:bCs w:val="false"/>
          <w:i w:val="false"/>
          <w:iCs w:val="false"/>
          <w:color w:val="333333"/>
          <w:sz w:val="20"/>
          <w:szCs w:val="20"/>
          <w:rtl w:val="true"/>
        </w:rPr>
        <w:t>)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عتوم، محمدعبدالكريم، النظريه السياسية المعاصرة للشيعه الامامية الاثنى عشرية، اردن، دارالبشر،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حمود، محمدجميل، الفوائد البهية فى شرح العقايد الامامية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بُنِى‌الاسلامُ على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على‌الصّلاة والزكاة والصّوم والحج والولاية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گاهى با اندك تفاوت هفت‌بار با رقم‌هاى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به‌طرق مختلف از امامان ابى‌جعفر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 الهى، الشيعة و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محمد باقر، مرءات العقول فى شرح أخبارآل الرسول، تهران، دارالكتب الإسلامية</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كتاب الايمان،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كتاب الايمان، باب بيان اركان الاسلام</w:t>
      </w:r>
      <w:r>
        <w:rPr>
          <w:rFonts w:eastAsia="IRNazanin" w:cs="IRNazanin"/>
          <w:b w:val="false"/>
          <w:bCs w:val="false"/>
          <w:i w:val="false"/>
          <w:iCs w:val="false"/>
          <w:color w:val="333333"/>
          <w:sz w:val="20"/>
          <w:szCs w:val="20"/>
          <w:rtl w:val="true"/>
        </w:rPr>
        <w:t>.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ملّاصالح، شرح اصول الكافى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تصحيح على اكبرالغفارى، تعليق الشعرانى، طهران، المكتبة الإسلامية</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وَلَكِنْ قُولُوا أَسْلَمْنَا وَلَمَّا يدْخُلِ الإيمَانُ فِى قُلُوبِكُمْ</w:t>
      </w:r>
      <w:r>
        <w:rPr>
          <w:rFonts w:eastAsia="IRNazanin" w:cs="IRNazanin"/>
          <w:b w:val="false"/>
          <w:bCs w:val="false"/>
          <w:i w:val="false"/>
          <w:iCs w:val="false"/>
          <w:color w:val="333333"/>
          <w:sz w:val="20"/>
          <w:szCs w:val="20"/>
          <w:rtl w:val="true"/>
        </w:rPr>
        <w:t>. . .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الآندلسى، الاُصول والفروع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نامه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سؤال اعتقادى و فلسفى، تأليف سيد محمد عصّار، تصحيح و تحقيق احمد عادى، نشر بوستان كتاب چاپ اول</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اصول كافى ج</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كتاب الايمان، باب انّ الاسلام يحقن به‌الدم،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ألإيمان إقرار و عمل و الإسلام إقرار بلا عمل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أنَّ الإيمان يشرك الاسلام</w:t>
      </w:r>
      <w:r>
        <w:rPr>
          <w:rFonts w:eastAsia="IRNazanin" w:cs="IRNazanin"/>
          <w:b w:val="false"/>
          <w:bCs w:val="false"/>
          <w:i w:val="false"/>
          <w:iCs w:val="false"/>
          <w:color w:val="333333"/>
          <w:sz w:val="20"/>
          <w:szCs w:val="20"/>
          <w:rtl w:val="true"/>
        </w:rPr>
        <w:t>. . .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فى شرح أخبار آل الرسول، ج</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ثامر هاشم حبيب، دفاع عن الكافى، ايران، مركز الغديرللدراسات الإسلامية</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الَّذِى اَنزَلَ السَّكِينَةَ فِى قُلُوبِ الْمُؤْمِنِينَ لِيزْدَادُوا إِيمَاناً مَعَ إِيمَانِهِمْ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آيات ديگر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إِنَّنِى هَدَانِى رَبِّى إِلَى صِرَاطٍ مُسْتَقِيمٍ دِيناً قِيماً مِّلَّةَ إِبْرَاهِيمَ حَنِيفاً وَمَا كَانَ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صَلاَتِى وَنُسُكِى وَمَحْياى وَمَمَاتِى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شَرِيكَ لَهُ وَبِذلِكَ اُمِرْتُ وَاَنَاْ اَوَّلُ الْمُسْلِمِينَ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فى شرح أخبارآل‌الرّسول، ج</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به‌صحيح مسلم، ج</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اركان الاسلام؛ قفارى، اصول مذهب الشيعة، ج</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ظهير، الشّيعة والسّنّة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رقم هاى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هيچ‌كدام از صحيح بخارى و مسلم، معاد، جزء امور پنج‌گانه محسوب نشده است</w:t>
      </w:r>
      <w:r>
        <w:rPr>
          <w:rFonts w:eastAsia="IRNazanin" w:cs="IRNazanin"/>
          <w:b w:val="false"/>
          <w:bCs w:val="false"/>
          <w:i w:val="false"/>
          <w:iCs w:val="false"/>
          <w:color w:val="333333"/>
          <w:sz w:val="20"/>
          <w:szCs w:val="20"/>
          <w:rtl w:val="true"/>
        </w:rPr>
        <w:t>.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ثامرهاشم حبيب، دفاع عن الكافى، ج</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الطباطبائى، محمدحسين،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مذاكرات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به‌كوشش سيدهادى خسروشاهى، قم، بوستان كتاب، چ اول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انتصارالحق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الشيعه والسنّة،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شىء من ذلك افضل؟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افضل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إنّ‌الله عزّوجل فرض على‌خلقه خمساً، فرخّص فى أربع ولم يرخصّ فى واحدة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السالوس، على، مع الشيعة الاثنى عشرية، ج</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ظهير، الشيعة والسنّة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قفارى، اصول مذهب الشيعه، ج</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مفتاحُهنّ و الوالى هو الدليل عليهّن</w:t>
      </w:r>
      <w:r>
        <w:rPr>
          <w:rFonts w:eastAsia="IRNazanin" w:cs="IRNazanin"/>
          <w:b w:val="false"/>
          <w:bCs w:val="false"/>
          <w:i w:val="false"/>
          <w:iCs w:val="false"/>
          <w:color w:val="333333"/>
          <w:sz w:val="20"/>
          <w:szCs w:val="20"/>
          <w:rtl w:val="true"/>
        </w:rPr>
        <w:t>. . .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بحارالانوار، ج</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مازندرانى، شرح اصول الكافى، ج</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بحارالانوار، ج</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كه در منابع روايى فراوان نقل شده، بايد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مَن‌مَات بغيرإمام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واحتمالاً جمله‌ى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زيدى‌ها شايع كرده باشد</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ابن‌حجرالهيتمى، مجمع‌الزّوائد و منبع الفوائد، ج</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با اندك تفاوت متن‌ها</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الاسكافى، المعيار و الموازنة، تحقيق محمد باقر المحمودى، بيروت، مؤسسة فؤاد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اطلاح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شرح اصول الكافى ملاصالح مازندارنى، تصحيح على أكبرالغفارى، تعليق الشعرانى، طهران، المكتبة الإسلامية</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مصابيح الانوار فى حل مشكلات الاخبار، تأليف السيدعبدالله شبّر، طبع بيروت، مؤسسة النور للمطبوعات، ط الثانية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بحارالانوار، ج</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 ابى‌جعفر محمدبن على‌بن بابويه صدوق، الخصال، تحقيق على‌اكبر غفارى، بيروت، مؤسسة الاعلمى،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الخمسة،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بحارالانوار، ج</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الهيتمى، مجمع الزوائد، و منبع الفوائد، ج</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باب اى الناس اعلم</w:t>
      </w:r>
      <w:r>
        <w:rPr>
          <w:rFonts w:eastAsia="IRNazanin" w:cs="IRNazanin"/>
          <w:b w:val="false"/>
          <w:bCs w:val="false"/>
          <w:i w:val="false"/>
          <w:iCs w:val="false"/>
          <w:color w:val="333333"/>
          <w:sz w:val="20"/>
          <w:szCs w:val="20"/>
          <w:rtl w:val="true"/>
        </w:rPr>
        <w:t>.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الشيعه، ج</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به‌دلايل عقلى امامت و ولايت در كتاب الفوائد البهية فى شرح عقائد الامامية، ج</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التسترى، احقاق الحق، ج</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الخرّازى، بداية المعارف الالهية فى شرح عقائد الامامية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عبيدالله‌بن عبدالله‌بن احمد، شواهد التنزيل لقواعد التفضيل فى‌الآيات النازلة فى‌اهل‌البيت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به‌كتاب‌هاى ينابع المودّة، تأليف قندوزى حنفى، و جواهرالعقدين سمهودى</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ج</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ابواب الثمانين،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الحسكانى، شواهد التنزيل، ج</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باب التاسع</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بررسى اتهام طراحى امامت، از سوى ابن‌سبأ</w:t>
      </w:r>
      <w:r>
        <w:rPr>
          <w:rFonts w:eastAsia="IRNazanin" w:cs="IRNazanin"/>
          <w:b w:val="false"/>
          <w:bCs w:val="false"/>
          <w:i w:val="false"/>
          <w:iCs w:val="false"/>
          <w:color w:val="333333"/>
          <w:sz w:val="20"/>
          <w:szCs w:val="20"/>
          <w:rtl w:val="true"/>
        </w:rPr>
        <w:t>.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الكافى،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 دعائم الاسلام،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البندارى، التشيع بين مفهوم الائمة والمفهوم الفارسى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الله عزّ و جل لم يعلم نبيه علماً إلاّ أمَرَه أن يعلمّه أميرالمؤمنين، از كتاب الحجة،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بِرُمّانتينّ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فأكل نصفاً وأطعم علياً نصفاً،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تدرى هاتان الرّمّتان؟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فالنبوّة، ليس لك فيها نصيب و اما الاخرى فالعلم، أنت شريكى فيه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 باب التفويض الى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 فى انّ الائمة بمن يشبهون ممن مضى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بمنزلة رسول‌الله الاّ انّهم ليسوا بانبياء</w:t>
      </w:r>
      <w:r>
        <w:rPr>
          <w:rFonts w:eastAsia="IRNazanin" w:cs="IRNazanin"/>
          <w:b w:val="false"/>
          <w:bCs w:val="false"/>
          <w:i w:val="false"/>
          <w:iCs w:val="false"/>
          <w:color w:val="333333"/>
          <w:sz w:val="20"/>
          <w:szCs w:val="20"/>
          <w:rtl w:val="true"/>
        </w:rPr>
        <w:t>. . .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انتصارالحق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ظهير، احسان الهى، الشيعه و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باب طبقات الانبياء و الرّسل و الائمة،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عن‌جابر، عن ابى‌جعفر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انّ‌الله اتّخذ ابراهيم عبداً قبل أن يتّخذه خليلاً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إنّى جاعلك للناس اماماً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اركان الارض،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مذهب‌الشّيعة الامية الإثنى عشرية، ج</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مذهب‌الشّيعة الامية الإثنى عشرية، ج</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مذهب‌الشّيعة الامية الإثنى عشرية، ج</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مذهب‌الشّيعة الامية الإثنى عشرية، ج</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مذهب‌الشّيعة الامية الإثنى عشرية، ج</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مذهب‌الشّيعة الامية الإثنى عشرية، ج</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به‌بحث تحت عنوان غلو و اتهام به‌غلو در همين فصل</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اُمَّتِى كأنبياء بنى‌اسرائيل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زير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لما أشكل من تلخيص كتاب مسلم، ابوالعباس احمد بن الشيخ الفقيه ابى حفص عمر بن ابراهيم الانصارى القرطبى،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 بى‌نا و 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التفسير الكبير او مفاتيح الغيب، فخرالدين محمد بن التميمى الرازى الشافعى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دارالكتب العلميه،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٠٠٠</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كشف الظنون عن اسامى الكتب والفنون، حاجى خليفه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 احياء 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بى‌تا،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تاريخ بخارا، ابوبكر محمد بن جعفر نرشخى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ابونصر احمد بن محمد بن نصر القباوى، تلخيص محمد بن زفر بن عمر،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مدرس رضوى، تهران، توس، چاپ دوم،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گزيده، حمدالله بن ابى‌بكر بن احمد مستوفى قزوينى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نوايى، تهران، اميركبير، چاپ سوم،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البحر المديد، احمد بن محمد بن المهدى بن عجيبة الحسنى الادريسى الشاذلى الفاسى، بيروت، دارالكتب العلميه، چاپ دوم،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مائده،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نحل،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اللباب فى علوم الكتاب، ابوحفص عمر بن على بن عادل الدمشقى الحنبلى،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عادل احمد عبند الموجود و الشيخ على محمد معوض، بيروت، دارالكتب العلميه،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تفسير السراج المنير، محمد بن احمد الشربينى شمس الدين، بيروت، دارالكتب العلميه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تفسير روح البيان، اسماعيل حقى بن مصطفى الاستانبولى الحنفى، بيروت، دار احياء 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اعراف،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زهرة التفاسير، محمد ابوزهره، بيروت، دار الفكر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نظم الدرر فى تناسب الآيات و السور، برهان الدين ابى الحسن ابراهيم بن عمر البقاعى، بيروت، دار الكتب العلميه،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أوائل‌المقالات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همان، مزارالمفيد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أوائل المقالات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أوائل‌المقالات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همان، مزارالمفيد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أوائل المقالات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بخارا، ابوبكر محمد بن جعفر نرشخى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ابونصر احمد بن محمد بن نصر القباوى، تلخيص محمد بن زفر بن عمر،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مدرس رضوى، تهران، توس، چاپ دوم،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گزيده، حمدالله بن ابى‌بكر بن احمد مستوفى قزوينى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نوايى، تهران، اميركبير، چاپ سوم،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النسائى، سنن السنايى، بشرح السيوطى و حاشية الامام السندى،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ترك التوقيت فى الماء</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 العلم قبل القول؛ ابن‌ماجة، سنن‌ابن‌ماجة، ج</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مقدمه باب فضل العلماء، 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الهيتمى، مجمع الزوائد و منبع الفوائد، ج</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باب فضل‌العلماء و مجالستهم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خلفاء الانبياء</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بحارالانوار، ج</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ابواب العلم و آدابه،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كتاب‌الامامة،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لايجب عنهم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العشرة،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كتاب الحجة، باب فى أنّ الائمة بمن يشبهون ممن‌مضى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ملّاصالح، شرح اصول الكافى، ج</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فى شرح أخبارآل‌الرسول، ج</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فى شرح أخبارآل‌الرسول، ج</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يكى دخالت در تقويت نبوت و ديگرى در تقويت علم، داشته باشد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باب انّ الله عزوجل لم يعلّم نبيه علماً الّا امره ان يعلّمه علياً،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شرح اصول الكافى، ج</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بر مبناى يك‌سوم دو عدد انار، يا بر مبناى يك‌سوم كل دانه‌هاى انارها</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شرح اصول الكافى، ج</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الكافى، ج</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باب طبقات الانبياء و الرسول و الائمة،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الفرق بين الرسول و النبى والمحدّث،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نخست مجموع انبياء و رسولان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هركدام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مرءات العقول، ج</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به‌چهار دسته تقسيم مى‌كند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پيامبر خودش است، نه فرشته بر او فرو فرستاده مى‌شود و نه صداى او را مى‌شنود و نه دستور تبليغ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پيام‌هاى الهى را در خواب مى‌بيند و صداى فرشته را مى‌شنود ولى در بيدارى خود او را نمى‌بيند مانند لوط كه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امام بر او نظارت داشت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دومى است ولى فرشته را در بيدارى مى‌بيند و مأموريت تبليغ دارد مانند حضرت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ويژگى‌هاى گروه سوم خودش امام و اولوالعزم است مانند ابراهيم پس از نبوت، براى اطلاع بيشتر به‌ويژه در مورد فرق گروه اول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به‌مرءات العقول، ج</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اصول الكافى مازندرانى، ج</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الكافى، ج</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فرق ميان نبى و رسول،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 شرح المقاصد تفتازانى، 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برخى براساس نقل فخررازى، معتقدند ابتلاى ابراهيم قبل از نبوت بوده است؛ زيرا امور مورد ابتلاء سبب، و امامت مسبب است، و سبب بايد مقدم بر مسبب باشد، آنگاه اين سؤال را كه از چه طريق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به‌موارد ابتلاء اطلاع يافت، اين‌گونه پاسخ داده كه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 دارد خداوند به‌زبان جبرئيل به‌او وحى كرد به‌تكاليف شاق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 بى‌ترديد وحى به‌زبان جبرئيل، غير از نبوت نيست؛ و خود فخررازى ابتلاء به‌ذبح ولد و هجرت و انداختن آتش و ختنه شدن در سن</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سالگى آن حضرت را بعد از نبوت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التفسيرالكبير، ج</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المسأله السادسة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الزمخشرى، الكشاف عن حقائق غوامض التنزيل، بيروت، دار الكتاب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ابن‌كثير، اسماعيل، تفسيرالقرآن العظيم، بيروت، دارالمعرفة،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البيضاوى، عمربن‌محمد، انوار التنزيل و اسرار التأويل المسمّى تفسير البيضاوى، تحقيق و تعليق</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محمدصبحى‌بن‌حسن خلاق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بيروت، دارالرشيد، ط الاولى</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ابى‌حيان الآندلسى، محمد بن يوسف، البحر المحيط فى التفسير، بيروت، دارالفكر</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ابى‌حيان الآندلسى، محمد بن يوسف، البحر المحيط فى التفسير، بيروت، دارالفكر</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الثعالبى، عبدالرّحمن بن مخلوف، جواهر الحسّان فى تفسير القرآن، تحقيق محمد الفاضلى، بيروت المكتبة العصرية، ط الاولى</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الزمخشرى، الكشاف، ج</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ابى‌حيان، البحرالمحيط، ج</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القرطبى، الجامع لاحكام القرآن، ج</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السابع عشر؛ ابن‌كثير، تفسير القرآن العظيم، ج</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تفسيرالقرآن العظيم والسّبع المثانى، بيروت، دارإحياءالتراث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التفسيرالكبير، ج</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الخامسة، در توضيح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ذريتى</w:t>
      </w:r>
      <w:r>
        <w:rPr>
          <w:rFonts w:eastAsia="IRNazanin" w:cs="IRNazanin"/>
          <w:b w:val="false"/>
          <w:bCs w:val="false"/>
          <w:i w:val="false"/>
          <w:iCs w:val="false"/>
          <w:color w:val="333333"/>
          <w:sz w:val="20"/>
          <w:szCs w:val="20"/>
          <w:rtl w:val="true"/>
        </w:rPr>
        <w:t>)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التفسيرالكبير، ج</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المسأله الاولى، زير عنوان المسأله السابعة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الطبرسى، ابى‌على الفضل بن‌الحسن، مجمع البيان فى تفسيرالقرآن، ج</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تفسيرالقرآن العظيم، ج</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همان، باب‌الفرق بين الرسول و النّبى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هو الذى يسمع الكلام و الصوت ولا يرى ولا يعاين الملك</w:t>
      </w:r>
      <w:r>
        <w:rPr>
          <w:rFonts w:eastAsia="IRNazanin" w:cs="IRNazanin"/>
          <w:b w:val="false"/>
          <w:bCs w:val="false"/>
          <w:i w:val="false"/>
          <w:iCs w:val="false"/>
          <w:color w:val="333333"/>
          <w:sz w:val="20"/>
          <w:szCs w:val="20"/>
          <w:rtl w:val="true"/>
        </w:rPr>
        <w:t>. .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الاصفهانى، الراغب، مفردات الفاظ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 ى</w:t>
      </w:r>
      <w:r>
        <w:rPr>
          <w:rFonts w:eastAsia="IRNazanin" w:cs="IRNazanin"/>
          <w:b w:val="false"/>
          <w:bCs w:val="false"/>
          <w:i w:val="false"/>
          <w:iCs w:val="false"/>
          <w:color w:val="333333"/>
          <w:sz w:val="20"/>
          <w:szCs w:val="20"/>
          <w:rtl w:val="true"/>
        </w:rPr>
        <w:t>)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الجزرى، محمدبن‌اثير، النهاية فى غريب الحديث و الاثر، ج</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w:t>
      </w:r>
      <w:r>
        <w:rPr>
          <w:rFonts w:eastAsia="IRNazanin" w:cs="IRNazanin"/>
          <w:b w:val="false"/>
          <w:bCs w:val="false"/>
          <w:i w:val="false"/>
          <w:iCs w:val="false"/>
          <w:color w:val="333333"/>
          <w:sz w:val="20"/>
          <w:szCs w:val="20"/>
          <w:rtl w:val="true"/>
        </w:rPr>
        <w:t>)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الفراهيدى، خليل‌بن‌احمد، العين،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الجزرى، محمدبن‌اثير، النهاية فى غريب الحديث و الاثر، ج</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تفسيرالطبرى، ج</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ابن‌كثير، تفسير القرآن العظيم، ج</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ابن‌كثير، تفسير القرآن العظيم، ج</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التفتازانى، شرح المقاصد، 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الرزقانى، محمد عبدالعظيم، مناهل العرفان فى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تحقيق احمد طعمه حلّى، بيروت، دارالمعرفة، طالثالثة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به‌يارى خداوند در بخش پنجم معيارهاى تكفير و انواع آن بررسى خواهد شد</w:t>
      </w:r>
      <w:r>
        <w:rPr>
          <w:rFonts w:eastAsia="IRNazanin" w:cs="IRNazanin"/>
          <w:b w:val="false"/>
          <w:bCs w:val="false"/>
          <w:i w:val="false"/>
          <w:iCs w:val="false"/>
          <w:color w:val="333333"/>
          <w:sz w:val="20"/>
          <w:szCs w:val="20"/>
          <w:rtl w:val="true"/>
        </w:rPr>
        <w:t>.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الحلّى، حسن‌بن يوسف‌بن المطهّر، نهج الحق و الكشف الصدق، تعليق عين‌الله الحسن الارموى، مقدمه السيد رضا الصدر، قم، منشورات دارالهجره، ط پنجم</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 الهى، الشّيعة و التشيع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على محمد،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السالوس، مع الشيعة الإثنى عشرية فى الاصول و الفروع،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 احمدكمال، الشيعة فلسفة و 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مال‌الله، محمد، الشّيعة وصكوك الغفران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مكتبة ابن تيمية، ط الأولى</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مذهب‌الشّيعة الإمامية الإثنى عشرية، ج</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فرض‌طاعة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انّ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ولاة امرالله و خزنة علمه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انّ الائمة خلفاء الله</w:t>
      </w:r>
      <w:r>
        <w:rPr>
          <w:rFonts w:eastAsia="IRNazanin" w:cs="IRNazanin"/>
          <w:b w:val="false"/>
          <w:bCs w:val="false"/>
          <w:i w:val="false"/>
          <w:iCs w:val="false"/>
          <w:color w:val="333333"/>
          <w:sz w:val="20"/>
          <w:szCs w:val="20"/>
          <w:rtl w:val="true"/>
        </w:rPr>
        <w:t>. . .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كتاب الايمان و الكفر، باب نادر ايضاً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عبدالفتاح الخالدى، الكلينى و تأويلاته الباطنية للآيات القرآنية فى كتابه اصول الكافى، الأردن، دارعمار</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الخطيب، محب‌الدين، الخطوطالعريضة للأسس التى قام عليها دين‌الشيعة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الأردن، دارعمار، ط الأولى</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جابربن إدريس بن‌على‌أمير، مقالة التّشبيه و موقف أهل‌السنّة منها، الرياض، مكتبة أضواءالسلف، طالأولى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 تأليف علامه حلّى؛ اسرار الامامة، عماد الدين الحسن‌بن على الطبرسى؛ الشافى فى الامامة، الشريف المرتضى على‌بن‌الحسين الموسوى؛ أوائل‌المقالات، شيخ مفيد؛ علم اليقين، فيض كاشانى؛ احقاق الحق، نورالله التسترى؛ مجمع البيان فى تفسير القرآن، الفضل بن‌الحسن الطبرسى،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الميزان فى تفسير القرآن، محمدحسين الطباطبايى،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الاصفهانى، الراغب، المفردات فى غريب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الزبيدى، تاج العروس، ج</w:t>
      </w:r>
      <w:r>
        <w:rPr>
          <w:rFonts w:eastAsia="IRNazanin" w:cs="IRNazanin"/>
          <w:b w:val="false"/>
          <w:bCs w:val="false"/>
          <w:i w:val="false"/>
          <w:iCs w:val="false"/>
          <w:color w:val="333333"/>
          <w:sz w:val="20"/>
          <w:szCs w:val="20"/>
        </w:rPr>
        <w:t>17/482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النهاية فى غريب الحديث، ج</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الجوهرى، اسماعيل بن حمّاد، الصحاح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به‌معناى كسب هم آورده</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الفراهيدى، خليل‌بن‌احمد، العين، ج</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العين و الصاد و الميم</w:t>
      </w:r>
      <w:r>
        <w:rPr>
          <w:rFonts w:eastAsia="IRNazanin" w:cs="IRNazanin"/>
          <w:b w:val="false"/>
          <w:bCs w:val="false"/>
          <w:i w:val="false"/>
          <w:iCs w:val="false"/>
          <w:color w:val="333333"/>
          <w:sz w:val="20"/>
          <w:szCs w:val="20"/>
          <w:rtl w:val="true"/>
        </w:rPr>
        <w:t>. . .)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الجوهرى، الصحاح، ج</w:t>
      </w:r>
      <w:r>
        <w:rPr>
          <w:rFonts w:eastAsia="IRNazanin" w:cs="IRNazanin"/>
          <w:b w:val="false"/>
          <w:bCs w:val="false"/>
          <w:i w:val="false"/>
          <w:iCs w:val="false"/>
          <w:color w:val="333333"/>
          <w:sz w:val="20"/>
          <w:szCs w:val="20"/>
        </w:rPr>
        <w:t>5/1986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النهاية فى غريب الحديث و الأثر، ج</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الجوهرى، الصحاح، ج</w:t>
      </w:r>
      <w:r>
        <w:rPr>
          <w:rFonts w:eastAsia="IRNazanin" w:cs="IRNazanin"/>
          <w:b w:val="false"/>
          <w:bCs w:val="false"/>
          <w:i w:val="false"/>
          <w:iCs w:val="false"/>
          <w:color w:val="333333"/>
          <w:sz w:val="20"/>
          <w:szCs w:val="20"/>
        </w:rPr>
        <w:t>5/19986</w:t>
      </w:r>
      <w:r>
        <w:rPr>
          <w:rFonts w:ascii="IRNazanin" w:hAnsi="IRNazanin" w:eastAsia="IRNazanin"/>
          <w:b w:val="false"/>
          <w:b w:val="false"/>
          <w:bCs w:val="false"/>
          <w:i w:val="false"/>
          <w:i w:val="false"/>
          <w:iCs w:val="false"/>
          <w:color w:val="333333"/>
          <w:sz w:val="20"/>
          <w:sz w:val="20"/>
          <w:szCs w:val="20"/>
          <w:rtl w:val="true"/>
        </w:rPr>
        <w:t>؛ الزبيدى، تاج العروس، ج</w:t>
      </w:r>
      <w:r>
        <w:rPr>
          <w:rFonts w:eastAsia="IRNazanin" w:cs="IRNazanin"/>
          <w:b w:val="false"/>
          <w:bCs w:val="false"/>
          <w:i w:val="false"/>
          <w:iCs w:val="false"/>
          <w:color w:val="333333"/>
          <w:sz w:val="20"/>
          <w:szCs w:val="20"/>
        </w:rPr>
        <w:t>17/482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الفراهيدى، العين، ج</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جواهرالقاموس، تحقيق على‌شيرى، بيروت، دارالفكر</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17/482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إلايجى، عبدالرحمن، شرح المواقف، شرح السيد شريف على‌بن محمد الجرجانى، قم، منشورات الشريف الرضى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إلايجى، عبدالرحمن، شرح المواقف، شرح السيد شريف على‌بن محمد الجرجانى، قم، منشورات الشريف الرضى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و هو محصّل افكارالمتقدمين والمتأخرين من الحكماء،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تقديم و تحقيق حسين أتاى، قاهرة، مكتبة دارالتراث، ط الاولى</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لطفٌ عامٌّ و النّبوةُ لطفٌ خاصٌ، لامكان خلق‌الزمان من نبّى حى بخلاف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الحلّى، جمال الدين الحسن ابن يوسف المطهر، الالفين فى امامة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المفيدج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رضا المختارى، قم، المؤتمرالعالمى لألفية الشيخ المفيد، طالأولى</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الطبرسى، الحسن بن على، أسرارالامامة، تحقيق وتصحيح قسم الكلام، مشهد، مؤسسة الطبع التابعة للآستانة الرضوية</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بحرانى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لطف خفى يفعله الله تعالى بالمكلف بحيث لايمكن له داع الى ترك الطاعة و ارتكاب المعصية مع قدرته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منارالهدى، فى النصّ على امامة الامة الاثنى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و تعليق السيد عبدالزهراء الخطيب، بيروت، دارالمنتظر، طالاولى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وى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ملكة نفسانية لا تصدر عن صاحبها المعاصى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تفسير عصمت مى داند؛ محمد حسن‌مظفر اين تعريف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ملكة تقتضى عدم مخالفة التكاليف اللزّومية عمداً و خطاً مع القدرة على الخلاف، براى عصمت مى‌پسندد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الصدق، ج</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ملكه را به‌كيفيت راسخ در نفس، تفسير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التسترى، إحقاق الحق، تعليقة آية الله المرعشى النجفى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 بى‌نا، 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المفيد، النكت الاعتقادية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الطوسى، تصحيح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المصنفات الشيخ المفيد،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ابوجعفر محمدبن الحسن، تلخيص الشافى، مقدمه و تعليق السيدحسين بحرالعلوم، قم، منشورات العزيزى، ط الثالثة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زيرا، اگر امام معصوم از خطا نباشد، نياز به‌امام ديگر دارد تا امور دين را اقامه كند، و همين‌طور اين نياز متوقف نمى‌شود تا به‌امام معصوم برسد و إلا تسلسل خواهد شد</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التفتازانى، شرح المقاصد، تحقيق وتعليق ومقدمة عبدالرحمن العُميرة، قم، منشورات الشريف الرضى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الايجى، شرح المواقف، ج</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الفخرالرازى، المحصّل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 البغدادى، عبدالقاهر ابن طاهر التميمى، اصول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عشرة من هذا الاصل</w:t>
      </w:r>
      <w:r>
        <w:rPr>
          <w:rFonts w:eastAsia="IRNazanin" w:cs="IRNazanin"/>
          <w:b w:val="false"/>
          <w:bCs w:val="false"/>
          <w:i w:val="false"/>
          <w:iCs w:val="false"/>
          <w:color w:val="333333"/>
          <w:sz w:val="20"/>
          <w:szCs w:val="20"/>
          <w:rtl w:val="true"/>
        </w:rPr>
        <w:t>. . .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 الصحيح من سيرة النبى الاعظم، تأليف السيد جعفر مرتضى العاملى، ج</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الفخرالرازى، الاربعين فى اصول الدين، تحقيق احمد حجازى السقا، القاهرة، مكتبة الكليات الأزهرية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البغدادى، اصول‌الدين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 اصحابنا على وجوب كون الانبياء معصومين بعد النبوة عن الذنوب، و اما السهو و الخطاء فليسا من الذنوب</w:t>
      </w:r>
      <w:r>
        <w:rPr>
          <w:rFonts w:eastAsia="IRNazanin" w:cs="IRNazanin"/>
          <w:b w:val="false"/>
          <w:bCs w:val="false"/>
          <w:i w:val="false"/>
          <w:iCs w:val="false"/>
          <w:color w:val="333333"/>
          <w:sz w:val="20"/>
          <w:szCs w:val="20"/>
          <w:rtl w:val="true"/>
        </w:rPr>
        <w:t>.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الفخرالرازى، المحصّل وهو محصّل الأفكار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العاملى، السيد جعفر مرتضى، الصحيح من سيرة النبى الاعظم، ج</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الغرانيق</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البغدادى، اصول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المظفر، محمد الحسن، دلائل الصدق، ج</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بغدادى، اصول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الاّمة إنَّ العصمة من شروط النبوة والرسالة و ليست من شروط الامامة و إنما يشترط فيها عدالة ظاهرة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الفخر الرازى، الاربعين فى اصول الدين، ج</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الثانى فى انّه لا يحب ان يكون الامام معصوماً</w:t>
      </w:r>
      <w:r>
        <w:rPr>
          <w:rFonts w:eastAsia="IRNazanin" w:cs="IRNazanin"/>
          <w:b w:val="false"/>
          <w:bCs w:val="false"/>
          <w:i w:val="false"/>
          <w:iCs w:val="false"/>
          <w:color w:val="333333"/>
          <w:sz w:val="20"/>
          <w:szCs w:val="20"/>
          <w:rtl w:val="true"/>
        </w:rPr>
        <w:t>. .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الرازى، الاربعين فى اصول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خواجه نصيرالدين، تلخيص المحصّل المعروف بنقد المحصّل، بيروت، دارالاضواء، الثانية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العميدى، دفاع عن الكافى، ج</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الطباطبايى، السيد محمد حسين، 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إلى مستحقى التقديم، زين الدين ابى‌محمدعلى‌بن يونس العاملى النباطى البياضى، تصحيح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محمد الباقر البهبودى، النجف، المكتبة المرتضوية لاحياء الآثار الجعفريه، ط الاولى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تلخيص‌الشّافى، ابى‌جعفرالطوسى،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الحلّى، الحسن‌بن يوسف بن الطهر، نهج‌الحق و كشف الصدق؛ التسترى، احقاق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الالفين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محمدبن الحسن، تلخيص الشافى، مقدمة وتعليق السيد حسين بحرالعلوم، قم، منشورات العزيزى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العاملى، على‌بن يونس النباطى البياضى، الصراط المستقيم إلى مستحقى التقديم، ج</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الحلّى، نهج الحق و كشف‌الصّدق، تعليقة عين‌الله الأرموى، قم، دارالهجرة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 لةالخامسة فى الامامة؛ التسترى، احقاق الحق، ج</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العاملى، الصراط المستقيم، ج</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 و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الموسوى، السيد جاسم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مع الدكتورالسالوس فى كتابه مع الاثنى عشرية فى الاصول والفروع، بيروت، مركزالزهراء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التاريخ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الحّلى الحسن بن يوسف المطهر، الالفين، مقدمة حسين الأعلمى، بيروت، مؤسسة الأعلمى، ط الثالثة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 الصراط المستقيم ج</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 و كتاب الفين علامه حلّى</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تفسيرالطبرى، ج</w:t>
      </w:r>
      <w:r>
        <w:rPr>
          <w:rFonts w:eastAsia="IRNazanin" w:cs="IRNazanin"/>
          <w:b w:val="false"/>
          <w:bCs w:val="false"/>
          <w:i w:val="false"/>
          <w:iCs w:val="false"/>
          <w:color w:val="333333"/>
          <w:sz w:val="20"/>
          <w:szCs w:val="20"/>
        </w:rPr>
        <w:t>10/269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السيوطى، الدرّالمنثور،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الثعابى، عبدالرحمن ابن مخلوف، جواهرالحسان فى‌تفسيرالقرآن، ج</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الهيتمى، على‌بن‌ابى‌بكر، مجمع الزوائد و منبع‌الفوائد، ج</w:t>
      </w:r>
      <w:r>
        <w:rPr>
          <w:rFonts w:eastAsia="IRNazanin" w:cs="IRNazanin"/>
          <w:b w:val="false"/>
          <w:bCs w:val="false"/>
          <w:i w:val="false"/>
          <w:iCs w:val="false"/>
          <w:color w:val="333333"/>
          <w:sz w:val="20"/>
          <w:szCs w:val="20"/>
        </w:rPr>
        <w:t>9/1210</w:t>
      </w:r>
      <w:r>
        <w:rPr>
          <w:rFonts w:ascii="IRNazanin" w:hAnsi="IRNazanin" w:eastAsia="IRNazanin"/>
          <w:b w:val="false"/>
          <w:b w:val="false"/>
          <w:bCs w:val="false"/>
          <w:i w:val="false"/>
          <w:i w:val="false"/>
          <w:iCs w:val="false"/>
          <w:color w:val="333333"/>
          <w:sz w:val="20"/>
          <w:sz w:val="20"/>
          <w:szCs w:val="20"/>
          <w:rtl w:val="true"/>
        </w:rPr>
        <w:t xml:space="preserve">، باب جامع فى مناقبة رضى‌الله‌عنه،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فضل‌اهل‌البيت رضى‌الله‌عنهم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الطحاوى، الحافظ ابى‌جعفر، مشكل الآثار، بيروت، دارصادر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الحسكانى الحنفى، شواهد التنزيل، ج</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طريق؛ الطبرسى، مجمع البيان فى تفسير القرآن، ج</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تفسيرالطبرى، ج</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تفسير الطبرى، ج</w:t>
      </w:r>
      <w:r>
        <w:rPr>
          <w:rFonts w:eastAsia="IRNazanin" w:cs="IRNazanin"/>
          <w:b w:val="false"/>
          <w:bCs w:val="false"/>
          <w:i w:val="false"/>
          <w:iCs w:val="false"/>
          <w:color w:val="333333"/>
          <w:sz w:val="20"/>
          <w:szCs w:val="20"/>
        </w:rPr>
        <w:t>10/297</w:t>
      </w:r>
      <w:r>
        <w:rPr>
          <w:rFonts w:ascii="IRNazanin" w:hAnsi="IRNazanin" w:eastAsia="IRNazanin"/>
          <w:b w:val="false"/>
          <w:b w:val="false"/>
          <w:bCs w:val="false"/>
          <w:i w:val="false"/>
          <w:i w:val="false"/>
          <w:iCs w:val="false"/>
          <w:color w:val="333333"/>
          <w:sz w:val="20"/>
          <w:sz w:val="20"/>
          <w:szCs w:val="20"/>
          <w:rtl w:val="true"/>
        </w:rPr>
        <w:t>؛ الهيتمى،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النيسابورى، محمد بن عبدالله الحاكم، المستدرك على‌الصحيحين، تحقيق مصطفى عبد القدرعطا، بيروت، دارالكتب العلمية</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تفسير سورة احزاب، رقم</w:t>
      </w:r>
      <w:r>
        <w:rPr>
          <w:rFonts w:eastAsia="IRNazanin" w:cs="IRNazanin"/>
          <w:b w:val="false"/>
          <w:bCs w:val="false"/>
          <w:i w:val="false"/>
          <w:iCs w:val="false"/>
          <w:color w:val="333333"/>
          <w:sz w:val="20"/>
          <w:szCs w:val="20"/>
        </w:rPr>
        <w:t>3558/695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البخارى، ولم يخرجاهُ</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الثعابى، جواهر الحسان فى تفسير القرآن، تحقيق عبدالفتاح ابوسنة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بيروت، دارإحياء التراث، ط الأولى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فى الآيات الواردة فيهم</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الطحاوى، مشكل الآثار، ج</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السيوطى، الدّر المنثور،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الطبرى، تفسير الطبرى، ج</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28488</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الحسكانى، شواهد التنزيل، ج</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الدّرّ المنثور فى تفسير المأثور،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الدّرّ المنثور فى تفسير المأثور،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الهيتمى، مجمع الزوائد ومنبع الفوائد، ج</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الهيتمى، مجمع الزوائد و منبع الفوائد، ج</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فى الرد على أهل البدع والزندقة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فى الآيات الواردة فيهم</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من حقائق غوامض التنزيل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تفسيرالطبرى، ج</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تفسيرالطبرى، ج</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السيوطى، الدرُّالمنثور،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التفسيرالكبير، طبعة جديدة مصححة، بيروت، دارإحياء التراث العربى، ط الأولى</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الدّرّالمنثور،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الحلّى، الالفين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السابع فى عصمة الامام، الثامن عشر قوله تعالى</w:t>
      </w:r>
      <w:r>
        <w:rPr>
          <w:rFonts w:eastAsia="IRNazanin" w:cs="IRNazanin"/>
          <w:b w:val="false"/>
          <w:bCs w:val="false"/>
          <w:i w:val="false"/>
          <w:iCs w:val="false"/>
          <w:color w:val="333333"/>
          <w:sz w:val="20"/>
          <w:szCs w:val="20"/>
          <w:rtl w:val="true"/>
        </w:rPr>
        <w:t>. . . .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الحلّى، الالفين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الحلّى، الالفين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المأة الثامنة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التاسع قوله تعالى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اين آيه به‌كتاب الصراط المستقيم الى مستحقى التقديم تأليف الشيخ زين‌الدين ابى‌محمدعلى‌بن يونس الحلّى ج</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التفسيرالكبير، ج</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اذكان الامر كذلك، علمنا أن المعصوم الذى أمرالله المؤمنين بطاعته ليس بعضاً من ابعاض الامة ولا طائفة من طوائفهم ولَمّا أبطل هذا، وجب أن يكون ذلك المعصوم الذى هو المراد يقوله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حل والعقد من‌الامّة، و ذلك يوجب القطع بان اجماع الامّة حجة؛ وى ديدگاه شيعه را مبنى بر اينكه اولوالأمر أئمه معصوم است، نمى‌پذيرد و علامه طباطبايى در تفسير آيه مورد بحث، مفصل پاسخ او را داده است كه بر اهل تحقيق لازم است به‌تفسير الميزان مراجعه نمايند</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الطباطبايى، محمدحسين، الميزان فى تفسير القرآن، بيروت، مؤسسة الأعلمى، ط الأولى</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ترجمه تفسير الميزان، سيد محمدباقرموسوى همدانى، قم، دفتر انتشارات اسلامى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و تصّرف</w:t>
      </w:r>
      <w:r>
        <w:rPr>
          <w:rFonts w:eastAsia="IRNazanin" w:cs="IRNazanin"/>
          <w:b w:val="false"/>
          <w:bCs w:val="false"/>
          <w:i w:val="false"/>
          <w:iCs w:val="false"/>
          <w:color w:val="333333"/>
          <w:sz w:val="20"/>
          <w:szCs w:val="20"/>
          <w:rtl w:val="true"/>
        </w:rPr>
        <w:t>) .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به‌الميزان فى تفسير القرآن، ج</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هيئت اجتماعيه اهل حل و عقد است يا افراد حقيقى؟ هر كدام باشد با مشكل اساسى مواجه است پس نمى‌تواند مصداق أولوا الأمر، اهل حل و عقد باشد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النيسابورى، الحاكم، المستدرك على الصحيحين، ج</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 رقم</w:t>
      </w:r>
      <w:r>
        <w:rPr>
          <w:rFonts w:eastAsia="IRNazanin" w:cs="IRNazanin"/>
          <w:b w:val="false"/>
          <w:bCs w:val="false"/>
          <w:i w:val="false"/>
          <w:iCs w:val="false"/>
          <w:color w:val="333333"/>
          <w:sz w:val="20"/>
          <w:szCs w:val="20"/>
        </w:rPr>
        <w:t>4577/175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بريدة الاسلمى صحيح على شرط الشيخين؛ الهيتمى، على بن ابى‌بكر، مجمع الزوائد و منبع الفوائد، ج</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فى فضائل اهل البيت</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الهيتمى، على بن ابى‌بكر، مجمع الزوائد و منبع الفوائد، ج</w:t>
      </w:r>
      <w:r>
        <w:rPr>
          <w:rFonts w:eastAsia="IRNazanin" w:cs="IRNazanin"/>
          <w:b w:val="false"/>
          <w:bCs w:val="false"/>
          <w:i w:val="false"/>
          <w:iCs w:val="false"/>
          <w:color w:val="333333"/>
          <w:sz w:val="20"/>
          <w:szCs w:val="20"/>
        </w:rPr>
        <w:t>9/109</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4575/173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4577/175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 الإمامية الإثنى عشرية، ج</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فى شرح أخبارآل الرسول، ج</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نبوت، در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لايتقدّمنى أحدٌ الاّ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انّى و إياهُ لعَلَى سبيل‌الواحد، إلاّ انّه هو المدعّو باسمه</w:t>
      </w:r>
      <w:r>
        <w:rPr>
          <w:rFonts w:eastAsia="IRNazanin" w:cs="IRNazanin"/>
          <w:b w:val="false"/>
          <w:bCs w:val="false"/>
          <w:i w:val="false"/>
          <w:iCs w:val="false"/>
          <w:color w:val="333333"/>
          <w:sz w:val="20"/>
          <w:szCs w:val="20"/>
          <w:rtl w:val="true"/>
        </w:rPr>
        <w:t>. . .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الفاظ روايت، به‌مرءات‌العقول، ج</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به بعد؛ شرح اصول الكافى ملا صالح مازندرانى، ج</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كافى با ترجمه و شرح فارسى، از شيخ محمدباقركمره‌اى، ايران، أسوه، چ اول</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تعليقه رقم</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شهرستانى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هم الذين غلوا فى حق ائمتهم حتى أخرجوهم من حدود الخلقية و حكموا فيهم باحكام الالهية، فربما شبهوا واحداً من‌الأئمه بالإله، و ربّما شبهوا الإله بالخلق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احمدبن محمد العسقلانى، هدى‌السّارى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فى تمييز اسباب الطعن، القسم الاول</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4577/175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شرح الكافى، ج</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رُسُلاً مُبَشِّرِينَ وَمُنْذِرِينَ لِئَلا يكُونَ لِلنَّاسِ عَلَى اللهِ حُجَّةٌ بَعْدَ الرُّسُلِ وَكَانَ اللهُ عَزِيزًا حَكِيمًا </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عبدالرحمن‌بن ابى‌حاتم محمدبن إدريس بن‌المنذر الحنظلى الرّازى، الجرح و التعديل، بيروت، داراحياء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از روى نسخه حيدر آباد دكن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سال</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عبدالله‌بن عدى الجرجانى، الكامل فى ضعفاء الرجال، تحقيق سهيل ذكّار، ط الثانية،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6/397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262/1883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مع‌النّبى اذا أقبل على‌بن‌ابى‌طالب، فقال يا أنس من هذا؟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على‌بن‌ابى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حجةالله عَلَى خلقه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رقم‌هاى </w:t>
      </w:r>
      <w:r>
        <w:rPr>
          <w:rFonts w:eastAsia="IRNazanin" w:cs="IRNazanin"/>
          <w:b w:val="false"/>
          <w:bCs w:val="false"/>
          <w:i w:val="false"/>
          <w:iCs w:val="false"/>
          <w:color w:val="333333"/>
          <w:sz w:val="20"/>
          <w:szCs w:val="20"/>
        </w:rPr>
        <w:t>8853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يك روايت أنا و هذا حجة عَلَى اُمّتى يوم القيامة؛ در روايتى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الله على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تحقيق محمدعلى البجاوى، بيروت، دارالمعرفة، ط الأولى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مدينة دمشق، ج</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8852</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القرطبى، الجامع لأحكام القرآن، ج</w:t>
      </w:r>
      <w:r>
        <w:rPr>
          <w:rFonts w:eastAsia="IRNazanin" w:cs="IRNazanin"/>
          <w:b w:val="false"/>
          <w:bCs w:val="false"/>
          <w:i w:val="false"/>
          <w:iCs w:val="false"/>
          <w:color w:val="333333"/>
          <w:sz w:val="20"/>
          <w:szCs w:val="20"/>
        </w:rPr>
        <w:t>16/299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الذهبى، سيراعلام النبلاء، تحقيق محمدنعيم العرقوسى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إشراف شعيب الأرنؤوط، بيروت، مؤسسة الرسالة، ط الأولى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18/455</w:t>
      </w:r>
      <w:r>
        <w:rPr>
          <w:rFonts w:ascii="IRNazanin" w:hAnsi="IRNazanin" w:eastAsia="IRNazanin"/>
          <w:b w:val="false"/>
          <w:b w:val="false"/>
          <w:bCs w:val="false"/>
          <w:i w:val="false"/>
          <w:i w:val="false"/>
          <w:iCs w:val="false"/>
          <w:color w:val="333333"/>
          <w:sz w:val="20"/>
          <w:sz w:val="20"/>
          <w:szCs w:val="20"/>
          <w:rtl w:val="true"/>
        </w:rPr>
        <w:t>، ترجمه رقم</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الذهبى، سيراعلام النبلاء، تحقيق محمدنعيم العرقوسى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إشراف شعيب الأرنؤوط، بيروت، مؤسسة الرسالة، ط الأولى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15/282</w:t>
      </w:r>
      <w:r>
        <w:rPr>
          <w:rFonts w:ascii="IRNazanin" w:hAnsi="IRNazanin" w:eastAsia="IRNazanin"/>
          <w:b w:val="false"/>
          <w:b w:val="false"/>
          <w:bCs w:val="false"/>
          <w:i w:val="false"/>
          <w:i w:val="false"/>
          <w:iCs w:val="false"/>
          <w:color w:val="333333"/>
          <w:sz w:val="20"/>
          <w:sz w:val="20"/>
          <w:szCs w:val="20"/>
          <w:rtl w:val="true"/>
        </w:rPr>
        <w:t>، ترجمه رقم</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الكوفى، محمدبن سليمان القاضى، مناقب الإمام أميرالمؤمنين على‌بن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الشيخ محمد باقر المحمودى، قم، مجمع إحياء الثقافة الإسلامية، ط الأولى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الهندى، كنزالعمال، ج</w:t>
      </w:r>
      <w:r>
        <w:rPr>
          <w:rFonts w:eastAsia="IRNazanin" w:cs="IRNazanin"/>
          <w:b w:val="false"/>
          <w:bCs w:val="false"/>
          <w:i w:val="false"/>
          <w:iCs w:val="false"/>
          <w:color w:val="333333"/>
          <w:sz w:val="20"/>
          <w:szCs w:val="20"/>
        </w:rPr>
        <w:t>12/102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على‌الصحيحين، ج</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4715/313</w:t>
      </w:r>
      <w:r>
        <w:rPr>
          <w:rFonts w:ascii="IRNazanin" w:hAnsi="IRNazanin" w:eastAsia="IRNazanin"/>
          <w:b w:val="false"/>
          <w:b w:val="false"/>
          <w:bCs w:val="false"/>
          <w:i w:val="false"/>
          <w:i w:val="false"/>
          <w:iCs w:val="false"/>
          <w:color w:val="333333"/>
          <w:sz w:val="20"/>
          <w:sz w:val="20"/>
          <w:szCs w:val="20"/>
          <w:rtl w:val="true"/>
        </w:rPr>
        <w:t>؛ 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لاهل الارض من الغرق، و اهل بيتى امان لامتى من الاختلاف، فاذا خلفتها قبيلة من العرب اختلفوا فصاروا حزب ابليس؛ الهندى، كنزالعمال، ج</w:t>
      </w:r>
      <w:r>
        <w:rPr>
          <w:rFonts w:eastAsia="IRNazanin" w:cs="IRNazanin"/>
          <w:b w:val="false"/>
          <w:bCs w:val="false"/>
          <w:i w:val="false"/>
          <w:iCs w:val="false"/>
          <w:color w:val="333333"/>
          <w:sz w:val="20"/>
          <w:szCs w:val="20"/>
        </w:rPr>
        <w:t>12/102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43189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العسقلانى،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الآيات الواردة فيهم، در توضيح آيه پنجم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تحقيق احمد عبدالمجيدالسلفى، قاهرة، مكتبة ابن‌تيمية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ترجمه رقم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لزوائد المسانيد الثمانية، تحقيق حبيب‌الرحمن الاعظمى، بيروت، مؤسسة الاعلمى،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اهل البيت رقم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اهل‌البيت المسمى جواهرالعقدين فى فضائل الشرفين، تحقيق موسى بنايى‌العليلى، بغداد، مطبعة العانى،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ذكر انّهم امان الله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الهيتمى، 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اباذر،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اهل‌بيتى فيكم مثل سفينة نوح من ركبها نجا و من تخلّف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ابن‌حجرالعسقلانى، المطالب العالية، ج</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احمدبن‌حنبل ج</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ابى‌سعيد الخدرى</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اهل البيت المسمى جواهرالعقدين، ج</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أنّهم أمان‌الامة</w:t>
      </w:r>
      <w:r>
        <w:rPr>
          <w:rFonts w:eastAsia="IRNazanin" w:cs="IRNazanin"/>
          <w:b w:val="false"/>
          <w:bCs w:val="false"/>
          <w:i w:val="false"/>
          <w:iCs w:val="false"/>
          <w:color w:val="333333"/>
          <w:sz w:val="20"/>
          <w:szCs w:val="20"/>
          <w:rtl w:val="true"/>
        </w:rPr>
        <w:t>.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خود حضرت دستور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عليك‌أيهاالنّبى و رحمةالله و بركاته، در مورد اهل‌بيت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على آل ياسين</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بر محمد و آل او در تشهد نماز</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اى طاهر، مَا أَنْزَلْنَا عَلَيكَ الْقُرْآنَ لِتَشْقَى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درمورد اهل‌بيت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لاتحلّ الصدقة، لمحمد ولآل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6939</w:t>
      </w:r>
      <w:r>
        <w:rPr>
          <w:rFonts w:ascii="IRNazanin" w:hAnsi="IRNazanin" w:eastAsia="IRNazanin"/>
          <w:b w:val="false"/>
          <w:b w:val="false"/>
          <w:bCs w:val="false"/>
          <w:i w:val="false"/>
          <w:i w:val="false"/>
          <w:iCs w:val="false"/>
          <w:color w:val="333333"/>
          <w:sz w:val="20"/>
          <w:sz w:val="20"/>
          <w:szCs w:val="20"/>
          <w:rtl w:val="true"/>
        </w:rPr>
        <w:t>؛ المزّى، تهذيب الكمال، ج</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فِى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جواهرالعقدين، ج</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الثالت ذكرسلام الله تعالى على آل بيته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جواهرالعقدين، ج</w:t>
      </w:r>
      <w:r>
        <w:rPr>
          <w:rFonts w:eastAsia="IRNazanin" w:cs="IRNazanin"/>
          <w:b w:val="false"/>
          <w:bCs w:val="false"/>
          <w:i w:val="false"/>
          <w:iCs w:val="false"/>
          <w:color w:val="333333"/>
          <w:sz w:val="20"/>
          <w:szCs w:val="20"/>
        </w:rPr>
        <w:t>1/71</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الكلينى فى الكافى فقد عقد مجموعة من الابواب فى معنى العصمة المزعومة، ساق فيها اخباراً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يدّعون أنَّهم معصومون بل و شركاء فى النبوة، بل ويصفون بصفات الألوهية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وهى لاتخرج عن دعاوى المتنبّئين والملحدين</w:t>
      </w:r>
      <w:r>
        <w:rPr>
          <w:rFonts w:eastAsia="IRNazanin" w:cs="IRNazanin"/>
          <w:b w:val="false"/>
          <w:bCs w:val="false"/>
          <w:i w:val="false"/>
          <w:iCs w:val="false"/>
          <w:color w:val="333333"/>
          <w:sz w:val="20"/>
          <w:szCs w:val="20"/>
          <w:rtl w:val="true"/>
        </w:rPr>
        <w:t>. . .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فى شرح أخبارآل‌الرسول، ج</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سه‌روايت صحيح، يك حديث مرسل، يكى مجهول همانند صحيح، يكى مجهول همانند حسن، دو حديث مجهول، شش روايت ضعيف</w:t>
      </w:r>
      <w:r>
        <w:rPr>
          <w:rFonts w:eastAsia="IRNazanin" w:cs="IRNazanin"/>
          <w:b w:val="false"/>
          <w:bCs w:val="false"/>
          <w:i w:val="false"/>
          <w:iCs w:val="false"/>
          <w:color w:val="333333"/>
          <w:sz w:val="20"/>
          <w:szCs w:val="20"/>
          <w:rtl w:val="true"/>
        </w:rPr>
        <w:t>.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الحسينى، هاشم معروف، دراسات فى الحديث والمحدثين،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الطاعة،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الفخرالرازى، التفسير الكبير، ج</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نسأء، المسأله السابعة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الفخرالرازى، التفسير الكبير، ج</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الفخرالرازى، التفسير الكبير، ج</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الدارقطنى، حمزةبن‌يوسف السهمى، سؤالات حمزة الدارقطنى، تحقيق محمدبن‌عبدالله‌بن عبدالقادر، الرياض، مكتبة المعارف،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جماعةمن‌العلماء، التوفيق الرّبانى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 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ابن‌حجرالعسقلانى، احمدبن‌على، تلخيص‌الحبير فى تخريج احاديث الرافعى‌الكبير، تحقيق و تعليق و تصحيح السيد عبدالله هاشم اليمانى المدنى، بيروت، دارالمعرفة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 انّ اهل الجمل و صفين والنهروان بغاة، هو كما قال، و يدلّ عليه حديث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بقتال الناكثين والقاسطين والمارقين و اهل‌النهروان</w:t>
      </w:r>
      <w:r>
        <w:rPr>
          <w:rFonts w:eastAsia="IRNazanin" w:cs="IRNazanin"/>
          <w:b w:val="false"/>
          <w:bCs w:val="false"/>
          <w:i w:val="false"/>
          <w:iCs w:val="false"/>
          <w:color w:val="333333"/>
          <w:sz w:val="20"/>
          <w:szCs w:val="20"/>
          <w:rtl w:val="true"/>
        </w:rPr>
        <w:t>. . . .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النيسابورى، صحيح مسلم، ج</w:t>
      </w:r>
      <w:r>
        <w:rPr>
          <w:rFonts w:eastAsia="IRNazanin" w:cs="IRNazanin"/>
          <w:b w:val="false"/>
          <w:bCs w:val="false"/>
          <w:i w:val="false"/>
          <w:iCs w:val="false"/>
          <w:color w:val="333333"/>
          <w:sz w:val="20"/>
          <w:szCs w:val="20"/>
        </w:rPr>
        <w:t>3/1466</w:t>
      </w:r>
      <w:r>
        <w:rPr>
          <w:rFonts w:ascii="IRNazanin" w:hAnsi="IRNazanin" w:eastAsia="IRNazanin"/>
          <w:b w:val="false"/>
          <w:b w:val="false"/>
          <w:bCs w:val="false"/>
          <w:i w:val="false"/>
          <w:i w:val="false"/>
          <w:iCs w:val="false"/>
          <w:color w:val="333333"/>
          <w:sz w:val="20"/>
          <w:sz w:val="20"/>
          <w:szCs w:val="20"/>
          <w:rtl w:val="true"/>
        </w:rPr>
        <w:t>، كتاب الأمارة، باب وجوب طاعة الامراء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چند طريق</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السّنن‌الكبرى، تحقيق محمد عبدالقادر عطا، بيروت، دارالكتب‌العلمية، طالاولى</w:t>
      </w:r>
      <w:r>
        <w:rPr>
          <w:rFonts w:eastAsia="IRNazanin" w:cs="IRNazanin"/>
          <w:b w:val="false"/>
          <w:bCs w:val="false"/>
          <w:i w:val="false"/>
          <w:iCs w:val="false"/>
          <w:color w:val="333333"/>
          <w:sz w:val="20"/>
          <w:szCs w:val="20"/>
        </w:rPr>
        <w:t>14114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قتال اهل‌البغى، رقم</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باب فى طاعة الامراء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البيهقى، السنن‌الكبرى، ج</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16624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البيهقى، السنن‌الكبرى، ج</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16624</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3/1476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521847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البيهقى، السنن‌الكبرى، ج</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16624</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3/1467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اگرعبدى مقطوع اليد و دنى‌النسب و سياه، اميرشد، واجب الاطاعة است؛ البيهقى، السنن‌الكبرى، ج</w:t>
      </w:r>
      <w:r>
        <w:rPr>
          <w:rFonts w:eastAsia="IRNazanin" w:cs="IRNazanin"/>
          <w:b w:val="false"/>
          <w:bCs w:val="false"/>
          <w:i w:val="false"/>
          <w:iCs w:val="false"/>
          <w:color w:val="333333"/>
          <w:sz w:val="20"/>
          <w:szCs w:val="20"/>
        </w:rPr>
        <w:t>8/268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3/1469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البيهقى، السنن‌الكبرى، ج</w:t>
      </w:r>
      <w:r>
        <w:rPr>
          <w:rFonts w:eastAsia="IRNazanin" w:cs="IRNazanin"/>
          <w:b w:val="false"/>
          <w:bCs w:val="false"/>
          <w:i w:val="false"/>
          <w:iCs w:val="false"/>
          <w:color w:val="333333"/>
          <w:sz w:val="20"/>
          <w:szCs w:val="20"/>
        </w:rPr>
        <w:t>8/269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البيهقى، السنن‌الكبرى، ج</w:t>
      </w:r>
      <w:r>
        <w:rPr>
          <w:rFonts w:eastAsia="IRNazanin" w:cs="IRNazanin"/>
          <w:b w:val="false"/>
          <w:bCs w:val="false"/>
          <w:i w:val="false"/>
          <w:iCs w:val="false"/>
          <w:color w:val="333333"/>
          <w:sz w:val="20"/>
          <w:szCs w:val="20"/>
        </w:rPr>
        <w:t>8/243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16532</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و الفروع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اختلاف الناس فى الامامة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ابن‌حجرالهيتمى، تطهير الجنان و اللسان عن الخطور والتفوّه بسبّ سيدنا معاويه؛ در ذيل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ابن‌حجرالهيتمى، تطهير الجنان و اللسان عن الخطور والتفوّه بسبّ سيدنا معاويه؛ در ذيل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التسترى، احقاق الحق، ج</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السبحانى، الشيخ جعفر، الايمان و الكفر فى الكتاب و السنّة، قم، مؤسسة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الايمان والكفر، باب انّ الاسلام يحقن به‌الدم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دوم از بخش دوم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فصل‌هاى گذشته مكرر اين مسأله با دليل به‌اثبات رسيد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فى شرح أخبارآل الرسول، ج</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محمدبن زيد الطبرسى، قال كنتُ قائماً على رأس‌الرضا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بخراسان و عنده عدة من بنى‌هاشم و فيهم اسحاق‌بن موسى بن عيسى العباسى،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اسحق بلغنى أنّ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نزعم أن‌النَّاس عبيد لنا، لا و قرابتى من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قلته قطّ ولا سمعته من آبائى قاله؛ ولكّنى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عبيد لنا فى الطاعة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اصول كافى، ج</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ملا صالح، شرح اصول كافى، ج</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 ج</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عَلِى بن‌أبى‌طالب على الاُمَّة كحقِّ الوالد عَلَى ولده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 الإمامية الإثنى عشرية، ج</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فى أخبارآل الرسول، ج</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أحاديث شش‌گانه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وعيبة وحى‌الله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واژه عيب، يعنى موضع سرّى، چنان‌كه عرب از قلب‌ها و سينه‌ها به‌صورت كنايى، عياب ياد مى‌كند، چون قلوب و صدور محل اسرار انسان است همان‌طورى كه عيب‌ها محل لباس‌ها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أثير، النهاية فى غريب الحديث، ج</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اين روايت را سيوطى در الجامع الصغير، ج</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شرح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المناوى ج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به‌اين صورت از رسول خدا 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عَيبَةُ عِلمِى</w:t>
      </w:r>
      <w:r>
        <w:rPr>
          <w:rFonts w:eastAsia="IRNazanin" w:cs="IRNazanin"/>
          <w:b w:val="false"/>
          <w:bCs w:val="false"/>
          <w:i w:val="false"/>
          <w:iCs w:val="false"/>
          <w:color w:val="333333"/>
          <w:sz w:val="20"/>
          <w:szCs w:val="20"/>
          <w:rtl w:val="true"/>
        </w:rPr>
        <w:t>»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النيسابورى، صحيح مسلم، ج</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الصحابه،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النيسابورى، المستدرك على الصحيحين، ج</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4576/174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4577/175</w:t>
      </w:r>
      <w:r>
        <w:rPr>
          <w:rFonts w:ascii="IRNazanin" w:hAnsi="IRNazanin" w:eastAsia="IRNazanin"/>
          <w:b w:val="false"/>
          <w:b w:val="false"/>
          <w:bCs w:val="false"/>
          <w:i w:val="false"/>
          <w:i w:val="false"/>
          <w:iCs w:val="false"/>
          <w:color w:val="333333"/>
          <w:sz w:val="20"/>
          <w:sz w:val="20"/>
          <w:szCs w:val="20"/>
          <w:rtl w:val="true"/>
        </w:rPr>
        <w:t>؛ ابن‌عساكر، تاريخ مدينة دمشق، ج</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رقم</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ابن حجرالهيتمى،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فى الآيات الواردة فيهم؛ السمهودى، فضائل اهل البيت المسمى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به بعد به‌طرق مختلف</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على بن ابى‌طالب؛ البلاذرى، جمل انساب الاشراف، ج</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على‌بن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4637/235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ابن‌عساكر، تاريخ مدينة دمشق، ج</w:t>
      </w:r>
      <w:r>
        <w:rPr>
          <w:rFonts w:eastAsia="IRNazanin" w:cs="IRNazanin"/>
          <w:b w:val="false"/>
          <w:bCs w:val="false"/>
          <w:i w:val="false"/>
          <w:iCs w:val="false"/>
          <w:color w:val="333333"/>
          <w:sz w:val="20"/>
          <w:szCs w:val="20"/>
        </w:rPr>
        <w:t>42/378</w:t>
      </w:r>
      <w:r>
        <w:rPr>
          <w:rFonts w:ascii="IRNazanin" w:hAnsi="IRNazanin" w:eastAsia="IRNazanin"/>
          <w:b w:val="false"/>
          <w:b w:val="false"/>
          <w:bCs w:val="false"/>
          <w:i w:val="false"/>
          <w:i w:val="false"/>
          <w:iCs w:val="false"/>
          <w:color w:val="333333"/>
          <w:sz w:val="20"/>
          <w:sz w:val="20"/>
          <w:szCs w:val="20"/>
          <w:rtl w:val="true"/>
        </w:rPr>
        <w:t xml:space="preserve">، رقم‌هاى </w:t>
      </w:r>
      <w:r>
        <w:rPr>
          <w:rFonts w:eastAsia="IRNazanin" w:cs="IRNazanin"/>
          <w:b w:val="false"/>
          <w:bCs w:val="false"/>
          <w:i w:val="false"/>
          <w:iCs w:val="false"/>
          <w:color w:val="333333"/>
          <w:sz w:val="20"/>
          <w:szCs w:val="20"/>
        </w:rPr>
        <w:t>8974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8985</w:t>
      </w:r>
      <w:r>
        <w:rPr>
          <w:rFonts w:ascii="IRNazanin" w:hAnsi="IRNazanin" w:eastAsia="IRNazanin"/>
          <w:b w:val="false"/>
          <w:b w:val="false"/>
          <w:bCs w:val="false"/>
          <w:i w:val="false"/>
          <w:i w:val="false"/>
          <w:iCs w:val="false"/>
          <w:color w:val="333333"/>
          <w:sz w:val="20"/>
          <w:sz w:val="20"/>
          <w:szCs w:val="20"/>
          <w:rtl w:val="true"/>
        </w:rPr>
        <w:t>؛ الهيتمى، على‌بن‌ابى‌بكر، مجمع الزوائد، ج</w:t>
      </w:r>
      <w:r>
        <w:rPr>
          <w:rFonts w:eastAsia="IRNazanin" w:cs="IRNazanin"/>
          <w:b w:val="false"/>
          <w:bCs w:val="false"/>
          <w:i w:val="false"/>
          <w:iCs w:val="false"/>
          <w:color w:val="333333"/>
          <w:sz w:val="20"/>
          <w:szCs w:val="20"/>
        </w:rPr>
        <w:t>9/114</w:t>
      </w:r>
      <w:r>
        <w:rPr>
          <w:rFonts w:ascii="IRNazanin" w:hAnsi="IRNazanin" w:eastAsia="IRNazanin"/>
          <w:b w:val="false"/>
          <w:b w:val="false"/>
          <w:bCs w:val="false"/>
          <w:i w:val="false"/>
          <w:i w:val="false"/>
          <w:iCs w:val="false"/>
          <w:color w:val="333333"/>
          <w:sz w:val="20"/>
          <w:sz w:val="20"/>
          <w:szCs w:val="20"/>
          <w:rtl w:val="true"/>
        </w:rPr>
        <w:t xml:space="preserve">باب فى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رضى‌الله‌عنه</w:t>
      </w:r>
      <w:r>
        <w:rPr>
          <w:rFonts w:eastAsia="IRNazanin" w:cs="IRNazanin"/>
          <w:b w:val="false"/>
          <w:bCs w:val="false"/>
          <w:i w:val="false"/>
          <w:iCs w:val="false"/>
          <w:color w:val="333333"/>
          <w:sz w:val="20"/>
          <w:szCs w:val="20"/>
          <w:rtl w:val="true"/>
        </w:rPr>
        <w:t>)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الطبقات‌الكبرى، ج</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42/397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عبارت‌هاى مختلف</w:t>
      </w:r>
      <w:r>
        <w:rPr>
          <w:rFonts w:eastAsia="IRNazanin" w:cs="IRNazanin"/>
          <w:b w:val="false"/>
          <w:bCs w:val="false"/>
          <w:i w:val="false"/>
          <w:iCs w:val="false"/>
          <w:color w:val="333333"/>
          <w:sz w:val="20"/>
          <w:szCs w:val="20"/>
          <w:rtl w:val="true"/>
        </w:rPr>
        <w:t>)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42/386</w:t>
      </w:r>
      <w:r>
        <w:rPr>
          <w:rFonts w:ascii="IRNazanin" w:hAnsi="IRNazanin" w:eastAsia="IRNazanin"/>
          <w:b w:val="false"/>
          <w:b w:val="false"/>
          <w:bCs w:val="false"/>
          <w:i w:val="false"/>
          <w:i w:val="false"/>
          <w:iCs w:val="false"/>
          <w:color w:val="333333"/>
          <w:sz w:val="20"/>
          <w:sz w:val="20"/>
          <w:szCs w:val="20"/>
          <w:rtl w:val="true"/>
        </w:rPr>
        <w:t xml:space="preserve">، ترجمه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8993</w:t>
      </w:r>
      <w:r>
        <w:rPr>
          <w:rFonts w:ascii="IRNazanin" w:hAnsi="IRNazanin" w:eastAsia="IRNazanin"/>
          <w:b w:val="false"/>
          <w:b w:val="false"/>
          <w:bCs w:val="false"/>
          <w:i w:val="false"/>
          <w:i w:val="false"/>
          <w:iCs w:val="false"/>
          <w:color w:val="333333"/>
          <w:sz w:val="20"/>
          <w:sz w:val="20"/>
          <w:szCs w:val="20"/>
          <w:rtl w:val="true"/>
        </w:rPr>
        <w:t>؛ الحسكانى، شوهد التنزيل، ج</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مضمون در الطبقات الكبرى، ج</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ترجمه‌ى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ديدگاه بزرگان اهل‌سنت كه قبلاً مطرح شد</w:t>
      </w:r>
      <w:r>
        <w:rPr>
          <w:rFonts w:eastAsia="IRNazanin" w:cs="IRNazanin"/>
          <w:b w:val="false"/>
          <w:bCs w:val="false"/>
          <w:i w:val="false"/>
          <w:iCs w:val="false"/>
          <w:color w:val="333333"/>
          <w:sz w:val="20"/>
          <w:szCs w:val="20"/>
          <w:rtl w:val="true"/>
        </w:rPr>
        <w:t>.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فى الرّدّ على أهل‌البدع و الزندقة و يليه تطهير الجنان و اللسان عن الخطور و التفوّه سبّ سيدنا</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به‌بعد</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فى الرّدّ على أهل‌البدع و الزندقة و يليه تطهير الجنان و اللسان عن الخطور و التفوّه سبّ سيدنا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فى الرّدّ على أهل‌البدع و الزندقة و يليه تطهير الجنان و اللسان عن الخطور و التفوّه سبّ سيدنا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مخبأت، ازخبأ، والخبأ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شىء غائب مستور، خبأتُ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اخفيتُه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النهاية فى غريب الحديث،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حجرالهيتمى، الصواعق المحرقة، همان؛ 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ذِكرٌ و شُهرةٌ و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فى الخير والش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ابن اثير، النهاية فى غريب الحديث</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الهيتمى، الصواعق المحرقة فى الردعلى اهل البدع و الزندقة و يليه تطهير الجنان واللسان عن الخطور والتفوّه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به‌الصواعق المحرقة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باب كه شامل قريب به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حديث مربوط به‌علوم مختلف ائمه است</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 الهى، الشّيعة والسّنّة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السالوس، على‌أحمد، مع الشّيعة الاثنى عشرية فى الاصول و الفروع، بيروت، دار التقوى، ط الأولى</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الشيعة الاثنى عشرية فى الاصول والفروع، ج</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الشيعة والسنة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مجدى محمد، انتصارالحق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الخالدى، صلاح عبدالفتاح، الكلينى و تأويلاته الباطنية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كافى، ج</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الخطوط العريضة للأسس التى قام عليها دين الشيعه الامامية الاثنى عشرية، اردن، دارعمار، ط الأولى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لغت‌نامه دهخدا، زير نظر دكتر محمدمعين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تهران، انتشارات و چاپ دانشگاه تهران، چ اول</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10/14159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الفراهيدى، عبدالرحمن خليل‌بن احمد، العين، ج</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العين و اللام والميم معهما</w:t>
      </w:r>
      <w:r>
        <w:rPr>
          <w:rFonts w:eastAsia="IRNazanin" w:cs="IRNazanin"/>
          <w:b w:val="false"/>
          <w:bCs w:val="false"/>
          <w:i w:val="false"/>
          <w:iCs w:val="false"/>
          <w:color w:val="333333"/>
          <w:sz w:val="20"/>
          <w:szCs w:val="20"/>
          <w:rtl w:val="true"/>
        </w:rPr>
        <w:t>)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لغت‌نامه دهخدا، ج</w:t>
      </w:r>
      <w:r>
        <w:rPr>
          <w:rFonts w:eastAsia="IRNazanin" w:cs="IRNazanin"/>
          <w:b w:val="false"/>
          <w:bCs w:val="false"/>
          <w:i w:val="false"/>
          <w:iCs w:val="false"/>
          <w:color w:val="333333"/>
          <w:sz w:val="20"/>
          <w:szCs w:val="20"/>
        </w:rPr>
        <w:t>5/6964</w:t>
      </w:r>
      <w:r>
        <w:rPr>
          <w:rFonts w:ascii="IRNazanin" w:hAnsi="IRNazanin" w:eastAsia="IRNazanin"/>
          <w:b w:val="false"/>
          <w:b w:val="false"/>
          <w:bCs w:val="false"/>
          <w:i w:val="false"/>
          <w:i w:val="false"/>
          <w:iCs w:val="false"/>
          <w:color w:val="333333"/>
          <w:sz w:val="20"/>
          <w:sz w:val="20"/>
          <w:szCs w:val="20"/>
          <w:rtl w:val="true"/>
        </w:rPr>
        <w:t>؛ مؤلف العين، جهل را نقيض علم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النهاية فى‌غريب الحديث، ج</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وهوكل ما غابَ عن العيون، سواء كان محصّلاً فى قلوب او غيرمحصّل</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القرطبى، الجامع الاحكام القرآن، ج</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به‌بحث معيارهاى غلو در فصل دوم از بخش چهارم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جز حديث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مرفوع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بقيه صحيح و موثق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حديث دوم و هفتم بقيه مشكل جدى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مرءات العقول، ج</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با ترجمه و شرح فارسى، ج</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مرءات العقول، ج</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حقيقت دو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باب، مى‌رساند كه علم مفيد براى بشر برپايه اصل كلى قانون تكامل، آن است كه روز به‌روز و ساعت به‌ساعت پديدار مى‌شود، و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اينكه وقتى به‌امامت مى‌رسد مقدارى از علوم و معارفى كه در مرتبه امامت لازم است، از امام قبلى دريافت مى‌كند ولى براثر قرب به‌خدا و سعى فراوان علوم بيشتر و حِكَم و ترقيات ديگرى نيز، نصيب آن مى‌گردد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مجلسى، هرسه ضعيف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مرءات العقول، ج</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المازندرانى، شرح اصول الكافى، ج</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ضعيف است ولى مخالف با اصول مذهب نيست</w:t>
      </w:r>
      <w:r>
        <w:rPr>
          <w:rFonts w:eastAsia="IRNazanin" w:cs="IRNazanin"/>
          <w:b w:val="false"/>
          <w:bCs w:val="false"/>
          <w:i w:val="false"/>
          <w:iCs w:val="false"/>
          <w:color w:val="333333"/>
          <w:sz w:val="20"/>
          <w:szCs w:val="20"/>
          <w:rtl w:val="true"/>
        </w:rPr>
        <w:t>.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طريق الهام يا القاء توسط روح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وحى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مرءات العقول، ج</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غَيبُ السَّمَاوَاتِ وَالاَرْضِ وَإِلَيهِ يرْجَعُ الاَمْرُ كُلُّهُ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مَفَاتِحُ الْغَيبِ لاَ يعْلَمُهَا إِلاَّ هُوَ وَيعْلَمُ مَا فِى الْبَرِّ وَالْبَحْرِ وَمَا تَسْقُطُ مِن وَرَقَةٍ إِلاَّ يعْلَمُهَا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إِنَّمَا الْغَيبُ لِلهِ فَانْتَظِرُواْ و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 . .</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سوره‌هاى رعد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 xml:space="preserve">؛ المائده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 .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محمدبن‌النعمان البغدادى، اوائل‌المقالات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إطلاق القَول عليهم بأنّهُم يعلَمُون الغيبَ فهو منكر بين الفساد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مجمع البيان فى تفسيرالقران، ج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اللهُ لِيذَرَ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ما كانَ اللهُ لِيطْلِعَكُمْ عَلَى الْغَيبِ وَ لكِنَّ اللهَ يجْتَبِى مِنْ رُسُلِهِ مَنْ يشاءُ</w:t>
      </w:r>
      <w:r>
        <w:rPr>
          <w:rFonts w:eastAsia="IRNazanin" w:cs="IRNazanin"/>
          <w:b w:val="false"/>
          <w:bCs w:val="false"/>
          <w:i w:val="false"/>
          <w:iCs w:val="false"/>
          <w:color w:val="333333"/>
          <w:sz w:val="20"/>
          <w:szCs w:val="20"/>
          <w:rtl w:val="true"/>
        </w:rPr>
        <w:t>. . . .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القرطبى، الجامع لاحكام القرآن، ج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الزمخشرى، الكشاف، ج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الفخرالرازى، التفسير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الطبرى، تفسيرالطبرى، ج </w:t>
      </w:r>
      <w:r>
        <w:rPr>
          <w:rFonts w:eastAsia="IRNazanin" w:cs="IRNazanin"/>
          <w:b w:val="false"/>
          <w:bCs w:val="false"/>
          <w:i w:val="false"/>
          <w:iCs w:val="false"/>
          <w:color w:val="333333"/>
          <w:sz w:val="20"/>
          <w:szCs w:val="20"/>
        </w:rPr>
        <w:t>12/274</w:t>
      </w:r>
      <w:r>
        <w:rPr>
          <w:rFonts w:ascii="IRNazanin" w:hAnsi="IRNazanin" w:eastAsia="IRNazanin"/>
          <w:b w:val="false"/>
          <w:b w:val="false"/>
          <w:bCs w:val="false"/>
          <w:i w:val="false"/>
          <w:i w:val="false"/>
          <w:iCs w:val="false"/>
          <w:color w:val="333333"/>
          <w:sz w:val="20"/>
          <w:sz w:val="20"/>
          <w:szCs w:val="20"/>
          <w:rtl w:val="true"/>
        </w:rPr>
        <w:t xml:space="preserve">؛ الطبرسى، مجمع البيان، ج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فى‌تفسيرالقرآن، ج</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ربّما أطلعه على ما غاب عن غيره من‌الخلائق بأن يوحى اليهم بماشاء من الغيب ذكره القتادة</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فى‌تفسيرالقرآن، ج</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ارتضى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يظهره من الغيب على ما يشاء اذا ارتضاه؛ السيوطى، الدّرالمنثور، 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تبيين براى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مى‌گيرد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 فى رحاب‌اهل‌البيت علم الأئمةالإثنى عشرية بالغيب، السيد عبدالرحيم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مركز الطباعة والنّشرللمجمع العالمى لأهل‌البيت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الطباطبايى، الميزان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الطباطبايى، الميزان فى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 قم، مؤسسة اسماعيليان، ط الثانية</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و تصرّف</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 قم، مؤسسة اسماعيليان، ط الثانية</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و تصرّف</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الشافى، ج</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الشافى، ج</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الشافى، ج</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 و تصرّف</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البلاذرى، جمل‌انساب الاشراف، 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على‌بن‌ابى‌طالب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ابن‌سعد، الطبقات الكبرى، ج</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على‌بن‌ابى‌طالب؛ ابن‌عساكر، تاريخ مدينه دمشق، ج </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رقم هاى</w:t>
      </w:r>
      <w:r>
        <w:rPr>
          <w:rFonts w:eastAsia="IRNazanin" w:cs="IRNazanin"/>
          <w:b w:val="false"/>
          <w:bCs w:val="false"/>
          <w:i w:val="false"/>
          <w:iCs w:val="false"/>
          <w:color w:val="333333"/>
          <w:sz w:val="20"/>
          <w:szCs w:val="20"/>
        </w:rPr>
        <w:t>8988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8993</w:t>
      </w:r>
      <w:r>
        <w:rPr>
          <w:rFonts w:ascii="IRNazanin" w:hAnsi="IRNazanin" w:eastAsia="IRNazanin"/>
          <w:b w:val="false"/>
          <w:b w:val="false"/>
          <w:bCs w:val="false"/>
          <w:i w:val="false"/>
          <w:i w:val="false"/>
          <w:iCs w:val="false"/>
          <w:color w:val="333333"/>
          <w:sz w:val="20"/>
          <w:sz w:val="20"/>
          <w:szCs w:val="20"/>
          <w:rtl w:val="true"/>
        </w:rPr>
        <w:t xml:space="preserve">؛ ابن‌حجرالهيتمى، الصواعق المحرقه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فى نبذ من كراماته؛ المناوى، فيض‌القديرشرح جامع الصغير، ج</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فى الرد على أهل‌البدع والزندقة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فى الآيات الوارده فيهم، ذيل آيه سوم</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فى الرد على أهل‌البدع والزندقة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الدينورى، ابى‌محمد عبدالله‌بن مسلم بن‌قتيبه، الامامة و السّياسة المعروف بتاريخ الخلفاء، تحقيق على‌شيرى، قم، منشورات الشريف الرضى، ط الاولى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تاريخ الطبرى، 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اظهار الدعوه العباسيه بخراسان</w:t>
      </w:r>
      <w:r>
        <w:rPr>
          <w:rFonts w:eastAsia="IRNazanin" w:cs="IRNazanin"/>
          <w:b w:val="false"/>
          <w:bCs w:val="false"/>
          <w:i w:val="false"/>
          <w:iCs w:val="false"/>
          <w:color w:val="333333"/>
          <w:sz w:val="20"/>
          <w:szCs w:val="20"/>
          <w:rtl w:val="true"/>
        </w:rPr>
        <w:t>)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به‌التفسيرالكبير،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انّه لابدّ من‌القطع بانّه ليس مرادالله</w:t>
      </w:r>
      <w:r>
        <w:rPr>
          <w:rFonts w:eastAsia="IRNazanin" w:cs="IRNazanin"/>
          <w:b w:val="false"/>
          <w:bCs w:val="false"/>
          <w:i w:val="false"/>
          <w:iCs w:val="false"/>
          <w:color w:val="333333"/>
          <w:sz w:val="20"/>
          <w:szCs w:val="20"/>
          <w:rtl w:val="true"/>
        </w:rPr>
        <w:t>. . . .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مرءات العقول فى شرح أخبارآل الرسول، ج</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بر حديث چهارم باب نادر فيه ذكرالغيب</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مدينه دمشق، ج</w:t>
      </w:r>
      <w:r>
        <w:rPr>
          <w:rFonts w:eastAsia="IRNazanin" w:cs="IRNazanin"/>
          <w:b w:val="false"/>
          <w:bCs w:val="false"/>
          <w:i w:val="false"/>
          <w:iCs w:val="false"/>
          <w:color w:val="333333"/>
          <w:sz w:val="20"/>
          <w:szCs w:val="20"/>
        </w:rPr>
        <w:t>42/385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مدينه دمشق، ج</w:t>
      </w:r>
      <w:r>
        <w:rPr>
          <w:rFonts w:eastAsia="IRNazanin" w:cs="IRNazanin"/>
          <w:b w:val="false"/>
          <w:bCs w:val="false"/>
          <w:i w:val="false"/>
          <w:iCs w:val="false"/>
          <w:color w:val="333333"/>
          <w:sz w:val="20"/>
          <w:szCs w:val="20"/>
        </w:rPr>
        <w:t>42/385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8993</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مدينه دمشق، ج</w:t>
      </w:r>
      <w:r>
        <w:rPr>
          <w:rFonts w:eastAsia="IRNazanin" w:cs="IRNazanin"/>
          <w:b w:val="false"/>
          <w:bCs w:val="false"/>
          <w:i w:val="false"/>
          <w:iCs w:val="false"/>
          <w:color w:val="333333"/>
          <w:sz w:val="20"/>
          <w:szCs w:val="20"/>
        </w:rPr>
        <w:t>42/384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كتاب الحجة، باب أنّ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 جميع العلوم الّتى خرجت الى‌الملائكة،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روايت ديگر</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ابن‌كثير، تفسير القرآن العظيم، ج</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السيوطى، الدُّرُّالمنثور،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همان آيه؛ مصباح الشريعة، المنسوب الى‌الامام جعفرالصادق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بيروت، موسسة الاعلمى،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فى قلب من يشاء؛ الميلانى، السيد على الحسينى، نفخات الازهار فى خلاصة عبقات الانوار، قم، مهر، ط الاولى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الاخيار، برخى متن مورد نظر را حديث خوانده و به‌رسول‌الله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رضا الهندى الموسوى، بيروت، دارالاضواء، ط الاولى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العرش، الكرسى،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مرءات العقول فى شرح أخبارآل الرسول، ج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چهارم</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العبكرية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العبكرية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أَهْلِ الْمَدِينَةِ مَرَدُوا عَلَى النِّفاقِ لا تَعْلَمُهُمْ نَحْنُ نَعْلَمُهُمْ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المغنيه، محمدجواد، الآخرة و العقل، بيروت، دارالتيار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دارالجواد، ط الرابعه</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الشيعه فى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كمره‌اى، محمدباقر، اصول‌كافى با ترجمه و شرح فارسى، قم، انتشارات اسوه، چ اول</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 المسائل العبكرية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الشيح المفيد،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الشيح المفيد،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الحواشى و التعليقات، 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 شرط اول و دوم مفوّضه و نوبختى‌ها، با شرط سوم غلات، با شرط چهارم غلات و مفوّضه و اخباريون و عوام از شيعه مخالفند؛ زيرا اين‌ها به‌طورمطلق علم غيب را براى امام به‌كار مى‌برند چه اين‌كه غلات علم غيب را ذاتى و استقلالى مى‌دانند نه تبعى</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فى‌الامامة،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الشّافى، ج</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 الآخرة و العقل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به‌احاديث باب نادر فيه ذكرالغيب از اصول كافى، ج</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محمدجواد، الشيعه فى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المغنيه، محمدجواد، الشّيعه فى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السبحانى، جعفر، رسائل و مقالات، ج </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xml:space="preserve">؛ القزوينى، السيد اميرمحمدالكاظمى، الشيعة فى عقائدهم و احكامهم، كويت، دارالطليعه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ابن‌ابى‌الحديد، شرح نهج البلاغه، ج </w:t>
      </w:r>
      <w:r>
        <w:rPr>
          <w:rFonts w:eastAsia="IRNazanin" w:cs="IRNazanin"/>
          <w:b w:val="false"/>
          <w:bCs w:val="false"/>
          <w:i w:val="false"/>
          <w:iCs w:val="false"/>
          <w:color w:val="333333"/>
          <w:sz w:val="20"/>
          <w:szCs w:val="20"/>
        </w:rPr>
        <w:t>8/215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يجمع عليه جوانح صدرى</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السبحانى، رسائل و مقالات، ج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المناوى، محمدعبدالرؤف، فيض‌القدير شرح جامع صغير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حديث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مغنيه، محمد جواد، الشيعه و التشيع، بيروت، دارالمدرسة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فقط به‌عنوان نمونه آورده شده است</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3/1349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ح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مسلم، صحيح مسلم، ج </w:t>
      </w:r>
      <w:r>
        <w:rPr>
          <w:rFonts w:eastAsia="IRNazanin" w:cs="IRNazanin"/>
          <w:b w:val="false"/>
          <w:bCs w:val="false"/>
          <w:i w:val="false"/>
          <w:iCs w:val="false"/>
          <w:color w:val="333333"/>
          <w:sz w:val="20"/>
          <w:szCs w:val="20"/>
        </w:rPr>
        <w:t>4/1864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ح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المناوى، فيض القدير شرح الجامع الصغير،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حديث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المناوى، فيض القدير شرح الجامع الصغير،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حديث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ابن‌النجّار البغدادى، محب الدين محمدبن محمود أبى‌الحسن، ذيل تاريخ بغداد، تصحيح قيصر فرح، بيروت، دارالكتب العلميه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مسلسل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العسقلانى، لسان الميزان، ج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ابن‌عساكر، تاريخ مدينه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الموصلى، مسند ابى‌يعلى، ج</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 . .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الشاطبى، الموافقات فى أصول الشريعة، 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 ج</w:t>
      </w:r>
      <w:r>
        <w:rPr>
          <w:rFonts w:eastAsia="IRNazanin" w:cs="IRNazanin"/>
          <w:b w:val="false"/>
          <w:bCs w:val="false"/>
          <w:i w:val="false"/>
          <w:iCs w:val="false"/>
          <w:color w:val="333333"/>
          <w:sz w:val="20"/>
          <w:szCs w:val="20"/>
        </w:rPr>
        <w:t>10/168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حفصة، در اين نقل اسم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 مسلم، صحيح مسلم، ج</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تفاوت، نقل از عائشه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36251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ابن‌عساكر تاريخ مدينه دمشق، ج </w:t>
      </w:r>
      <w:r>
        <w:rPr>
          <w:rFonts w:eastAsia="IRNazanin" w:cs="IRNazanin"/>
          <w:b w:val="false"/>
          <w:bCs w:val="false"/>
          <w:i w:val="false"/>
          <w:iCs w:val="false"/>
          <w:color w:val="333333"/>
          <w:sz w:val="20"/>
          <w:szCs w:val="20"/>
        </w:rPr>
        <w:t>59/68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از رقم </w:t>
      </w:r>
      <w:r>
        <w:rPr>
          <w:rFonts w:eastAsia="IRNazanin" w:cs="IRNazanin"/>
          <w:b w:val="false"/>
          <w:bCs w:val="false"/>
          <w:i w:val="false"/>
          <w:iCs w:val="false"/>
          <w:color w:val="333333"/>
          <w:sz w:val="20"/>
          <w:szCs w:val="20"/>
        </w:rPr>
        <w:t>12238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معاويةبن‌صخر ابى‌سفيان</w:t>
      </w:r>
      <w:r>
        <w:rPr>
          <w:rFonts w:eastAsia="IRNazanin" w:cs="IRNazanin"/>
          <w:b w:val="false"/>
          <w:bCs w:val="false"/>
          <w:i w:val="false"/>
          <w:iCs w:val="false"/>
          <w:color w:val="333333"/>
          <w:sz w:val="20"/>
          <w:szCs w:val="20"/>
          <w:rtl w:val="true"/>
        </w:rPr>
        <w:t>.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ابن‌عساكر تاريخ مدينه دمشق، ج </w:t>
      </w:r>
      <w:r>
        <w:rPr>
          <w:rFonts w:eastAsia="IRNazanin" w:cs="IRNazanin"/>
          <w:b w:val="false"/>
          <w:bCs w:val="false"/>
          <w:i w:val="false"/>
          <w:iCs w:val="false"/>
          <w:color w:val="333333"/>
          <w:sz w:val="20"/>
          <w:szCs w:val="20"/>
        </w:rPr>
        <w:t>59/69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ابن‌عساكر تاريخ مدينه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ألاستيعاب فى معرفة الأصحاب، ج</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المناوى، فيض‌القديرشرح جامع الصغير،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انّ‌الله جَعَل‌الحق على لسان عمر</w:t>
      </w:r>
      <w:r>
        <w:rPr>
          <w:rFonts w:eastAsia="IRNazanin" w:cs="IRNazanin"/>
          <w:b w:val="false"/>
          <w:bCs w:val="false"/>
          <w:i w:val="false"/>
          <w:iCs w:val="false"/>
          <w:color w:val="333333"/>
          <w:sz w:val="20"/>
          <w:szCs w:val="20"/>
          <w:rtl w:val="true"/>
        </w:rPr>
        <w:t>» .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حيدر، الامام الصادق و المذاهب الاربعة، تأليف، ايران، دارالزهراء</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احسان الهى، الشّيعه و السّنّة، لاهور پاكستان، ادارة ترجمان الحديثة، توزيع دار الأنصار</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مجدى‌محمد، انتصارالحق مناظرة علمية مع بعض الشيعة، الرياض، دارطيبة، ط الأولى</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ناصربن‌عبدالله، اصول مذهب الشيعه الامامية الاثنى عشرية، الجيزة، دارالرضا، ط الأولى</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ناصربن‌عبدالله، اصول مذهب الشيعه الامامية الاثنى عشرية، الجيزة، دارالرضا، ط الأولى</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ناصربن‌عبدالله، اصول مذهب الشيعه الامامية الاثنى عشرية، الجيزة، دارالرضا، ط الأولى</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ناصربن‌عبدالله، اصول مذهب الشيعه الامامية الاثنى عشرية، الجيزة، دارالرضا، ط الأولى</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محمدبن‌يعقوب، اصول‌كافى، تصحيح وتعليق على اكبرالغفارى، بيروت، دارالأضواء</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 باب فى قلة عدد المؤمنين،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كشّى اين روايت را از ابى‌بكرالحضرمى، اين‌گونه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ارتدّالناس إلا ثلاثة نفر؛ سلمان و أبوذر و المقداد؛ الطوسى، محمدبن‌الحسن، اختيار معرفة الرّجال المعروف برجال الكشّى، تصحيح وتعليق مير داماد الإسترآبادى، تحقيق السيد مهدى‌الرّجايى، قم، مؤسسة آل‌البيت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سليم‌بن‌قيس، همين معنا را با اندك تفاوت از سلمان و او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النَّاس كلّهم إرتدّوا بعد رسول‌الله غيرأربع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سليم بن قيس‌الهلالى، تحقيق و تقديم علاء الدين الموسوى، قم، موسسة البعثة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حديث ارتداد</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كتب الاثنى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الصحابة بسبب توليتهم لأبى بكر قد ارتدّوا الا ثلاثة</w:t>
      </w:r>
      <w:r>
        <w:rPr>
          <w:rFonts w:eastAsia="IRNazanin" w:cs="IRNazanin"/>
          <w:b w:val="false"/>
          <w:bCs w:val="false"/>
          <w:i w:val="false"/>
          <w:iCs w:val="false"/>
          <w:color w:val="333333"/>
          <w:sz w:val="20"/>
          <w:szCs w:val="20"/>
          <w:rtl w:val="true"/>
        </w:rPr>
        <w:t>. . .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به‌جلد دوم اصول مذهب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به‌جلد دوم اصول مذهب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الخطيب، محب‌الدين، الخطوط العريضة للأسس‌التى دين‌الشيعة، الأردن، دارعمار، ط الأولى</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الجوهرى، اسماعيل‌بن‌حماد، الصحاح تاج اللغة، تحقيق احمدالغفورعطا، بيروت، دارالعلم للملايين، ط الثالثة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الفراهيدى، الخليل بن احمد، العين، تحقيق مهدى المحزومى و ابراهيم السامرايى، قم، منشورات دار الهجرة،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5/356</w:t>
      </w:r>
      <w:r>
        <w:rPr>
          <w:rFonts w:ascii="IRNazanin" w:hAnsi="IRNazanin" w:eastAsia="IRNazanin"/>
          <w:b w:val="false"/>
          <w:b w:val="false"/>
          <w:bCs w:val="false"/>
          <w:i w:val="false"/>
          <w:i w:val="false"/>
          <w:iCs w:val="false"/>
          <w:color w:val="333333"/>
          <w:sz w:val="20"/>
          <w:sz w:val="20"/>
          <w:szCs w:val="20"/>
          <w:rtl w:val="true"/>
        </w:rPr>
        <w:t>؛ الزبيدى، السيد محمدمرتضى، تاج العروس من جواهر القاموس، تحقيق على‌شيرى، بيروت، دارالفكر</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ماده كفر</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مورد اين‌كه جوهرى ميان اين واژه از باب 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معناى 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باب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فرق گذاشته، حق مى‌دهد،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ذهب اليه الجوهرى و الأئمة، وتبعهم المصنف و هو الحق</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الاصفهانى، الحسين‌بن‌محمد المعروف بالراغب، المفردات فى غريب القرآن، ضبط هيثم طعَيمى، بيروت، دارإحياء التراث، ط الأولى</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النعمة و كفرانها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سترها بترك أداء شكرها</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به‌معناى انكار نعمت كه ضد شكر باشد هم آمده است</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شيخنا أنَّهما واحد، حيث إنَّ أحدهما مأخوذ من الآخر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شيخنا أنَّهما واحد، حيث إنَّ أحدهما مأخوذ من الآخر</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شيخنا أنَّهما واحد، حيث إنَّ أحدهما مأخوذ من الآخر</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الأصفهانى، المفردات فى غريب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سُمّى الكافر، لانه يستر نِعَم الله عليه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 الأثر، تحقيق طاهر احمد الزاوى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الطناحى، بيروت، المكتبة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تغطية الشىء تغطيةً تستهلكه؛ تاج العروس، ج</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الإصفهانى، المفردات فى غريب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على الاطلاق متعارف فيمن يجحد الوحدانية، أو النبوة، أو الشريعة أو ثلاثتها</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النهاية فى غريب الحديث،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الزبيدى، تاج العروس من جواهرالقاموس، ج</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الفراهيدى، العين، ج</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 خدا را نشناسد و به‌آن اعتراف نكند</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قلباً بشناسد ولى به‌زبان اقرار نكند مانند كفر ابليس</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قلباً خدا را بشناسد و به‌زبان اقراركند ولى از روى حسادت و بغى متدين به‌آن نباشد مانند كفر ابى‌جهل و امثال او</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به‌زبان به‌وحدانيت خدا اقرار كند ولى قلباً به‌آن معتقد نباشد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قلعه‌جى، محمد رواس، معجم لغةالفقهاء، بيروت، درالنفائس</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وهوان‌يأتى‌بما يخرجه عن‌الاسلام من قول أو فعل أو اعتقاد</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جوهرى، الصحاح تاج اللغه،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الفيروزآبادى، قاموس‌المحيط، تحقيق وتصحيح شده، بيروت، دارإحياءالتراث العربى، ط الأولى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محمد متخلص به‌شاد، آنندراج فرهنگ جامع فارسى، زير نظر محمددبيرسيانى، تهران، كتابفروشى خيام، چ دوم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بيروت، دارإحياء التراث العربى، ط الأولى جديدة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بيروت، دارإحياء التراث العربى، ط الأولى جديدة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الأصفهانى، المفردات فى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صحب</w:t>
      </w:r>
      <w:r>
        <w:rPr>
          <w:rFonts w:eastAsia="IRNazanin" w:cs="IRNazanin"/>
          <w:b w:val="false"/>
          <w:bCs w:val="false"/>
          <w:i w:val="false"/>
          <w:iCs w:val="false"/>
          <w:color w:val="333333"/>
          <w:sz w:val="20"/>
          <w:szCs w:val="20"/>
          <w:rtl w:val="true"/>
        </w:rPr>
        <w:t>)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المصطفوى، التحقيق فى كلمات القرآن، ايران، وزارة الثقافة و الإرشاد الإسلامى، ط الأولى</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صحب</w:t>
      </w:r>
      <w:r>
        <w:rPr>
          <w:rFonts w:eastAsia="IRNazanin" w:cs="IRNazanin"/>
          <w:b w:val="false"/>
          <w:bCs w:val="false"/>
          <w:i w:val="false"/>
          <w:iCs w:val="false"/>
          <w:color w:val="333333"/>
          <w:sz w:val="20"/>
          <w:szCs w:val="20"/>
          <w:rtl w:val="true"/>
        </w:rPr>
        <w:t>)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الآمدى، على‌بن‌محمد، الاحكام فى أصول الاحكام، تحقيق سيد الجميل، بيروت، دارالكتاب‌العربى، طالثانية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المسأله الثامنه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فى مسمّى الصحابى؛ فوزى، ابراهيم، تدوين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الرياض الريس للكتب والنشر، ط الثالثة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محمدبن‌اسماعيل، صحيح البخارى، ضبط و شرح الفاظ مصطفى‌ديب البغا، بيروت، دارابن كثير و</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3/1335</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سعيدبن‌المسيب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لانعدهم إلّا من أقام مع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أوسَنَتَين وغَزا غَزوة أوغزوتين</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البغدادى، احمدبن‌على‌بن‌ثابت، الكفاية فى‌علم‌الرواية، بيروت، دارالكتاب العلميه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الجزرى، على‌بن‌محمدبن‌اثير، اسد الغابة فى تمييز الصحابه، تصحيح الشيح عادل احمدالرفاعى، بيروت، دارإحياء التراث، ط الأولى</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حيدر، الإمام الصادق والمذاهب الأربعة، ج</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همان</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اسد، الامام الصادق و المذهب الاربعة، ج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الصحابى و نقطة الخلاف</w:t>
      </w:r>
      <w:r>
        <w:rPr>
          <w:rFonts w:eastAsia="IRNazanin" w:cs="IRNazanin"/>
          <w:b w:val="false"/>
          <w:bCs w:val="false"/>
          <w:i w:val="false"/>
          <w:iCs w:val="false"/>
          <w:color w:val="333333"/>
          <w:sz w:val="20"/>
          <w:szCs w:val="20"/>
          <w:rtl w:val="true"/>
        </w:rPr>
        <w:t>.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 و اختلاف‌المصلّين، تحقيق محمد محيى الدين عبدالحميد، بيروت، المكتبة العصرية للطباعة</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النّاجية منهم، تحقيق لجنة إحياءالتّراث العربى، بيروت، دارالجليل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الآفاق الجديدة،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الفصل الثانى از باب‌الخامس</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بن احمد، شرح‌الاصول الخمسه، تعليق احمدبن‌حسين، تحقيق و مقدمة عبدالكريم عثمان، قاهرة، مكتبة وهبة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تحقيق محمدسيد كيلانى، بيروت، دارالمعرفة</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ألاماميه</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مراجعة الشيخ خليل ألميس، بيروت، دارالقلم،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15/183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الإمامية الإثنى عشرية، ج</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تحقيق محمدسالم 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مؤسسة القرطبة،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آل‌الرسول و اولياؤه موقف‌أهل‌السّنّة والشيعة، از محمدبن‌عبدالرحمن بن محمد بن قاسم؛ انتصارالحق از مجدى محمدعلى؛ الشّيعة والسّنة از، احسان الهى ظهير</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ابن‌أثير، النهاية فى غريب‌الحديث، ج</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رهط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را هم آورده است</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ابن‌أثير، النهاية فى غريب‌الحديث، ج</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ينفون و يطردون</w:t>
      </w:r>
      <w:r>
        <w:rPr>
          <w:rFonts w:eastAsia="IRNazanin" w:cs="IRNazanin"/>
          <w:b w:val="false"/>
          <w:bCs w:val="false"/>
          <w:i w:val="false"/>
          <w:iCs w:val="false"/>
          <w:color w:val="333333"/>
          <w:sz w:val="20"/>
          <w:szCs w:val="20"/>
          <w:rtl w:val="true"/>
        </w:rPr>
        <w:t>)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به‌زودى در همين بخش اشاره خواهد شد</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عصام عبدالسيد، قم، المؤتمر العالمى لألفية الشيخ المفيد</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إعتقادنا فى‌الغلاة و المفوضة أنَّهم كفّار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المفيد، تصحيح الاعتقاد، تحقيق حسين درگاهى،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المغنيه، محمدجواد، الشيعه فى‌الميزان، بيروت، دارالشروق، طالرابعة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لدُررأخبار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بيروت، دارإحياء التراث،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65/244</w:t>
      </w:r>
      <w:r>
        <w:rPr>
          <w:rFonts w:ascii="IRNazanin" w:hAnsi="IRNazanin" w:eastAsia="IRNazanin"/>
          <w:b w:val="false"/>
          <w:b w:val="false"/>
          <w:bCs w:val="false"/>
          <w:i w:val="false"/>
          <w:i w:val="false"/>
          <w:iCs w:val="false"/>
          <w:color w:val="333333"/>
          <w:sz w:val="20"/>
          <w:sz w:val="20"/>
          <w:szCs w:val="20"/>
          <w:rtl w:val="true"/>
        </w:rPr>
        <w:t xml:space="preserve">؛ الكركى، على بن الحسين، جامع المقاعد فى شرح القواعد، قم، تحيقيق و نشر مؤسسة آل البيت لاحياء التراث، ط الاولى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الطباطبايى، السيد على، رياض المسائل فى تحقيق الاحكام بالدلائل، قم، مؤسسةآل‌البيت لاحياء التراث،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الكافر</w:t>
      </w:r>
      <w:r>
        <w:rPr>
          <w:rFonts w:eastAsia="IRNazanin" w:cs="IRNazanin"/>
          <w:b w:val="false"/>
          <w:bCs w:val="false"/>
          <w:i w:val="false"/>
          <w:iCs w:val="false"/>
          <w:color w:val="333333"/>
          <w:sz w:val="20"/>
          <w:szCs w:val="20"/>
          <w:rtl w:val="true"/>
        </w:rPr>
        <w:t>.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البحرانى، يوسف، الحدائق الناضرة فى‌الاحكام العترة الطاهرة، تحقيق و تعليق محمد تقى‌الإيروانى، قم، مؤسسة النشر الاسلامى التابعة لجماعة المدرسين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تلخيص‌الشافى، مقدمة وتعليق السيدحسين بحرالعلوم، قم، منشورات‌العزيزى، طالثالثة</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المجلسى، بحارالانوار، ج</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العاملى، زين‌الدين بن على المعروف بالشهيد الثانى، روض‌الجنان فى شرح ارشاد الاذهان، تحقيق مركزالابحاث و الدراسات الاسلاميه، قم، مؤسسة بوستان كتاب</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الكركى، جامع المقاصد فى شرح‌القواعد، قم، تحقيق و نشرمؤسسةآل‌البيت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على‌بن‌الحسين الموسوى‌البغدادى، الانتصار، تحقيق مؤسسة النشرالاسلامى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سؤر الكافر</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فى الأحكام العترة الطاهرة، 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البحرانى، الحدائق الناضرة، ج</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قواعدالعقائد، تحقيق على حسن خازم، لبنان، دارالغربة، ط الأولى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كون الاسلام فى الحقيقة هو الاِيمان، فلقوله تعالى اَنّ‌الدّين عندالله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واختلفوا فى معناه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الإيمان مع رسالتى الاقتصاد و العدالة، تحقيق السيد مهدى الرجايى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قم، مكتبة آيةالله مرعشى، ط الاولى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مخالفان امامت را كافر و اكثر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دانسته‌اند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الايمان</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ألاسلام شهادة أن‌لا اله إلّا الله و التصديق برسول‌الله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حقنت الدماء و عليه جرت المناكح</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زين الدين بن على، روض الجنان فى شرح ارشاد الاذهان، 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 الكفر، باب الفرق بين الايمان و الاسلام،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قم، إحياء الكتب الإسلامية، چ اول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يحقن به‌الدم وتؤدّى به‌الأمانة</w:t>
      </w:r>
      <w:r>
        <w:rPr>
          <w:rFonts w:eastAsia="IRNazanin" w:cs="IRNazanin"/>
          <w:b w:val="false"/>
          <w:bCs w:val="false"/>
          <w:i w:val="false"/>
          <w:iCs w:val="false"/>
          <w:color w:val="333333"/>
          <w:sz w:val="20"/>
          <w:szCs w:val="20"/>
          <w:rtl w:val="true"/>
        </w:rPr>
        <w:t>. .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قم، إحياء الكتب الإسلامية، چ اول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مرءات العقول فى شرح أخبارآل الرسول، تهران، دارالكتب الإسلامية</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 الكفر، باب الاسلام يحقن به‌الدّم، ذيل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مرءات العقول فى شرح أخبارآل الرسول، تهران، دارالكتب الإسلامية</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 الكفر، باب الاسلام يحقن به‌الدّم، ذيل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النجفى، محمدحسن، جواهرالكلام فى شرح شرائع الاسلام، بيروت، دارالاحياء التراث، ط السابعة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العاشرالكافر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فى‌حكم المخالف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ترسيم ضابطه كفريت، كه عبارت باشد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انكار ضرورى دين يا نصّ بر كفريت كسى و گروهى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فرقه‌هايى كه مخالف باورهاى شيعه‌اند را همانند منكران بر نصّ بر ولايت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آن معيار نمى‌داند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لايندرج فى الضابط المذكور معتقد خلاف‌الحق من فرق المسلمين، كجحد النص على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فى محله، لأنّ الأقوى طهارتهم فى مثل هذه الأعصار و إن كان عند ظهور صاحب‌الأمر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يعاملهم معاملة الكفار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وفاقاً للمشهور بين الأصحاب، سيما المتأخرين نقلاً و تحصيلاً، بل يمكن تحصيل الإجماع كما عن الأستاذ أنَّه معلوم، بل لعلّه ضرورى المذهب للسيرة القاطعة من سائرالفرقة المحقة فى سائر الأعصار و الأمصار، و للقطع بمخالفة الأئمّة المرضيين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أصحابهم لهم حتى لرؤسهم ومؤسّسى مذهبهم على وجه يقطع بعدم كونه للتقية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مراجعه نماييد به‌همان</w:t>
      </w:r>
      <w:r>
        <w:rPr>
          <w:rFonts w:eastAsia="IRNazanin" w:cs="IRNazanin"/>
          <w:b w:val="false"/>
          <w:bCs w:val="false"/>
          <w:i w:val="false"/>
          <w:iCs w:val="false"/>
          <w:color w:val="333333"/>
          <w:sz w:val="20"/>
          <w:szCs w:val="20"/>
          <w:rtl w:val="true"/>
        </w:rPr>
        <w:t>) .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ملاك كفر و نجاست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وضابطه من أنكر الإلهية أو الرسالة أو بعض ما علم ثبوته من الدين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فى تحقيق الاحكام بالدلائل، تحقيق و نشر موسسة آل البيت لاحياء التراث، قم، طالاولى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ملاك كفر و نجاست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وضابطه من أنكر الإلهية أو الرسالة أو بعض ما علم ثبوته من الدين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فى تحقيق الاحكام بالدلائل، تحقيق و نشر موسسة آل البيت لاحياء التراث، قم، طالاولى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قد عرفتَ إنحصارأدلّة نجاسة الكفار في الإجماع وفحوى الأخبار المزبورة ظهر لك وجه القوّة القول بطهارة من عدا الخوارج والنواصب من فرق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ينكر ضرورياً من‌الدين على وجه يلحق بالكافرين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جاحدالنص أوغيره</w:t>
      </w:r>
      <w:r>
        <w:rPr>
          <w:rFonts w:eastAsia="IRNazanin" w:cs="IRNazanin"/>
          <w:b w:val="false"/>
          <w:bCs w:val="false"/>
          <w:i w:val="false"/>
          <w:iCs w:val="false"/>
          <w:color w:val="333333"/>
          <w:sz w:val="20"/>
          <w:szCs w:val="20"/>
          <w:rtl w:val="true"/>
        </w:rPr>
        <w:t>. . .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السيدحسن‌ترحينى، الزبدةالفقيه فى شرح الروضة البهية، بيروت دارالهادى، ط الاولى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الكاشانى، المولى حبيب الله‌بن على مدد، منتقد المنافع فى شرح المختصر النافع الطهارة الاعداد و التحقيق مركز العلوم والثقافة الاسلامية قسم الإحياء التراث الاسلامى، قم، مؤسسه بوستان كتاب، چ اول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منتقدالمنافع فى شرح المختصرالنافع،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الاردبيلى، المولى‌احمد، مجمع الفائدة و البرهان فى شرح ارشاد الاذهان، تصحيح و تعليق و اشراف آقا مجتبى عراقى و شيخ على‌پناه الاشتهاردى، قم، مؤسسة النشرالاسلامى التابعة لجماعة المدرسين، ط الاولى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الطباطبايى، السيدمحمدكاظم اليزدى، العروة الوثقى با تعليقات بعضى مراجع، تهران، المكيتة العلمية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الطباطبايى الحكيم، مستمسك العروة الوثقى، بيروت، دارالاحياء التراث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كتاب الطهارة، تهران، مؤسسة تنظيم و نشر آثار، ط الأولى</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فى حكم المخالفين</w:t>
      </w:r>
      <w:r>
        <w:rPr>
          <w:rFonts w:eastAsia="IRNazanin" w:cs="IRNazanin"/>
          <w:b w:val="false"/>
          <w:bCs w:val="false"/>
          <w:i w:val="false"/>
          <w:iCs w:val="false"/>
          <w:color w:val="333333"/>
          <w:sz w:val="20"/>
          <w:szCs w:val="20"/>
          <w:rtl w:val="true"/>
        </w:rPr>
        <w:t>)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فى شرح العروة الوثقى، تأليف الميرزا على الغروى التبريزى، قم، مؤسسة آل‌البيت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للطباعة و 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الميلانى، السيدعلى،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مركزالأبحاث العقائدية، ط الأولى</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ابن ابى‌الحديد، شرح نهج‌البلاغه، تحقيق محمد ابوالفضل ابراهيم، بيروت، دارإحياء التراث، ط الثانية</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ذكر لأحاديث الموضوعة فى ذمّ على</w:t>
      </w:r>
      <w:r>
        <w:rPr>
          <w:rFonts w:eastAsia="IRNazanin" w:cs="IRNazanin"/>
          <w:b w:val="false"/>
          <w:bCs w:val="false"/>
          <w:i w:val="false"/>
          <w:iCs w:val="false"/>
          <w:color w:val="333333"/>
          <w:sz w:val="20"/>
          <w:szCs w:val="20"/>
          <w:rtl w:val="true"/>
        </w:rPr>
        <w:t>.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 اضواء على السنّة المحمّدية، نوشته محمود ابوريه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الآمدى، على‌بن‌محمد، ألاحكام فى أصول الاحكام، ج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الغزّالى، المستصطفى من علم الأصول و بذيله فواتح الرحموت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بيروت، دارصادر، طالأولى</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الفصل‌الرابع فى عدالة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والذى عليه السلف الأمّة و جماهيرالخلف أنّ عدالتهم معلومة بتعديل‌الله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صوفى، عبدالقادربن محمدعطا، موقف الشّيعة الإثنى عشرية من صحابة الرسول موسوعة الدفاع عن الصّحابة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ابن حجر العسقلانى، الاصابة فى تمييز الصحابة،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إتّفق أهل السّنة على أن الجميع عُدولٌ ولم يخالف فى ذلك إلا شذوذٌ مِنَ المبتدعة</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فى اصول الاحكام، همان؛ اسد حيدر، اين قول را به‌ابى‌الصلاح نسبت مى‌دهد كه وى بر آن ادعاى اجماع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ج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ج</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المستصطفى، ج</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الأمدى، الاحكام فى أصول الأحكام، ج</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الأصفهانى، شمس‌الدين محمودبن عبدالرحمن بن‌احمد، بيان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ابن‌الحاجب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محمد مظهر بقاء، جدّة، المدنى للطباعة و النشر،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 الجزء الاول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چهار قول را در مورد عدالت صحابه نقل مى‌كند، ديدگاهى كه در مقابل اكثر اهل‌سنت است اين نظر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 إنّ الصحابة كغيرهم، فيجب تعديلهم كغيرهم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ابن حاجب در متن به‌اين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كغيرهم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به‌طورمطلق، در برابراين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الاكثر على عدالة الصحابة، اكتفا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تنها دركتابخانه آيةالله مرعشى به‌شماره </w:t>
      </w:r>
      <w:r>
        <w:rPr>
          <w:rFonts w:eastAsia="IRNazanin" w:cs="IRNazanin"/>
          <w:b w:val="false"/>
          <w:bCs w:val="false"/>
          <w:i w:val="false"/>
          <w:iCs w:val="false"/>
          <w:color w:val="333333"/>
          <w:sz w:val="20"/>
          <w:szCs w:val="20"/>
        </w:rPr>
        <w:t>2/9/183</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العراقى، الحافظ زين‌الدين عبدالرحيم بن‌الحسين‌بن عبدالرحمن، شرح ألفية العراقى المسماة بالتبصرة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ويليه فتح الباقى على ألفية العراقى، زين‌الدين الشيخ زكريا بن‌محمدبن احمد الازهرى الشافعى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لابن الحاجب قولاً في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كغيرهم في لزوم البحث عن عدالتهم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نيز ديدگاه‌هاى مختلفى را در مورد عدالت صحابه نقل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درضمن اين كتاب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در كتابخانه آيةالله مرعشى به‌شماره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العاملى، السيد محسن امين، نقض الوشية، بيروت، مؤسسة الأعلمى، ط الرابعة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الميلانى، السيدعلى،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مركز الأبحاث العقائدية، ط الأولى</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الآمدى، الاحكام فى اصول الاحكام، ج</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الغزالى، المستصطفى، ج</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الكفاية فى علم 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از سند و راوى آن واجب است مگر اين‌كه راوى صحابى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عدالةَ الصحابةِ ثابتةٌ معلومةٌ بتعديل الله لهم، و أخباره عن طهارتهم، و اختياره لهم في نَصّ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في معرفة الأصحاب، تحقيق علي محمد البجاوي، القاهرة، نهضة مصرللطباعة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و إن كان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كُفينا البحثَ عن أحوالهم، لإجماع أهل الحق من المسلمين و هم أهل‌السنّة و الجماعة، على أنّهم كُلُّهم عُدُولٌ؛ الاصابة في تمييزالصحابة،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إتفق أهل السنة على‌أنَّ الجميع عدولٌ ولم يخالف في ذلك إلّا شذوذ من المبدعة؛ تطهير الجنان و اللسان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ذيل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عليك أيُّها المُسلم الممتلئ القلب من محّبةِالله و رسوله أن تحبّ جميع الأصحاب نبيك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تعتقد أنّهم كُلُّهُم عُدول، كما أطبق عليه أئمة السّلف والخلف؛ المستصطفي في علم‌الاصول ج</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عليه السّلف و جماهيرالخلف أنّ عدالتهم معلومة بتعديل‌الله عزّوجل إيّاهم</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الاستيعاب فى معرفة الأصحاب،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فى تمييز الصحابة،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البغدادى، الكفاية فى علم 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فى تمييز الصّحابة،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الكفاية فى علم 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الاستيعاب فى معرفة الأصحاب،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و الإصابة فى تمييز الصّحابة،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الاستيعاب فى معرفة الأصحاب،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فى تمييز الصحابة،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البغدادى، الكفاية فى علم 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فى تمييزالصحابة،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بغدادى، الكفاية فى‌علم 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آمدى حديث را به‌اين صورت نقل مى‌كند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أصحابي كالنُّجوم ُ بأيِّهم إقتديتمُ إهتديتمُ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الإحكام فى اصول الاحكام، ج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ابن حجرالعسقلانى، لسان الميزان، بيروت، مؤسسة الأعلمى، ط الثانية</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جعفربن عبدالواحد الهاشمى؛ الزمخشرى، الكشاف، بيروت، دارالكتب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3/1343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الاصابة فى تمييزالصحابة،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ازحديث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بغدادى، الكفاية فى علم الرواية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به‌اصحابم دشنام ندهيد، قسم به‌خدايى كه جانم در دست اوست، اگر كسى از شما به‌اندازه كُوه احد طلا در راه خدا انفاق كند، پاداشى به اندازه مُدّ و نصف مُدِّ پاداش يكى از اصحاب را درك نخواهد كرد</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بغدادى، الكفاية فى علم 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القرطبى، الجامع لاحكام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تفسيرقرطى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فى فضل تفسير القرآن</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الآلوسى، شهاب‌الدّين‌السّيد محمود، روح المعانى فى تفسيرالقرآن العظيم و السّبع المثانى،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الاولى فى معنى التفسير</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تفسيرالطبرى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فى تأويل‌القرآن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الطبرسى، مجمع البيان فى تفسير القرآن، 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الطبرسى، مجمع البيان، همان؛ القرطبى، الجامع لاحكام القرآن، جزء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الميلانى، السيد على‌الحسينى،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الابحاث العقائدية، ط الاولى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جزء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الميلانى،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جزء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الفخر رازى، التفسيرالكبير، 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خطاب لجميع الاُمّة أوّلها و آخرها، من كان منهم موجوداً وقت نزول هذه الآية و من جاء بعدهم الى قيام الساعة؛ الطبرسى، مجمع البيان، 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امت وسط را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الاُمّة الوسط، و نحن شهداءالله على خلقة و حجّته في أرضه</w:t>
      </w:r>
      <w:r>
        <w:rPr>
          <w:rFonts w:eastAsia="IRNazanin" w:cs="IRNazanin"/>
          <w:b w:val="false"/>
          <w:bCs w:val="false"/>
          <w:i w:val="false"/>
          <w:iCs w:val="false"/>
          <w:color w:val="333333"/>
          <w:sz w:val="20"/>
          <w:szCs w:val="20"/>
          <w:rtl w:val="true"/>
        </w:rPr>
        <w:t>. . .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تفسيرالقرآن العظيم، ج</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بيعت رضوان با بيعت شجره دو بيعت جداگانه نيست بلكه همان بيعت رضوان است كه در زير درخت سَمُره انجام شد، اين بيعت بدان جهت صورت گرفت كه رسول‌الله ابتدا به‌عمر فرمود به‌مكه برود و به‌سران شرك اطلاع دهد كه به‌قصد زيارت بدون سلاح وارد مكه مى‌شوند، ولى عمر ترسيد و نرفت، عثمان را فرستاد، و عثمان را سران مكه حبس كردند و به‌رسول‌خدا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رسيد كه عثمان كشته شده است، و حضرت از مسلمانان حاضر بيعت گرفت كه تا پاى مرگ با او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سيرة ابن‌هشام، ج</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تاريخ الطبرى، ج</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سال ششم</w:t>
      </w:r>
      <w:r>
        <w:rPr>
          <w:rFonts w:eastAsia="IRNazanin" w:cs="IRNazanin"/>
          <w:b w:val="false"/>
          <w:bCs w:val="false"/>
          <w:i w:val="false"/>
          <w:iCs w:val="false"/>
          <w:color w:val="333333"/>
          <w:sz w:val="20"/>
          <w:szCs w:val="20"/>
          <w:rtl w:val="true"/>
        </w:rPr>
        <w:t>)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الميلانى،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الميلانى،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الآمدى، محمدكوزل، خلاصة ميزان الحق، قم، انتشارات دليل ما، ط الاولى</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الزّمخشرى، الكشاف، ج</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السيرة النبوية، ج</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أمرالهُدنة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وَثَبَ عُمَربن‌الخطاب، فأتى أبابكر،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أليسَ برسول‌الله؟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 .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ميزان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مدينة دمشق، ج</w:t>
      </w:r>
      <w:r>
        <w:rPr>
          <w:rFonts w:eastAsia="IRNazanin" w:cs="IRNazanin"/>
          <w:b w:val="false"/>
          <w:bCs w:val="false"/>
          <w:i w:val="false"/>
          <w:iCs w:val="false"/>
          <w:color w:val="333333"/>
          <w:sz w:val="20"/>
          <w:szCs w:val="20"/>
        </w:rPr>
        <w:t>42/271</w:t>
      </w:r>
      <w:r>
        <w:rPr>
          <w:rFonts w:ascii="IRNazanin" w:hAnsi="IRNazanin" w:eastAsia="IRNazanin"/>
          <w:b w:val="false"/>
          <w:b w:val="false"/>
          <w:bCs w:val="false"/>
          <w:i w:val="false"/>
          <w:i w:val="false"/>
          <w:iCs w:val="false"/>
          <w:color w:val="333333"/>
          <w:sz w:val="20"/>
          <w:sz w:val="20"/>
          <w:szCs w:val="20"/>
          <w:rtl w:val="true"/>
        </w:rPr>
        <w:t xml:space="preserve">، از چند طريق به‌عبارت‌هاى مختلف به‌رقم‌هاى </w:t>
      </w:r>
      <w:r>
        <w:rPr>
          <w:rFonts w:eastAsia="IRNazanin" w:cs="IRNazanin"/>
          <w:b w:val="false"/>
          <w:bCs w:val="false"/>
          <w:i w:val="false"/>
          <w:iCs w:val="false"/>
          <w:color w:val="333333"/>
          <w:sz w:val="20"/>
          <w:szCs w:val="20"/>
        </w:rPr>
        <w:t>8795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مسلم‌بن‌الحجّاج، صحيح مسلم، 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على أنه حُبّ الانصار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ماجه، سنن ابن ماجه، 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فضل على‌بن‌ابى‌طالب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رضى‌الله‌عنه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النسائى، سنن النسائى، ج</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الإيمان</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ابن‌عساكر، تاريخ مدينة دمشق، همان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 الكبرى، ج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ترجمه عماربن‌ياسر؛ صحيح البخارى، 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التّرمذى، سنن‌التّرمذى، ج </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عمار،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الكبرى، ج</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ترجمه عمار؛ ابن‌حنبل، احمد، مسند احمدبن‌حنبل،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ابن حجر، الاصابة، ج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متقى هندى، كنزالعمال، ج</w:t>
      </w:r>
      <w:r>
        <w:rPr>
          <w:rFonts w:eastAsia="IRNazanin" w:cs="IRNazanin"/>
          <w:b w:val="false"/>
          <w:bCs w:val="false"/>
          <w:i w:val="false"/>
          <w:iCs w:val="false"/>
          <w:color w:val="333333"/>
          <w:sz w:val="20"/>
          <w:szCs w:val="20"/>
        </w:rPr>
        <w:t>11/721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33563</w:t>
      </w:r>
      <w:r>
        <w:rPr>
          <w:rFonts w:eastAsia="IRNazanin" w:cs="IRNazanin"/>
          <w:b w:val="false"/>
          <w:bCs w:val="false"/>
          <w:i w:val="false"/>
          <w:iCs w:val="false"/>
          <w:color w:val="333333"/>
          <w:sz w:val="20"/>
          <w:szCs w:val="20"/>
          <w:rtl w:val="true"/>
        </w:rPr>
        <w:t>.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الميلانى،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الزمخشرى، الكشاف،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ابن‌كثير، تفسيرالقرآن العظيم، ج</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القرطبى، الجامع لأحكام القرآن، ج</w:t>
      </w:r>
      <w:r>
        <w:rPr>
          <w:rFonts w:eastAsia="IRNazanin" w:cs="IRNazanin"/>
          <w:b w:val="false"/>
          <w:bCs w:val="false"/>
          <w:i w:val="false"/>
          <w:iCs w:val="false"/>
          <w:color w:val="333333"/>
          <w:sz w:val="20"/>
          <w:szCs w:val="20"/>
        </w:rPr>
        <w:t>8/236</w:t>
      </w:r>
      <w:r>
        <w:rPr>
          <w:rFonts w:ascii="IRNazanin" w:hAnsi="IRNazanin" w:eastAsia="IRNazanin"/>
          <w:b w:val="false"/>
          <w:b w:val="false"/>
          <w:bCs w:val="false"/>
          <w:i w:val="false"/>
          <w:i w:val="false"/>
          <w:iCs w:val="false"/>
          <w:color w:val="333333"/>
          <w:sz w:val="20"/>
          <w:sz w:val="20"/>
          <w:szCs w:val="20"/>
          <w:rtl w:val="true"/>
        </w:rPr>
        <w:t xml:space="preserve">؛ السيوطى، الدّر المنثور، ج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الآمدى، خلاصة ميزان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الآمدى، خلاصة ميزان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النهاية فى غريب الحديث و الأثر،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تبقى حُفَالةٌ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اي رُذالة مِن‌النَّاس كردئ التَّمر و نقايته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حفل</w:t>
      </w:r>
      <w:r>
        <w:rPr>
          <w:rFonts w:eastAsia="IRNazanin" w:cs="IRNazanin"/>
          <w:b w:val="false"/>
          <w:bCs w:val="false"/>
          <w:i w:val="false"/>
          <w:iCs w:val="false"/>
          <w:color w:val="333333"/>
          <w:sz w:val="20"/>
          <w:szCs w:val="20"/>
          <w:rtl w:val="true"/>
        </w:rPr>
        <w:t>)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4/1527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كتاب‌المغارى،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الحديبية، رقم </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 xml:space="preserve">، و در ج </w:t>
      </w:r>
      <w:r>
        <w:rPr>
          <w:rFonts w:eastAsia="IRNazanin" w:cs="IRNazanin"/>
          <w:b w:val="false"/>
          <w:bCs w:val="false"/>
          <w:i w:val="false"/>
          <w:iCs w:val="false"/>
          <w:color w:val="333333"/>
          <w:sz w:val="20"/>
          <w:szCs w:val="20"/>
        </w:rPr>
        <w:t>5/2464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 رقم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مطلب را به‌رسول خدا نسبت مى‌دهد</w:t>
      </w:r>
      <w:r>
        <w:rPr>
          <w:rFonts w:eastAsia="IRNazanin" w:cs="IRNazanin"/>
          <w:b w:val="false"/>
          <w:bCs w:val="false"/>
          <w:i w:val="false"/>
          <w:iCs w:val="false"/>
          <w:color w:val="333333"/>
          <w:sz w:val="20"/>
          <w:szCs w:val="20"/>
          <w:rtl w:val="true"/>
        </w:rPr>
        <w:t>.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الاستيعاب، ج </w:t>
      </w:r>
      <w:r>
        <w:rPr>
          <w:rFonts w:eastAsia="IRNazanin" w:cs="IRNazanin"/>
          <w:b w:val="false"/>
          <w:bCs w:val="false"/>
          <w:i w:val="false"/>
          <w:iCs w:val="false"/>
          <w:color w:val="333333"/>
          <w:sz w:val="20"/>
          <w:szCs w:val="20"/>
        </w:rPr>
        <w:t>3/877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ابن اثير الجزرى، اُسدالغابة، ج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الاستيعاب، ج</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ابن اثير الجزرى، اُسدالغابة ج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4/1529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المغازى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الحديبية، ح</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آيات ديگر نيز بر عدالت صحابه ارائه شود، همين پاسخ‌هاى داده شده، براى عدم اثبات عدالت صحابه كفايت مى‌كند</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 الصّحابة،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الآمدى، خلاصة الميزان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الآمدى، خلاصة الميزان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ابن‌عساكر، تاريخ مدينة دمشق، ج </w:t>
      </w:r>
      <w:r>
        <w:rPr>
          <w:rFonts w:eastAsia="IRNazanin" w:cs="IRNazanin"/>
          <w:b w:val="false"/>
          <w:bCs w:val="false"/>
          <w:i w:val="false"/>
          <w:iCs w:val="false"/>
          <w:color w:val="333333"/>
          <w:sz w:val="20"/>
          <w:szCs w:val="20"/>
        </w:rPr>
        <w:t>42/271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علياً فقد أحبَّني</w:t>
      </w:r>
      <w:r>
        <w:rPr>
          <w:rFonts w:eastAsia="IRNazanin" w:cs="IRNazanin"/>
          <w:b w:val="false"/>
          <w:bCs w:val="false"/>
          <w:i w:val="false"/>
          <w:iCs w:val="false"/>
          <w:color w:val="333333"/>
          <w:sz w:val="20"/>
          <w:szCs w:val="20"/>
          <w:rtl w:val="true"/>
        </w:rPr>
        <w:t>. . .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ابراهيم‌بن‌موسى اللخمى الغرناطى المالكى، الموافقات، بقلم عبدالله‌دراز، بيروت، دارالمعرفة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التاسعُة</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الميلانى،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حدّثنا يعقوب بن‌ابراهيم بن‌سعد، حدثنا عَبيدة بن‌ابي رائطة، عن عبدالرحمن بن‌زياد، عن عبدالله‌بن مغفّل</w:t>
      </w:r>
      <w:r>
        <w:rPr>
          <w:rFonts w:eastAsia="IRNazanin" w:cs="IRNazanin"/>
          <w:b w:val="false"/>
          <w:bCs w:val="false"/>
          <w:i w:val="false"/>
          <w:iCs w:val="false"/>
          <w:color w:val="333333"/>
          <w:sz w:val="20"/>
          <w:szCs w:val="20"/>
          <w:rtl w:val="true"/>
        </w:rPr>
        <w:t>. . .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7/108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الميلانى،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جامع‌البيان العلم، ج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المناوى، عبدالرؤف، فيض‌القدير شرح الجامع الصغير، ج</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ذيل 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ذيل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سنن‌التّرمذى، ج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تلخيص الشّافى، 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محمود، أضواء على‌السّنة المحمدّيه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 ج</w:t>
      </w:r>
      <w:r>
        <w:rPr>
          <w:rFonts w:eastAsia="IRNazanin" w:cs="IRNazanin"/>
          <w:b w:val="false"/>
          <w:bCs w:val="false"/>
          <w:i w:val="false"/>
          <w:iCs w:val="false"/>
          <w:color w:val="333333"/>
          <w:sz w:val="20"/>
          <w:szCs w:val="20"/>
        </w:rPr>
        <w:t>4/538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تلخيص‌الشّافى، ج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حيدر، الامام الصادق و المذاهب الاربعة، 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الباجى، سليمان بن خلف، احكام فى احكام الأصول، تحقيق عبدالله محمد الجبورى، بيروت، مؤسسةالرسالة، طالاولى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 كلّهم عندنا عدول بتعديل‌الله، و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به‌ابتداى همين بحث</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ابى‌كامل است كه عموم اصحاب را به‌خاطر بيعت نكردن با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را به‌خاطر رضايت دادن به‌خلافت ابابكر و مطالبه نكردن حق خود، كافر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الشهرستانى، الملل و النحل، ج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السيد حيدر، الامام الصادق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شرف‌الدين، السيدعبدالحسين، اجوبة مسائل موسى‌جارالله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الامام السيدعبدالحسين، ج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شرف‌الدين، السيدعبدالحسين، اجوبة مسائل موسى‌جارالله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الامام السيدعبدالحسين، ج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الصادق و المذاهب‌الاربعة، ج</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على‌السّنة المحمديه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الديلمى، جوادحسين، شبهات‌السّلفية، تحريف‌القرآن، التقيه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بيروت، دارالمحجة البيضاء للطباعة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ط الاولى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جندب‌بن‌جنادة بن‌كُعيب‌بن‌غفار متوفى سنة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ق بالرَّبَذَه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الكبرى، ج</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ابوذر؛ ابن‌ابى‌شيبة الكوفى، ابن المصنّف فى الأحاديث و الآثار، ج</w:t>
      </w:r>
      <w:r>
        <w:rPr>
          <w:rFonts w:eastAsia="IRNazanin" w:cs="IRNazanin"/>
          <w:b w:val="false"/>
          <w:bCs w:val="false"/>
          <w:i w:val="false"/>
          <w:iCs w:val="false"/>
          <w:color w:val="333333"/>
          <w:sz w:val="20"/>
          <w:szCs w:val="20"/>
        </w:rPr>
        <w:t>7/526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فى أبى‌ذرّ،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ماجه، سنن ابن ماجة، 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الترمذى، سنن الترمذى، ج </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النيسابورى، المستدرك على الصحيحين، ج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5461/1059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5462/106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الكبرى، ج</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ح</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الترمذى، سنن الترمذى، ج</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عمار، چندين حديث نقل كرده است</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3/1033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4/1796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ابى‌داود، سنن ابى‌داود،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الاقضية؛ النسائى، سنن‌النّسائى،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فى ترك الاشهاد على‌البيع؛ عبدالرزاق، المصنّف، ج </w:t>
      </w:r>
      <w:r>
        <w:rPr>
          <w:rFonts w:eastAsia="IRNazanin" w:cs="IRNazanin"/>
          <w:b w:val="false"/>
          <w:bCs w:val="false"/>
          <w:i w:val="false"/>
          <w:iCs w:val="false"/>
          <w:color w:val="333333"/>
          <w:sz w:val="20"/>
          <w:szCs w:val="20"/>
        </w:rPr>
        <w:t>8/366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15568</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سنن الترمذى، ج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ح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الاستيعاب، ج</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البغدادى، احمد بن على بن ثابت المعروف بالخطيب البغدادى، الكفاية فى علم 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اصول‌كافى، ج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كتاب فضل العلم، باب اختلاف الحديث،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نهج البلاغه، فيض‌الاسلام، خطبه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نهج البلاغه معجم، خطبه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شرح نهج البلاغه، ابن‌ابى‌الحديد، ج</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البغدادى، الكفاية فى علم 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الدمشقى، اسماعيل‌بن‌كثير، البداية والنّهاية، ج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الصّبي‌الذي كان يصرع فدعا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فبَرَأ، طريق اخرى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على شرط الشيخيين و لم يخرجاهُ؛ اسدحيدر، الامام الصادق و المذاهب الاربعة، ج</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الإستيعاب، ج</w:t>
      </w:r>
      <w:r>
        <w:rPr>
          <w:rFonts w:eastAsia="IRNazanin" w:cs="IRNazanin"/>
          <w:b w:val="false"/>
          <w:bCs w:val="false"/>
          <w:i w:val="false"/>
          <w:iCs w:val="false"/>
          <w:color w:val="333333"/>
          <w:sz w:val="20"/>
          <w:szCs w:val="20"/>
        </w:rPr>
        <w:t>4/1553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ابن‌كثير، تفسيرالقرآن العظيم، ج</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حجرات؛ اسد حيدر، الامام الصادق والمذاهب الاربعة، ج</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4/1553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4/1554</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ابى‌داود، ج</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ابن‌أثيرالجزرى، اُسدالغابة فى‌معرفةالصحابة، ج</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اسدحيدر، الامام الصادق و المذاهب الأربعة، همان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شرح نهج البلاغة، ج</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تاريخ الطبرى، 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الكامل فى التاريخ،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ابتداى حوادث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به‌كتاب الامام الصادق و المذاهب الاربعة، ج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قدامةبن‌مظعون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سابقين و دو بار هجرت كرد و دايى عبدالله و حفصه فرزندان عمربود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وى را حاكم بحرين قرار داد و در همان‌جا مرتكب شرب خمر شد و عمر بر او حد جارى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3/1377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الاصابة فى تمييز الصحابة، ج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زنا كار بود، سيصدبار و به‌نقلى هزار بار زناى محصنه مرتكب شد و در زمانى كه وى از سوى عمربن الخطاب حاكم بصره بود و زناى محصنه او نزد عمر ثابت شد، او را عزل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4/1445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او نفيع‌بن‌حارث برادر زيادبن ابيه است، عُمَر بر او حدّ جارى ساخت و شهادتش را باطل 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منبع به‌ترتيب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فى اصول الاحكام، بيروت، دارالكتب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الآمدى، الإحكام فى اصول الأحكام، ج</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ابن حجر العسقلانى، ألإصابة فى تمييز الصحابة،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ابن حجر الهيتمى، تطهير الجنان و اللسان، ذيل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البغدادى، الكفاية فى علم 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فى تمييزالصحابة،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حجرالعسقلانى، الاصابة فى تمييز الصحابة،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مسعودبن عمربن عبدالله، شرح المقاصد، تعليق عبدالرحمن عُمرة، قم، منشورات الشريف‌الرضى، طالثالثة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عضدين‌عبدالرحمن، شرح المواقف، و يليه حاشيتى السيالكوتى والچلبى، قم، منشورات الشريف الرضى، ط الأولى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الآمدى، أبى‌الحسن على‌بن محمدبن سالم المعروف بسيف الدين الآمدى، أبكار الافكار فى اصول الدين، تحقيق و تعليق و تخريج 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احمدفريدالمزيدى، بيروت، دارالكتب العلمية، ط الاولى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 السنة المحمديه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 السنة المحمديه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 السنة المحمديه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اسدحيدر، الصّحابة فى نظرالشيعه و الامامية، تصديرالدكتور حامدحفنى داود، طهران، ط الثانية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ق؛ يك صد صحابه دروغين،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السيدمرتضى عسكرى</w:t>
      </w:r>
      <w:r>
        <w:rPr>
          <w:rFonts w:eastAsia="IRNazanin" w:cs="IRNazanin"/>
          <w:b w:val="false"/>
          <w:bCs w:val="false"/>
          <w:i w:val="false"/>
          <w:iCs w:val="false"/>
          <w:color w:val="333333"/>
          <w:sz w:val="20"/>
          <w:szCs w:val="20"/>
          <w:rtl w:val="true"/>
        </w:rPr>
        <w:t>. . . .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القفارى، اصول مذهب الشيعة الإمامية الإثنى عشرية، ج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مجدى محمد،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فيه نكت و نتف من التنزيل،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فيه نكت و نتف من التنزيل،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 الكفر، باب فيما اعطى الله عزوجل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التوبه،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 انگشتانش به‌سه‌نفر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و ابوذر و مقداد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كتاب‌الايمان والكفر باب فى قلّة عدد المؤمنين،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ابى‌جعفربن‌الحسن، اختيار معرفة الرّجال المعروف بالرجال الكشى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الكلينى، الرّوضة من الكافى، تصحيح على اكبر الغفارى، بيروت، دار الإضواء، ط 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مرءات العقول فى شرح أخبارآل الرسول، ج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ج</w:t>
      </w:r>
      <w:r>
        <w:rPr>
          <w:rFonts w:eastAsia="IRNazanin" w:cs="IRNazanin"/>
          <w:b w:val="false"/>
          <w:bCs w:val="false"/>
          <w:i w:val="false"/>
          <w:iCs w:val="false"/>
          <w:color w:val="333333"/>
          <w:sz w:val="20"/>
          <w:szCs w:val="20"/>
        </w:rPr>
        <w:t>11/315</w:t>
      </w:r>
      <w:r>
        <w:rPr>
          <w:rFonts w:eastAsia="IRNazanin" w:cs="IRNazanin"/>
          <w:b w:val="false"/>
          <w:bCs w:val="false"/>
          <w:i w:val="false"/>
          <w:iCs w:val="false"/>
          <w:color w:val="333333"/>
          <w:sz w:val="20"/>
          <w:szCs w:val="20"/>
          <w:rtl w:val="true"/>
        </w:rPr>
        <w:t>.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به‌الكشّاف زمخشرى ج</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تفسيرالقرآن العظيم ابن‌كثير، ج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و مجمع البيان طبرسى، ج</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9/174</w:t>
      </w:r>
      <w:r>
        <w:rPr>
          <w:rFonts w:ascii="IRNazanin" w:hAnsi="IRNazanin" w:eastAsia="IRNazanin"/>
          <w:b w:val="false"/>
          <w:b w:val="false"/>
          <w:bCs w:val="false"/>
          <w:i w:val="false"/>
          <w:i w:val="false"/>
          <w:iCs w:val="false"/>
          <w:color w:val="333333"/>
          <w:sz w:val="20"/>
          <w:sz w:val="20"/>
          <w:szCs w:val="20"/>
          <w:rtl w:val="true"/>
        </w:rPr>
        <w:t xml:space="preserve">؛ مرءات العقول مجلسى، ج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شرح اصول كافى ملاصالح مازندارانى، ج</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مرءات العقول مجلسى، ج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شرح اصول كافى ملاصالح مازندارانى،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مرءات العقول، ج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شرح اصول كافى ملاصالح مازندرانى ج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براى اطلاع از توضيح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واژگان و عبارات احاديث لازم است به‌مرءات‌العقول و شرح اصول كافى</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 اصلى ارتداد از ماده 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معناى بازگشت و رجوع را مى‌دهد و مرتد نيز از همين ماده است و 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مصدر است براى ارتداد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الجوهرى، الصّحاح، تاج‌اللغة، ج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به‌معناى متخلّفين از برخى واجبات، معنى مى‌كند و تصريح مى‌كند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درحديث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فيقال إنّهم لم يزالوا مرتدّين على أعقابهم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به‌معنى كفر اراده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و الأثر، 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راغب، ارتداد 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في الطريق الّذي جاء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مى‌كند و ميان ردّة و ارتداد فرق قايل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ردّة اختصاص به‌بازگشت به‌كفر معنى مى‌دهد و ارتداد در كفر و غيرآن كاربرد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ابتداى اين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و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توضيح مفصل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ابن‌حزم تصريح مى‌كند كه ميان اسلام و ايمان فرق است، نگاه كنيد به‌كتاب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و الفروع،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كه ترديدى را در تفاوت داشتن آن دو اصطلاح باقى نمى‌گذارد</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العمّانى، خليفة عبيد الكلبانى، الشيعة و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الطريق الحق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بحرين، دارالعصمة، ط الاولى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العصفرى، خليفةبن‌خياط، تاريخ خليفة بن خياط، تحقيق سُهيل ذكار، بيروت، دارالفكر</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والأثر، ج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غديرخم همه حاضران با اميرالمؤمنين بيعت كردند، از جمله عمربن‌الخطاب كه تاريخ، بيعت او را با اين عبارت او نقل مى‌كند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أخذالنبي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علي‌بن‌ابي‌طالب،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ولي‌المؤمنين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عمربن‌خطاب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 بخّ لك يا ابن‌ابي‌طالب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مولاي و مولى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خطيب‌البغدادى، احمدبن‌على، تاريخ بغداد او مدينة السلام، تحقيق مصطفى عبدالقادرعطا، بيروت، دارالكتب العلمية، ط الاولى</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حبشون‌بن‌ايوب ابونصرالخلال؛ ابن‌عساكر، تاريخ مدينه دمشق، ج </w:t>
      </w:r>
      <w:r>
        <w:rPr>
          <w:rFonts w:eastAsia="IRNazanin" w:cs="IRNazanin"/>
          <w:b w:val="false"/>
          <w:bCs w:val="false"/>
          <w:i w:val="false"/>
          <w:iCs w:val="false"/>
          <w:color w:val="333333"/>
          <w:sz w:val="20"/>
          <w:szCs w:val="20"/>
        </w:rPr>
        <w:t>42/223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الذهبى، سيرُ اعلام النبلاء، ج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 بخٍّ أصبحت مولى كل مؤمن و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البكرى، عبدالرحمن‌احمد، من حياة الخليفة عمربن‌الخطاب، بيروت، الارشاد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الغزالى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بحثى تحت عنوان ترتيب الخلافة و المملكة مى‌آورد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وأجمع الجماهير على متن الحديث من خطبته في يوم غديرخم بإتفاق الجميع و هو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يا ابا الحسن لقد أصبحت مولاي و مولى كل مولى، فهذا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و رضي و تحكيم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بعد هذا غَلَبَ الهوى حُبّاً للرياسة و جعل عمود الخلافة و عقود النبوة، وخفقان الهوى في قعقعة الرايات، و اشتباك ازدحام الخيول، و فتح الأمصار، وسقاهم كأس‌الهوى؛ فعادوا الى الخلاف الأول، فنبذوهُ وراء ظهورهم، و اشتروا به‌ثمناً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ابى‌حامد الغزالى، سُرُّ العالَمِين و كشف ما فى‌الدّارين، تقديم و تحقيق أيمن عبدالجابر البحيرى، قاهرة، دارالآفاق العربية، ط الاولى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منبع أخير اين مطلب غزالى را آورده است؛ الاسكافى، ابوجعفر محمدبن‌عبدالله المعتزلى، المعيار و الموازنة فى فضائل الامام اميرالمؤمنين على بن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محمد باقر المحمودى، بيروت، مجمع الثقافة الإسلامية، ط الأولى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بيعت عمر با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غدير در اكثر منابع شيعه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مسارالشيعه فى مختصر تواريخ الشّريعة، شيخ مفيد، تحقيق الشيخ مهدى نجف، بيروت، دارالمفيد، ط الثانية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تفسير فرات الكوفى، ط</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خصائص الوحى‌المبين، شمس‌الدين يحيى‌بن الحسن الاسدى الربعى الحلّى، ط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شرح اصول كافى ملاصالح مازندارانى، ج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و الغدير و بحار و وسائل الشيعه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به‌روايات باب‌هاى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الاسلام يحقن به‌الدم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الإيمان يشارك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والكفر</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فى الردّ على أهل‌البدع و الزندقه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الخامس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بريده را صحيح دانسته است</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السيبى، كامل مصطفى، الصلة بين التصوّف و التشيع، بيروت، دارالآندلس، ط الأولى</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الإمامية الإثنى عشرية، ج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تكفيرهم أهل البيت</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الجنة وصفة نعيمها وأهلها،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الدنيا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از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البخارى، ج</w:t>
      </w:r>
      <w:r>
        <w:rPr>
          <w:rFonts w:eastAsia="IRNazanin" w:cs="IRNazanin"/>
          <w:b w:val="false"/>
          <w:bCs w:val="false"/>
          <w:i w:val="false"/>
          <w:iCs w:val="false"/>
          <w:color w:val="333333"/>
          <w:sz w:val="20"/>
          <w:szCs w:val="20"/>
        </w:rPr>
        <w:t>5/2391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الحشر، ح </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تفاوت</w:t>
      </w:r>
      <w:r>
        <w:rPr>
          <w:rFonts w:eastAsia="IRNazanin" w:cs="IRNazanin"/>
          <w:b w:val="false"/>
          <w:bCs w:val="false"/>
          <w:i w:val="false"/>
          <w:iCs w:val="false"/>
          <w:color w:val="333333"/>
          <w:sz w:val="20"/>
          <w:szCs w:val="20"/>
          <w:rtl w:val="true"/>
        </w:rPr>
        <w:t>) .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ح</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فَرَطُكم، اي متقدّمكم اليه؛ فَرَطَ يفرط فهو فارط، اذا تقدّم و سيق القوم لِيرداد لهم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 ج</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6/2587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التميمى، احمدبن على‌بن المثنّى، مسند أبى‌يعلى الموصلى، تحقيق حسين سليم اسد، بيروت، دارالمأمون،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النيسابورى، أبى‌بكر محمدبن إسحق‌بن خزيمة السلمى، صحيح إبن‌خزيمة، تحقيق محمد مصطفى الأعظمى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الإسلامى، ط الثانية</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ذكرحط الخطايا و رفع الدرجات؛ ابن‌حبّان، صحيح ابن‌حبّان، ترتيب الامير علاءالدين على‌بن‌بلَبلان الفارسى، بيروت، دارالكتب العلمية، طالأولى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ذكرالبيان بأن الأمة المصطفى تعرف فى القيامة بالتعجيل بوضوئهم</w:t>
      </w:r>
      <w:r>
        <w:rPr>
          <w:rFonts w:eastAsia="IRNazanin" w:cs="IRNazanin"/>
          <w:b w:val="false"/>
          <w:bCs w:val="false"/>
          <w:i w:val="false"/>
          <w:iCs w:val="false"/>
          <w:color w:val="333333"/>
          <w:sz w:val="20"/>
          <w:szCs w:val="20"/>
          <w:rtl w:val="true"/>
        </w:rPr>
        <w:t>.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ابن‌راهويه، إسحق‌بن‌ابراهيم بن‌مخلدالحنظلى المروزى، مسند ابن راهويه، تحقيق عبدالغفور عبدالحق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مدينة المنورة، مكتبة الإيمان، ط الأولى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مسند ابى‌يعلى الموصلى، ج</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الطبرانى، معجم‌الكبير، ج</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ابن‌حنبل، المسند احمد، ج</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انس‌بن‌مالك، ح</w:t>
      </w:r>
      <w:r>
        <w:rPr>
          <w:rFonts w:eastAsia="IRNazanin" w:cs="IRNazanin"/>
          <w:b w:val="false"/>
          <w:bCs w:val="false"/>
          <w:i w:val="false"/>
          <w:iCs w:val="false"/>
          <w:color w:val="333333"/>
          <w:sz w:val="20"/>
          <w:szCs w:val="20"/>
        </w:rPr>
        <w:t>13993</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النهاية فى غريب الحديث، ج</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 به‌گروهى از مردان از</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نفر گفته مى‌شود</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النهاية فى غريب الحديث، ج</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ينفون و يطردون</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الخارى،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6214</w:t>
      </w:r>
      <w:r>
        <w:rPr>
          <w:rFonts w:ascii="IRNazanin" w:hAnsi="IRNazanin" w:eastAsia="IRNazanin"/>
          <w:b w:val="false"/>
          <w:b w:val="false"/>
          <w:bCs w:val="false"/>
          <w:i w:val="false"/>
          <w:i w:val="false"/>
          <w:iCs w:val="false"/>
          <w:color w:val="333333"/>
          <w:sz w:val="20"/>
          <w:sz w:val="20"/>
          <w:szCs w:val="20"/>
          <w:rtl w:val="true"/>
        </w:rPr>
        <w:t>؛ ابن‌اثير، النهاية فى غريب‌الحديث، ج</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قهقرى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الإرتداد عمّا كانوا عليه</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6/2594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61652</w:t>
      </w:r>
      <w:r>
        <w:rPr>
          <w:rFonts w:eastAsia="IRNazanin" w:cs="IRNazanin"/>
          <w:b w:val="false"/>
          <w:bCs w:val="false"/>
          <w:i w:val="false"/>
          <w:iCs w:val="false"/>
          <w:color w:val="333333"/>
          <w:sz w:val="20"/>
          <w:szCs w:val="20"/>
          <w:rtl w:val="true"/>
        </w:rPr>
        <w:t>.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6/2594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6669</w:t>
      </w:r>
      <w:r>
        <w:rPr>
          <w:rFonts w:ascii="IRNazanin" w:hAnsi="IRNazanin" w:eastAsia="IRNazanin"/>
          <w:b w:val="false"/>
          <w:b w:val="false"/>
          <w:bCs w:val="false"/>
          <w:i w:val="false"/>
          <w:i w:val="false"/>
          <w:iCs w:val="false"/>
          <w:color w:val="333333"/>
          <w:sz w:val="20"/>
          <w:sz w:val="20"/>
          <w:szCs w:val="20"/>
          <w:rtl w:val="true"/>
        </w:rPr>
        <w:t>؛ ابن ماجة، سنن إبن ماجة، ج</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ح</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و به‌نقل از مجمع الزوائد سند روايت را صحيح مى‌داند؛ الهيتمى، مجمع الزوائد و منبع الفوائد، ج</w:t>
      </w:r>
      <w:r>
        <w:rPr>
          <w:rFonts w:eastAsia="IRNazanin" w:cs="IRNazanin"/>
          <w:b w:val="false"/>
          <w:bCs w:val="false"/>
          <w:i w:val="false"/>
          <w:iCs w:val="false"/>
          <w:color w:val="333333"/>
          <w:sz w:val="20"/>
          <w:szCs w:val="20"/>
        </w:rPr>
        <w:t>7/295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6/2593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ابن‌ماجة، ج</w:t>
      </w:r>
      <w:r>
        <w:rPr>
          <w:rFonts w:eastAsia="IRNazanin" w:cs="IRNazanin"/>
          <w:b w:val="false"/>
          <w:bCs w:val="false"/>
          <w:i w:val="false"/>
          <w:iCs w:val="false"/>
          <w:color w:val="333333"/>
          <w:sz w:val="20"/>
          <w:szCs w:val="20"/>
        </w:rPr>
        <w:t>2/1322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مجمع الزوائد سند روايت را صحيح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اين عبارت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لَدَخَلتُم وحتى لو أنّ أحدهم جامع أُمّه، لَفَعَلتُم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منه فى إتباع سنن من مضى</w:t>
      </w:r>
      <w:r>
        <w:rPr>
          <w:rFonts w:eastAsia="IRNazanin" w:cs="IRNazanin"/>
          <w:b w:val="false"/>
          <w:bCs w:val="false"/>
          <w:i w:val="false"/>
          <w:iCs w:val="false"/>
          <w:color w:val="333333"/>
          <w:sz w:val="20"/>
          <w:szCs w:val="20"/>
          <w:rtl w:val="true"/>
        </w:rPr>
        <w:t>)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7/261</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به‌كتاب هدى‌السارى مقدمة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انتصارالحق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2587.44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به‌فصل چهارم از بخش اول</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ابن‌خزيمة،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صحيح ابن‌حبان، ج</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مسند ابى‌يعلى‌الموصلى، ج</w:t>
      </w:r>
      <w:r>
        <w:rPr>
          <w:rFonts w:eastAsia="IRNazanin" w:cs="IRNazanin"/>
          <w:b w:val="false"/>
          <w:bCs w:val="false"/>
          <w:i w:val="false"/>
          <w:iCs w:val="false"/>
          <w:color w:val="333333"/>
          <w:sz w:val="20"/>
          <w:szCs w:val="20"/>
        </w:rPr>
        <w:t>11/388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 و الأثر، ج</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رهط</w:t>
      </w:r>
      <w:r>
        <w:rPr>
          <w:rFonts w:eastAsia="IRNazanin" w:cs="IRNazanin"/>
          <w:b w:val="false"/>
          <w:bCs w:val="false"/>
          <w:i w:val="false"/>
          <w:iCs w:val="false"/>
          <w:color w:val="333333"/>
          <w:sz w:val="20"/>
          <w:szCs w:val="20"/>
          <w:rtl w:val="true"/>
        </w:rPr>
        <w:t>)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6/2587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6/2587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زمرة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الفوج من‌الناس و الجماعة من‌الناس، و قيل الجماعة فى 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 العرب،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زمر</w:t>
      </w:r>
      <w:r>
        <w:rPr>
          <w:rFonts w:eastAsia="IRNazanin" w:cs="IRNazanin"/>
          <w:b w:val="false"/>
          <w:bCs w:val="false"/>
          <w:i w:val="false"/>
          <w:iCs w:val="false"/>
          <w:color w:val="333333"/>
          <w:sz w:val="20"/>
          <w:szCs w:val="20"/>
          <w:rtl w:val="true"/>
        </w:rPr>
        <w:t>) .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6/2587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6/2587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به‌كتاب الصحيح من‌سيرة النّبى الاعظم، اثر سيد جعفر مرتضى العاملى جلدهاى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الصادق و المذاهب الاربعة، اسد حيدر،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يكصدوپنجاه صحابه دروغين، علامه عسكرى</w:t>
      </w:r>
      <w:r>
        <w:rPr>
          <w:rFonts w:eastAsia="IRNazanin" w:cs="IRNazanin"/>
          <w:b w:val="false"/>
          <w:bCs w:val="false"/>
          <w:i w:val="false"/>
          <w:iCs w:val="false"/>
          <w:color w:val="333333"/>
          <w:sz w:val="20"/>
          <w:szCs w:val="20"/>
          <w:rtl w:val="true"/>
        </w:rPr>
        <w:t>.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ارائه دادن يك نص از هزاران نصوص و يا نام بردن از كتاب‌هاى مورد نظرش</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علي‌بن‌سويد، كتبتُ إلى أبى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الحبس كتاباً</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 xml:space="preserve">و سألتُ عن رجلين إغتصبا رجلاًمالاًكان ينفقه على‌الفقراء والمساكين وأبناءالسبيل وفي سبيل‌الله، فلمّا إغتصباهُ ذلك لم يرضيا حيثُ غصباهُ حتّى حملاهُ إياهُ كُرهاً فوق رقبته إلى منازلهما فلمّا أحرزاهُ تولّيا إنفاقه، أيبلغان بذلك كفراً؟ فلعمري لقد نافقا قبل ذلك، و ردّا على‌الله عز و جل كلامه و هزءا برسوله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كافران عليهما لعنته الله و الملائكة والناس اجمعين والله ما دخل قلب أحد منهما شيء من الإيمان منذ خروجهما من حاليتهما و ما ازداد إلاّ شكّاً</w:t>
      </w:r>
      <w:r>
        <w:rPr>
          <w:rFonts w:eastAsia="IRNazanin" w:cs="IRNazanin"/>
          <w:b w:val="false"/>
          <w:bCs w:val="false"/>
          <w:i w:val="false"/>
          <w:iCs w:val="false"/>
          <w:color w:val="333333"/>
          <w:sz w:val="20"/>
          <w:szCs w:val="20"/>
          <w:rtl w:val="true"/>
        </w:rPr>
        <w:t>. . .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حقيقت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سازمان دفاع از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 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عقيده شيعه درباره شيخين</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التقريب بين أهل‌السنة والشيعة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عواج، غالب‌بن‌على، فرق معاصرة تنسب إلى‌الإسلام و بيان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جدّة، المكتبة العصرية الذهبية، طالرابعة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التليدى، عبدالله‌بن عبدالقادرابى الفتوح، أهل‌السنة و الشيعة بين الإعدال و الغلو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w:t>
      </w:r>
      <w:r>
        <w:rPr>
          <w:rFonts w:eastAsia="IRNazanin" w:cs="IRNazanin"/>
          <w:b w:val="false"/>
          <w:bCs w:val="false"/>
          <w:i w:val="false"/>
          <w:iCs w:val="false"/>
          <w:color w:val="333333"/>
          <w:sz w:val="20"/>
          <w:szCs w:val="20"/>
          <w:rtl w:val="true"/>
        </w:rPr>
        <w:t>.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انتصارالحق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اصول كافى، ج</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 باب فى قلة عددالمؤمن،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بن ابى‌بكر، رقم</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محمدبن‌ابى‌بكر على البرائه من الثانى</w:t>
      </w:r>
      <w:r>
        <w:rPr>
          <w:rFonts w:eastAsia="IRNazanin" w:cs="IRNazanin"/>
          <w:b w:val="false"/>
          <w:bCs w:val="false"/>
          <w:i w:val="false"/>
          <w:iCs w:val="false"/>
          <w:color w:val="333333"/>
          <w:sz w:val="20"/>
          <w:szCs w:val="20"/>
          <w:rtl w:val="true"/>
        </w:rPr>
        <w:t>.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قول‌الله تعالى انّ الذين ارتدُّوا على ادبارهم</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 فلان وفلان إرتدّوا عن الإيمان فى ترك ولاية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بأنّهم قالوا للّذين كرهوا ما نزّل اللهُ سنطيعكم في بعض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والله فيهما وفى أتباعهما</w:t>
      </w:r>
      <w:r>
        <w:rPr>
          <w:rFonts w:eastAsia="IRNazanin" w:cs="IRNazanin"/>
          <w:b w:val="false"/>
          <w:bCs w:val="false"/>
          <w:i w:val="false"/>
          <w:iCs w:val="false"/>
          <w:color w:val="333333"/>
          <w:sz w:val="20"/>
          <w:szCs w:val="20"/>
          <w:rtl w:val="true"/>
        </w:rPr>
        <w:t>. . .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مرءات العقول فى شرح أخبارآل الرسول، ج</w:t>
      </w:r>
      <w:r>
        <w:rPr>
          <w:rFonts w:eastAsia="IRNazanin" w:cs="IRNazanin"/>
          <w:b w:val="false"/>
          <w:bCs w:val="false"/>
          <w:i w:val="false"/>
          <w:iCs w:val="false"/>
          <w:color w:val="333333"/>
          <w:sz w:val="20"/>
          <w:szCs w:val="20"/>
        </w:rPr>
        <w:t>25/295</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اين شخص را ثقه و جزء اصحاب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اصحاب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كشّى او را كاتب نامه به‌امام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مى‌كند و در آن نامه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على‌بن سويد را از دوستان خاص‌آل‌محمّد مى‌شمارد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ولى نجاشى، على را راوى اين رساله معرفى مى‌كند و در وثافت او چيزى نمى‌گويد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ج</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به‌شرح اصول الكافى ملا صالح مازندرانى، ج</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المناوى، فيض‌القدير، ج</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فبايعُوا لِأخي عَلِيٍّ وسَلِّمُوا عَلِيٍّ بإمرةِالمؤمنين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الخصيبى، الحسين‌بن‌حمدان، الهدايةالكبرى، بيروت، مؤسسةالبلاغ، ط الرّابعة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البغدادى، تاريخ بغداد، ج </w:t>
      </w:r>
      <w:r>
        <w:rPr>
          <w:rFonts w:eastAsia="IRNazanin" w:cs="IRNazanin"/>
          <w:b w:val="false"/>
          <w:bCs w:val="false"/>
          <w:i w:val="false"/>
          <w:iCs w:val="false"/>
          <w:color w:val="333333"/>
          <w:sz w:val="20"/>
          <w:szCs w:val="20"/>
        </w:rPr>
        <w:t>8/284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ابن‌عساكر، تاريخ مدينة دمشق، ج</w:t>
      </w:r>
      <w:r>
        <w:rPr>
          <w:rFonts w:eastAsia="IRNazanin" w:cs="IRNazanin"/>
          <w:b w:val="false"/>
          <w:bCs w:val="false"/>
          <w:i w:val="false"/>
          <w:iCs w:val="false"/>
          <w:color w:val="333333"/>
          <w:sz w:val="20"/>
          <w:szCs w:val="20"/>
        </w:rPr>
        <w:t>42/223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الذّهبى، سيراعلام النّبلاء، ج</w:t>
      </w:r>
      <w:r>
        <w:rPr>
          <w:rFonts w:eastAsia="IRNazanin" w:cs="IRNazanin"/>
          <w:b w:val="false"/>
          <w:bCs w:val="false"/>
          <w:i w:val="false"/>
          <w:iCs w:val="false"/>
          <w:color w:val="333333"/>
          <w:sz w:val="20"/>
          <w:szCs w:val="20"/>
        </w:rPr>
        <w:t>19/328</w:t>
      </w:r>
      <w:r>
        <w:rPr>
          <w:rFonts w:ascii="IRNazanin" w:hAnsi="IRNazanin" w:eastAsia="IRNazanin"/>
          <w:b w:val="false"/>
          <w:b w:val="false"/>
          <w:bCs w:val="false"/>
          <w:i w:val="false"/>
          <w:i w:val="false"/>
          <w:iCs w:val="false"/>
          <w:color w:val="333333"/>
          <w:sz w:val="20"/>
          <w:sz w:val="20"/>
          <w:szCs w:val="20"/>
          <w:rtl w:val="true"/>
        </w:rPr>
        <w:t>؛ الغزّالى، سرّ العالمين</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الأمينى، الغديرفى الكتاب و السنّة، ج</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به بعد از چندين طريق آن راتحت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التهنئة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مى‌كند و البكرى، من حياة الخليفة عمربن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 و مجلسى، بحارالانوار، ج</w:t>
      </w:r>
      <w:r>
        <w:rPr>
          <w:rFonts w:eastAsia="IRNazanin" w:cs="IRNazanin"/>
          <w:b w:val="false"/>
          <w:bCs w:val="false"/>
          <w:i w:val="false"/>
          <w:iCs w:val="false"/>
          <w:color w:val="333333"/>
          <w:sz w:val="20"/>
          <w:szCs w:val="20"/>
        </w:rPr>
        <w:t>37/142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اميرالمؤمنين،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ابوحامدالغزّالى، سُرُّ العالمين و كشف‌ما فى‌الدارين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الذهبى، سِيرأعلام النبلاء، ج</w:t>
      </w:r>
      <w:r>
        <w:rPr>
          <w:rFonts w:eastAsia="IRNazanin" w:cs="IRNazanin"/>
          <w:b w:val="false"/>
          <w:bCs w:val="false"/>
          <w:i w:val="false"/>
          <w:iCs w:val="false"/>
          <w:color w:val="333333"/>
          <w:sz w:val="20"/>
          <w:szCs w:val="20"/>
        </w:rPr>
        <w:t>19/328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البكرى، عبد الرحمن احمد، مِن‌حياة الخليفة عمربن‌الخطاب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عبدالرّحمن بن‌الجوزى،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سيراعلام النبلاء، ج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هو الخنا والقبيح من‌القول، ولاتقولوا هُجراً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فُحشاً،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أهجَرَ في منطقه، يهجرُ إهجاراً؛ إذا أفحَشَ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إذا أكثر الكلام فيما 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بالضم، وهَجَرَ يهجُرُ هَجراً، بالفتح، إذا خلط في‌كلامه، وإذا هَذي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أثير، النهاية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الغزّالى، سُرّ العالمين،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بخارى از ابن‌عباس قضيه را چنين نقل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إشتدّ بالنبي وَجَعُهُ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إئتوني بكتاب أكتُبَ لكم كتاباً لاتضلّوا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غَلَبَهُ الوجع، وعندنا كتاب‌الله حسبُنا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فاختلفوا وكثُرَ اللَّغَطُ،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عنّي، ولا ينبَغي عندي التنازع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فخرج ابن‌عباس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الرَّزِيَّةَ كلّ الرَّزيَّةِ ما حال بين رسول‌الله و بين كتابه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الشهرستانى، الملل و النحل، ج</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3/1257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عبدالرّحمن بن‌الجوزى،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ابن سعد، الطبقات الكبرى، ج</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الكتاب الذى أراد رسول‌الله</w:t>
      </w:r>
      <w:r>
        <w:rPr>
          <w:rFonts w:eastAsia="IRNazanin" w:cs="IRNazanin"/>
          <w:b w:val="false"/>
          <w:bCs w:val="false"/>
          <w:i w:val="false"/>
          <w:iCs w:val="false"/>
          <w:color w:val="333333"/>
          <w:sz w:val="20"/>
          <w:szCs w:val="20"/>
          <w:rtl w:val="true"/>
        </w:rPr>
        <w:t>. . .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3/1259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صحيح البخارى، ج</w:t>
      </w:r>
      <w:r>
        <w:rPr>
          <w:rFonts w:eastAsia="IRNazanin" w:cs="IRNazanin"/>
          <w:b w:val="false"/>
          <w:bCs w:val="false"/>
          <w:i w:val="false"/>
          <w:iCs w:val="false"/>
          <w:color w:val="333333"/>
          <w:sz w:val="20"/>
          <w:szCs w:val="20"/>
        </w:rPr>
        <w:t>4/1612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المغازى، ح</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صحيح مسلم بشرح النووى، ج</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الطبرى، ج</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ضجّة لا يفهمُ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النهاية فى غريب الحديث و الأثر، ج</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في البيت لَغطٌ وكلامٌ تكلّم عمربن‌الخطاب،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فرَفَضَه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كلام الناس حين شكوا فى وفاة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الطبرى، تاريخ الطبرى،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سال</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 الشهرستانى، الملل و النحل، ج</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البكرى، من حياة الخليفة عمر بن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لَأرجو أن يَقطَعَ أيدِيَ رِجَالٍ و أرجُلُهُم يَزعَمُونَ أنّه مات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حَتَّى يَقطَعَ أيدِيَ أقوامٍ وألسنتهم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از ابن‌سعد</w:t>
      </w:r>
      <w:r>
        <w:rPr>
          <w:rFonts w:eastAsia="IRNazanin" w:cs="IRNazanin"/>
          <w:b w:val="false"/>
          <w:bCs w:val="false"/>
          <w:i w:val="false"/>
          <w:iCs w:val="false"/>
          <w:color w:val="333333"/>
          <w:sz w:val="20"/>
          <w:szCs w:val="20"/>
          <w:rtl w:val="true"/>
        </w:rPr>
        <w:t>)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الشهرستانى، الملل والنحل، ج</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سخن عمر را به‌اين عبارت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لاأسمعنّ أحداً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محمّداً قدماتَ ولكنّهُ أُرسِلَ إليهِ كَمَا أُرسِلَ إليه موسى‌بن‌عمران فلبِثَ عن قومِهِ أربعينَ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الكبرى، ج</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قال رسول‌الله فى مرضه لأسامة</w:t>
      </w:r>
      <w:r>
        <w:rPr>
          <w:rFonts w:eastAsia="IRNazanin" w:cs="IRNazanin"/>
          <w:b w:val="false"/>
          <w:bCs w:val="false"/>
          <w:i w:val="false"/>
          <w:iCs w:val="false"/>
          <w:color w:val="333333"/>
          <w:sz w:val="20"/>
          <w:szCs w:val="20"/>
          <w:rtl w:val="true"/>
        </w:rPr>
        <w:t>. . .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الكبرى، ج</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تاريخ الطبرى، ج</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الدينورى، عبدالله‌بن‌مسلم بن قتيبة، الإمامة والسياسة المعروف بتاريخ الخلفاء، تحقيق على شيرى، قم، منشورات الشريف الرضى، ط الأولى</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البكرى، من‌حياة الخليفة عمر</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بن‌الجوزى،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الدينورى، الإمامة والسياسة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البكرى، من حياة الخليفة عمر</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به‌آتش زدن درِ خانه فاطمه وعملى شدن تهديد عمر، تصريح نمى‌كند ولى اين جمله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فأخرجوا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مى‌دهد كه تهديد او عملى شده است ولو اين‌كه برخى از نويسندگان وهابى اصل قضيه هجوم عمر و تهديد به‌آتش كشيدن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 منكر شده، و اين روايات را جعل اهل فتنه و دروغ و فجور براى بد نام كردن صحابه مى‌شمارد، دليلى كه بر ادعاى خود ارائه مى‌دهند، همكارى و تعامل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خلفاء و نيز نامگذارى على فرزندانش را به‌ابابكر وعمر و عثمان،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انتصارالحق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كدام دليلى بر صحت ادعاى او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قضيه به‌گفته او دروغ باشد، بسيارى ازكتاب‌ها و نويسندگان اهل‌سنت را متهم به‌دروغگويى نموده است</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حديث را به‌اين مضمون نقل مى‌كند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بضعةٌ مِنّي، فمن أغضبها أغضبني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3/1374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ح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در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بَضعةٌ مِنّى، يؤذينى ما آذاها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على‌الصحيحين، ج</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إنّ‌الله يغضب لِغضبكِ و يرضى لِرضاكِ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4747/345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بَضعةٌ مِنّي يقبضني مايقبضها، ويبسطني ما يبسطها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ابن حجرالهيثمى، مجمع الزوائد ومنبع الفوائد،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يغضبُ لِغضبِكِ ويرضى لِرضاكِ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ابن‌حجر، الصواعق المحرقة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فى الأحاديث الواردة فى بعض اهل البيت كفاطمة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أنّما فاطمة بَضعَةٌ مِنّي، يُؤذيني ما آذاها، وينصبني ما أنصبها</w:t>
      </w:r>
      <w:r>
        <w:rPr>
          <w:rFonts w:eastAsia="IRNazanin" w:cs="IRNazanin"/>
          <w:b w:val="false"/>
          <w:bCs w:val="false"/>
          <w:i w:val="false"/>
          <w:iCs w:val="false"/>
          <w:color w:val="333333"/>
          <w:sz w:val="20"/>
          <w:szCs w:val="20"/>
          <w:rtl w:val="true"/>
        </w:rPr>
        <w:t>.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مِن حياة الخليفة عمر</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النيسابورى، المستدرك على الصحيحين، ج</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4764/326</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أقاله، يقيليه إقالةً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فسخا البيع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تكون الإقالة فى البيعة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ابن‌إثير، النهاية فى غريب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قيل</w:t>
      </w:r>
      <w:r>
        <w:rPr>
          <w:rFonts w:eastAsia="IRNazanin" w:cs="IRNazanin"/>
          <w:b w:val="false"/>
          <w:bCs w:val="false"/>
          <w:i w:val="false"/>
          <w:iCs w:val="false"/>
          <w:color w:val="333333"/>
          <w:sz w:val="20"/>
          <w:szCs w:val="20"/>
          <w:rtl w:val="true"/>
        </w:rPr>
        <w:t>)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عبدالرحمن‌بن محمدبن قاسم، آل‌الرسول و أولياؤه موقف اهل‌السنتة و الشيعة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به‌داستان‌هاى امت‌هاى گذشته در قرآن كريم</w:t>
      </w:r>
      <w:r>
        <w:rPr>
          <w:rFonts w:eastAsia="IRNazanin" w:cs="IRNazanin"/>
          <w:b w:val="false"/>
          <w:bCs w:val="false"/>
          <w:i w:val="false"/>
          <w:iCs w:val="false"/>
          <w:color w:val="333333"/>
          <w:sz w:val="20"/>
          <w:szCs w:val="20"/>
          <w:rtl w:val="true"/>
        </w:rPr>
        <w:t>.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القفارى، اصول مذهب الشيعةالإمامية الإثنى عشرية، ج</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انتصارالحق</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انتصارالحق</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الشيعةالإمامية الإثنى عشرية، ج</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الشيعةالإمامية الإثنى عشرية، ج</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اصول‌كافى، ج</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كتال الحجة، باب من ادّعى الإمامة و ليس لها بأهل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عامر، فى المذاهب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الهيئة المصرية العامّة للكتاب،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النهاية فى غريب الحديث، ج</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 الابعاد من‌الله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مى‌رود اصل اين تعبير، از جمله الرجل اللعين كه به‌معناى شيئى است كه دروسط مزارع نَصب مى‌شود تا حيوانات وحشى و مضر، بترسند، أخذ شده باشد؛ چنان‌كه شاعرمى‌گويد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ذعرتُ به‌القطا و نفيتُ عنه مقام الذئب كالرّجل اللعين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تاج‌اللغة، ج</w:t>
      </w:r>
      <w:r>
        <w:rPr>
          <w:rFonts w:eastAsia="IRNazanin" w:cs="IRNazanin"/>
          <w:b w:val="false"/>
          <w:bCs w:val="false"/>
          <w:i w:val="false"/>
          <w:iCs w:val="false"/>
          <w:color w:val="333333"/>
          <w:sz w:val="20"/>
          <w:szCs w:val="20"/>
        </w:rPr>
        <w:t>6/2196</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النهاية فى غريب الحديث، ج</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الزبيدى، تاج العروس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 كمَنَعهُ، لعناً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وابعده عن الخير؛ ابن‌منظور، لسان العرب، ج</w:t>
      </w:r>
      <w:r>
        <w:rPr>
          <w:rFonts w:eastAsia="IRNazanin" w:cs="IRNazanin"/>
          <w:b w:val="false"/>
          <w:bCs w:val="false"/>
          <w:i w:val="false"/>
          <w:iCs w:val="false"/>
          <w:color w:val="333333"/>
          <w:sz w:val="20"/>
          <w:szCs w:val="20"/>
        </w:rPr>
        <w:t>12/292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الفراهيدى، العين، ج</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 العين واللام والنون معهما،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التعذيب والملعن، المعذب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باعدهُ</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الأصفهانى، المفردات فى غريب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المصطفوى، التحقيق فى كلمات القرآن الكريم،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غريب‌الحديث، همان؛ تاج العروس، همان</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راغب، همان؛ التحقيق فى الكلمات القرآن الكريم،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 ج</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 محمدپادشاه، آنندراج فرهنگ جامع فارسى، زير نظر دكتر دبير سياقى، تهران، كتابفروشى خيام، چ دوم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4/2596</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لغت‌نامه دهخدا، ج</w:t>
      </w:r>
      <w:r>
        <w:rPr>
          <w:rFonts w:eastAsia="IRNazanin" w:cs="IRNazanin"/>
          <w:b w:val="false"/>
          <w:bCs w:val="false"/>
          <w:i w:val="false"/>
          <w:iCs w:val="false"/>
          <w:color w:val="333333"/>
          <w:sz w:val="20"/>
          <w:szCs w:val="20"/>
        </w:rPr>
        <w:t>9/12489</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الطبرسى، مجمع البيان، ج</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الأزدى، ابى‌بكر محمدبن الحسن البصرى معروف به‌ابن‌دريد، جمهرة اللغة، بيروت دارصادر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ابن‌منظور، لسان‌العرب، ج</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سبّه سبّا، قطعه؛ الطبرسى، مجمع البيان، ج</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المصطفوى، التحقيق فى كلمات القرآن، ج</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حديثى از رسول‌خدا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وقتى عكرمة نزد حضرت آمد تا اسلام بياورد، پيامبر قبل از حضور وى،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تسُبّوا أباهُ، فإنّ سبّ الميت يؤذي الحيّ ولايبلغ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المجلسى، بحارالأنوار، ج</w:t>
      </w:r>
      <w:r>
        <w:rPr>
          <w:rFonts w:eastAsia="IRNazanin" w:cs="IRNazanin"/>
          <w:b w:val="false"/>
          <w:bCs w:val="false"/>
          <w:i w:val="false"/>
          <w:iCs w:val="false"/>
          <w:color w:val="333333"/>
          <w:sz w:val="20"/>
          <w:szCs w:val="20"/>
        </w:rPr>
        <w:t>21/144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الحوادث بعد الفتح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ابن‌ذكريا، ابى‌الحسن احمدبن فارس، ترتيب مقاييس اللغة، ترتيب و تنقيح على‌العسكرى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حيدرالمجدى، تحقيق و ضبط عبدالسلام محمدهارون، قم، پژوهشگاه حوزه ودانشگاه، چ اول</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مفردات 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ألسّبّ، الشّتم الوجيع؛ در شأن نزول آيه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وَمَا تَعْبُدُونَ مِن دُونِ اللهِ حَصَبُ جَهَنَّمَ اَنتُمْ لَهَا</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تنتَهِينَّ عن سبّ آلهتِنا أو لَنَهجُونَّ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فنزلت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لعن با صيغه‌هاى مختلف آن حدود چهل‌بار و واژه سبّ تنها دو بار به‌كار رفته است</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و احزاب</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الروضة فى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الكلينى، فروع كافى، ج</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فيه التعزير فى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الحرّ العاملى، وسائل الشيعة، ج</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34566/1</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والخبال فى‌الأصل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 يكون فى الأفعال و الأبدان و العقول، الخبل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خبل به‌جنون هم معنا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مقاييس‌اللغة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التميمى، النعمان‌بن‌محمد المغربى، دعائم الإسلام و ذكرالحلال و الحرام، القاهرة، دارالمعارف، ط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كامله سجاديه، ترجمه عليرضا رجالى تهرانى، تهران، گاه سحر، چ اول</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دعاى</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بند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أصول‌كافى، ج</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كتاب الإيمان والكفر، باب السّباب،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الحرالعاملى، وسائل‌الشيعة،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ح</w:t>
      </w:r>
      <w:r>
        <w:rPr>
          <w:rFonts w:eastAsia="IRNazanin" w:cs="IRNazanin"/>
          <w:b w:val="false"/>
          <w:bCs w:val="false"/>
          <w:i w:val="false"/>
          <w:iCs w:val="false"/>
          <w:color w:val="333333"/>
          <w:sz w:val="20"/>
          <w:szCs w:val="20"/>
        </w:rPr>
        <w:t>16347/1</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أصول‌كافى، ج</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كتاب الإيمان والكفر، باب السّباب،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الحرالعاملى، وسائل‌الشيعة،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ح</w:t>
      </w:r>
      <w:r>
        <w:rPr>
          <w:rFonts w:eastAsia="IRNazanin" w:cs="IRNazanin"/>
          <w:b w:val="false"/>
          <w:bCs w:val="false"/>
          <w:i w:val="false"/>
          <w:iCs w:val="false"/>
          <w:color w:val="333333"/>
          <w:sz w:val="20"/>
          <w:szCs w:val="20"/>
        </w:rPr>
        <w:t>116349/2</w:t>
      </w:r>
      <w:r>
        <w:rPr>
          <w:rFonts w:eastAsia="IRNazanin" w:cs="IRNazanin"/>
          <w:b w:val="false"/>
          <w:bCs w:val="false"/>
          <w:i w:val="false"/>
          <w:iCs w:val="false"/>
          <w:color w:val="333333"/>
          <w:sz w:val="20"/>
          <w:szCs w:val="20"/>
          <w:rtl w:val="true"/>
        </w:rPr>
        <w:t>. .</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تهذيب الأحكام، ج</w:t>
      </w:r>
      <w:r>
        <w:rPr>
          <w:rFonts w:eastAsia="IRNazanin" w:cs="IRNazanin"/>
          <w:b w:val="false"/>
          <w:bCs w:val="false"/>
          <w:i w:val="false"/>
          <w:iCs w:val="false"/>
          <w:color w:val="333333"/>
          <w:sz w:val="20"/>
          <w:szCs w:val="20"/>
        </w:rPr>
        <w:t>9/365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الإستبصار، ج</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وسائل‌الشيعة، ج</w:t>
      </w:r>
      <w:r>
        <w:rPr>
          <w:rFonts w:eastAsia="IRNazanin" w:cs="IRNazanin"/>
          <w:b w:val="false"/>
          <w:bCs w:val="false"/>
          <w:i w:val="false"/>
          <w:iCs w:val="false"/>
          <w:color w:val="333333"/>
          <w:sz w:val="20"/>
          <w:szCs w:val="20"/>
        </w:rPr>
        <w:t>26/318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مَن‌لايحضره‌الفقيه، تصحيح على‌اكبرالغفارى، قم، مؤسسة النشرالإسلامى، طالثانية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مَن‌لايحضره‌الفقيه، تصحيح على‌اكبرالغفارى، قم، مؤسسة النشرالإسلامى، طالثانية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البرقى، احمدبن محمدبن خالد، المحاسن، تحقيق السيدجلال الدين الحسينى،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دارالكتب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من‌لا يحضره‌الفقيه، ج</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9948</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اسدحيدر، الصّحابة فى نظرالشيعة الإمامية، تصدير حامد حفنى داود،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نسخه نجف</w:t>
      </w:r>
      <w:r>
        <w:rPr>
          <w:rFonts w:eastAsia="IRNazanin" w:cs="IRNazanin"/>
          <w:b w:val="false"/>
          <w:bCs w:val="false"/>
          <w:i w:val="false"/>
          <w:iCs w:val="false"/>
          <w:color w:val="333333"/>
          <w:sz w:val="20"/>
          <w:szCs w:val="20"/>
          <w:rtl w:val="true"/>
        </w:rPr>
        <w:t>) .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به‌صفحات قبل</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اسدحيدر، الصّحابة فى نظرالشيعة الإمامية، تصدير حامد حفنى داود،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محمدبن محمد الشيبانى، الكامل فى التاريخ، تحقيق عمر عبدالسلام تدمرى، بيروت، دارالكتب العربى، طالثانية</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سال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اسد حيدر، الصحابة فى نظرالشيعة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تاريخ الطبرى، ج</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سال</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أثير، الكامل فى التاريخ، ج</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 الأشراف، ج</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حُجر بن عدى الكندى و مقتله</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ذكر مقتل حجربن عدى</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فى‌التاريخ، ج</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فرازى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مِنّا إمرأة إلّا نذرت إن قتل‌الحسين أن تنحر عشر جزائرلها ففعلت،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والله منقبة</w:t>
      </w:r>
      <w:r>
        <w:rPr>
          <w:rFonts w:eastAsia="IRNazanin" w:cs="IRNazanin"/>
          <w:b w:val="false"/>
          <w:bCs w:val="false"/>
          <w:i w:val="false"/>
          <w:iCs w:val="false"/>
          <w:color w:val="333333"/>
          <w:sz w:val="20"/>
          <w:szCs w:val="20"/>
          <w:rtl w:val="true"/>
        </w:rPr>
        <w:t>. . .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انساب الأشراف، ج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الجوزى، المنتظم فى تاريخ الأمم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دراسة و تحقيق محمد عبدالقادر عطا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بيروت، دارالكتب العلمية، ط الأولى</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أنساب الأشراف، همان؛ تاريخ الطبرى، ج</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الكامل فى التاريخ، ج</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المنتظم فى تاريخ الأمم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 الأشراف، ج</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المنتظم فى تاريخ الأمم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ابن‌أبى‌الحديد، شرح نهج البلاغة، ج</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اين‌كه عمربن‌عبدالعزيز، سبّ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ابن‌أبى‌الحديد، شرح نهج البلاغة، ج</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التفسيرالكبير، ج</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الجهر بالبسملة فى الصّلاة</w:t>
      </w:r>
      <w:r>
        <w:rPr>
          <w:rFonts w:eastAsia="IRNazanin" w:cs="IRNazanin"/>
          <w:b w:val="false"/>
          <w:bCs w:val="false"/>
          <w:i w:val="false"/>
          <w:iCs w:val="false"/>
          <w:color w:val="333333"/>
          <w:sz w:val="20"/>
          <w:szCs w:val="20"/>
          <w:rtl w:val="true"/>
        </w:rPr>
        <w:t>.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ابن‌حجرالهيتمى، تطهيرالجنان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ذيل‌الصواعق المحرقة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ابن‌أبى‌الحديد، شرح نهج البلاغة، ج</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ابن‌أبى‌الحديد، شرح نهج البلاغة، ج</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أهل‌السّيرة أنَّ الوليدبن عبدالملك في خلافته ذكرعليّاً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لصّ ابن 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و ضمّ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سارق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 العرب، ج</w:t>
      </w:r>
      <w:r>
        <w:rPr>
          <w:rFonts w:eastAsia="IRNazanin" w:cs="IRNazanin"/>
          <w:b w:val="false"/>
          <w:bCs w:val="false"/>
          <w:i w:val="false"/>
          <w:iCs w:val="false"/>
          <w:color w:val="333333"/>
          <w:sz w:val="20"/>
          <w:szCs w:val="20"/>
        </w:rPr>
        <w:t>12/277</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اسدحيدر، الصّحابة فى نظر الشيعة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البغدادى، أحمدبن‌على‌بن‌ثابت المعروف بالخطيب، الكفاية فى علم الروايه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اسدحيدر، الصحابة فى نطرالشّيعة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اسدحيدر، الصحابة فى نطرالشّيعة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إبن‌حزم، الفصل فى الملل و الأهواء و النحل، ج</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فمعاويةُ رحمه‌الله مُخطئ مأجور، مرّة لِأنّه مجتهد، ولا حجة في خطأ المخطئ، با اين‌كه وى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حق مى‌داند و معاويه و پيروانش را گروه ياغى مى‌شمارد</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ابن‌حجرالهيتمى، تطهيرالجنان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ذيل‌الصواعق</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كتاب الحجة، باب فيه نكت ونتف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بحارالأنوار، ج</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مجدى‌محمد، انتصار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محمدبن عبدالرحمن بن‌محمد، آل‌الرسول و اولياؤه</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الحجه</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الإمامية تختص بزيادة اللعن والتكفير والشتم أم المؤمنين عائشة واُم المؤمنين حفصة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رضي‌الله عنهما</w:t>
      </w:r>
      <w:r>
        <w:rPr>
          <w:rFonts w:eastAsia="IRNazanin" w:cs="IRNazanin"/>
          <w:b w:val="false"/>
          <w:bCs w:val="false"/>
          <w:i w:val="false"/>
          <w:iCs w:val="false"/>
          <w:color w:val="333333"/>
          <w:sz w:val="20"/>
          <w:szCs w:val="20"/>
          <w:rtl w:val="true"/>
        </w:rPr>
        <w:t>) .</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الشيعه، ج</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المقدسى، ابوحامد محمد، رسالة فى الرّد على الرافضة، تحقيق عبدالوهاب خليل الرحمن، هند، الدّارالسلفية، ط الأولى</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 .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باب الإشارة والنصّ على‌الحسين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المجلسى، بحار الأنوار، ج</w:t>
      </w:r>
      <w:r>
        <w:rPr>
          <w:rFonts w:eastAsia="IRNazanin" w:cs="IRNazanin"/>
          <w:b w:val="false"/>
          <w:bCs w:val="false"/>
          <w:i w:val="false"/>
          <w:iCs w:val="false"/>
          <w:color w:val="333333"/>
          <w:sz w:val="20"/>
          <w:szCs w:val="20"/>
        </w:rPr>
        <w:t>44/142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زندگى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باب الإشارة والنصّ على‌الحسين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المجلسى، بحار الأنوار، ج</w:t>
      </w:r>
      <w:r>
        <w:rPr>
          <w:rFonts w:eastAsia="IRNazanin" w:cs="IRNazanin"/>
          <w:b w:val="false"/>
          <w:bCs w:val="false"/>
          <w:i w:val="false"/>
          <w:iCs w:val="false"/>
          <w:color w:val="333333"/>
          <w:sz w:val="20"/>
          <w:szCs w:val="20"/>
        </w:rPr>
        <w:t>22/227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احوال عائشه و حفصه</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ناصرالقفارى همين شبهه را بيان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باءوُا بتَكفير اُمّهات المؤمنين ازواج رسول‌الله؛ اذ لم يستشنوا واحدة منهّن في نصوصهم</w:t>
      </w:r>
      <w:r>
        <w:rPr>
          <w:rFonts w:eastAsia="IRNazanin" w:cs="IRNazanin"/>
          <w:b w:val="false"/>
          <w:bCs w:val="false"/>
          <w:i w:val="false"/>
          <w:iCs w:val="false"/>
          <w:color w:val="333333"/>
          <w:sz w:val="20"/>
          <w:szCs w:val="20"/>
          <w:rtl w:val="true"/>
        </w:rPr>
        <w:t>. .</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اكثر اسناد اين روايات به‌اعتقاد مجلسى ضعيف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به‌مرءات العقول، ج</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تكفير منكران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همين بخش</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مذهب‌الشيعة الإمامية الإثنى عشرية، ج</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عنوان باب كه اجتهاد خود كلينى است نيز چنين نصّى استفاده نمى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 ومن جحد الأئمة أو بعضهم ومَن أثبتَ الإمامة لِمَن ليسَ لها بأهلٍ</w:t>
      </w:r>
      <w:r>
        <w:rPr>
          <w:rFonts w:eastAsia="IRNazanin" w:cs="IRNazanin"/>
          <w:b w:val="false"/>
          <w:bCs w:val="false"/>
          <w:i w:val="false"/>
          <w:iCs w:val="false"/>
          <w:color w:val="333333"/>
          <w:sz w:val="20"/>
          <w:szCs w:val="20"/>
          <w:rtl w:val="true"/>
        </w:rPr>
        <w:t>» .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كافى، همان،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أنامِتُّ فهيئني ثمّ وَجّهني اِلى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لأحدث به‌عهداً، ثمّ اصرفني إلى اُمِّي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رَدّني فادفِنّي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ولى در منابع اهل سنت عنوان شده كه حسن‌بن‌على وصيت كرد او را كنار قبر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به‌خاك بسپارند و چنانچه هراس از وقوع فتنه داشت كنار مادرش دفن نمايند؛ البلاذرى، جمل انساب الاشراف، ج</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الاصفهانى ابوالفرج على‌بن‌حسين‌محمد، مقاتل‌الطالبيين، قم، دارالكتاب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يعقوبى، تاريخ يعقوبى، ج</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در بعضى منابع آمده كه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 كرد كه با اجازه عائشه او را كنار جدش به‌خاك بسپارند و عائشه هم اجازه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الجزرى، اسد الغابه، ج</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الدياربكرى، تاريخ الخميس، ج</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اصول‌كافى،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الإشارة والنص على‌الحسين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 عائشه، حميراء دارد</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المسعودى، مروج‌الذّهب و معادن‌الجوهر،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الجزرى، اسدُ الغابة فى معرفة الصّحابة، ج</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ابن الجوزى، المنتظم فى تاريخ الاُّمم و الملوك، ج</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قاسم بن محمد بن ابى‌بكر نزد عمه‌اش آمد و گفت اى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هنوز سرهاى‌مان را از ننگ روز جمل احمر، نشسته‌ايم مى‌خواهى روز بغله شهباء بر سر زبان‌ها بيفتد؟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عائشه برگشت</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 الاشراف ج</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الجزرى، اسد الغابة، همان؛ البلاذرى، جمل انساب الاشراف، ج</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الديارالبكرى، تاريخ الخميس، ج</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 و أزواجه أمّهاتهم</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جمل انساب الاشراف،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همان</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ما جاءَ بيوت النّبى، ح</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 النيسابورى، مسلم بن الحجاج، صحيح مسلم، ج</w:t>
      </w:r>
      <w:r>
        <w:rPr>
          <w:rFonts w:eastAsia="IRNazanin" w:cs="IRNazanin"/>
          <w:b w:val="false"/>
          <w:bCs w:val="false"/>
          <w:i w:val="false"/>
          <w:iCs w:val="false"/>
          <w:color w:val="333333"/>
          <w:sz w:val="20"/>
          <w:szCs w:val="20"/>
        </w:rPr>
        <w:t>4/2229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من الشرق، ذيل الحديث</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النيسابورى، مسلم بن الحجاج، صحيح مسلم، ج</w:t>
      </w:r>
      <w:r>
        <w:rPr>
          <w:rFonts w:eastAsia="IRNazanin" w:cs="IRNazanin"/>
          <w:b w:val="false"/>
          <w:bCs w:val="false"/>
          <w:i w:val="false"/>
          <w:iCs w:val="false"/>
          <w:color w:val="333333"/>
          <w:sz w:val="20"/>
          <w:szCs w:val="20"/>
        </w:rPr>
        <w:t>4/2229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من الشرق، ذيل الحديث</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٠</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6/2597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الفتنة من المشرق، ح</w:t>
      </w:r>
      <w:r>
        <w:rPr>
          <w:rFonts w:eastAsia="IRNazanin" w:cs="IRNazanin"/>
          <w:b w:val="false"/>
          <w:bCs w:val="false"/>
          <w:i w:val="false"/>
          <w:iCs w:val="false"/>
          <w:color w:val="333333"/>
          <w:sz w:val="20"/>
          <w:szCs w:val="20"/>
        </w:rPr>
        <w:t>6679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ج</w:t>
      </w:r>
      <w:r>
        <w:rPr>
          <w:rFonts w:eastAsia="IRNazanin" w:cs="IRNazanin"/>
          <w:b w:val="false"/>
          <w:bCs w:val="false"/>
          <w:i w:val="false"/>
          <w:iCs w:val="false"/>
          <w:color w:val="333333"/>
          <w:sz w:val="20"/>
          <w:szCs w:val="20"/>
        </w:rPr>
        <w:t>4/1195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صحيح سالم، ج</w:t>
      </w:r>
      <w:r>
        <w:rPr>
          <w:rFonts w:eastAsia="IRNazanin" w:cs="IRNazanin"/>
          <w:b w:val="false"/>
          <w:bCs w:val="false"/>
          <w:i w:val="false"/>
          <w:iCs w:val="false"/>
          <w:color w:val="333333"/>
          <w:sz w:val="20"/>
          <w:szCs w:val="20"/>
        </w:rPr>
        <w:t>4/2228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سالم، ج</w:t>
      </w:r>
      <w:r>
        <w:rPr>
          <w:rFonts w:eastAsia="IRNazanin" w:cs="IRNazanin"/>
          <w:b w:val="false"/>
          <w:bCs w:val="false"/>
          <w:i w:val="false"/>
          <w:iCs w:val="false"/>
          <w:color w:val="333333"/>
          <w:sz w:val="20"/>
          <w:szCs w:val="20"/>
        </w:rPr>
        <w:t>4/2228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روايت نيست، بلكه توضيح خود مسلم يا راوى است</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الغزالى، ابى‌حامد محمدبن‌محمد، إحياءَ العلومِ الدين، بيروت، دارالفكر</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آداب النكاح،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فى‌آداب المعاشره</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الغزالى، ابى‌حامد محمدبن‌محمد، إحياءَ العلومِ الدين، بيروت، دارالفكر</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آداب النكاح،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فى‌آداب المعاشره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غزالى تبسّم رسول‌خدا را نشانه حلم و بردبارى آن حضرت مى‌داند</w:t>
      </w:r>
      <w:r>
        <w:rPr>
          <w:rFonts w:eastAsia="IRNazanin" w:cs="IRNazanin"/>
          <w:b w:val="false"/>
          <w:bCs w:val="false"/>
          <w:i w:val="false"/>
          <w:iCs w:val="false"/>
          <w:color w:val="333333"/>
          <w:sz w:val="20"/>
          <w:szCs w:val="20"/>
          <w:rtl w:val="true"/>
        </w:rPr>
        <w:t>.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مسندابى‌يعلى موصلى، ج</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عائشه، ح</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علت اين درگيرى را اين مى‌داند كه بقچه عائشه سبك‌تر از بقچه صفيه بود، رسول‌خدا دستور مى‌دهد بقچه سنگين‌تر را همراه عائشه كه شتر قوى داشته بگذارد و سبك‌تر را به‌همراه صفيه كه شتر ضعيف داشته قرار دهد، عائشه از اين كار ناراحت شده با پرخاش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غلبَتنا هذه اليهودية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اُمّ‌عبدالله إنّ متاعك كان فيه خَفٌ وكان متاعُ صفية فيه ثقلٌ، فأبطأ بالرّكبِ، فحوّلنا متاعها على بعيرك وحولنامتاعك على بعيرها</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سليمان بن‌احمدبن‌ايوب اللخمى، مسند الشاميين، تحقيق حمدى عبدالمجيد السّلفى، بيروت، مؤسسة الرسالة، ط الثانيه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ابن‌عساكر، تاريخ مدينة دمشق، ج</w:t>
      </w:r>
      <w:r>
        <w:rPr>
          <w:rFonts w:eastAsia="IRNazanin" w:cs="IRNazanin"/>
          <w:b w:val="false"/>
          <w:bCs w:val="false"/>
          <w:i w:val="false"/>
          <w:iCs w:val="false"/>
          <w:color w:val="333333"/>
          <w:sz w:val="20"/>
          <w:szCs w:val="20"/>
        </w:rPr>
        <w:t>65/221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يزيدبن‌الشجره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حذف صدر روايت و اندكى متفاوت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اسد حيدر، الامام الصادق والمذاهب الاربعه،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در كتاب‌هايى مانند تاريخ مدينة دمشق و مجمع الزوائد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اهل سنت، صدر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يدريك أمؤمنة هى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حذف كرده است و تنها ذيل حديث را نقل مى‌كنند</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يعذرني مِن عائشة؟ و حاصل المعنى أنّه شكاها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ابابكر</w:t>
      </w:r>
      <w:r>
        <w:rPr>
          <w:rFonts w:eastAsia="IRNazanin" w:cs="IRNazanin"/>
          <w:b w:val="false"/>
          <w:bCs w:val="false"/>
          <w:i w:val="false"/>
          <w:iCs w:val="false"/>
          <w:color w:val="333333"/>
          <w:sz w:val="20"/>
          <w:szCs w:val="20"/>
          <w:rtl w:val="true"/>
        </w:rPr>
        <w:t>) .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ازواج النبى،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ذلك رجلُ لين يقضى لك على</w:t>
      </w:r>
      <w:r>
        <w:rPr>
          <w:rFonts w:eastAsia="IRNazanin" w:cs="IRNazanin"/>
          <w:b w:val="false"/>
          <w:bCs w:val="false"/>
          <w:i w:val="false"/>
          <w:iCs w:val="false"/>
          <w:color w:val="333333"/>
          <w:sz w:val="20"/>
          <w:szCs w:val="20"/>
          <w:rtl w:val="true"/>
        </w:rPr>
        <w:t>!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أو مدينه‌السّلام، ج</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عبدالعزيز بن محمدبن دينار، ابوالقاسم الفارسى</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 اى عائشه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نفس نفس مى‌زنى؟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نيست؛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مى‌دهى از آنچه اتفاق افتاده يا خداوند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خبر دهد؟</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لهزة، به‌زاى معجمه، زدن با مشت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ضربه بجمع كفّه فى‌صدره</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النّميرى‌البصرى، عمربن‌شبّه، تاريخ‌المدينة المنّوره، تحقيق فهيم محمدشلتوت، قم، دارالفكر، ط</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فى مقبرة البقيع و بنى‌سلمه؛ النسايى، سنن‌النّسايى بشرح جلال‌الدّين السّيوطى، ج</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بالاستغفار للمؤمنين؛ النووى الشافعى، شرح صحيح مسلم، ج</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مايقال عند دخول القبور،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الزمخشرى، الكشّاف، ج</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آيات ابتداى سوره 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الثعالبى، عبدالرحمن‌بن مخلوف، الجواهر الحسان فى تفسير القرآن، ج</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الطبرى، تفسيرالطبرى،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ابن‌سعد، الطبقات، ج</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المرأتين اللّتين تظاهرتا على رسول‌الله</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مغافر، شيره درخت عُرفط است كه بسيار تلخ و بدبو است</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صحيح البخارى، ج</w:t>
      </w:r>
      <w:r>
        <w:rPr>
          <w:rFonts w:eastAsia="IRNazanin" w:cs="IRNazanin"/>
          <w:b w:val="false"/>
          <w:bCs w:val="false"/>
          <w:i w:val="false"/>
          <w:iCs w:val="false"/>
          <w:color w:val="333333"/>
          <w:sz w:val="20"/>
          <w:szCs w:val="20"/>
        </w:rPr>
        <w:t>4/1866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تحريم</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الطبرسى، مجمع البيان، ج</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تظاهرا، اى تعاونا</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الجواهرالحسان فى تفسيرالقرآن، ج</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الطبرى، تفسيرالطبرى، ج</w:t>
      </w:r>
      <w:r>
        <w:rPr>
          <w:rFonts w:eastAsia="IRNazanin" w:cs="IRNazanin"/>
          <w:b w:val="false"/>
          <w:bCs w:val="false"/>
          <w:i w:val="false"/>
          <w:iCs w:val="false"/>
          <w:color w:val="333333"/>
          <w:sz w:val="20"/>
          <w:szCs w:val="20"/>
        </w:rPr>
        <w:t>12/151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الزمخشرى، الكشّاف، ج</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تفسيرالطبرى، ج</w:t>
      </w:r>
      <w:r>
        <w:rPr>
          <w:rFonts w:eastAsia="IRNazanin" w:cs="IRNazanin"/>
          <w:b w:val="false"/>
          <w:bCs w:val="false"/>
          <w:i w:val="false"/>
          <w:iCs w:val="false"/>
          <w:color w:val="333333"/>
          <w:sz w:val="20"/>
          <w:szCs w:val="20"/>
        </w:rPr>
        <w:t>12/151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الزمخشرى، الكشّاف، ج</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 الجواهرالحسان، ج</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تفسيرالطبرى،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34389</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الكبرى، ج</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صحيح البخارى، ج</w:t>
      </w:r>
      <w:r>
        <w:rPr>
          <w:rFonts w:eastAsia="IRNazanin" w:cs="IRNazanin"/>
          <w:b w:val="false"/>
          <w:bCs w:val="false"/>
          <w:i w:val="false"/>
          <w:iCs w:val="false"/>
          <w:color w:val="333333"/>
          <w:sz w:val="20"/>
          <w:szCs w:val="20"/>
        </w:rPr>
        <w:t>4/1866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الهندى، كنزالعمال ج</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چند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ابى‌يعلى، مسند ابى‌يعلى، ج</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أمّ المؤمنين</w:t>
      </w:r>
      <w:r>
        <w:rPr>
          <w:rFonts w:eastAsia="IRNazanin" w:cs="IRNazanin"/>
          <w:b w:val="false"/>
          <w:bCs w:val="false"/>
          <w:i w:val="false"/>
          <w:iCs w:val="false"/>
          <w:color w:val="333333"/>
          <w:sz w:val="20"/>
          <w:szCs w:val="20"/>
          <w:rtl w:val="true"/>
        </w:rPr>
        <w:t>.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 جزء</w:t>
      </w:r>
      <w:r>
        <w:rPr>
          <w:rFonts w:eastAsia="IRNazanin" w:cs="IRNazanin"/>
          <w:b w:val="false"/>
          <w:bCs w:val="false"/>
          <w:i w:val="false"/>
          <w:iCs w:val="false"/>
          <w:color w:val="333333"/>
          <w:sz w:val="20"/>
          <w:szCs w:val="20"/>
        </w:rPr>
        <w:t>18/148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آيه يكم سوره طلاق</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الكبرى، ج</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الكبرى،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الهندى، كنزالعمال، ج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صحيح البخارى، ج</w:t>
      </w:r>
      <w:r>
        <w:rPr>
          <w:rFonts w:eastAsia="IRNazanin" w:cs="IRNazanin"/>
          <w:b w:val="false"/>
          <w:bCs w:val="false"/>
          <w:i w:val="false"/>
          <w:iCs w:val="false"/>
          <w:color w:val="333333"/>
          <w:sz w:val="20"/>
          <w:szCs w:val="20"/>
        </w:rPr>
        <w:t>4/1867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تفسير الطبرى، ج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تفسير الطبرى،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34414</w:t>
      </w:r>
      <w:r>
        <w:rPr>
          <w:rFonts w:eastAsia="IRNazanin" w:cs="IRNazanin"/>
          <w:b w:val="false"/>
          <w:bCs w:val="false"/>
          <w:i w:val="false"/>
          <w:iCs w:val="false"/>
          <w:color w:val="333333"/>
          <w:sz w:val="20"/>
          <w:szCs w:val="20"/>
          <w:rtl w:val="true"/>
        </w:rPr>
        <w:t>. .</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الطبقات‌الكبرى، ج</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الهندى، كنزالعمال، ج</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البخارى؛ صحيح‌البخارى، ج</w:t>
      </w:r>
      <w:r>
        <w:rPr>
          <w:rFonts w:eastAsia="IRNazanin" w:cs="IRNazanin"/>
          <w:b w:val="false"/>
          <w:bCs w:val="false"/>
          <w:i w:val="false"/>
          <w:iCs w:val="false"/>
          <w:color w:val="333333"/>
          <w:sz w:val="20"/>
          <w:szCs w:val="20"/>
        </w:rPr>
        <w:t>4/1868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نقل بخارى، عمر مورد سرزنش امّ‌سلمه قرار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لك يابن‌الخطّاب، دخلتَ في كُلِّ شيئ، حَتّى تَبتَغي أن تَدخُلَ بينَ رسول‌اللهِ وأزواجِهِ</w:t>
      </w:r>
      <w:r>
        <w:rPr>
          <w:rFonts w:eastAsia="IRNazanin" w:cs="IRNazanin"/>
          <w:b w:val="false"/>
          <w:bCs w:val="false"/>
          <w:i w:val="false"/>
          <w:iCs w:val="false"/>
          <w:color w:val="333333"/>
          <w:sz w:val="20"/>
          <w:szCs w:val="20"/>
          <w:rtl w:val="true"/>
        </w:rPr>
        <w:t>. . . .</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الهيتمى، مجمع الزّوائد و منبع‌الفوائد،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منه جامع فيمن يحبه و من يبغضه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نامبرده روايت را از احمدبن حنبل و طبرانى نقل و سند احمد را موثق مى‌داند؛ الحاكم، المستدرك على‌الصحيحين، ج</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هذاحديث صحيح الإسناد و لم يخرجاه</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ابن‌حجرالهيتمى،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الفصل الثانى،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على‌الصّحيحين، ج</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4579/177</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ابى‌سعيدالخدرى؛ المستدرك،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4643/241</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ابن ماجة، سنن‌ابن‌ماجة، ج</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النّسائى بشرح السّيوطى، ج</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المنافق 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 لم يخرجاه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4674/27</w:t>
      </w:r>
      <w:r>
        <w:rPr>
          <w:rFonts w:ascii="IRNazanin" w:hAnsi="IRNazanin" w:eastAsia="IRNazanin"/>
          <w:b w:val="false"/>
          <w:b w:val="false"/>
          <w:bCs w:val="false"/>
          <w:i w:val="false"/>
          <w:i w:val="false"/>
          <w:iCs w:val="false"/>
          <w:color w:val="333333"/>
          <w:sz w:val="20"/>
          <w:sz w:val="20"/>
          <w:szCs w:val="20"/>
          <w:rtl w:val="true"/>
        </w:rPr>
        <w:t xml:space="preserve">؛ ابن‌عساكر، تاريخ مدينه دمشق، ج </w:t>
      </w:r>
      <w:r>
        <w:rPr>
          <w:rFonts w:eastAsia="IRNazanin" w:cs="IRNazanin"/>
          <w:b w:val="false"/>
          <w:bCs w:val="false"/>
          <w:i w:val="false"/>
          <w:iCs w:val="false"/>
          <w:color w:val="333333"/>
          <w:sz w:val="20"/>
          <w:szCs w:val="20"/>
        </w:rPr>
        <w:t>42/469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درضمن چندين نقل</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ولم يخرجاه</w:t>
      </w:r>
      <w:r>
        <w:rPr>
          <w:rFonts w:eastAsia="IRNazanin" w:cs="IRNazanin"/>
          <w:b w:val="false"/>
          <w:bCs w:val="false"/>
          <w:i w:val="false"/>
          <w:iCs w:val="false"/>
          <w:color w:val="333333"/>
          <w:sz w:val="20"/>
          <w:szCs w:val="20"/>
          <w:rtl w:val="true"/>
        </w:rPr>
        <w:t>. .</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به‌مبحث عدالت صحابه در دوم همين بخش</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شرف‌الدين، السيدعبدالحسين، اجوبة المسائل جارالله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صوفى، عبدالقادربن‌محمد عطا، دفع الكذب المبين من الرافضة على‌أمّهات المؤمنين، مدينة، مكتبة الغرباء الأثرية، ط الأولى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الشيعة الإثنى‌عشرية ينسبون عائشة الى‌الفاحشة و يزعمون أنّ مهديهم المزعوم يقيم عليها حدّاً آخرالرجعة</w:t>
      </w:r>
      <w:r>
        <w:rPr>
          <w:rFonts w:eastAsia="IRNazanin" w:cs="IRNazanin"/>
          <w:b w:val="false"/>
          <w:bCs w:val="false"/>
          <w:i w:val="false"/>
          <w:iCs w:val="false"/>
          <w:color w:val="333333"/>
          <w:sz w:val="20"/>
          <w:szCs w:val="20"/>
          <w:rtl w:val="true"/>
        </w:rPr>
        <w:t>. . . .</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القمى، على‌بن‌ابراهيم، تفسيرالقمى، ج</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علي‌بن‌ابراهيم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ضرب‌اللهُ مثلاً للذين كفروا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فخانتاهما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عنى بقوله فخانتاهما إلّا الفاحشة وليقيمنّ الحدّ على فلانة فيما أتت في طريق البص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رة وكان فلاناً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البحرانى، السيدهاشم‌بن السيدسليمان، البرهان فى‌تفسيرالقرآن، بإهتمام ابوالقاسم‌بن محمدتقى، قم، المطبعة العلمية</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بحرانى مطالب تفسيرش را از تفسير قمى گرفته است</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به‌تفسير قمى در فصل دوم از بخش سوم اين كتاب مطالبى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به‌آن فصل</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المازندرانى، ملا صالح، شرح اصول الكافى، ج</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باب الضلال،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مناكحة النصاب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يعنى بذلك إلّا الفاحشة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اى‌الشّرك أو الكفر أو الذنب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زوّج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 . . .</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العمانى، خليفة عبيدالكلبانى، الشيعة و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 الطريق نحوالحق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بحرين، دارالعصمة، ط الأولى </w:t>
      </w:r>
      <w:r>
        <w:rPr>
          <w:rFonts w:eastAsia="IRNazanin" w:cs="IRNazanin"/>
          <w:b w:val="false"/>
          <w:bCs w:val="false"/>
          <w:i w:val="false"/>
          <w:iCs w:val="false"/>
          <w:color w:val="333333"/>
          <w:sz w:val="20"/>
          <w:szCs w:val="20"/>
        </w:rPr>
        <w:t>1428/64</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الحموى البغدادى، معجم البلدان، ج</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 . .</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المسأله الثالثه عشر من هذا الاصل فى حكم اهل صفين و الجمل؛ همان، الفرق بين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اختلاف ديدگاه‌ها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فى‌الملل و الاهواء والنّحل، ج</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الكلام فى حرب على و من حاربه من الصحابة</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السابع أنّه يجب تعظيم الصحابه كلهم</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تطهيرالجنان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الصواعق‌المحرقه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 .</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٠</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الدين، الفرق بين الفرق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ابن‌ابى‌الحديد، شرح نهج البلاغه،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فصل فى نسب عائشه و اخبارها</w:t>
      </w:r>
      <w:r>
        <w:rPr>
          <w:rFonts w:eastAsia="IRNazanin" w:cs="IRNazanin"/>
          <w:b w:val="false"/>
          <w:bCs w:val="false"/>
          <w:i w:val="false"/>
          <w:iCs w:val="false"/>
          <w:color w:val="333333"/>
          <w:sz w:val="20"/>
          <w:szCs w:val="20"/>
          <w:rtl w:val="true"/>
        </w:rPr>
        <w:t>. .</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البلاذرى، جمل انسباب الاشراف،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اليعقوبى، تاريخ اليعقوبى، ج</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فخرجا مُسرعين و جعلا و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لعَلِيٍّ في أعناقنا بيعة، و ما بايعناه إلّا مُكرهين تحت السيف، فبلغ ذلك عليّاً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أخذهما الله إلى أقصى‌دارٍ وأحَرّ نارٍ</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 الأشراف، ج</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الدينورى، ابى‌حنيفة احمدبن‌داود، الاخبارالطوال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و زبير به‌عائشه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اهل‌البص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رة لوقدرأوك لكانوا جميعاً يداً واحدة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فأجبتهم إلى الخروج</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حَوأب، محل چاهى است در مسير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البلاذرى، جُمل أنساب الأشراف، ج</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معجم البلدان، همان؛ المسعودى، مروج الذهب، ج</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تاريخ اليعقوبى، ج</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حادثه كه چهار ساعت طول كشيد بيش از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٠٠٠٠</w:t>
      </w:r>
      <w:r>
        <w:rPr>
          <w:rFonts w:ascii="IRNazanin" w:hAnsi="IRNazanin" w:eastAsia="IRNazanin"/>
          <w:b w:val="false"/>
          <w:b w:val="false"/>
          <w:bCs w:val="false"/>
          <w:i w:val="false"/>
          <w:i w:val="false"/>
          <w:iCs w:val="false"/>
          <w:color w:val="333333"/>
          <w:sz w:val="20"/>
          <w:sz w:val="20"/>
          <w:szCs w:val="20"/>
          <w:rtl w:val="true"/>
        </w:rPr>
        <w:t xml:space="preserve"> نفر كشته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 ج</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ذهبى تلفات جمل را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٠٠٠</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٠٠٠٠</w:t>
      </w:r>
      <w:r>
        <w:rPr>
          <w:rFonts w:ascii="IRNazanin" w:hAnsi="IRNazanin" w:eastAsia="IRNazanin"/>
          <w:b w:val="false"/>
          <w:b w:val="false"/>
          <w:bCs w:val="false"/>
          <w:i w:val="false"/>
          <w:i w:val="false"/>
          <w:iCs w:val="false"/>
          <w:color w:val="333333"/>
          <w:sz w:val="20"/>
          <w:sz w:val="20"/>
          <w:szCs w:val="20"/>
          <w:rtl w:val="true"/>
        </w:rPr>
        <w:t xml:space="preserve"> نفر از دو طرف نام مى‌برد؛ تاريخ الاسلام الذهبى، ج</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قتلى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مفيد، گزارش‌هاى كشته‌شدگان را مختلف مى‌داند و حدود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٠٠٠</w:t>
      </w:r>
      <w:r>
        <w:rPr>
          <w:rFonts w:ascii="IRNazanin" w:hAnsi="IRNazanin" w:eastAsia="IRNazanin"/>
          <w:b w:val="false"/>
          <w:b w:val="false"/>
          <w:bCs w:val="false"/>
          <w:i w:val="false"/>
          <w:i w:val="false"/>
          <w:iCs w:val="false"/>
          <w:color w:val="333333"/>
          <w:sz w:val="20"/>
          <w:sz w:val="20"/>
          <w:szCs w:val="20"/>
          <w:rtl w:val="true"/>
        </w:rPr>
        <w:t xml:space="preserve"> نفر را مشهور مى‌شمارد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النصرة، لسيد العترة فى حرب البصرة، تحقيق السيد على‌ميرشريفى، قم، مكتب‌الاعلام الاسلامى، ط</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ابن‌عبدربّه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٠٠٠٠</w:t>
      </w:r>
      <w:r>
        <w:rPr>
          <w:rFonts w:ascii="IRNazanin" w:hAnsi="IRNazanin" w:eastAsia="IRNazanin"/>
          <w:b w:val="false"/>
          <w:b w:val="false"/>
          <w:bCs w:val="false"/>
          <w:i w:val="false"/>
          <w:i w:val="false"/>
          <w:iCs w:val="false"/>
          <w:color w:val="333333"/>
          <w:sz w:val="20"/>
          <w:sz w:val="20"/>
          <w:szCs w:val="20"/>
          <w:rtl w:val="true"/>
        </w:rPr>
        <w:t xml:space="preserve"> نفر از طرفداران عائشه 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نفر از ياران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كشته‌شدگان جمل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العقدالفريد، ج</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دست به‌خاطر گرفتن زمام شترعائشه قطع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البلاذرى، جمل انساب الاشراف، ج</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ديگر</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برصحت ادعاى عبدالقاهر بغدادى كه طلحه تصميم داشت ميدان را ترك كند</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البغدادى، اصول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الحموى البغدادى، معجم البلدان، ج</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 منطقه‌اى است كه از طرف نجد در ابتداى تِهامه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 أحمد بن محمد المعروف بإبن‌الفقيه، مختصر كتاب البلدان، ليدن، مطبع بريل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تاريخ الطبرى، ج</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حوادث سال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مى‌شود كه خارج شدن عائشه بعد از خارج شدن طلحة و زبير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به‌معناى نَذر واجب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دراين عبارت به‌معناى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و گريه‌اى طولانى باصداى بلند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النّهايةفى غريب الحديث، ج</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البلاذرى، جمل انساب الاشراف، 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وقرن فى بيوتكن</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 الاشراف، همان؛ الطبرى، تاريخ الطبرى، ج</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متفاوت</w:t>
      </w:r>
      <w:r>
        <w:rPr>
          <w:rFonts w:eastAsia="IRNazanin" w:cs="IRNazanin"/>
          <w:b w:val="false"/>
          <w:bCs w:val="false"/>
          <w:i w:val="false"/>
          <w:iCs w:val="false"/>
          <w:color w:val="333333"/>
          <w:sz w:val="20"/>
          <w:szCs w:val="20"/>
          <w:rtl w:val="true"/>
        </w:rPr>
        <w:t>) . .</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الآندلسى، ابن‌عبدربّه، العِقدالفريد،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ابن أثير؛ الكامل فى‌التاريخ، ج</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در اين كتاب جواب زيد را اين‌گونه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فرزند خالص تو هستم، اگر به‌خانه‌ات برگردى و الا من اولين خطشكن در برابر تو هستم</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المسعودى، مروج الذّهب، ج</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المسعودى، مروج الذّهب، ج</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حايل و واسطه</w:t>
      </w:r>
      <w:r>
        <w:rPr>
          <w:rFonts w:eastAsia="IRNazanin" w:cs="IRNazanin"/>
          <w:b w:val="false"/>
          <w:bCs w:val="false"/>
          <w:i w:val="false"/>
          <w:iCs w:val="false"/>
          <w:color w:val="333333"/>
          <w:sz w:val="20"/>
          <w:szCs w:val="20"/>
          <w:rtl w:val="true"/>
        </w:rPr>
        <w:t>. .</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 يعنى به‌راه افتادن پيشاپيش ديگران در شهرها</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سوار بر ناقه از جايى به‌جايى ديگر حركت كردن؛ ناصّه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مقاييس‌اللغه</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حديثى كه از رسول‌الله درموردتو شنيدم بازگونمايم، مرا با دهانت همانند ماركه طعمه‌اش را در وسط راه پاره پاره كند پاره پاره مى‌كنى</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ابن‌عبدربّه، العقدالفريد، ج</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ابن طيفور، احمدبن‌ابى‌طاهر، بلاغات النساء، قم، الشريف‌الرّضى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الدينورى، الامامة و السياسة المعروف بتاريخ‌الخلفاء، ج</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المفيد، الجمل</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أمّ‌سلمه عائشه؛ حفنى‌داود، حامد، نظرات الخالدة، تحقيق السيد مرتضى الرضوى، قاهرة، مطبوعات النّجاح، طالاولى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ابن‌ابى‌الحديد، شرح نهج البلاغه،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البلاذرى، جمل انساب‌الاشراف،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المسعودى، مروج الذهب، ج</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شعبة ينصح علياً؛ ابن‌ابى‌الحديد، شرح نهج البلاغه، ج</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 ج</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الدينورى، الاخبار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على‌بن‌ابى‌طالب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سيدمهدى‌جعفرى، ايران، شركت سهامى انتشار،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ابن‌شبّة النميرى، تاريخ المدينة المنوره، ج</w:t>
      </w:r>
      <w:r>
        <w:rPr>
          <w:rFonts w:eastAsia="IRNazanin" w:cs="IRNazanin"/>
          <w:b w:val="false"/>
          <w:bCs w:val="false"/>
          <w:i w:val="false"/>
          <w:iCs w:val="false"/>
          <w:color w:val="333333"/>
          <w:sz w:val="20"/>
          <w:szCs w:val="20"/>
        </w:rPr>
        <w:t>4/1169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اشدُّ الصحابة على عثمان طلحة</w:t>
      </w:r>
      <w:r>
        <w:rPr>
          <w:rFonts w:eastAsia="IRNazanin" w:cs="IRNazanin"/>
          <w:b w:val="false"/>
          <w:bCs w:val="false"/>
          <w:i w:val="false"/>
          <w:iCs w:val="false"/>
          <w:color w:val="333333"/>
          <w:sz w:val="20"/>
          <w:szCs w:val="20"/>
          <w:rtl w:val="true"/>
        </w:rPr>
        <w:t>. . . .</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به‌كتاب‌الجمل تأليف شيخ مفيد و تاريخ المدينةالمنوّره</w:t>
      </w:r>
      <w:r>
        <w:rPr>
          <w:rFonts w:eastAsia="IRNazanin" w:cs="IRNazanin"/>
          <w:b w:val="false"/>
          <w:bCs w:val="false"/>
          <w:i w:val="false"/>
          <w:iCs w:val="false"/>
          <w:color w:val="333333"/>
          <w:sz w:val="20"/>
          <w:szCs w:val="20"/>
          <w:rtl w:val="true"/>
        </w:rPr>
        <w:t>. .</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يسقطِالسقف من فوقنا ولم‌تنكست شمسُنا والقمر؛ ابن‌اثير، الكامل فى‌التاريخ، ج</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الشيخ المفيد،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ابن‌الاعثم الكوفى، احمد، الفتوح، بيروت، دارالندوة الجديدة، طالاولى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طويل‌اللحيه، و پيراحمق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فى غريب الحديث،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محقق مصرى آن را به‌پير كفتار و خرفت معنى مى‌كند و اين نام را برازنده عثمان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على‌بن‌ابى‌طالب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ابن‌ابى‌الحديد، شرح نهج البلاغه، ج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ثوبُ رسول‌الله لَم يبلَ، وعثمان قد أبلَى سنّته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الكامل فى التاريخ، ج</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تاريخ الطبرى، ج</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استتابوا ثم قتلوه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قولى الأخير خيرٌ من قولى الاوّل؛ الكامل فى التاريخ، ج</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الاربلى، على‌بن عيسى‌بن ابى‌الفتح، كشف الغمّة فى معرفة الأئمة، بيروت، دارالكتاب الاسلامى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وقعة الجمل؛ الدّينورى، الامامه والسّياسه،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از طلحة و زبير نيز در جواب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نامه نوشته‌اند و درخواست آن حضرت را رد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 عائشه را به‌اين عبارت 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 عائشة جَلّ الأمر عن العتاب والسّلام؛ الخوارزمى، الموفّق بن‌احمدبن‌محمد المكّى،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تاريخ الطبرى، ج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ابن أثير، الكامل فى التاريخ، ج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تاريخ الطبرى، ج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ابن أثير، الكامل فى التاريخ، ج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المسعودى، مروج الذهب، 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تاريخ الطبرى،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و به‌تبع او الكامل فى التاريخ، بر خلاف ديگران محور صلح را اين مى‌دانند كه طرفين فرستاده‌اى به‌مدينه فرستادند تا نظر اهل مدينه را در باره بيعت طلحه و زبير جويا شود، كعب‌بن‌سور، اين مأموريت را به‌عهده گرفت؛ وى در اجتماع مردم مدينه حاضر شد و پرسيد طلحه و زبير با اكراه بيعت كرده‌اند يا به‌اختيار؟ مردم چيزى نگفتند جز اسامةبن‌زيد كه گفت با اكراه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البلاذرى، جمل‌أنساب الاشراف، ج</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ابن‌ابى‌الحديد، شرح نهج البلاغه، ج</w:t>
      </w:r>
      <w:r>
        <w:rPr>
          <w:rFonts w:eastAsia="IRNazanin" w:cs="IRNazanin"/>
          <w:b w:val="false"/>
          <w:bCs w:val="false"/>
          <w:i w:val="false"/>
          <w:iCs w:val="false"/>
          <w:color w:val="333333"/>
          <w:sz w:val="20"/>
          <w:szCs w:val="20"/>
        </w:rPr>
        <w:t>9/319</w:t>
      </w:r>
      <w:r>
        <w:rPr>
          <w:rFonts w:ascii="IRNazanin" w:hAnsi="IRNazanin" w:eastAsia="IRNazanin"/>
          <w:b w:val="false"/>
          <w:b w:val="false"/>
          <w:bCs w:val="false"/>
          <w:i w:val="false"/>
          <w:i w:val="false"/>
          <w:iCs w:val="false"/>
          <w:color w:val="333333"/>
          <w:sz w:val="20"/>
          <w:sz w:val="20"/>
          <w:szCs w:val="20"/>
          <w:rtl w:val="true"/>
        </w:rPr>
        <w:t>؛ ابن‌عبدربّه، العقدالفريد، ج</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البلاذرى، جمل انساب الاشراف، ج</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المسعودى، مروج الذّهب، ج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ابن‌ابى‌الحديد، شرح نهج البلاغه، ج</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تاريخ الطبرى، ج</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ابن‌أثير، الكامل فى‌التّاريخ، ج</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تاريخ الطبرى، ج</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ابن‌أثير، الكامل فى‌التّاريخ، ج</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البلاذرى، جمل انساب الاشراف، ج</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ابن‌ابى‌الحديد، شرح نهج البلاغه،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عائشه به‌أبان‌بن‌عثمان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عثمان‌بن‌حنيف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فأضرب عنقه، فانَّ‌الانصار قتلت أباك، و أعانت على قتله؛ ولى عثمان‌بن‌حنيف، طلحه و زبير و عائشه را از برادرش در مدينه ترساند وآن‌ها از كشتن او صرف نظر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مروج‌الذّهب، ج</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ابن‌عبدربّه، العقدالفريد، 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تاريخ الطبرى، ج</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ابن‌أثير، الكامل فى‌التّاريخ، ج</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ابن‌أثير، الكامل فى‌التّاريخ، ج</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تاريخ الطبرى، ج</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ابن‌أثير، الكامل فى‌التّاريخ، ج</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اسدحيدر، الصّحابه فى نظرالشّيعة الإماميه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حامدحفنى داود</w:t>
      </w:r>
      <w:r>
        <w:rPr>
          <w:rFonts w:eastAsia="IRNazanin" w:cs="IRNazanin"/>
          <w:b w:val="false"/>
          <w:bCs w:val="false"/>
          <w:i w:val="false"/>
          <w:iCs w:val="false"/>
          <w:color w:val="333333"/>
          <w:sz w:val="20"/>
          <w:szCs w:val="20"/>
          <w:rtl w:val="true"/>
        </w:rPr>
        <w:t>) . .</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على‌السّنة المحمّديه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به‌اين كتاب</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اسدحيدر، الامام الصادق و المذاهب‌الاربعة،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البلاذرى، جمل انساب الاشراف، 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اسدحيدر، الصحابة فى نظرالشيعة</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همان، نظرات فى‌الكتب الخالدة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به‌عبارات مختلف در اكثر منابع اهل 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وأنذر عشيرتك الاقربين ، 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الترمذى، سنن الترمذى، ج</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شعراء و النسائى، سنن‌النّسائى، ج</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أوصى لعشيرته</w:t>
      </w:r>
      <w:r>
        <w:rPr>
          <w:rFonts w:eastAsia="IRNazanin" w:cs="IRNazanin"/>
          <w:b w:val="false"/>
          <w:bCs w:val="false"/>
          <w:i w:val="false"/>
          <w:iCs w:val="false"/>
          <w:color w:val="333333"/>
          <w:sz w:val="20"/>
          <w:szCs w:val="20"/>
          <w:rtl w:val="true"/>
        </w:rPr>
        <w:t>. .</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 فى نظرالشيعة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نظرات فى‌الكتب الخالدة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عبدالرزّاق، المصنّف،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البخارى، صحيح البخارى، ج</w:t>
      </w:r>
      <w:r>
        <w:rPr>
          <w:rFonts w:eastAsia="IRNazanin" w:cs="IRNazanin"/>
          <w:b w:val="false"/>
          <w:bCs w:val="false"/>
          <w:i w:val="false"/>
          <w:iCs w:val="false"/>
          <w:color w:val="333333"/>
          <w:sz w:val="20"/>
          <w:szCs w:val="20"/>
        </w:rPr>
        <w:t>6/2491</w:t>
      </w:r>
      <w:r>
        <w:rPr>
          <w:rFonts w:ascii="IRNazanin" w:hAnsi="IRNazanin" w:eastAsia="IRNazanin"/>
          <w:b w:val="false"/>
          <w:b w:val="false"/>
          <w:bCs w:val="false"/>
          <w:i w:val="false"/>
          <w:i w:val="false"/>
          <w:iCs w:val="false"/>
          <w:color w:val="333333"/>
          <w:sz w:val="20"/>
          <w:sz w:val="20"/>
          <w:szCs w:val="20"/>
          <w:rtl w:val="true"/>
        </w:rPr>
        <w:t>، كتاب‌الحدود،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ابن‌ماجة، سنن‌ابن‌ماجة، ج</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المستدرك على‌الصّحيحين، ج</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4145/122</w:t>
      </w:r>
      <w:r>
        <w:rPr>
          <w:rFonts w:ascii="IRNazanin" w:hAnsi="IRNazanin" w:eastAsia="IRNazanin"/>
          <w:b w:val="false"/>
          <w:b w:val="false"/>
          <w:bCs w:val="false"/>
          <w:i w:val="false"/>
          <w:i w:val="false"/>
          <w:iCs w:val="false"/>
          <w:color w:val="333333"/>
          <w:sz w:val="20"/>
          <w:sz w:val="20"/>
          <w:szCs w:val="20"/>
          <w:rtl w:val="true"/>
        </w:rPr>
        <w:t>؛ الهندى، كنزالعمال، ج</w:t>
      </w:r>
      <w:r>
        <w:rPr>
          <w:rFonts w:eastAsia="IRNazanin" w:cs="IRNazanin"/>
          <w:b w:val="false"/>
          <w:bCs w:val="false"/>
          <w:i w:val="false"/>
          <w:iCs w:val="false"/>
          <w:color w:val="333333"/>
          <w:sz w:val="20"/>
          <w:szCs w:val="20"/>
        </w:rPr>
        <w:t>5/379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چند روايت</w:t>
      </w:r>
      <w:r>
        <w:rPr>
          <w:rFonts w:eastAsia="IRNazanin" w:cs="IRNazanin"/>
          <w:b w:val="false"/>
          <w:bCs w:val="false"/>
          <w:i w:val="false"/>
          <w:iCs w:val="false"/>
          <w:color w:val="333333"/>
          <w:sz w:val="20"/>
          <w:szCs w:val="20"/>
          <w:rtl w:val="true"/>
        </w:rPr>
        <w:t>) .</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حيدر، الصحابه فى نظرالشّيعة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حفنى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محمود، 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باتلخيص</w:t>
      </w:r>
      <w:r>
        <w:rPr>
          <w:rFonts w:eastAsia="IRNazanin" w:cs="IRNazanin"/>
          <w:b w:val="false"/>
          <w:bCs w:val="false"/>
          <w:i w:val="false"/>
          <w:iCs w:val="false"/>
          <w:color w:val="333333"/>
          <w:sz w:val="20"/>
          <w:szCs w:val="20"/>
          <w:rtl w:val="true"/>
        </w:rPr>
        <w:t>) .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image" Target="media/image2.jpeg"/><Relationship Id="rId626" Type="http://schemas.openxmlformats.org/officeDocument/2006/relationships/image" Target="media/image2.jpeg"/><Relationship Id="rId627" Type="http://schemas.openxmlformats.org/officeDocument/2006/relationships/footer" Target="footer620.xml"/><Relationship Id="rId628" Type="http://schemas.openxmlformats.org/officeDocument/2006/relationships/footnotes" Target="footnotes.xml"/><Relationship Id="rId629" Type="http://schemas.openxmlformats.org/officeDocument/2006/relationships/numbering" Target="numbering.xml"/><Relationship Id="rId630" Type="http://schemas.openxmlformats.org/officeDocument/2006/relationships/fontTable" Target="fontTable.xml"/><Relationship Id="rId631" Type="http://schemas.openxmlformats.org/officeDocument/2006/relationships/settings" Target="settings.xml"/><Relationship Id="rId6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635</Pages>
  <Words>85017</Words>
  <Characters>357466</Characters>
  <CharactersWithSpaces>440086</CharactersWithSpaces>
  <Paragraphs>2637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2026-08-16T20:05:07Z</dcterms:created>
  <dc:creator>ghaemiyeh.com</dc:creator>
  <dc:description/>
  <dc:language>en-US</dc:language>
  <cp:lastModifiedBy/>
  <dcterms:modified xsi:type="dcterms:W3CDTF">2026-08-16T23:35:36Z</dcterms:modified>
  <cp:revision>1</cp:revision>
  <dc:subject/>
  <dc:title>پژوهشی پیرامون اصول کافی پاسخ به شبهات وهابیت</dc:title>
</cp:coreProperties>
</file>

<file path=docProps/custom.xml><?xml version="1.0" encoding="utf-8"?>
<Properties xmlns="http://schemas.openxmlformats.org/officeDocument/2006/custom-properties" xmlns:vt="http://schemas.openxmlformats.org/officeDocument/2006/docPropsVTypes"/>
</file>