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الدماء الثلاثه و احکام الاموات و التیمم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1801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91803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491805_3650668749">
            <w:r>
              <w:rPr>
                <w:webHidden/>
                <w:rStyle w:val="IndexLink"/>
                <w:rtl w:val="true"/>
              </w:rPr>
              <w:t>[</w:t>
            </w:r>
            <w:r>
              <w:rPr>
                <w:rStyle w:val="IndexLink"/>
                <w:rtl w:val="true"/>
              </w:rPr>
              <w:t>المقدمة</w:t>
            </w:r>
            <w:r>
              <w:rPr>
                <w:rStyle w:val="IndexLink"/>
                <w:rtl w:val="true"/>
              </w:rPr>
              <w:t>]</w:t>
              <w:tab/>
            </w:r>
            <w:r>
              <w:rPr>
                <w:rStyle w:val="IndexLink"/>
              </w:rPr>
              <w:t>8</w:t>
            </w:r>
          </w:hyperlink>
        </w:p>
        <w:p>
          <w:pPr>
            <w:pStyle w:val="Contents2"/>
            <w:tabs>
              <w:tab w:val="clear" w:pos="8743"/>
              <w:tab w:val="right" w:pos="9026" w:leader="dot"/>
            </w:tabs>
            <w:rPr/>
          </w:pPr>
          <w:hyperlink w:anchor="__RefHeading___Toc2491807_3650668749">
            <w:r>
              <w:rPr>
                <w:webHidden/>
                <w:rStyle w:val="IndexLink"/>
                <w:rtl w:val="true"/>
              </w:rPr>
              <w:t>المبحث الأوّل</w:t>
            </w:r>
            <w:r>
              <w:rPr>
                <w:rStyle w:val="IndexLink"/>
                <w:rtl w:val="true"/>
              </w:rPr>
              <w:t xml:space="preserve">: </w:t>
            </w:r>
            <w:r>
              <w:rPr>
                <w:rStyle w:val="IndexLink"/>
                <w:rtl w:val="true"/>
              </w:rPr>
              <w:t>في الحيض</w:t>
            </w:r>
            <w:r>
              <w:rPr>
                <w:rStyle w:val="IndexLink"/>
                <w:rtl w:val="true"/>
              </w:rPr>
              <w:tab/>
            </w:r>
            <w:r>
              <w:rPr>
                <w:rStyle w:val="IndexLink"/>
              </w:rPr>
              <w:t>10</w:t>
            </w:r>
          </w:hyperlink>
        </w:p>
        <w:p>
          <w:pPr>
            <w:pStyle w:val="Contents3"/>
            <w:tabs>
              <w:tab w:val="clear" w:pos="8459"/>
              <w:tab w:val="right" w:pos="9026" w:leader="dot"/>
            </w:tabs>
            <w:rPr/>
          </w:pPr>
          <w:hyperlink w:anchor="__RefHeading___Toc2491809_365066874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491811_3650668749">
            <w:r>
              <w:rPr>
                <w:webHidden/>
                <w:rStyle w:val="IndexLink"/>
                <w:rtl w:val="true"/>
              </w:rPr>
              <w:t>مسألة</w:t>
            </w:r>
            <w:r>
              <w:rPr>
                <w:rStyle w:val="IndexLink"/>
                <w:rtl w:val="true"/>
              </w:rPr>
              <w:t xml:space="preserve">: </w:t>
            </w:r>
            <w:r>
              <w:rPr>
                <w:rStyle w:val="IndexLink"/>
                <w:rtl w:val="true"/>
              </w:rPr>
              <w:t>الحيض في الغالب دم أحمر شديد الحمرة يميل إلى السواد</w:t>
            </w:r>
            <w:r>
              <w:rPr>
                <w:rStyle w:val="IndexLink"/>
                <w:rtl w:val="true"/>
              </w:rPr>
              <w:tab/>
            </w:r>
            <w:r>
              <w:rPr>
                <w:rStyle w:val="IndexLink"/>
              </w:rPr>
              <w:t>10</w:t>
            </w:r>
          </w:hyperlink>
        </w:p>
        <w:p>
          <w:pPr>
            <w:pStyle w:val="Contents3"/>
            <w:tabs>
              <w:tab w:val="clear" w:pos="8459"/>
              <w:tab w:val="right" w:pos="9026" w:leader="dot"/>
            </w:tabs>
            <w:rPr/>
          </w:pPr>
          <w:hyperlink w:anchor="__RefHeading___Toc2491813_3650668749">
            <w:r>
              <w:rPr>
                <w:webHidden/>
                <w:rStyle w:val="IndexLink"/>
                <w:rtl w:val="true"/>
              </w:rPr>
              <w:t>مسألة</w:t>
            </w:r>
            <w:r>
              <w:rPr>
                <w:rStyle w:val="IndexLink"/>
                <w:rtl w:val="true"/>
              </w:rPr>
              <w:t xml:space="preserve">: </w:t>
            </w:r>
            <w:r>
              <w:rPr>
                <w:rStyle w:val="IndexLink"/>
                <w:rtl w:val="true"/>
              </w:rPr>
              <w:t>لا إشكال و لا خلاف في أنّ الخارج بعد سنّ اليأس ليس بحيض</w:t>
            </w:r>
            <w:r>
              <w:rPr>
                <w:rStyle w:val="IndexLink"/>
                <w:rtl w:val="true"/>
              </w:rPr>
              <w:tab/>
            </w:r>
            <w:r>
              <w:rPr>
                <w:rStyle w:val="IndexLink"/>
              </w:rPr>
              <w:t>21</w:t>
            </w:r>
          </w:hyperlink>
        </w:p>
        <w:p>
          <w:pPr>
            <w:pStyle w:val="Contents3"/>
            <w:tabs>
              <w:tab w:val="clear" w:pos="8459"/>
              <w:tab w:val="right" w:pos="9026" w:leader="dot"/>
            </w:tabs>
            <w:rPr/>
          </w:pPr>
          <w:hyperlink w:anchor="__RefHeading___Toc2491815_3650668749">
            <w:r>
              <w:rPr>
                <w:webHidden/>
                <w:rStyle w:val="IndexLink"/>
                <w:rtl w:val="true"/>
              </w:rPr>
              <w:t>مسألة</w:t>
            </w:r>
            <w:r>
              <w:rPr>
                <w:rStyle w:val="IndexLink"/>
                <w:rtl w:val="true"/>
              </w:rPr>
              <w:t xml:space="preserve">: </w:t>
            </w:r>
            <w:r>
              <w:rPr>
                <w:rStyle w:val="IndexLink"/>
                <w:rtl w:val="true"/>
              </w:rPr>
              <w:t>كل دم أمكن أن يكون حيضا فهو حيض</w:t>
            </w:r>
            <w:r>
              <w:rPr>
                <w:rStyle w:val="IndexLink"/>
                <w:rtl w:val="true"/>
              </w:rPr>
              <w:tab/>
            </w:r>
            <w:r>
              <w:rPr>
                <w:rStyle w:val="IndexLink"/>
              </w:rPr>
              <w:t>25</w:t>
            </w:r>
          </w:hyperlink>
        </w:p>
        <w:p>
          <w:pPr>
            <w:pStyle w:val="Contents3"/>
            <w:tabs>
              <w:tab w:val="clear" w:pos="8459"/>
              <w:tab w:val="right" w:pos="9026" w:leader="dot"/>
            </w:tabs>
            <w:rPr/>
          </w:pPr>
          <w:hyperlink w:anchor="__RefHeading___Toc2491817_3650668749">
            <w:r>
              <w:rPr>
                <w:webHidden/>
                <w:rStyle w:val="IndexLink"/>
                <w:rtl w:val="true"/>
              </w:rPr>
              <w:t>مسألة</w:t>
            </w:r>
            <w:r>
              <w:rPr>
                <w:rStyle w:val="IndexLink"/>
                <w:rtl w:val="true"/>
              </w:rPr>
              <w:t xml:space="preserve">: </w:t>
            </w:r>
            <w:r>
              <w:rPr>
                <w:rStyle w:val="IndexLink"/>
                <w:rtl w:val="true"/>
              </w:rPr>
              <w:t>تستقر العادة شرعا برؤية الدم على نسق واحد مرّتين متواليتين</w:t>
            </w:r>
            <w:r>
              <w:rPr>
                <w:rStyle w:val="IndexLink"/>
                <w:rtl w:val="true"/>
              </w:rPr>
              <w:tab/>
            </w:r>
            <w:r>
              <w:rPr>
                <w:rStyle w:val="IndexLink"/>
              </w:rPr>
              <w:t>30</w:t>
            </w:r>
          </w:hyperlink>
        </w:p>
        <w:p>
          <w:pPr>
            <w:pStyle w:val="Contents3"/>
            <w:tabs>
              <w:tab w:val="clear" w:pos="8459"/>
              <w:tab w:val="right" w:pos="9026" w:leader="dot"/>
            </w:tabs>
            <w:rPr/>
          </w:pPr>
          <w:hyperlink w:anchor="__RefHeading___Toc2491819_3650668749">
            <w:r>
              <w:rPr>
                <w:webHidden/>
                <w:rStyle w:val="IndexLink"/>
                <w:rtl w:val="true"/>
              </w:rPr>
              <w:t>مسألة</w:t>
            </w:r>
            <w:r>
              <w:rPr>
                <w:rStyle w:val="IndexLink"/>
                <w:rtl w:val="true"/>
              </w:rPr>
              <w:t xml:space="preserve">: </w:t>
            </w:r>
            <w:r>
              <w:rPr>
                <w:rStyle w:val="IndexLink"/>
                <w:rtl w:val="true"/>
              </w:rPr>
              <w:t>لا إشكال في أنّ ذات العادة الوقتية تترك العادة بمجرّد الرؤية</w:t>
            </w:r>
            <w:r>
              <w:rPr>
                <w:rStyle w:val="IndexLink"/>
                <w:rtl w:val="true"/>
              </w:rPr>
              <w:tab/>
            </w:r>
            <w:r>
              <w:rPr>
                <w:rStyle w:val="IndexLink"/>
              </w:rPr>
              <w:t>32</w:t>
            </w:r>
          </w:hyperlink>
        </w:p>
        <w:p>
          <w:pPr>
            <w:pStyle w:val="Contents3"/>
            <w:tabs>
              <w:tab w:val="clear" w:pos="8459"/>
              <w:tab w:val="right" w:pos="9026" w:leader="dot"/>
            </w:tabs>
            <w:rPr/>
          </w:pPr>
          <w:hyperlink w:anchor="__RefHeading___Toc2491821_3650668749">
            <w:r>
              <w:rPr>
                <w:webHidden/>
                <w:rStyle w:val="IndexLink"/>
                <w:rtl w:val="true"/>
              </w:rPr>
              <w:t>مسألة</w:t>
            </w:r>
            <w:r>
              <w:rPr>
                <w:rStyle w:val="IndexLink"/>
                <w:rtl w:val="true"/>
              </w:rPr>
              <w:t xml:space="preserve">: </w:t>
            </w:r>
            <w:r>
              <w:rPr>
                <w:rStyle w:val="IndexLink"/>
                <w:rtl w:val="true"/>
              </w:rPr>
              <w:t>لو رأت ثلاثة و انقطع ثمّ رأت في ضمن العشرة دما آخر</w:t>
            </w:r>
            <w:r>
              <w:rPr>
                <w:rStyle w:val="IndexLink"/>
                <w:rtl w:val="true"/>
              </w:rPr>
              <w:tab/>
            </w:r>
            <w:r>
              <w:rPr>
                <w:rStyle w:val="IndexLink"/>
              </w:rPr>
              <w:t>33</w:t>
            </w:r>
          </w:hyperlink>
        </w:p>
        <w:p>
          <w:pPr>
            <w:pStyle w:val="Contents3"/>
            <w:tabs>
              <w:tab w:val="clear" w:pos="8459"/>
              <w:tab w:val="right" w:pos="9026" w:leader="dot"/>
            </w:tabs>
            <w:rPr/>
          </w:pPr>
          <w:hyperlink w:anchor="__RefHeading___Toc2491823_3650668749">
            <w:r>
              <w:rPr>
                <w:webHidden/>
                <w:rStyle w:val="IndexLink"/>
                <w:rtl w:val="true"/>
              </w:rPr>
              <w:t>مسألة</w:t>
            </w:r>
            <w:r>
              <w:rPr>
                <w:rStyle w:val="IndexLink"/>
                <w:rtl w:val="true"/>
              </w:rPr>
              <w:t xml:space="preserve">: </w:t>
            </w:r>
            <w:r>
              <w:rPr>
                <w:rStyle w:val="IndexLink"/>
                <w:rtl w:val="true"/>
              </w:rPr>
              <w:t>إذا انقطع دم الحيض في الظاهر مع احتمال ثبوته في الباطن وجب عليها الاختبار</w:t>
            </w:r>
            <w:r>
              <w:rPr>
                <w:rStyle w:val="IndexLink"/>
                <w:rtl w:val="true"/>
              </w:rPr>
              <w:tab/>
            </w:r>
            <w:r>
              <w:rPr>
                <w:rStyle w:val="IndexLink"/>
              </w:rPr>
              <w:t>35</w:t>
            </w:r>
          </w:hyperlink>
        </w:p>
        <w:p>
          <w:pPr>
            <w:pStyle w:val="Contents3"/>
            <w:tabs>
              <w:tab w:val="clear" w:pos="8459"/>
              <w:tab w:val="right" w:pos="9026" w:leader="dot"/>
            </w:tabs>
            <w:rPr/>
          </w:pPr>
          <w:hyperlink w:anchor="__RefHeading___Toc2491825_3650668749">
            <w:r>
              <w:rPr>
                <w:webHidden/>
                <w:rStyle w:val="IndexLink"/>
                <w:rtl w:val="true"/>
              </w:rPr>
              <w:t>مسألة</w:t>
            </w:r>
            <w:r>
              <w:rPr>
                <w:rStyle w:val="IndexLink"/>
                <w:rtl w:val="true"/>
              </w:rPr>
              <w:t xml:space="preserve">: </w:t>
            </w:r>
            <w:r>
              <w:rPr>
                <w:rStyle w:val="IndexLink"/>
                <w:rtl w:val="true"/>
              </w:rPr>
              <w:t>إذا حصل النقاء من الحيض و لما تغتسل فهل تحل لزوجها مباشرتها</w:t>
            </w:r>
            <w:r>
              <w:rPr>
                <w:rStyle w:val="IndexLink"/>
                <w:rtl w:val="true"/>
              </w:rPr>
              <w:tab/>
            </w:r>
            <w:r>
              <w:rPr>
                <w:rStyle w:val="IndexLink"/>
              </w:rPr>
              <w:t>43</w:t>
            </w:r>
          </w:hyperlink>
        </w:p>
        <w:p>
          <w:pPr>
            <w:pStyle w:val="Contents3"/>
            <w:tabs>
              <w:tab w:val="clear" w:pos="8459"/>
              <w:tab w:val="right" w:pos="9026" w:leader="dot"/>
            </w:tabs>
            <w:rPr/>
          </w:pPr>
          <w:hyperlink w:anchor="__RefHeading___Toc2491827_3650668749">
            <w:r>
              <w:rPr>
                <w:webHidden/>
                <w:rStyle w:val="IndexLink"/>
                <w:rtl w:val="true"/>
              </w:rPr>
              <w:t>مسألة</w:t>
            </w:r>
            <w:r>
              <w:rPr>
                <w:rStyle w:val="IndexLink"/>
                <w:rtl w:val="true"/>
              </w:rPr>
              <w:t xml:space="preserve">: </w:t>
            </w:r>
            <w:r>
              <w:rPr>
                <w:rStyle w:val="IndexLink"/>
                <w:rtl w:val="true"/>
              </w:rPr>
              <w:t>لو دخل عليها الوقت و هي طاهرة ثم عرضها الحيض</w:t>
            </w:r>
            <w:r>
              <w:rPr>
                <w:rStyle w:val="IndexLink"/>
                <w:rtl w:val="true"/>
              </w:rPr>
              <w:tab/>
            </w:r>
            <w:r>
              <w:rPr>
                <w:rStyle w:val="IndexLink"/>
              </w:rPr>
              <w:t>46</w:t>
            </w:r>
          </w:hyperlink>
        </w:p>
        <w:p>
          <w:pPr>
            <w:pStyle w:val="Contents3"/>
            <w:tabs>
              <w:tab w:val="clear" w:pos="8459"/>
              <w:tab w:val="right" w:pos="9026" w:leader="dot"/>
            </w:tabs>
            <w:rPr/>
          </w:pPr>
          <w:hyperlink w:anchor="__RefHeading___Toc2491829_3650668749">
            <w:r>
              <w:rPr>
                <w:webHidden/>
                <w:rStyle w:val="IndexLink"/>
                <w:rtl w:val="true"/>
              </w:rPr>
              <w:t>مسألة</w:t>
            </w:r>
            <w:r>
              <w:rPr>
                <w:rStyle w:val="IndexLink"/>
                <w:rtl w:val="true"/>
              </w:rPr>
              <w:t xml:space="preserve">: </w:t>
            </w:r>
            <w:r>
              <w:rPr>
                <w:rStyle w:val="IndexLink"/>
                <w:rtl w:val="true"/>
              </w:rPr>
              <w:t>لا إشكال في أنّه تحرم عليها حال التلبس بالدم و ما بحكمه من النقاء المتخلّل الصلاة و الطواف و الصوم</w:t>
            </w:r>
            <w:r>
              <w:rPr>
                <w:rStyle w:val="IndexLink"/>
                <w:rtl w:val="true"/>
              </w:rPr>
              <w:tab/>
            </w:r>
            <w:r>
              <w:rPr>
                <w:rStyle w:val="IndexLink"/>
              </w:rPr>
              <w:t>48</w:t>
            </w:r>
          </w:hyperlink>
        </w:p>
        <w:p>
          <w:pPr>
            <w:pStyle w:val="Contents3"/>
            <w:tabs>
              <w:tab w:val="clear" w:pos="8459"/>
              <w:tab w:val="right" w:pos="9026" w:leader="dot"/>
            </w:tabs>
            <w:rPr/>
          </w:pPr>
          <w:hyperlink w:anchor="__RefHeading___Toc2491831_3650668749">
            <w:r>
              <w:rPr>
                <w:webHidden/>
                <w:rStyle w:val="IndexLink"/>
                <w:rtl w:val="true"/>
              </w:rPr>
              <w:t>مسألة</w:t>
            </w:r>
            <w:r>
              <w:rPr>
                <w:rStyle w:val="IndexLink"/>
                <w:rtl w:val="true"/>
              </w:rPr>
              <w:t xml:space="preserve">: </w:t>
            </w:r>
            <w:r>
              <w:rPr>
                <w:rStyle w:val="IndexLink"/>
                <w:rtl w:val="true"/>
              </w:rPr>
              <w:t>لا يجوز لها مسّ كتابة القرآن</w:t>
            </w:r>
            <w:r>
              <w:rPr>
                <w:rStyle w:val="IndexLink"/>
                <w:rtl w:val="true"/>
              </w:rPr>
              <w:tab/>
            </w:r>
            <w:r>
              <w:rPr>
                <w:rStyle w:val="IndexLink"/>
              </w:rPr>
              <w:t>50</w:t>
            </w:r>
          </w:hyperlink>
        </w:p>
        <w:p>
          <w:pPr>
            <w:pStyle w:val="Contents3"/>
            <w:tabs>
              <w:tab w:val="clear" w:pos="8459"/>
              <w:tab w:val="right" w:pos="9026" w:leader="dot"/>
            </w:tabs>
            <w:rPr/>
          </w:pPr>
          <w:hyperlink w:anchor="__RefHeading___Toc2491833_3650668749">
            <w:r>
              <w:rPr>
                <w:webHidden/>
                <w:rStyle w:val="IndexLink"/>
                <w:rtl w:val="true"/>
              </w:rPr>
              <w:t>مسألة</w:t>
            </w:r>
            <w:r>
              <w:rPr>
                <w:rStyle w:val="IndexLink"/>
                <w:rtl w:val="true"/>
              </w:rPr>
              <w:t xml:space="preserve">: </w:t>
            </w:r>
            <w:r>
              <w:rPr>
                <w:rStyle w:val="IndexLink"/>
                <w:rtl w:val="true"/>
              </w:rPr>
              <w:t>هل يشرع لها حال تلبسها بالدم أو ما بحكمه الأغسال المندوبة</w:t>
            </w:r>
            <w:r>
              <w:rPr>
                <w:rStyle w:val="IndexLink"/>
                <w:rtl w:val="true"/>
              </w:rPr>
              <w:tab/>
            </w:r>
            <w:r>
              <w:rPr>
                <w:rStyle w:val="IndexLink"/>
              </w:rPr>
              <w:t>52</w:t>
            </w:r>
          </w:hyperlink>
        </w:p>
        <w:p>
          <w:pPr>
            <w:pStyle w:val="Contents3"/>
            <w:tabs>
              <w:tab w:val="clear" w:pos="8459"/>
              <w:tab w:val="right" w:pos="9026" w:leader="dot"/>
            </w:tabs>
            <w:rPr/>
          </w:pPr>
          <w:hyperlink w:anchor="__RefHeading___Toc2491835_3650668749">
            <w:r>
              <w:rPr>
                <w:webHidden/>
                <w:rStyle w:val="IndexLink"/>
                <w:rtl w:val="true"/>
              </w:rPr>
              <w:t>مسألة</w:t>
            </w:r>
            <w:r>
              <w:rPr>
                <w:rStyle w:val="IndexLink"/>
                <w:rtl w:val="true"/>
              </w:rPr>
              <w:t xml:space="preserve">: </w:t>
            </w:r>
            <w:r>
              <w:rPr>
                <w:rStyle w:val="IndexLink"/>
                <w:rtl w:val="true"/>
              </w:rPr>
              <w:t>لا إشكال في عدم صحّة الصوم منها في حال رؤية الدم</w:t>
            </w:r>
            <w:r>
              <w:rPr>
                <w:rStyle w:val="IndexLink"/>
                <w:rtl w:val="true"/>
              </w:rPr>
              <w:tab/>
            </w:r>
            <w:r>
              <w:rPr>
                <w:rStyle w:val="IndexLink"/>
              </w:rPr>
              <w:t>53</w:t>
            </w:r>
          </w:hyperlink>
        </w:p>
        <w:p>
          <w:pPr>
            <w:pStyle w:val="Contents3"/>
            <w:tabs>
              <w:tab w:val="clear" w:pos="8459"/>
              <w:tab w:val="right" w:pos="9026" w:leader="dot"/>
            </w:tabs>
            <w:rPr/>
          </w:pPr>
          <w:hyperlink w:anchor="__RefHeading___Toc2491837_3650668749">
            <w:r>
              <w:rPr>
                <w:webHidden/>
                <w:rStyle w:val="IndexLink"/>
                <w:rtl w:val="true"/>
              </w:rPr>
              <w:t>مسألة</w:t>
            </w:r>
            <w:r>
              <w:rPr>
                <w:rStyle w:val="IndexLink"/>
                <w:rtl w:val="true"/>
              </w:rPr>
              <w:t xml:space="preserve">: </w:t>
            </w:r>
            <w:r>
              <w:rPr>
                <w:rStyle w:val="IndexLink"/>
                <w:rtl w:val="true"/>
              </w:rPr>
              <w:t>لا إشكال في حرمة اللبث عليها في سائر المساجد</w:t>
            </w:r>
            <w:r>
              <w:rPr>
                <w:rStyle w:val="IndexLink"/>
                <w:rtl w:val="true"/>
              </w:rPr>
              <w:tab/>
            </w:r>
            <w:r>
              <w:rPr>
                <w:rStyle w:val="IndexLink"/>
              </w:rPr>
              <w:t>54</w:t>
            </w:r>
          </w:hyperlink>
        </w:p>
        <w:p>
          <w:pPr>
            <w:pStyle w:val="Contents3"/>
            <w:tabs>
              <w:tab w:val="clear" w:pos="8459"/>
              <w:tab w:val="right" w:pos="9026" w:leader="dot"/>
            </w:tabs>
            <w:rPr/>
          </w:pPr>
          <w:hyperlink w:anchor="__RefHeading___Toc2491839_3650668749">
            <w:r>
              <w:rPr>
                <w:webHidden/>
                <w:rStyle w:val="IndexLink"/>
                <w:rtl w:val="true"/>
              </w:rPr>
              <w:t>مسألة</w:t>
            </w:r>
            <w:r>
              <w:rPr>
                <w:rStyle w:val="IndexLink"/>
                <w:rtl w:val="true"/>
              </w:rPr>
              <w:t xml:space="preserve">: </w:t>
            </w:r>
            <w:r>
              <w:rPr>
                <w:rStyle w:val="IndexLink"/>
                <w:rtl w:val="true"/>
              </w:rPr>
              <w:t>لا إشكال في أنّه يحرم على الحائض كالجنب وضع الشي‌ء في سائر المساجد إذا استلزم اللبث</w:t>
            </w:r>
            <w:r>
              <w:rPr>
                <w:rStyle w:val="IndexLink"/>
                <w:rtl w:val="true"/>
              </w:rPr>
              <w:tab/>
            </w:r>
            <w:r>
              <w:rPr>
                <w:rStyle w:val="IndexLink"/>
              </w:rPr>
              <w:t>55</w:t>
            </w:r>
          </w:hyperlink>
        </w:p>
        <w:p>
          <w:pPr>
            <w:pStyle w:val="Contents3"/>
            <w:tabs>
              <w:tab w:val="clear" w:pos="8459"/>
              <w:tab w:val="right" w:pos="9026" w:leader="dot"/>
            </w:tabs>
            <w:rPr/>
          </w:pPr>
          <w:hyperlink w:anchor="__RefHeading___Toc2491841_3650668749">
            <w:r>
              <w:rPr>
                <w:webHidden/>
                <w:rStyle w:val="IndexLink"/>
                <w:rtl w:val="true"/>
              </w:rPr>
              <w:t>مسألة</w:t>
            </w:r>
            <w:r>
              <w:rPr>
                <w:rStyle w:val="IndexLink"/>
                <w:rtl w:val="true"/>
              </w:rPr>
              <w:t xml:space="preserve">: </w:t>
            </w:r>
            <w:r>
              <w:rPr>
                <w:rStyle w:val="IndexLink"/>
                <w:rtl w:val="true"/>
              </w:rPr>
              <w:t>لا إشكال في أنّه يحرم عليها كالجنب قراءة سور العزائم الأربع</w:t>
            </w:r>
            <w:r>
              <w:rPr>
                <w:rStyle w:val="IndexLink"/>
                <w:rtl w:val="true"/>
              </w:rPr>
              <w:tab/>
            </w:r>
            <w:r>
              <w:rPr>
                <w:rStyle w:val="IndexLink"/>
              </w:rPr>
              <w:t>56</w:t>
            </w:r>
          </w:hyperlink>
        </w:p>
        <w:p>
          <w:pPr>
            <w:pStyle w:val="Contents3"/>
            <w:tabs>
              <w:tab w:val="clear" w:pos="8459"/>
              <w:tab w:val="right" w:pos="9026" w:leader="dot"/>
            </w:tabs>
            <w:rPr/>
          </w:pPr>
          <w:hyperlink w:anchor="__RefHeading___Toc2491843_3650668749">
            <w:r>
              <w:rPr>
                <w:webHidden/>
                <w:rStyle w:val="IndexLink"/>
                <w:rtl w:val="true"/>
              </w:rPr>
              <w:t>مسألة</w:t>
            </w:r>
            <w:r>
              <w:rPr>
                <w:rStyle w:val="IndexLink"/>
                <w:rtl w:val="true"/>
              </w:rPr>
              <w:t xml:space="preserve">: </w:t>
            </w:r>
            <w:r>
              <w:rPr>
                <w:rStyle w:val="IndexLink"/>
                <w:rtl w:val="true"/>
              </w:rPr>
              <w:t>لا إشكال في حرمة وطي الحائض قبلا</w:t>
            </w:r>
            <w:r>
              <w:rPr>
                <w:rStyle w:val="IndexLink"/>
                <w:rtl w:val="true"/>
              </w:rPr>
              <w:tab/>
            </w:r>
            <w:r>
              <w:rPr>
                <w:rStyle w:val="IndexLink"/>
              </w:rPr>
              <w:t>59</w:t>
            </w:r>
          </w:hyperlink>
        </w:p>
        <w:p>
          <w:pPr>
            <w:pStyle w:val="Contents3"/>
            <w:tabs>
              <w:tab w:val="clear" w:pos="8459"/>
              <w:tab w:val="right" w:pos="9026" w:leader="dot"/>
            </w:tabs>
            <w:rPr/>
          </w:pPr>
          <w:hyperlink w:anchor="__RefHeading___Toc2491845_3650668749">
            <w:r>
              <w:rPr>
                <w:webHidden/>
                <w:rStyle w:val="IndexLink"/>
                <w:rtl w:val="true"/>
              </w:rPr>
              <w:t>مسألة</w:t>
            </w:r>
            <w:r>
              <w:rPr>
                <w:rStyle w:val="IndexLink"/>
                <w:rtl w:val="true"/>
              </w:rPr>
              <w:t xml:space="preserve">: </w:t>
            </w:r>
            <w:r>
              <w:rPr>
                <w:rStyle w:val="IndexLink"/>
                <w:rtl w:val="true"/>
              </w:rPr>
              <w:t>هل تجب الكفّارة بوطي الحائض أو لا؟</w:t>
            </w:r>
            <w:r>
              <w:rPr>
                <w:rStyle w:val="IndexLink"/>
                <w:rtl w:val="true"/>
              </w:rPr>
              <w:tab/>
            </w:r>
            <w:r>
              <w:rPr>
                <w:rStyle w:val="IndexLink"/>
              </w:rPr>
              <w:t>61</w:t>
            </w:r>
          </w:hyperlink>
        </w:p>
        <w:p>
          <w:pPr>
            <w:pStyle w:val="Contents3"/>
            <w:tabs>
              <w:tab w:val="clear" w:pos="8459"/>
              <w:tab w:val="right" w:pos="9026" w:leader="dot"/>
            </w:tabs>
            <w:rPr/>
          </w:pPr>
          <w:hyperlink w:anchor="__RefHeading___Toc2491847_3650668749">
            <w:r>
              <w:rPr>
                <w:webHidden/>
                <w:rStyle w:val="IndexLink"/>
                <w:rtl w:val="true"/>
              </w:rPr>
              <w:t>مسألة</w:t>
            </w:r>
            <w:r>
              <w:rPr>
                <w:rStyle w:val="IndexLink"/>
                <w:rtl w:val="true"/>
              </w:rPr>
              <w:t xml:space="preserve">: </w:t>
            </w:r>
            <w:r>
              <w:rPr>
                <w:rStyle w:val="IndexLink"/>
                <w:rtl w:val="true"/>
              </w:rPr>
              <w:t>لا إشكال في وجوب الغسل عليها بعد الانقطاع</w:t>
            </w:r>
            <w:r>
              <w:rPr>
                <w:rStyle w:val="IndexLink"/>
                <w:rtl w:val="true"/>
              </w:rPr>
              <w:tab/>
            </w:r>
            <w:r>
              <w:rPr>
                <w:rStyle w:val="IndexLink"/>
              </w:rPr>
              <w:t>64</w:t>
            </w:r>
          </w:hyperlink>
        </w:p>
        <w:p>
          <w:pPr>
            <w:pStyle w:val="Contents3"/>
            <w:tabs>
              <w:tab w:val="clear" w:pos="8459"/>
              <w:tab w:val="right" w:pos="9026" w:leader="dot"/>
            </w:tabs>
            <w:rPr/>
          </w:pPr>
          <w:hyperlink w:anchor="__RefHeading___Toc2491849_3650668749">
            <w:r>
              <w:rPr>
                <w:webHidden/>
                <w:rStyle w:val="IndexLink"/>
                <w:rtl w:val="true"/>
              </w:rPr>
              <w:t>مسألة</w:t>
            </w:r>
            <w:r>
              <w:rPr>
                <w:rStyle w:val="IndexLink"/>
                <w:rtl w:val="true"/>
              </w:rPr>
              <w:t xml:space="preserve">: </w:t>
            </w:r>
            <w:r>
              <w:rPr>
                <w:rStyle w:val="IndexLink"/>
                <w:rtl w:val="true"/>
              </w:rPr>
              <w:t>لا إشكال في سقوط قضاء الصلوات اليومية عنها و ثبوت قضاء صوم رمضان عليها</w:t>
            </w:r>
            <w:r>
              <w:rPr>
                <w:rStyle w:val="IndexLink"/>
                <w:rtl w:val="true"/>
              </w:rPr>
              <w:tab/>
            </w:r>
            <w:r>
              <w:rPr>
                <w:rStyle w:val="IndexLink"/>
              </w:rPr>
              <w:t>67</w:t>
            </w:r>
          </w:hyperlink>
        </w:p>
        <w:p>
          <w:pPr>
            <w:pStyle w:val="Contents2"/>
            <w:tabs>
              <w:tab w:val="clear" w:pos="8743"/>
              <w:tab w:val="right" w:pos="9026" w:leader="dot"/>
            </w:tabs>
            <w:rPr/>
          </w:pPr>
          <w:hyperlink w:anchor="__RefHeading___Toc2491851_3650668749">
            <w:r>
              <w:rPr>
                <w:webHidden/>
                <w:rStyle w:val="IndexLink"/>
                <w:rtl w:val="true"/>
              </w:rPr>
              <w:t>المبحث الثاني</w:t>
            </w:r>
            <w:r>
              <w:rPr>
                <w:rStyle w:val="IndexLink"/>
                <w:rtl w:val="true"/>
              </w:rPr>
              <w:t xml:space="preserve">: </w:t>
            </w:r>
            <w:r>
              <w:rPr>
                <w:rStyle w:val="IndexLink"/>
                <w:rtl w:val="true"/>
              </w:rPr>
              <w:t>في الاستحاضة</w:t>
            </w:r>
            <w:r>
              <w:rPr>
                <w:rStyle w:val="IndexLink"/>
                <w:rtl w:val="true"/>
              </w:rPr>
              <w:tab/>
            </w:r>
            <w:r>
              <w:rPr>
                <w:rStyle w:val="IndexLink"/>
              </w:rPr>
              <w:t>70</w:t>
            </w:r>
          </w:hyperlink>
        </w:p>
        <w:p>
          <w:pPr>
            <w:pStyle w:val="Contents3"/>
            <w:tabs>
              <w:tab w:val="clear" w:pos="8459"/>
              <w:tab w:val="right" w:pos="9026" w:leader="dot"/>
            </w:tabs>
            <w:rPr/>
          </w:pPr>
          <w:hyperlink w:anchor="__RefHeading___Toc2491853_3650668749">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491855_3650668749">
            <w:r>
              <w:rPr>
                <w:webHidden/>
                <w:rStyle w:val="IndexLink"/>
                <w:rtl w:val="true"/>
              </w:rPr>
              <w:t>مسألة</w:t>
            </w:r>
            <w:r>
              <w:rPr>
                <w:rStyle w:val="IndexLink"/>
                <w:rtl w:val="true"/>
              </w:rPr>
              <w:t xml:space="preserve">: </w:t>
            </w:r>
            <w:r>
              <w:rPr>
                <w:rStyle w:val="IndexLink"/>
                <w:rtl w:val="true"/>
              </w:rPr>
              <w:t xml:space="preserve">لا إشكال في أنّ الدم الّذي ليس بنفاس و لا قرح و لا جرح و لا عذرة </w:t>
            </w:r>
            <w:r>
              <w:rPr>
                <w:rStyle w:val="IndexLink"/>
                <w:rtl w:val="true"/>
              </w:rPr>
              <w:t>[</w:t>
            </w:r>
            <w:r>
              <w:rPr>
                <w:rStyle w:val="IndexLink"/>
                <w:rtl w:val="true"/>
              </w:rPr>
              <w:t>يكون استحاضة</w:t>
            </w:r>
            <w:r>
              <w:rPr>
                <w:rStyle w:val="IndexLink"/>
                <w:rtl w:val="true"/>
              </w:rPr>
              <w:t>]</w:t>
              <w:tab/>
            </w:r>
            <w:r>
              <w:rPr>
                <w:rStyle w:val="IndexLink"/>
              </w:rPr>
              <w:t>70</w:t>
            </w:r>
          </w:hyperlink>
        </w:p>
        <w:p>
          <w:pPr>
            <w:pStyle w:val="Contents3"/>
            <w:tabs>
              <w:tab w:val="clear" w:pos="8459"/>
              <w:tab w:val="right" w:pos="9026" w:leader="dot"/>
            </w:tabs>
            <w:rPr/>
          </w:pPr>
          <w:hyperlink w:anchor="__RefHeading___Toc2491857_3650668749">
            <w:r>
              <w:rPr>
                <w:webHidden/>
                <w:rStyle w:val="IndexLink"/>
                <w:rtl w:val="true"/>
              </w:rPr>
              <w:t>مسألة</w:t>
            </w:r>
            <w:r>
              <w:rPr>
                <w:rStyle w:val="IndexLink"/>
                <w:rtl w:val="true"/>
              </w:rPr>
              <w:t xml:space="preserve">: </w:t>
            </w:r>
            <w:r>
              <w:rPr>
                <w:rStyle w:val="IndexLink"/>
                <w:rtl w:val="true"/>
              </w:rPr>
              <w:t>لا إشكال في اجتماع الحيض مع الإرضاع</w:t>
            </w:r>
            <w:r>
              <w:rPr>
                <w:rStyle w:val="IndexLink"/>
                <w:rtl w:val="true"/>
              </w:rPr>
              <w:t xml:space="preserve">. </w:t>
            </w:r>
            <w:r>
              <w:rPr>
                <w:rStyle w:val="IndexLink"/>
                <w:rtl w:val="true"/>
              </w:rPr>
              <w:t>و في اجتماعه مع الحمل قولان</w:t>
            </w:r>
            <w:r>
              <w:rPr>
                <w:rStyle w:val="IndexLink"/>
                <w:rtl w:val="true"/>
              </w:rPr>
              <w:t xml:space="preserve">: </w:t>
            </w:r>
            <w:r>
              <w:rPr>
                <w:rStyle w:val="IndexLink"/>
                <w:rtl w:val="true"/>
              </w:rPr>
              <w:t>المشهور هو الاجتماع</w:t>
            </w:r>
            <w:r>
              <w:rPr>
                <w:rStyle w:val="IndexLink"/>
                <w:rtl w:val="true"/>
              </w:rPr>
              <w:tab/>
            </w:r>
            <w:r>
              <w:rPr>
                <w:rStyle w:val="IndexLink"/>
              </w:rPr>
              <w:t>73</w:t>
            </w:r>
          </w:hyperlink>
        </w:p>
        <w:p>
          <w:pPr>
            <w:pStyle w:val="Contents4"/>
            <w:tabs>
              <w:tab w:val="clear" w:pos="8176"/>
              <w:tab w:val="right" w:pos="9026" w:leader="dot"/>
            </w:tabs>
            <w:rPr/>
          </w:pPr>
          <w:hyperlink w:anchor="__RefHeading___Toc2491859_365066874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491861_3650668749">
            <w:r>
              <w:rPr>
                <w:webHidden/>
                <w:rStyle w:val="IndexLink"/>
                <w:rtl w:val="true"/>
              </w:rPr>
              <w:t>تتميم</w:t>
            </w:r>
            <w:r>
              <w:rPr>
                <w:rStyle w:val="IndexLink"/>
                <w:rtl w:val="true"/>
              </w:rPr>
              <w:t xml:space="preserve">: </w:t>
            </w:r>
            <w:r>
              <w:rPr>
                <w:rStyle w:val="IndexLink"/>
                <w:rtl w:val="true"/>
              </w:rPr>
              <w:t>الظاهر أنّ حال الحامل في عدم التحيّض بمجرد الرؤية عند عدم مصادفة العادة إلّا مع وجود الصفة كحال غيره</w:t>
            </w:r>
            <w:r>
              <w:rPr>
                <w:rStyle w:val="IndexLink"/>
                <w:rtl w:val="true"/>
              </w:rPr>
              <w:tab/>
            </w:r>
            <w:r>
              <w:rPr>
                <w:rStyle w:val="IndexLink"/>
              </w:rPr>
              <w:t>78</w:t>
            </w:r>
          </w:hyperlink>
        </w:p>
        <w:p>
          <w:pPr>
            <w:pStyle w:val="Contents3"/>
            <w:tabs>
              <w:tab w:val="clear" w:pos="8459"/>
              <w:tab w:val="right" w:pos="9026" w:leader="dot"/>
            </w:tabs>
            <w:rPr/>
          </w:pPr>
          <w:hyperlink w:anchor="__RefHeading___Toc2491863_3650668749">
            <w:r>
              <w:rPr>
                <w:webHidden/>
                <w:rStyle w:val="IndexLink"/>
                <w:rtl w:val="true"/>
              </w:rPr>
              <w:t>مسألة</w:t>
            </w:r>
            <w:r>
              <w:rPr>
                <w:rStyle w:val="IndexLink"/>
                <w:rtl w:val="true"/>
              </w:rPr>
              <w:t xml:space="preserve">: </w:t>
            </w:r>
            <w:r>
              <w:rPr>
                <w:rStyle w:val="IndexLink"/>
                <w:rtl w:val="true"/>
              </w:rPr>
              <w:t>لا إشكال في ما لو انقطع الدم على العشرة فما دون في أنّه محكوم بالحيضية مطلقا</w:t>
            </w:r>
            <w:r>
              <w:rPr>
                <w:rStyle w:val="IndexLink"/>
                <w:rtl w:val="true"/>
              </w:rPr>
              <w:tab/>
            </w:r>
            <w:r>
              <w:rPr>
                <w:rStyle w:val="IndexLink"/>
              </w:rPr>
              <w:t>78</w:t>
            </w:r>
          </w:hyperlink>
        </w:p>
        <w:p>
          <w:pPr>
            <w:pStyle w:val="Contents3"/>
            <w:tabs>
              <w:tab w:val="clear" w:pos="8459"/>
              <w:tab w:val="right" w:pos="9026" w:leader="dot"/>
            </w:tabs>
            <w:rPr/>
          </w:pPr>
          <w:hyperlink w:anchor="__RefHeading___Toc2491865_3650668749">
            <w:r>
              <w:rPr>
                <w:webHidden/>
                <w:rStyle w:val="IndexLink"/>
                <w:rtl w:val="true"/>
              </w:rPr>
              <w:t>مسألة</w:t>
            </w:r>
            <w:r>
              <w:rPr>
                <w:rStyle w:val="IndexLink"/>
                <w:rtl w:val="true"/>
              </w:rPr>
              <w:t xml:space="preserve">: </w:t>
            </w:r>
            <w:r>
              <w:rPr>
                <w:rStyle w:val="IndexLink"/>
                <w:rtl w:val="true"/>
              </w:rPr>
              <w:t>لا إشكال في رجوع المبتدئة بالمعنى الأعم إلى الصفات</w:t>
            </w:r>
            <w:r>
              <w:rPr>
                <w:rStyle w:val="IndexLink"/>
                <w:rtl w:val="true"/>
              </w:rPr>
              <w:tab/>
            </w:r>
            <w:r>
              <w:rPr>
                <w:rStyle w:val="IndexLink"/>
              </w:rPr>
              <w:t>80</w:t>
            </w:r>
          </w:hyperlink>
        </w:p>
        <w:p>
          <w:pPr>
            <w:pStyle w:val="Contents3"/>
            <w:tabs>
              <w:tab w:val="clear" w:pos="8459"/>
              <w:tab w:val="right" w:pos="9026" w:leader="dot"/>
            </w:tabs>
            <w:rPr/>
          </w:pPr>
          <w:hyperlink w:anchor="__RefHeading___Toc2491867_3650668749">
            <w:r>
              <w:rPr>
                <w:webHidden/>
                <w:rStyle w:val="IndexLink"/>
                <w:rtl w:val="true"/>
              </w:rPr>
              <w:t>مسألة</w:t>
            </w:r>
            <w:r>
              <w:rPr>
                <w:rStyle w:val="IndexLink"/>
                <w:rtl w:val="true"/>
              </w:rPr>
              <w:t xml:space="preserve">: </w:t>
            </w:r>
            <w:r>
              <w:rPr>
                <w:rStyle w:val="IndexLink"/>
                <w:rtl w:val="true"/>
              </w:rPr>
              <w:t>لا إشكال في أنّه مع عدم التميّز ترجع المبتدئة بالمعنى الأعم إلى عادة أهلها</w:t>
            </w:r>
            <w:r>
              <w:rPr>
                <w:rStyle w:val="IndexLink"/>
                <w:rtl w:val="true"/>
              </w:rPr>
              <w:tab/>
            </w:r>
            <w:r>
              <w:rPr>
                <w:rStyle w:val="IndexLink"/>
              </w:rPr>
              <w:t>84</w:t>
            </w:r>
          </w:hyperlink>
        </w:p>
        <w:p>
          <w:pPr>
            <w:pStyle w:val="Contents4"/>
            <w:tabs>
              <w:tab w:val="clear" w:pos="8176"/>
              <w:tab w:val="right" w:pos="9026" w:leader="dot"/>
            </w:tabs>
            <w:rPr/>
          </w:pPr>
          <w:hyperlink w:anchor="__RefHeading___Toc2491869_365066874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491871_3650668749">
            <w:r>
              <w:rPr>
                <w:webHidden/>
                <w:rStyle w:val="IndexLink"/>
                <w:rtl w:val="true"/>
              </w:rPr>
              <w:t>تتميم</w:t>
            </w:r>
            <w:r>
              <w:rPr>
                <w:rStyle w:val="IndexLink"/>
                <w:rtl w:val="true"/>
              </w:rPr>
              <w:t xml:space="preserve">: </w:t>
            </w:r>
            <w:r>
              <w:rPr>
                <w:rStyle w:val="IndexLink"/>
                <w:rtl w:val="true"/>
              </w:rPr>
              <w:t>نسب إلى المشهور اعتبار عادة الأقران إمّا في عرض عادة الأهل و إمّا في طوله</w:t>
            </w:r>
            <w:r>
              <w:rPr>
                <w:rStyle w:val="IndexLink"/>
                <w:rtl w:val="true"/>
              </w:rPr>
              <w:tab/>
            </w:r>
            <w:r>
              <w:rPr>
                <w:rStyle w:val="IndexLink"/>
              </w:rPr>
              <w:t>87</w:t>
            </w:r>
          </w:hyperlink>
        </w:p>
        <w:p>
          <w:pPr>
            <w:pStyle w:val="Contents3"/>
            <w:tabs>
              <w:tab w:val="clear" w:pos="8459"/>
              <w:tab w:val="right" w:pos="9026" w:leader="dot"/>
            </w:tabs>
            <w:rPr/>
          </w:pPr>
          <w:hyperlink w:anchor="__RefHeading___Toc2491873_3650668749">
            <w:r>
              <w:rPr>
                <w:webHidden/>
                <w:rStyle w:val="IndexLink"/>
                <w:rtl w:val="true"/>
              </w:rPr>
              <w:t>مسألة</w:t>
            </w:r>
            <w:r>
              <w:rPr>
                <w:rStyle w:val="IndexLink"/>
                <w:rtl w:val="true"/>
              </w:rPr>
              <w:t xml:space="preserve">: </w:t>
            </w:r>
            <w:r>
              <w:rPr>
                <w:rStyle w:val="IndexLink"/>
                <w:rtl w:val="true"/>
              </w:rPr>
              <w:t>لو فقد الأهل أو كنّ مختلفات أو تعذّر العلم بحالهنّ فلا إشكال في رجوع المبتدئة بالمعنى الأعم إلى العدد</w:t>
            </w:r>
            <w:r>
              <w:rPr>
                <w:rStyle w:val="IndexLink"/>
                <w:rtl w:val="true"/>
              </w:rPr>
              <w:tab/>
            </w:r>
            <w:r>
              <w:rPr>
                <w:rStyle w:val="IndexLink"/>
              </w:rPr>
              <w:t>87</w:t>
            </w:r>
          </w:hyperlink>
        </w:p>
        <w:p>
          <w:pPr>
            <w:pStyle w:val="Contents3"/>
            <w:tabs>
              <w:tab w:val="clear" w:pos="8459"/>
              <w:tab w:val="right" w:pos="9026" w:leader="dot"/>
            </w:tabs>
            <w:rPr/>
          </w:pPr>
          <w:hyperlink w:anchor="__RefHeading___Toc2491875_3650668749">
            <w:r>
              <w:rPr>
                <w:webHidden/>
                <w:rStyle w:val="IndexLink"/>
                <w:rtl w:val="true"/>
              </w:rPr>
              <w:t>مسألة</w:t>
            </w:r>
            <w:r>
              <w:rPr>
                <w:rStyle w:val="IndexLink"/>
                <w:rtl w:val="true"/>
              </w:rPr>
              <w:t xml:space="preserve">: </w:t>
            </w:r>
            <w:r>
              <w:rPr>
                <w:rStyle w:val="IndexLink"/>
                <w:rtl w:val="true"/>
              </w:rPr>
              <w:t>لا إشكال في أنّ ذات العادة العددية الوقتية عند الاستمرار ترجع إلى عادتها</w:t>
            </w:r>
            <w:r>
              <w:rPr>
                <w:rStyle w:val="IndexLink"/>
                <w:rtl w:val="true"/>
              </w:rPr>
              <w:tab/>
            </w:r>
            <w:r>
              <w:rPr>
                <w:rStyle w:val="IndexLink"/>
              </w:rPr>
              <w:t>92</w:t>
            </w:r>
          </w:hyperlink>
        </w:p>
        <w:p>
          <w:pPr>
            <w:pStyle w:val="Contents4"/>
            <w:tabs>
              <w:tab w:val="clear" w:pos="8176"/>
              <w:tab w:val="right" w:pos="9026" w:leader="dot"/>
            </w:tabs>
            <w:rPr/>
          </w:pPr>
          <w:hyperlink w:anchor="__RefHeading___Toc2491877_3650668749">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2491879_3650668749">
            <w:r>
              <w:rPr>
                <w:webHidden/>
                <w:rStyle w:val="IndexLink"/>
                <w:rtl w:val="true"/>
              </w:rPr>
              <w:t>فروع</w:t>
            </w:r>
            <w:r>
              <w:rPr>
                <w:rStyle w:val="IndexLink"/>
                <w:rtl w:val="true"/>
              </w:rPr>
              <w:t>:</w:t>
              <w:tab/>
            </w:r>
            <w:r>
              <w:rPr>
                <w:rStyle w:val="IndexLink"/>
              </w:rPr>
              <w:t>93</w:t>
            </w:r>
          </w:hyperlink>
        </w:p>
        <w:p>
          <w:pPr>
            <w:pStyle w:val="Contents5"/>
            <w:tabs>
              <w:tab w:val="clear" w:pos="7892"/>
              <w:tab w:val="right" w:pos="9026" w:leader="dot"/>
            </w:tabs>
            <w:rPr/>
          </w:pPr>
          <w:hyperlink w:anchor="__RefHeading___Toc2491881_3650668749">
            <w:r>
              <w:rPr>
                <w:webHidden/>
                <w:rStyle w:val="IndexLink"/>
                <w:rtl w:val="true"/>
              </w:rPr>
              <w:t>الأوّل</w:t>
            </w:r>
            <w:r>
              <w:rPr>
                <w:rStyle w:val="IndexLink"/>
                <w:rtl w:val="true"/>
              </w:rPr>
              <w:t xml:space="preserve">: </w:t>
            </w:r>
            <w:r>
              <w:rPr>
                <w:rStyle w:val="IndexLink"/>
                <w:rtl w:val="true"/>
              </w:rPr>
              <w:t>صاحبة العادة العددية الوقتية لو رأت عددها متقدّما على الوقت أو متأخرا عنه حكم بحيضيته</w:t>
            </w:r>
            <w:r>
              <w:rPr>
                <w:rStyle w:val="IndexLink"/>
                <w:rtl w:val="true"/>
              </w:rPr>
              <w:tab/>
            </w:r>
            <w:r>
              <w:rPr>
                <w:rStyle w:val="IndexLink"/>
              </w:rPr>
              <w:t>93</w:t>
            </w:r>
          </w:hyperlink>
        </w:p>
        <w:p>
          <w:pPr>
            <w:pStyle w:val="Contents5"/>
            <w:tabs>
              <w:tab w:val="clear" w:pos="7892"/>
              <w:tab w:val="right" w:pos="9026" w:leader="dot"/>
            </w:tabs>
            <w:rPr/>
          </w:pPr>
          <w:hyperlink w:anchor="__RefHeading___Toc2491883_3650668749">
            <w:r>
              <w:rPr>
                <w:webHidden/>
                <w:rStyle w:val="IndexLink"/>
                <w:rtl w:val="true"/>
              </w:rPr>
              <w:t>الثاني</w:t>
            </w:r>
            <w:r>
              <w:rPr>
                <w:rStyle w:val="IndexLink"/>
                <w:rtl w:val="true"/>
              </w:rPr>
              <w:t xml:space="preserve">: </w:t>
            </w:r>
            <w:r>
              <w:rPr>
                <w:rStyle w:val="IndexLink"/>
                <w:rtl w:val="true"/>
              </w:rPr>
              <w:t>صاحبة العادة العددية الوقتية لو رأت قبل الوقت و فيه</w:t>
            </w:r>
            <w:r>
              <w:rPr>
                <w:rStyle w:val="IndexLink"/>
                <w:rtl w:val="true"/>
              </w:rPr>
              <w:tab/>
            </w:r>
            <w:r>
              <w:rPr>
                <w:rStyle w:val="IndexLink"/>
              </w:rPr>
              <w:t>94</w:t>
            </w:r>
          </w:hyperlink>
        </w:p>
        <w:p>
          <w:pPr>
            <w:pStyle w:val="Contents5"/>
            <w:tabs>
              <w:tab w:val="clear" w:pos="7892"/>
              <w:tab w:val="right" w:pos="9026" w:leader="dot"/>
            </w:tabs>
            <w:rPr/>
          </w:pPr>
          <w:hyperlink w:anchor="__RefHeading___Toc2491885_3650668749">
            <w:r>
              <w:rPr>
                <w:webHidden/>
                <w:rStyle w:val="IndexLink"/>
                <w:rtl w:val="true"/>
              </w:rPr>
              <w:t>الثالث</w:t>
            </w:r>
            <w:r>
              <w:rPr>
                <w:rStyle w:val="IndexLink"/>
                <w:rtl w:val="true"/>
              </w:rPr>
              <w:t xml:space="preserve">: </w:t>
            </w:r>
            <w:r>
              <w:rPr>
                <w:rStyle w:val="IndexLink"/>
                <w:rtl w:val="true"/>
              </w:rPr>
              <w:t>صاحبة العادة العددية سواء كانت وقتية أم لا إذا كانت عادتها في كل شهر مرة</w:t>
            </w:r>
            <w:r>
              <w:rPr>
                <w:rStyle w:val="IndexLink"/>
                <w:rtl w:val="true"/>
              </w:rPr>
              <w:tab/>
            </w:r>
            <w:r>
              <w:rPr>
                <w:rStyle w:val="IndexLink"/>
              </w:rPr>
              <w:t>94</w:t>
            </w:r>
          </w:hyperlink>
        </w:p>
        <w:p>
          <w:pPr>
            <w:pStyle w:val="Contents3"/>
            <w:tabs>
              <w:tab w:val="clear" w:pos="8459"/>
              <w:tab w:val="right" w:pos="9026" w:leader="dot"/>
            </w:tabs>
            <w:rPr/>
          </w:pPr>
          <w:hyperlink w:anchor="__RefHeading___Toc2491887_3650668749">
            <w:r>
              <w:rPr>
                <w:webHidden/>
                <w:rStyle w:val="IndexLink"/>
                <w:rtl w:val="true"/>
              </w:rPr>
              <w:t xml:space="preserve">مسألة </w:t>
            </w:r>
            <w:r>
              <w:rPr>
                <w:rStyle w:val="IndexLink"/>
                <w:rtl w:val="true"/>
              </w:rPr>
              <w:t>[</w:t>
            </w:r>
            <w:r>
              <w:rPr>
                <w:rStyle w:val="IndexLink"/>
                <w:rtl w:val="true"/>
              </w:rPr>
              <w:t>في حكم الناسية الواجدة للتمييز بأقسامها</w:t>
            </w:r>
            <w:r>
              <w:rPr>
                <w:rStyle w:val="IndexLink"/>
                <w:rtl w:val="true"/>
              </w:rPr>
              <w:t>]</w:t>
              <w:tab/>
            </w:r>
            <w:r>
              <w:rPr>
                <w:rStyle w:val="IndexLink"/>
              </w:rPr>
              <w:t>95</w:t>
            </w:r>
          </w:hyperlink>
        </w:p>
        <w:p>
          <w:pPr>
            <w:pStyle w:val="Contents3"/>
            <w:tabs>
              <w:tab w:val="clear" w:pos="8459"/>
              <w:tab w:val="right" w:pos="9026" w:leader="dot"/>
            </w:tabs>
            <w:rPr/>
          </w:pPr>
          <w:hyperlink w:anchor="__RefHeading___Toc2491889_3650668749">
            <w:r>
              <w:rPr>
                <w:webHidden/>
                <w:rStyle w:val="IndexLink"/>
                <w:rtl w:val="true"/>
              </w:rPr>
              <w:t xml:space="preserve">مسألة </w:t>
            </w:r>
            <w:r>
              <w:rPr>
                <w:rStyle w:val="IndexLink"/>
                <w:rtl w:val="true"/>
              </w:rPr>
              <w:t>[</w:t>
            </w:r>
            <w:r>
              <w:rPr>
                <w:rStyle w:val="IndexLink"/>
                <w:rtl w:val="true"/>
              </w:rPr>
              <w:t>في حكم الفاقدة للتمييز بأقسامها</w:t>
            </w:r>
            <w:r>
              <w:rPr>
                <w:rStyle w:val="IndexLink"/>
                <w:rtl w:val="true"/>
              </w:rPr>
              <w:t>]</w:t>
              <w:tab/>
            </w:r>
            <w:r>
              <w:rPr>
                <w:rStyle w:val="IndexLink"/>
              </w:rPr>
              <w:t>96</w:t>
            </w:r>
          </w:hyperlink>
        </w:p>
        <w:p>
          <w:pPr>
            <w:pStyle w:val="Contents3"/>
            <w:tabs>
              <w:tab w:val="clear" w:pos="8459"/>
              <w:tab w:val="right" w:pos="9026" w:leader="dot"/>
            </w:tabs>
            <w:rPr/>
          </w:pPr>
          <w:hyperlink w:anchor="__RefHeading___Toc2491891_3650668749">
            <w:r>
              <w:rPr>
                <w:webHidden/>
                <w:rStyle w:val="IndexLink"/>
                <w:rtl w:val="true"/>
              </w:rPr>
              <w:t>مسألة</w:t>
            </w:r>
            <w:r>
              <w:rPr>
                <w:rStyle w:val="IndexLink"/>
                <w:rtl w:val="true"/>
              </w:rPr>
              <w:t xml:space="preserve">: </w:t>
            </w:r>
            <w:r>
              <w:rPr>
                <w:rStyle w:val="IndexLink"/>
                <w:rtl w:val="true"/>
              </w:rPr>
              <w:t>الناسية للعدد الذاكرة للوقت</w:t>
            </w:r>
            <w:r>
              <w:rPr>
                <w:rStyle w:val="IndexLink"/>
                <w:rtl w:val="true"/>
              </w:rPr>
              <w:tab/>
            </w:r>
            <w:r>
              <w:rPr>
                <w:rStyle w:val="IndexLink"/>
              </w:rPr>
              <w:t>100</w:t>
            </w:r>
          </w:hyperlink>
        </w:p>
        <w:p>
          <w:pPr>
            <w:pStyle w:val="Contents3"/>
            <w:tabs>
              <w:tab w:val="clear" w:pos="8459"/>
              <w:tab w:val="right" w:pos="9026" w:leader="dot"/>
            </w:tabs>
            <w:rPr/>
          </w:pPr>
          <w:hyperlink w:anchor="__RefHeading___Toc2491893_3650668749">
            <w:r>
              <w:rPr>
                <w:webHidden/>
                <w:rStyle w:val="IndexLink"/>
                <w:rtl w:val="true"/>
              </w:rPr>
              <w:t>مسألة</w:t>
            </w:r>
            <w:r>
              <w:rPr>
                <w:rStyle w:val="IndexLink"/>
                <w:rtl w:val="true"/>
              </w:rPr>
              <w:t xml:space="preserve">: </w:t>
            </w:r>
            <w:r>
              <w:rPr>
                <w:rStyle w:val="IndexLink"/>
                <w:rtl w:val="true"/>
              </w:rPr>
              <w:t>لا إشكال في انقسام المستحاضة إلى ثلاثة</w:t>
            </w:r>
            <w:r>
              <w:rPr>
                <w:rStyle w:val="IndexLink"/>
                <w:rtl w:val="true"/>
              </w:rPr>
              <w:t xml:space="preserve">: </w:t>
            </w:r>
            <w:r>
              <w:rPr>
                <w:rStyle w:val="IndexLink"/>
                <w:rtl w:val="true"/>
              </w:rPr>
              <w:t>قليلة و كثيرة و متوسطة</w:t>
            </w:r>
            <w:r>
              <w:rPr>
                <w:rStyle w:val="IndexLink"/>
                <w:rtl w:val="true"/>
              </w:rPr>
              <w:tab/>
            </w:r>
            <w:r>
              <w:rPr>
                <w:rStyle w:val="IndexLink"/>
              </w:rPr>
              <w:t>102</w:t>
            </w:r>
          </w:hyperlink>
        </w:p>
        <w:p>
          <w:pPr>
            <w:pStyle w:val="Contents3"/>
            <w:tabs>
              <w:tab w:val="clear" w:pos="8459"/>
              <w:tab w:val="right" w:pos="9026" w:leader="dot"/>
            </w:tabs>
            <w:rPr/>
          </w:pPr>
          <w:hyperlink w:anchor="__RefHeading___Toc2491895_3650668749">
            <w:r>
              <w:rPr>
                <w:webHidden/>
                <w:rStyle w:val="IndexLink"/>
                <w:rtl w:val="true"/>
              </w:rPr>
              <w:t xml:space="preserve">مسألة </w:t>
            </w:r>
            <w:r>
              <w:rPr>
                <w:rStyle w:val="IndexLink"/>
                <w:rtl w:val="true"/>
              </w:rPr>
              <w:t>[</w:t>
            </w:r>
            <w:r>
              <w:rPr>
                <w:rStyle w:val="IndexLink"/>
                <w:rtl w:val="true"/>
              </w:rPr>
              <w:t>لا وجه لاختصاص موجبية الاستحاضة المتوسطة للحدث الأكبر بخصوص صلاة و كونها بالنسبة إلى سائر الصلوات من موجبات الحدث الأصغر</w:t>
            </w:r>
            <w:r>
              <w:rPr>
                <w:rStyle w:val="IndexLink"/>
                <w:rtl w:val="true"/>
              </w:rPr>
              <w:t>]</w:t>
              <w:tab/>
            </w:r>
            <w:r>
              <w:rPr>
                <w:rStyle w:val="IndexLink"/>
              </w:rPr>
              <w:t>112</w:t>
            </w:r>
          </w:hyperlink>
        </w:p>
        <w:p>
          <w:pPr>
            <w:pStyle w:val="Contents3"/>
            <w:tabs>
              <w:tab w:val="clear" w:pos="8459"/>
              <w:tab w:val="right" w:pos="9026" w:leader="dot"/>
            </w:tabs>
            <w:rPr/>
          </w:pPr>
          <w:hyperlink w:anchor="__RefHeading___Toc2491897_3650668749">
            <w:r>
              <w:rPr>
                <w:webHidden/>
                <w:rStyle w:val="IndexLink"/>
                <w:rtl w:val="true"/>
              </w:rPr>
              <w:t>مسألة</w:t>
            </w:r>
            <w:r>
              <w:rPr>
                <w:rStyle w:val="IndexLink"/>
                <w:rtl w:val="true"/>
              </w:rPr>
              <w:t xml:space="preserve">: </w:t>
            </w:r>
            <w:r>
              <w:rPr>
                <w:rStyle w:val="IndexLink"/>
                <w:rtl w:val="true"/>
              </w:rPr>
              <w:t>لا إشكال في أنّه يجب في قسم الكثيرة علاوة على تغيير القطنة و الخرقة و الوضوء لكل صلاة و الغسل لصلاة الغداة غسلان آخران</w:t>
            </w:r>
            <w:r>
              <w:rPr>
                <w:rStyle w:val="IndexLink"/>
                <w:rtl w:val="true"/>
              </w:rPr>
              <w:tab/>
            </w:r>
            <w:r>
              <w:rPr>
                <w:rStyle w:val="IndexLink"/>
              </w:rPr>
              <w:t>113</w:t>
            </w:r>
          </w:hyperlink>
        </w:p>
        <w:p>
          <w:pPr>
            <w:pStyle w:val="Contents3"/>
            <w:tabs>
              <w:tab w:val="clear" w:pos="8459"/>
              <w:tab w:val="right" w:pos="9026" w:leader="dot"/>
            </w:tabs>
            <w:rPr/>
          </w:pPr>
          <w:hyperlink w:anchor="__RefHeading___Toc2491899_3650668749">
            <w:r>
              <w:rPr>
                <w:webHidden/>
                <w:rStyle w:val="IndexLink"/>
                <w:rtl w:val="true"/>
              </w:rPr>
              <w:t xml:space="preserve">مسألة </w:t>
            </w:r>
            <w:r>
              <w:rPr>
                <w:rStyle w:val="IndexLink"/>
                <w:rtl w:val="true"/>
              </w:rPr>
              <w:t>[</w:t>
            </w:r>
            <w:r>
              <w:rPr>
                <w:rStyle w:val="IndexLink"/>
                <w:rtl w:val="true"/>
              </w:rPr>
              <w:t>في وجوب الوضوء لكل صلاة في الاستحاضة المتوسطة و الكثيرة</w:t>
            </w:r>
            <w:r>
              <w:rPr>
                <w:rStyle w:val="IndexLink"/>
                <w:rtl w:val="true"/>
              </w:rPr>
              <w:t>]</w:t>
              <w:tab/>
            </w:r>
            <w:r>
              <w:rPr>
                <w:rStyle w:val="IndexLink"/>
              </w:rPr>
              <w:t>115</w:t>
            </w:r>
          </w:hyperlink>
        </w:p>
        <w:p>
          <w:pPr>
            <w:pStyle w:val="Contents3"/>
            <w:tabs>
              <w:tab w:val="clear" w:pos="8459"/>
              <w:tab w:val="right" w:pos="9026" w:leader="dot"/>
            </w:tabs>
            <w:rPr/>
          </w:pPr>
          <w:hyperlink w:anchor="__RefHeading___Toc2491901_3650668749">
            <w:r>
              <w:rPr>
                <w:webHidden/>
                <w:rStyle w:val="IndexLink"/>
                <w:rtl w:val="true"/>
              </w:rPr>
              <w:t>مسألة</w:t>
            </w:r>
            <w:r>
              <w:rPr>
                <w:rStyle w:val="IndexLink"/>
                <w:rtl w:val="true"/>
              </w:rPr>
              <w:t xml:space="preserve">: </w:t>
            </w:r>
            <w:r>
              <w:rPr>
                <w:rStyle w:val="IndexLink"/>
                <w:rtl w:val="true"/>
              </w:rPr>
              <w:t>هل يجوز للمستحاضة البدار مع رجاء زوال العذر في آخر الوقت أم يجب الانتظار؟</w:t>
            </w:r>
            <w:r>
              <w:rPr>
                <w:rStyle w:val="IndexLink"/>
                <w:rtl w:val="true"/>
              </w:rPr>
              <w:tab/>
            </w:r>
            <w:r>
              <w:rPr>
                <w:rStyle w:val="IndexLink"/>
              </w:rPr>
              <w:t>120</w:t>
            </w:r>
          </w:hyperlink>
        </w:p>
        <w:p>
          <w:pPr>
            <w:pStyle w:val="Contents3"/>
            <w:tabs>
              <w:tab w:val="clear" w:pos="8459"/>
              <w:tab w:val="right" w:pos="9026" w:leader="dot"/>
            </w:tabs>
            <w:rPr/>
          </w:pPr>
          <w:hyperlink w:anchor="__RefHeading___Toc2491903_3650668749">
            <w:r>
              <w:rPr>
                <w:webHidden/>
                <w:rStyle w:val="IndexLink"/>
                <w:rtl w:val="true"/>
              </w:rPr>
              <w:t>مسألة</w:t>
            </w:r>
            <w:r>
              <w:rPr>
                <w:rStyle w:val="IndexLink"/>
                <w:rtl w:val="true"/>
              </w:rPr>
              <w:t xml:space="preserve">: </w:t>
            </w:r>
            <w:r>
              <w:rPr>
                <w:rStyle w:val="IndexLink"/>
                <w:rtl w:val="true"/>
              </w:rPr>
              <w:t>هل يجب عليها المبادرة إلى الصلاة بعد الوضوء و الغسل أو يجوز لها التأخير؟</w:t>
            </w:r>
            <w:r>
              <w:rPr>
                <w:rStyle w:val="IndexLink"/>
                <w:rtl w:val="true"/>
              </w:rPr>
              <w:tab/>
            </w:r>
            <w:r>
              <w:rPr>
                <w:rStyle w:val="IndexLink"/>
              </w:rPr>
              <w:t>122</w:t>
            </w:r>
          </w:hyperlink>
        </w:p>
        <w:p>
          <w:pPr>
            <w:pStyle w:val="Contents3"/>
            <w:tabs>
              <w:tab w:val="clear" w:pos="8459"/>
              <w:tab w:val="right" w:pos="9026" w:leader="dot"/>
            </w:tabs>
            <w:rPr/>
          </w:pPr>
          <w:hyperlink w:anchor="__RefHeading___Toc2491905_3650668749">
            <w:r>
              <w:rPr>
                <w:webHidden/>
                <w:rStyle w:val="IndexLink"/>
                <w:rtl w:val="true"/>
              </w:rPr>
              <w:t>مسألة</w:t>
            </w:r>
            <w:r>
              <w:rPr>
                <w:rStyle w:val="IndexLink"/>
                <w:rtl w:val="true"/>
              </w:rPr>
              <w:t xml:space="preserve">: </w:t>
            </w:r>
            <w:r>
              <w:rPr>
                <w:rStyle w:val="IndexLink"/>
                <w:rtl w:val="true"/>
              </w:rPr>
              <w:t>و هل يجب عليها استخبار الحال؟ و أنّها داخلة في أيّ من الأقسام؟</w:t>
            </w:r>
            <w:r>
              <w:rPr>
                <w:rStyle w:val="IndexLink"/>
                <w:rtl w:val="true"/>
              </w:rPr>
              <w:tab/>
            </w:r>
            <w:r>
              <w:rPr>
                <w:rStyle w:val="IndexLink"/>
              </w:rPr>
              <w:t>122</w:t>
            </w:r>
          </w:hyperlink>
        </w:p>
        <w:p>
          <w:pPr>
            <w:pStyle w:val="Contents3"/>
            <w:tabs>
              <w:tab w:val="clear" w:pos="8459"/>
              <w:tab w:val="right" w:pos="9026" w:leader="dot"/>
            </w:tabs>
            <w:rPr/>
          </w:pPr>
          <w:hyperlink w:anchor="__RefHeading___Toc2491907_3650668749">
            <w:r>
              <w:rPr>
                <w:webHidden/>
                <w:rStyle w:val="IndexLink"/>
                <w:rtl w:val="true"/>
              </w:rPr>
              <w:t>مسألة</w:t>
            </w:r>
            <w:r>
              <w:rPr>
                <w:rStyle w:val="IndexLink"/>
                <w:rtl w:val="true"/>
              </w:rPr>
              <w:t xml:space="preserve">: </w:t>
            </w:r>
            <w:r>
              <w:rPr>
                <w:rStyle w:val="IndexLink"/>
                <w:rtl w:val="true"/>
              </w:rPr>
              <w:t>و هل يجب عليها الاستظهار و التحفّظ من خروج الدم</w:t>
            </w:r>
            <w:r>
              <w:rPr>
                <w:rStyle w:val="IndexLink"/>
                <w:rtl w:val="true"/>
              </w:rPr>
              <w:tab/>
            </w:r>
            <w:r>
              <w:rPr>
                <w:rStyle w:val="IndexLink"/>
              </w:rPr>
              <w:t>123</w:t>
            </w:r>
          </w:hyperlink>
        </w:p>
        <w:p>
          <w:pPr>
            <w:pStyle w:val="Contents3"/>
            <w:tabs>
              <w:tab w:val="clear" w:pos="8459"/>
              <w:tab w:val="right" w:pos="9026" w:leader="dot"/>
            </w:tabs>
            <w:rPr/>
          </w:pPr>
          <w:hyperlink w:anchor="__RefHeading___Toc2491909_3650668749">
            <w:r>
              <w:rPr>
                <w:webHidden/>
                <w:rStyle w:val="IndexLink"/>
                <w:rtl w:val="true"/>
              </w:rPr>
              <w:t xml:space="preserve">مسألة </w:t>
            </w:r>
            <w:r>
              <w:rPr>
                <w:rStyle w:val="IndexLink"/>
                <w:rtl w:val="true"/>
              </w:rPr>
              <w:t>[</w:t>
            </w:r>
            <w:r>
              <w:rPr>
                <w:rStyle w:val="IndexLink"/>
                <w:rtl w:val="true"/>
              </w:rPr>
              <w:t>حال الاستحاضة بالنسبة إلى سائر العبادات</w:t>
            </w:r>
            <w:r>
              <w:rPr>
                <w:rStyle w:val="IndexLink"/>
                <w:rtl w:val="true"/>
              </w:rPr>
              <w:t>]</w:t>
              <w:tab/>
            </w:r>
            <w:r>
              <w:rPr>
                <w:rStyle w:val="IndexLink"/>
              </w:rPr>
              <w:t>123</w:t>
            </w:r>
          </w:hyperlink>
        </w:p>
        <w:p>
          <w:pPr>
            <w:pStyle w:val="Contents3"/>
            <w:tabs>
              <w:tab w:val="clear" w:pos="8459"/>
              <w:tab w:val="right" w:pos="9026" w:leader="dot"/>
            </w:tabs>
            <w:rPr/>
          </w:pPr>
          <w:hyperlink w:anchor="__RefHeading___Toc2491911_3650668749">
            <w:r>
              <w:rPr>
                <w:webHidden/>
                <w:rStyle w:val="IndexLink"/>
                <w:rtl w:val="true"/>
              </w:rPr>
              <w:t>مسألة</w:t>
            </w:r>
            <w:r>
              <w:rPr>
                <w:rStyle w:val="IndexLink"/>
                <w:rtl w:val="true"/>
              </w:rPr>
              <w:t xml:space="preserve">: </w:t>
            </w:r>
            <w:r>
              <w:rPr>
                <w:rStyle w:val="IndexLink"/>
                <w:rtl w:val="true"/>
              </w:rPr>
              <w:t>هل يجوز للمستحاضة مع كونها محدثة بالأكبر دخول المسجدين و لبث سائر المساجد و قراءة العزائم؟</w:t>
            </w:r>
            <w:r>
              <w:rPr>
                <w:rStyle w:val="IndexLink"/>
                <w:rtl w:val="true"/>
              </w:rPr>
              <w:tab/>
            </w:r>
            <w:r>
              <w:rPr>
                <w:rStyle w:val="IndexLink"/>
              </w:rPr>
              <w:t>126</w:t>
            </w:r>
          </w:hyperlink>
        </w:p>
        <w:p>
          <w:pPr>
            <w:pStyle w:val="Contents3"/>
            <w:tabs>
              <w:tab w:val="clear" w:pos="8459"/>
              <w:tab w:val="right" w:pos="9026" w:leader="dot"/>
            </w:tabs>
            <w:rPr/>
          </w:pPr>
          <w:hyperlink w:anchor="__RefHeading___Toc2491913_3650668749">
            <w:r>
              <w:rPr>
                <w:webHidden/>
                <w:rStyle w:val="IndexLink"/>
                <w:rtl w:val="true"/>
              </w:rPr>
              <w:t xml:space="preserve">مسألة </w:t>
            </w:r>
            <w:r>
              <w:rPr>
                <w:rStyle w:val="IndexLink"/>
                <w:rtl w:val="true"/>
              </w:rPr>
              <w:t>[</w:t>
            </w:r>
            <w:r>
              <w:rPr>
                <w:rStyle w:val="IndexLink"/>
                <w:rtl w:val="true"/>
              </w:rPr>
              <w:t>هل يتوقف صحة صوم المستحاضة في الكثيرة على الأغسال كما في الصلاة؟</w:t>
            </w:r>
            <w:r>
              <w:rPr>
                <w:rStyle w:val="IndexLink"/>
                <w:rtl w:val="true"/>
              </w:rPr>
              <w:t>]</w:t>
              <w:tab/>
            </w:r>
            <w:r>
              <w:rPr>
                <w:rStyle w:val="IndexLink"/>
              </w:rPr>
              <w:t>128</w:t>
            </w:r>
          </w:hyperlink>
        </w:p>
        <w:p>
          <w:pPr>
            <w:pStyle w:val="Contents2"/>
            <w:tabs>
              <w:tab w:val="clear" w:pos="8743"/>
              <w:tab w:val="right" w:pos="9026" w:leader="dot"/>
            </w:tabs>
            <w:rPr/>
          </w:pPr>
          <w:hyperlink w:anchor="__RefHeading___Toc2491915_3650668749">
            <w:r>
              <w:rPr>
                <w:webHidden/>
                <w:rStyle w:val="IndexLink"/>
                <w:rtl w:val="true"/>
              </w:rPr>
              <w:t>المبحث الثالث</w:t>
            </w:r>
            <w:r>
              <w:rPr>
                <w:rStyle w:val="IndexLink"/>
                <w:rtl w:val="true"/>
              </w:rPr>
              <w:t xml:space="preserve">: </w:t>
            </w:r>
            <w:r>
              <w:rPr>
                <w:rStyle w:val="IndexLink"/>
                <w:rtl w:val="true"/>
              </w:rPr>
              <w:t>في النفاس</w:t>
            </w:r>
            <w:r>
              <w:rPr>
                <w:rStyle w:val="IndexLink"/>
                <w:rtl w:val="true"/>
              </w:rPr>
              <w:tab/>
            </w:r>
            <w:r>
              <w:rPr>
                <w:rStyle w:val="IndexLink"/>
              </w:rPr>
              <w:t>131</w:t>
            </w:r>
          </w:hyperlink>
        </w:p>
        <w:p>
          <w:pPr>
            <w:pStyle w:val="Contents3"/>
            <w:tabs>
              <w:tab w:val="clear" w:pos="8459"/>
              <w:tab w:val="right" w:pos="9026" w:leader="dot"/>
            </w:tabs>
            <w:rPr/>
          </w:pPr>
          <w:hyperlink w:anchor="__RefHeading___Toc2491917_3650668749">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2491919_3650668749">
            <w:r>
              <w:rPr>
                <w:webHidden/>
                <w:rStyle w:val="IndexLink"/>
                <w:rtl w:val="true"/>
              </w:rPr>
              <w:t xml:space="preserve">مسألة </w:t>
            </w:r>
            <w:r>
              <w:rPr>
                <w:rStyle w:val="IndexLink"/>
                <w:rtl w:val="true"/>
              </w:rPr>
              <w:t>[</w:t>
            </w:r>
            <w:r>
              <w:rPr>
                <w:rStyle w:val="IndexLink"/>
                <w:rtl w:val="true"/>
              </w:rPr>
              <w:t>النفاس لغة و شرعا</w:t>
            </w:r>
            <w:r>
              <w:rPr>
                <w:rStyle w:val="IndexLink"/>
                <w:rtl w:val="true"/>
              </w:rPr>
              <w:t>]</w:t>
              <w:tab/>
            </w:r>
            <w:r>
              <w:rPr>
                <w:rStyle w:val="IndexLink"/>
              </w:rPr>
              <w:t>131</w:t>
            </w:r>
          </w:hyperlink>
        </w:p>
        <w:p>
          <w:pPr>
            <w:pStyle w:val="Contents3"/>
            <w:tabs>
              <w:tab w:val="clear" w:pos="8459"/>
              <w:tab w:val="right" w:pos="9026" w:leader="dot"/>
            </w:tabs>
            <w:rPr/>
          </w:pPr>
          <w:hyperlink w:anchor="__RefHeading___Toc2491921_3650668749">
            <w:r>
              <w:rPr>
                <w:webHidden/>
                <w:rStyle w:val="IndexLink"/>
                <w:rtl w:val="true"/>
              </w:rPr>
              <w:t>مسألة</w:t>
            </w:r>
            <w:r>
              <w:rPr>
                <w:rStyle w:val="IndexLink"/>
                <w:rtl w:val="true"/>
              </w:rPr>
              <w:t xml:space="preserve">: </w:t>
            </w:r>
            <w:r>
              <w:rPr>
                <w:rStyle w:val="IndexLink"/>
                <w:rtl w:val="true"/>
              </w:rPr>
              <w:t>لا إشكال في نفاسية الدم إذا كان بعد الولادة و قبل أقصى النفاس</w:t>
            </w:r>
            <w:r>
              <w:rPr>
                <w:rStyle w:val="IndexLink"/>
                <w:rtl w:val="true"/>
              </w:rPr>
              <w:tab/>
            </w:r>
            <w:r>
              <w:rPr>
                <w:rStyle w:val="IndexLink"/>
              </w:rPr>
              <w:t>132</w:t>
            </w:r>
          </w:hyperlink>
        </w:p>
        <w:p>
          <w:pPr>
            <w:pStyle w:val="Contents3"/>
            <w:tabs>
              <w:tab w:val="clear" w:pos="8459"/>
              <w:tab w:val="right" w:pos="9026" w:leader="dot"/>
            </w:tabs>
            <w:rPr/>
          </w:pPr>
          <w:hyperlink w:anchor="__RefHeading___Toc2491923_3650668749">
            <w:r>
              <w:rPr>
                <w:webHidden/>
                <w:rStyle w:val="IndexLink"/>
                <w:rtl w:val="true"/>
              </w:rPr>
              <w:t>مسألة</w:t>
            </w:r>
            <w:r>
              <w:rPr>
                <w:rStyle w:val="IndexLink"/>
                <w:rtl w:val="true"/>
              </w:rPr>
              <w:t xml:space="preserve">: </w:t>
            </w:r>
            <w:r>
              <w:rPr>
                <w:rStyle w:val="IndexLink"/>
                <w:rtl w:val="true"/>
              </w:rPr>
              <w:t>اختلفت الأقوال في تحديد أكثر النفاس</w:t>
            </w:r>
            <w:r>
              <w:rPr>
                <w:rStyle w:val="IndexLink"/>
                <w:rtl w:val="true"/>
              </w:rPr>
              <w:tab/>
            </w:r>
            <w:r>
              <w:rPr>
                <w:rStyle w:val="IndexLink"/>
              </w:rPr>
              <w:t>136</w:t>
            </w:r>
          </w:hyperlink>
        </w:p>
        <w:p>
          <w:pPr>
            <w:pStyle w:val="Contents3"/>
            <w:tabs>
              <w:tab w:val="clear" w:pos="8459"/>
              <w:tab w:val="right" w:pos="9026" w:leader="dot"/>
            </w:tabs>
            <w:rPr/>
          </w:pPr>
          <w:hyperlink w:anchor="__RefHeading___Toc2491925_3650668749">
            <w:r>
              <w:rPr>
                <w:webHidden/>
                <w:rStyle w:val="IndexLink"/>
                <w:rtl w:val="true"/>
              </w:rPr>
              <w:t xml:space="preserve">مسألة </w:t>
            </w:r>
            <w:r>
              <w:rPr>
                <w:rStyle w:val="IndexLink"/>
                <w:rtl w:val="true"/>
              </w:rPr>
              <w:t>[</w:t>
            </w:r>
            <w:r>
              <w:rPr>
                <w:rStyle w:val="IndexLink"/>
                <w:rtl w:val="true"/>
              </w:rPr>
              <w:t>يجب على النفساء الاستظهار</w:t>
            </w:r>
            <w:r>
              <w:rPr>
                <w:rStyle w:val="IndexLink"/>
                <w:rtl w:val="true"/>
              </w:rPr>
              <w:t xml:space="preserve">] </w:t>
            </w:r>
            <w:r>
              <w:rPr>
                <w:rStyle w:val="IndexLink"/>
                <w:rtl w:val="true"/>
              </w:rPr>
              <w:t>كما يجب على الحائض</w:t>
            </w:r>
            <w:r>
              <w:rPr>
                <w:rStyle w:val="IndexLink"/>
                <w:rtl w:val="true"/>
              </w:rPr>
              <w:tab/>
            </w:r>
            <w:r>
              <w:rPr>
                <w:rStyle w:val="IndexLink"/>
              </w:rPr>
              <w:t>142</w:t>
            </w:r>
          </w:hyperlink>
        </w:p>
        <w:p>
          <w:pPr>
            <w:pStyle w:val="Contents3"/>
            <w:tabs>
              <w:tab w:val="clear" w:pos="8459"/>
              <w:tab w:val="right" w:pos="9026" w:leader="dot"/>
            </w:tabs>
            <w:rPr/>
          </w:pPr>
          <w:hyperlink w:anchor="__RefHeading___Toc2491927_3650668749">
            <w:r>
              <w:rPr>
                <w:webHidden/>
                <w:rStyle w:val="IndexLink"/>
                <w:rtl w:val="true"/>
              </w:rPr>
              <w:t xml:space="preserve">مسألة </w:t>
            </w:r>
            <w:r>
              <w:rPr>
                <w:rStyle w:val="IndexLink"/>
                <w:rtl w:val="true"/>
              </w:rPr>
              <w:t>[</w:t>
            </w:r>
            <w:r>
              <w:rPr>
                <w:rStyle w:val="IndexLink"/>
                <w:rtl w:val="true"/>
              </w:rPr>
              <w:t>في نفاس المرأة الحامل بتوأمين</w:t>
            </w:r>
            <w:r>
              <w:rPr>
                <w:rStyle w:val="IndexLink"/>
                <w:rtl w:val="true"/>
              </w:rPr>
              <w:t>]</w:t>
              <w:tab/>
            </w:r>
            <w:r>
              <w:rPr>
                <w:rStyle w:val="IndexLink"/>
              </w:rPr>
              <w:t>143</w:t>
            </w:r>
          </w:hyperlink>
        </w:p>
        <w:p>
          <w:pPr>
            <w:pStyle w:val="Contents3"/>
            <w:tabs>
              <w:tab w:val="clear" w:pos="8459"/>
              <w:tab w:val="right" w:pos="9026" w:leader="dot"/>
            </w:tabs>
            <w:rPr/>
          </w:pPr>
          <w:hyperlink w:anchor="__RefHeading___Toc2491929_3650668749">
            <w:r>
              <w:rPr>
                <w:webHidden/>
                <w:rStyle w:val="IndexLink"/>
                <w:rtl w:val="true"/>
              </w:rPr>
              <w:t xml:space="preserve">مسألة </w:t>
            </w:r>
            <w:r>
              <w:rPr>
                <w:rStyle w:val="IndexLink"/>
                <w:rtl w:val="true"/>
              </w:rPr>
              <w:t>[</w:t>
            </w:r>
            <w:r>
              <w:rPr>
                <w:rStyle w:val="IndexLink"/>
                <w:rtl w:val="true"/>
              </w:rPr>
              <w:t>في مبدأ العشرة التي هي أكثر النفاس</w:t>
            </w:r>
            <w:r>
              <w:rPr>
                <w:rStyle w:val="IndexLink"/>
                <w:rtl w:val="true"/>
              </w:rPr>
              <w:t>]</w:t>
              <w:tab/>
            </w:r>
            <w:r>
              <w:rPr>
                <w:rStyle w:val="IndexLink"/>
              </w:rPr>
              <w:t>145</w:t>
            </w:r>
          </w:hyperlink>
        </w:p>
        <w:p>
          <w:pPr>
            <w:pStyle w:val="Contents3"/>
            <w:tabs>
              <w:tab w:val="clear" w:pos="8459"/>
              <w:tab w:val="right" w:pos="9026" w:leader="dot"/>
            </w:tabs>
            <w:rPr/>
          </w:pPr>
          <w:hyperlink w:anchor="__RefHeading___Toc2491931_3650668749">
            <w:r>
              <w:rPr>
                <w:webHidden/>
                <w:rStyle w:val="IndexLink"/>
                <w:rtl w:val="true"/>
              </w:rPr>
              <w:t>مسألة</w:t>
            </w:r>
            <w:r>
              <w:rPr>
                <w:rStyle w:val="IndexLink"/>
                <w:rtl w:val="true"/>
              </w:rPr>
              <w:t xml:space="preserve">: </w:t>
            </w:r>
            <w:r>
              <w:rPr>
                <w:rStyle w:val="IndexLink"/>
                <w:rtl w:val="true"/>
              </w:rPr>
              <w:t>لو لم تر بعد الولادة إلّا اليوم العاشر فلا إشكال في نفاسيته مع الانقطاع</w:t>
            </w:r>
            <w:r>
              <w:rPr>
                <w:rStyle w:val="IndexLink"/>
                <w:rtl w:val="true"/>
              </w:rPr>
              <w:tab/>
            </w:r>
            <w:r>
              <w:rPr>
                <w:rStyle w:val="IndexLink"/>
              </w:rPr>
              <w:t>145</w:t>
            </w:r>
          </w:hyperlink>
        </w:p>
        <w:p>
          <w:pPr>
            <w:pStyle w:val="Contents2"/>
            <w:tabs>
              <w:tab w:val="clear" w:pos="8743"/>
              <w:tab w:val="right" w:pos="9026" w:leader="dot"/>
            </w:tabs>
            <w:rPr/>
          </w:pPr>
          <w:hyperlink w:anchor="__RefHeading___Toc2491933_3650668749">
            <w:r>
              <w:rPr>
                <w:webHidden/>
                <w:rStyle w:val="IndexLink"/>
                <w:rtl w:val="true"/>
              </w:rPr>
              <w:t>المبحث الرابع</w:t>
            </w:r>
            <w:r>
              <w:rPr>
                <w:rStyle w:val="IndexLink"/>
                <w:rtl w:val="true"/>
              </w:rPr>
              <w:t xml:space="preserve">: </w:t>
            </w:r>
            <w:r>
              <w:rPr>
                <w:rStyle w:val="IndexLink"/>
                <w:rtl w:val="true"/>
              </w:rPr>
              <w:t xml:space="preserve">في أحكام الأموات و بعض ما يتعلّق بما قبل الموت </w:t>
            </w:r>
            <w:r>
              <w:rPr>
                <w:rStyle w:val="IndexLink"/>
                <w:rtl w:val="true"/>
              </w:rPr>
              <w:t>«</w:t>
            </w:r>
            <w:r>
              <w:rPr>
                <w:rStyle w:val="IndexLink"/>
              </w:rPr>
              <w:t>1</w:t>
            </w:r>
            <w:r>
              <w:rPr>
                <w:rStyle w:val="IndexLink"/>
                <w:rtl w:val="true"/>
              </w:rPr>
              <w:t>»</w:t>
              <w:tab/>
            </w:r>
            <w:r>
              <w:rPr>
                <w:rStyle w:val="IndexLink"/>
              </w:rPr>
              <w:t>148</w:t>
            </w:r>
          </w:hyperlink>
        </w:p>
        <w:p>
          <w:pPr>
            <w:pStyle w:val="Contents3"/>
            <w:tabs>
              <w:tab w:val="clear" w:pos="8459"/>
              <w:tab w:val="right" w:pos="9026" w:leader="dot"/>
            </w:tabs>
            <w:rPr/>
          </w:pPr>
          <w:hyperlink w:anchor="__RefHeading___Toc2491935_3650668749">
            <w:r>
              <w:rPr>
                <w:webHidden/>
                <w:rStyle w:val="IndexLink"/>
                <w:rtl w:val="true"/>
              </w:rPr>
              <w:t>[</w:t>
            </w:r>
            <w:r>
              <w:rPr>
                <w:rStyle w:val="IndexLink"/>
                <w:rtl w:val="true"/>
              </w:rPr>
              <w:t>الأول في أحكام الاحتضار</w:t>
            </w:r>
            <w:r>
              <w:rPr>
                <w:rStyle w:val="IndexLink"/>
                <w:rtl w:val="true"/>
              </w:rPr>
              <w:t>]</w:t>
              <w:tab/>
            </w:r>
            <w:r>
              <w:rPr>
                <w:rStyle w:val="IndexLink"/>
              </w:rPr>
              <w:t>148</w:t>
            </w:r>
          </w:hyperlink>
        </w:p>
        <w:p>
          <w:pPr>
            <w:pStyle w:val="Contents4"/>
            <w:tabs>
              <w:tab w:val="clear" w:pos="8176"/>
              <w:tab w:val="right" w:pos="9026" w:leader="dot"/>
            </w:tabs>
            <w:rPr/>
          </w:pPr>
          <w:hyperlink w:anchor="__RefHeading___Toc2491937_3650668749">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2491939_3650668749">
            <w:r>
              <w:rPr>
                <w:webHidden/>
                <w:rStyle w:val="IndexLink"/>
                <w:rtl w:val="true"/>
              </w:rPr>
              <w:t>مسألة</w:t>
            </w:r>
            <w:r>
              <w:rPr>
                <w:rStyle w:val="IndexLink"/>
                <w:rtl w:val="true"/>
              </w:rPr>
              <w:t xml:space="preserve">: </w:t>
            </w:r>
            <w:r>
              <w:rPr>
                <w:rStyle w:val="IndexLink"/>
                <w:rtl w:val="true"/>
              </w:rPr>
              <w:t>يجب عند ظهور أمارات الموت أداء ما في الذمة من الحقوق الواجبة</w:t>
            </w:r>
            <w:r>
              <w:rPr>
                <w:rStyle w:val="IndexLink"/>
                <w:rtl w:val="true"/>
              </w:rPr>
              <w:tab/>
            </w:r>
            <w:r>
              <w:rPr>
                <w:rStyle w:val="IndexLink"/>
              </w:rPr>
              <w:t>148</w:t>
            </w:r>
          </w:hyperlink>
        </w:p>
        <w:p>
          <w:pPr>
            <w:pStyle w:val="Contents4"/>
            <w:tabs>
              <w:tab w:val="clear" w:pos="8176"/>
              <w:tab w:val="right" w:pos="9026" w:leader="dot"/>
            </w:tabs>
            <w:rPr/>
          </w:pPr>
          <w:hyperlink w:anchor="__RefHeading___Toc2491941_3650668749">
            <w:r>
              <w:rPr>
                <w:webHidden/>
                <w:rStyle w:val="IndexLink"/>
                <w:rtl w:val="true"/>
              </w:rPr>
              <w:t>مسألة</w:t>
            </w:r>
            <w:r>
              <w:rPr>
                <w:rStyle w:val="IndexLink"/>
                <w:rtl w:val="true"/>
              </w:rPr>
              <w:t xml:space="preserve">: </w:t>
            </w:r>
            <w:r>
              <w:rPr>
                <w:rStyle w:val="IndexLink"/>
                <w:rtl w:val="true"/>
              </w:rPr>
              <w:t>المشهور كما قيل</w:t>
            </w:r>
            <w:r>
              <w:rPr>
                <w:rStyle w:val="IndexLink"/>
                <w:rtl w:val="true"/>
              </w:rPr>
              <w:t xml:space="preserve">: </w:t>
            </w:r>
            <w:r>
              <w:rPr>
                <w:rStyle w:val="IndexLink"/>
                <w:rtl w:val="true"/>
              </w:rPr>
              <w:t>إنّه يجب توجيه المحتضر نحو القبلة و قيل</w:t>
            </w:r>
            <w:r>
              <w:rPr>
                <w:rStyle w:val="IndexLink"/>
                <w:rtl w:val="true"/>
              </w:rPr>
              <w:t xml:space="preserve">: </w:t>
            </w:r>
            <w:r>
              <w:rPr>
                <w:rStyle w:val="IndexLink"/>
                <w:rtl w:val="true"/>
              </w:rPr>
              <w:t>بل المشهور أنّه يستحب</w:t>
            </w:r>
            <w:r>
              <w:rPr>
                <w:rStyle w:val="IndexLink"/>
                <w:rtl w:val="true"/>
              </w:rPr>
              <w:t>.</w:t>
              <w:tab/>
            </w:r>
            <w:r>
              <w:rPr>
                <w:rStyle w:val="IndexLink"/>
              </w:rPr>
              <w:t>149</w:t>
            </w:r>
          </w:hyperlink>
        </w:p>
        <w:p>
          <w:pPr>
            <w:pStyle w:val="Contents4"/>
            <w:tabs>
              <w:tab w:val="clear" w:pos="8176"/>
              <w:tab w:val="right" w:pos="9026" w:leader="dot"/>
            </w:tabs>
            <w:rPr/>
          </w:pPr>
          <w:hyperlink w:anchor="__RefHeading___Toc2491943_3650668749">
            <w:r>
              <w:rPr>
                <w:webHidden/>
                <w:rStyle w:val="IndexLink"/>
                <w:rtl w:val="true"/>
              </w:rPr>
              <w:t>مسألة</w:t>
            </w:r>
            <w:r>
              <w:rPr>
                <w:rStyle w:val="IndexLink"/>
                <w:rtl w:val="true"/>
              </w:rPr>
              <w:t xml:space="preserve">: </w:t>
            </w:r>
            <w:r>
              <w:rPr>
                <w:rStyle w:val="IndexLink"/>
                <w:rtl w:val="true"/>
              </w:rPr>
              <w:t>يستحب التعجيل في تجهيز الموتى</w:t>
            </w:r>
            <w:r>
              <w:rPr>
                <w:rStyle w:val="IndexLink"/>
                <w:rtl w:val="true"/>
              </w:rPr>
              <w:tab/>
            </w:r>
            <w:r>
              <w:rPr>
                <w:rStyle w:val="IndexLink"/>
              </w:rPr>
              <w:t>152</w:t>
            </w:r>
          </w:hyperlink>
        </w:p>
        <w:p>
          <w:pPr>
            <w:pStyle w:val="Contents3"/>
            <w:tabs>
              <w:tab w:val="clear" w:pos="8459"/>
              <w:tab w:val="right" w:pos="9026" w:leader="dot"/>
            </w:tabs>
            <w:rPr/>
          </w:pPr>
          <w:hyperlink w:anchor="__RefHeading___Toc2491945_3650668749">
            <w:r>
              <w:rPr>
                <w:webHidden/>
                <w:rStyle w:val="IndexLink"/>
                <w:rtl w:val="true"/>
              </w:rPr>
              <w:t>[</w:t>
            </w:r>
            <w:r>
              <w:rPr>
                <w:rStyle w:val="IndexLink"/>
                <w:rtl w:val="true"/>
              </w:rPr>
              <w:t>الثاني في أحكام الغسل</w:t>
            </w:r>
            <w:r>
              <w:rPr>
                <w:rStyle w:val="IndexLink"/>
                <w:rtl w:val="true"/>
              </w:rPr>
              <w:t>]</w:t>
              <w:tab/>
            </w:r>
            <w:r>
              <w:rPr>
                <w:rStyle w:val="IndexLink"/>
              </w:rPr>
              <w:t>152</w:t>
            </w:r>
          </w:hyperlink>
        </w:p>
        <w:p>
          <w:pPr>
            <w:pStyle w:val="Contents4"/>
            <w:tabs>
              <w:tab w:val="clear" w:pos="8176"/>
              <w:tab w:val="right" w:pos="9026" w:leader="dot"/>
            </w:tabs>
            <w:rPr/>
          </w:pPr>
          <w:hyperlink w:anchor="__RefHeading___Toc2491947_3650668749">
            <w:r>
              <w:rPr>
                <w:webHidden/>
                <w:rStyle w:val="IndexLink"/>
                <w:rtl w:val="true"/>
              </w:rPr>
              <w:t>مسألة</w:t>
            </w:r>
            <w:r>
              <w:rPr>
                <w:rStyle w:val="IndexLink"/>
                <w:rtl w:val="true"/>
              </w:rPr>
              <w:t xml:space="preserve">: </w:t>
            </w:r>
            <w:r>
              <w:rPr>
                <w:rStyle w:val="IndexLink"/>
                <w:rtl w:val="true"/>
              </w:rPr>
              <w:t>المشهور بل المجمع عليه كما في كلام بعض</w:t>
            </w:r>
            <w:r>
              <w:rPr>
                <w:rStyle w:val="IndexLink"/>
                <w:rtl w:val="true"/>
              </w:rPr>
              <w:t xml:space="preserve">: </w:t>
            </w:r>
            <w:r>
              <w:rPr>
                <w:rStyle w:val="IndexLink"/>
                <w:rtl w:val="true"/>
              </w:rPr>
              <w:t>وجوب تغسيل الميت و تكفينه و الصلاة عليه و دفنه وجوبا كفائيا</w:t>
            </w:r>
            <w:r>
              <w:rPr>
                <w:rStyle w:val="IndexLink"/>
                <w:rtl w:val="true"/>
              </w:rPr>
              <w:tab/>
            </w:r>
            <w:r>
              <w:rPr>
                <w:rStyle w:val="IndexLink"/>
              </w:rPr>
              <w:t>152</w:t>
            </w:r>
          </w:hyperlink>
        </w:p>
        <w:p>
          <w:pPr>
            <w:pStyle w:val="Contents4"/>
            <w:tabs>
              <w:tab w:val="clear" w:pos="8176"/>
              <w:tab w:val="right" w:pos="9026" w:leader="dot"/>
            </w:tabs>
            <w:rPr/>
          </w:pPr>
          <w:hyperlink w:anchor="__RefHeading___Toc2491949_3650668749">
            <w:r>
              <w:rPr>
                <w:webHidden/>
                <w:rStyle w:val="IndexLink"/>
                <w:rtl w:val="true"/>
              </w:rPr>
              <w:t xml:space="preserve">مسألة </w:t>
            </w:r>
            <w:r>
              <w:rPr>
                <w:rStyle w:val="IndexLink"/>
                <w:rtl w:val="true"/>
              </w:rPr>
              <w:t>[</w:t>
            </w:r>
            <w:r>
              <w:rPr>
                <w:rStyle w:val="IndexLink"/>
                <w:rtl w:val="true"/>
              </w:rPr>
              <w:t>في موضوع الزوج و الزوجة و تجهيز أحدهما الآخر</w:t>
            </w:r>
            <w:r>
              <w:rPr>
                <w:rStyle w:val="IndexLink"/>
                <w:rtl w:val="true"/>
              </w:rPr>
              <w:t>]</w:t>
              <w:tab/>
            </w:r>
            <w:r>
              <w:rPr>
                <w:rStyle w:val="IndexLink"/>
              </w:rPr>
              <w:t>158</w:t>
            </w:r>
          </w:hyperlink>
        </w:p>
        <w:p>
          <w:pPr>
            <w:pStyle w:val="Contents4"/>
            <w:tabs>
              <w:tab w:val="clear" w:pos="8176"/>
              <w:tab w:val="right" w:pos="9026" w:leader="dot"/>
            </w:tabs>
            <w:rPr/>
          </w:pPr>
          <w:hyperlink w:anchor="__RefHeading___Toc2491951_3650668749">
            <w:r>
              <w:rPr>
                <w:webHidden/>
                <w:rStyle w:val="IndexLink"/>
                <w:rtl w:val="true"/>
              </w:rPr>
              <w:t xml:space="preserve">مسألة </w:t>
            </w:r>
            <w:r>
              <w:rPr>
                <w:rStyle w:val="IndexLink"/>
                <w:rtl w:val="true"/>
              </w:rPr>
              <w:t>[</w:t>
            </w:r>
            <w:r>
              <w:rPr>
                <w:rStyle w:val="IndexLink"/>
                <w:rtl w:val="true"/>
              </w:rPr>
              <w:t>في اعتبار المماثلة بين الغاسل و الميت و ما يستثنى منه</w:t>
            </w:r>
            <w:r>
              <w:rPr>
                <w:rStyle w:val="IndexLink"/>
                <w:rtl w:val="true"/>
              </w:rPr>
              <w:t>]</w:t>
              <w:tab/>
            </w:r>
            <w:r>
              <w:rPr>
                <w:rStyle w:val="IndexLink"/>
              </w:rPr>
              <w:t>165</w:t>
            </w:r>
          </w:hyperlink>
        </w:p>
        <w:p>
          <w:pPr>
            <w:pStyle w:val="Contents4"/>
            <w:tabs>
              <w:tab w:val="clear" w:pos="8176"/>
              <w:tab w:val="right" w:pos="9026" w:leader="dot"/>
            </w:tabs>
            <w:rPr/>
          </w:pPr>
          <w:hyperlink w:anchor="__RefHeading___Toc2491953_3650668749">
            <w:r>
              <w:rPr>
                <w:webHidden/>
                <w:rStyle w:val="IndexLink"/>
                <w:rtl w:val="true"/>
              </w:rPr>
              <w:t>مسألة</w:t>
            </w:r>
            <w:r>
              <w:rPr>
                <w:rStyle w:val="IndexLink"/>
                <w:rtl w:val="true"/>
              </w:rPr>
              <w:t xml:space="preserve">: </w:t>
            </w:r>
            <w:r>
              <w:rPr>
                <w:rStyle w:val="IndexLink"/>
                <w:rtl w:val="true"/>
              </w:rPr>
              <w:t>مع فقد المماثل المسلم و المحارم يجوز تغسيل المماثل الكتابي</w:t>
            </w:r>
            <w:r>
              <w:rPr>
                <w:rStyle w:val="IndexLink"/>
                <w:rtl w:val="true"/>
              </w:rPr>
              <w:tab/>
            </w:r>
            <w:r>
              <w:rPr>
                <w:rStyle w:val="IndexLink"/>
              </w:rPr>
              <w:t>166</w:t>
            </w:r>
          </w:hyperlink>
        </w:p>
        <w:p>
          <w:pPr>
            <w:pStyle w:val="Contents4"/>
            <w:tabs>
              <w:tab w:val="clear" w:pos="8176"/>
              <w:tab w:val="right" w:pos="9026" w:leader="dot"/>
            </w:tabs>
            <w:rPr/>
          </w:pPr>
          <w:hyperlink w:anchor="__RefHeading___Toc2491955_3650668749">
            <w:r>
              <w:rPr>
                <w:webHidden/>
                <w:rStyle w:val="IndexLink"/>
                <w:rtl w:val="true"/>
              </w:rPr>
              <w:t>مسألة</w:t>
            </w:r>
            <w:r>
              <w:rPr>
                <w:rStyle w:val="IndexLink"/>
                <w:rtl w:val="true"/>
              </w:rPr>
              <w:t xml:space="preserve">: </w:t>
            </w:r>
            <w:r>
              <w:rPr>
                <w:rStyle w:val="IndexLink"/>
                <w:rtl w:val="true"/>
              </w:rPr>
              <w:t>تغسيل الرجل محارمه</w:t>
            </w:r>
            <w:r>
              <w:rPr>
                <w:rStyle w:val="IndexLink"/>
                <w:rtl w:val="true"/>
              </w:rPr>
              <w:tab/>
            </w:r>
            <w:r>
              <w:rPr>
                <w:rStyle w:val="IndexLink"/>
              </w:rPr>
              <w:t>168</w:t>
            </w:r>
          </w:hyperlink>
        </w:p>
        <w:p>
          <w:pPr>
            <w:pStyle w:val="Contents4"/>
            <w:tabs>
              <w:tab w:val="clear" w:pos="8176"/>
              <w:tab w:val="right" w:pos="9026" w:leader="dot"/>
            </w:tabs>
            <w:rPr/>
          </w:pPr>
          <w:hyperlink w:anchor="__RefHeading___Toc2491957_3650668749">
            <w:r>
              <w:rPr>
                <w:webHidden/>
                <w:rStyle w:val="IndexLink"/>
                <w:rtl w:val="true"/>
              </w:rPr>
              <w:t>مسألة</w:t>
            </w:r>
            <w:r>
              <w:rPr>
                <w:rStyle w:val="IndexLink"/>
                <w:rtl w:val="true"/>
              </w:rPr>
              <w:t xml:space="preserve">: </w:t>
            </w:r>
            <w:r>
              <w:rPr>
                <w:rStyle w:val="IndexLink"/>
                <w:rtl w:val="true"/>
              </w:rPr>
              <w:t>لا يجوز تغسيل الأجنبي للأجنبيّة و لا الأجنبيّة للأجنبي</w:t>
            </w:r>
            <w:r>
              <w:rPr>
                <w:rStyle w:val="IndexLink"/>
                <w:rtl w:val="true"/>
              </w:rPr>
              <w:tab/>
            </w:r>
            <w:r>
              <w:rPr>
                <w:rStyle w:val="IndexLink"/>
              </w:rPr>
              <w:t>170</w:t>
            </w:r>
          </w:hyperlink>
        </w:p>
        <w:p>
          <w:pPr>
            <w:pStyle w:val="Contents4"/>
            <w:tabs>
              <w:tab w:val="clear" w:pos="8176"/>
              <w:tab w:val="right" w:pos="9026" w:leader="dot"/>
            </w:tabs>
            <w:rPr/>
          </w:pPr>
          <w:hyperlink w:anchor="__RefHeading___Toc2491959_3650668749">
            <w:r>
              <w:rPr>
                <w:webHidden/>
                <w:rStyle w:val="IndexLink"/>
                <w:rtl w:val="true"/>
              </w:rPr>
              <w:t xml:space="preserve">مسألة </w:t>
            </w:r>
            <w:r>
              <w:rPr>
                <w:rStyle w:val="IndexLink"/>
                <w:rtl w:val="true"/>
              </w:rPr>
              <w:t>[</w:t>
            </w:r>
            <w:r>
              <w:rPr>
                <w:rStyle w:val="IndexLink"/>
                <w:rtl w:val="true"/>
              </w:rPr>
              <w:t>في مستثنيات تغسيل الأجنبي للأجنبية و بالعكس</w:t>
            </w:r>
            <w:r>
              <w:rPr>
                <w:rStyle w:val="IndexLink"/>
                <w:rtl w:val="true"/>
              </w:rPr>
              <w:t>]</w:t>
              <w:tab/>
            </w:r>
            <w:r>
              <w:rPr>
                <w:rStyle w:val="IndexLink"/>
              </w:rPr>
              <w:t>171</w:t>
            </w:r>
          </w:hyperlink>
        </w:p>
        <w:p>
          <w:pPr>
            <w:pStyle w:val="Contents4"/>
            <w:tabs>
              <w:tab w:val="clear" w:pos="8176"/>
              <w:tab w:val="right" w:pos="9026" w:leader="dot"/>
            </w:tabs>
            <w:rPr/>
          </w:pPr>
          <w:hyperlink w:anchor="__RefHeading___Toc2491961_3650668749">
            <w:r>
              <w:rPr>
                <w:webHidden/>
                <w:rStyle w:val="IndexLink"/>
                <w:rtl w:val="true"/>
              </w:rPr>
              <w:t>مسألة</w:t>
            </w:r>
            <w:r>
              <w:rPr>
                <w:rStyle w:val="IndexLink"/>
                <w:rtl w:val="true"/>
              </w:rPr>
              <w:t xml:space="preserve">: </w:t>
            </w:r>
            <w:r>
              <w:rPr>
                <w:rStyle w:val="IndexLink"/>
                <w:rtl w:val="true"/>
              </w:rPr>
              <w:t>الخنثى المشكل لو كان له ثلاث سنين فأقل جاز لكل من الطائفتين غسله</w:t>
            </w:r>
            <w:r>
              <w:rPr>
                <w:rStyle w:val="IndexLink"/>
                <w:rtl w:val="true"/>
              </w:rPr>
              <w:tab/>
            </w:r>
            <w:r>
              <w:rPr>
                <w:rStyle w:val="IndexLink"/>
              </w:rPr>
              <w:t>173</w:t>
            </w:r>
          </w:hyperlink>
        </w:p>
        <w:p>
          <w:pPr>
            <w:pStyle w:val="Contents4"/>
            <w:tabs>
              <w:tab w:val="clear" w:pos="8176"/>
              <w:tab w:val="right" w:pos="9026" w:leader="dot"/>
            </w:tabs>
            <w:rPr/>
          </w:pPr>
          <w:hyperlink w:anchor="__RefHeading___Toc2491963_3650668749">
            <w:r>
              <w:rPr>
                <w:webHidden/>
                <w:rStyle w:val="IndexLink"/>
                <w:rtl w:val="true"/>
              </w:rPr>
              <w:t>مسألة</w:t>
            </w:r>
            <w:r>
              <w:rPr>
                <w:rStyle w:val="IndexLink"/>
                <w:rtl w:val="true"/>
              </w:rPr>
              <w:t xml:space="preserve">: </w:t>
            </w:r>
            <w:r>
              <w:rPr>
                <w:rStyle w:val="IndexLink"/>
                <w:rtl w:val="true"/>
              </w:rPr>
              <w:t>يجب تغسيل كل مظهر للشهادتين</w:t>
            </w:r>
            <w:r>
              <w:rPr>
                <w:rStyle w:val="IndexLink"/>
                <w:rtl w:val="true"/>
              </w:rPr>
              <w:tab/>
            </w:r>
            <w:r>
              <w:rPr>
                <w:rStyle w:val="IndexLink"/>
              </w:rPr>
              <w:t>175</w:t>
            </w:r>
          </w:hyperlink>
        </w:p>
        <w:p>
          <w:pPr>
            <w:pStyle w:val="Contents4"/>
            <w:tabs>
              <w:tab w:val="clear" w:pos="8176"/>
              <w:tab w:val="right" w:pos="9026" w:leader="dot"/>
            </w:tabs>
            <w:rPr/>
          </w:pPr>
          <w:hyperlink w:anchor="__RefHeading___Toc2491965_3650668749">
            <w:r>
              <w:rPr>
                <w:webHidden/>
                <w:rStyle w:val="IndexLink"/>
                <w:rtl w:val="true"/>
              </w:rPr>
              <w:t xml:space="preserve">مسألة </w:t>
            </w:r>
            <w:r>
              <w:rPr>
                <w:rStyle w:val="IndexLink"/>
                <w:rtl w:val="true"/>
              </w:rPr>
              <w:t>[</w:t>
            </w:r>
            <w:r>
              <w:rPr>
                <w:rStyle w:val="IndexLink"/>
                <w:rtl w:val="true"/>
              </w:rPr>
              <w:t>في حكم أجزاء بدن الميت</w:t>
            </w:r>
            <w:r>
              <w:rPr>
                <w:rStyle w:val="IndexLink"/>
                <w:rtl w:val="true"/>
              </w:rPr>
              <w:t>]</w:t>
              <w:tab/>
            </w:r>
            <w:r>
              <w:rPr>
                <w:rStyle w:val="IndexLink"/>
              </w:rPr>
              <w:t>181</w:t>
            </w:r>
          </w:hyperlink>
        </w:p>
        <w:p>
          <w:pPr>
            <w:pStyle w:val="Contents4"/>
            <w:tabs>
              <w:tab w:val="clear" w:pos="8176"/>
              <w:tab w:val="right" w:pos="9026" w:leader="dot"/>
            </w:tabs>
            <w:rPr/>
          </w:pPr>
          <w:hyperlink w:anchor="__RefHeading___Toc2491967_3650668749">
            <w:r>
              <w:rPr>
                <w:webHidden/>
                <w:rStyle w:val="IndexLink"/>
                <w:rtl w:val="true"/>
              </w:rPr>
              <w:t xml:space="preserve">مسألة </w:t>
            </w:r>
            <w:r>
              <w:rPr>
                <w:rStyle w:val="IndexLink"/>
                <w:rtl w:val="true"/>
              </w:rPr>
              <w:t>[</w:t>
            </w:r>
            <w:r>
              <w:rPr>
                <w:rStyle w:val="IndexLink"/>
                <w:rtl w:val="true"/>
              </w:rPr>
              <w:t>في حكم القطعة ذات العظم من الميت</w:t>
            </w:r>
            <w:r>
              <w:rPr>
                <w:rStyle w:val="IndexLink"/>
                <w:rtl w:val="true"/>
              </w:rPr>
              <w:t>]</w:t>
              <w:tab/>
            </w:r>
            <w:r>
              <w:rPr>
                <w:rStyle w:val="IndexLink"/>
              </w:rPr>
              <w:t>184</w:t>
            </w:r>
          </w:hyperlink>
        </w:p>
        <w:p>
          <w:pPr>
            <w:pStyle w:val="Contents4"/>
            <w:tabs>
              <w:tab w:val="clear" w:pos="8176"/>
              <w:tab w:val="right" w:pos="9026" w:leader="dot"/>
            </w:tabs>
            <w:rPr/>
          </w:pPr>
          <w:hyperlink w:anchor="__RefHeading___Toc2491969_3650668749">
            <w:r>
              <w:rPr>
                <w:webHidden/>
                <w:rStyle w:val="IndexLink"/>
                <w:rtl w:val="true"/>
              </w:rPr>
              <w:t xml:space="preserve">مسألة </w:t>
            </w:r>
            <w:r>
              <w:rPr>
                <w:rStyle w:val="IndexLink"/>
                <w:rtl w:val="true"/>
              </w:rPr>
              <w:t>[</w:t>
            </w:r>
            <w:r>
              <w:rPr>
                <w:rStyle w:val="IndexLink"/>
                <w:rtl w:val="true"/>
              </w:rPr>
              <w:t>في حكم اللحم المجرد من الميت</w:t>
            </w:r>
            <w:r>
              <w:rPr>
                <w:rStyle w:val="IndexLink"/>
                <w:rtl w:val="true"/>
              </w:rPr>
              <w:t>]</w:t>
              <w:tab/>
            </w:r>
            <w:r>
              <w:rPr>
                <w:rStyle w:val="IndexLink"/>
              </w:rPr>
              <w:t>190</w:t>
            </w:r>
          </w:hyperlink>
        </w:p>
        <w:p>
          <w:pPr>
            <w:pStyle w:val="Contents4"/>
            <w:tabs>
              <w:tab w:val="clear" w:pos="8176"/>
              <w:tab w:val="right" w:pos="9026" w:leader="dot"/>
            </w:tabs>
            <w:rPr/>
          </w:pPr>
          <w:hyperlink w:anchor="__RefHeading___Toc2491971_3650668749">
            <w:r>
              <w:rPr>
                <w:webHidden/>
                <w:rStyle w:val="IndexLink"/>
                <w:rtl w:val="true"/>
              </w:rPr>
              <w:t>مسألة</w:t>
            </w:r>
            <w:r>
              <w:rPr>
                <w:rStyle w:val="IndexLink"/>
                <w:rtl w:val="true"/>
              </w:rPr>
              <w:t xml:space="preserve">: </w:t>
            </w:r>
            <w:r>
              <w:rPr>
                <w:rStyle w:val="IndexLink"/>
                <w:rtl w:val="true"/>
              </w:rPr>
              <w:t>يجب مقدّمة للغسل تنظيف بدن الميّت من النجاسات العرضية</w:t>
            </w:r>
            <w:r>
              <w:rPr>
                <w:rStyle w:val="IndexLink"/>
                <w:rtl w:val="true"/>
              </w:rPr>
              <w:tab/>
            </w:r>
            <w:r>
              <w:rPr>
                <w:rStyle w:val="IndexLink"/>
              </w:rPr>
              <w:t>191</w:t>
            </w:r>
          </w:hyperlink>
        </w:p>
        <w:p>
          <w:pPr>
            <w:pStyle w:val="Contents4"/>
            <w:tabs>
              <w:tab w:val="clear" w:pos="8176"/>
              <w:tab w:val="right" w:pos="9026" w:leader="dot"/>
            </w:tabs>
            <w:rPr/>
          </w:pPr>
          <w:hyperlink w:anchor="__RefHeading___Toc2491973_3650668749">
            <w:r>
              <w:rPr>
                <w:webHidden/>
                <w:rStyle w:val="IndexLink"/>
                <w:rtl w:val="true"/>
              </w:rPr>
              <w:t>مسألة</w:t>
            </w:r>
            <w:r>
              <w:rPr>
                <w:rStyle w:val="IndexLink"/>
                <w:rtl w:val="true"/>
              </w:rPr>
              <w:t xml:space="preserve">: </w:t>
            </w:r>
            <w:r>
              <w:rPr>
                <w:rStyle w:val="IndexLink"/>
                <w:rtl w:val="true"/>
              </w:rPr>
              <w:t xml:space="preserve">هل يعتبر في هذا الغسل </w:t>
            </w:r>
            <w:r>
              <w:rPr>
                <w:rStyle w:val="IndexLink"/>
                <w:rtl w:val="true"/>
              </w:rPr>
              <w:t>[</w:t>
            </w:r>
            <w:r>
              <w:rPr>
                <w:rStyle w:val="IndexLink"/>
                <w:rtl w:val="true"/>
              </w:rPr>
              <w:t>قصد القربة</w:t>
            </w:r>
            <w:r>
              <w:rPr>
                <w:rStyle w:val="IndexLink"/>
                <w:rtl w:val="true"/>
              </w:rPr>
              <w:t xml:space="preserve">] </w:t>
            </w:r>
            <w:r>
              <w:rPr>
                <w:rStyle w:val="IndexLink"/>
                <w:rtl w:val="true"/>
              </w:rPr>
              <w:t>مضافا إلى قصد العنوان</w:t>
            </w:r>
            <w:r>
              <w:rPr>
                <w:rStyle w:val="IndexLink"/>
                <w:rtl w:val="true"/>
              </w:rPr>
              <w:tab/>
            </w:r>
            <w:r>
              <w:rPr>
                <w:rStyle w:val="IndexLink"/>
              </w:rPr>
              <w:t>194</w:t>
            </w:r>
          </w:hyperlink>
        </w:p>
        <w:p>
          <w:pPr>
            <w:pStyle w:val="Contents4"/>
            <w:tabs>
              <w:tab w:val="clear" w:pos="8176"/>
              <w:tab w:val="right" w:pos="9026" w:leader="dot"/>
            </w:tabs>
            <w:rPr/>
          </w:pPr>
          <w:hyperlink w:anchor="__RefHeading___Toc2491975_3650668749">
            <w:r>
              <w:rPr>
                <w:webHidden/>
                <w:rStyle w:val="IndexLink"/>
                <w:rtl w:val="true"/>
              </w:rPr>
              <w:t xml:space="preserve">مسألة </w:t>
            </w:r>
            <w:r>
              <w:rPr>
                <w:rStyle w:val="IndexLink"/>
                <w:rtl w:val="true"/>
              </w:rPr>
              <w:t>[</w:t>
            </w:r>
            <w:r>
              <w:rPr>
                <w:rStyle w:val="IndexLink"/>
                <w:rtl w:val="true"/>
              </w:rPr>
              <w:t>في وجوب الغسل بماء السدر و الكافور و القراح على التوالي</w:t>
            </w:r>
            <w:r>
              <w:rPr>
                <w:rStyle w:val="IndexLink"/>
                <w:rtl w:val="true"/>
              </w:rPr>
              <w:t>]</w:t>
              <w:tab/>
            </w:r>
            <w:r>
              <w:rPr>
                <w:rStyle w:val="IndexLink"/>
              </w:rPr>
              <w:t>196</w:t>
            </w:r>
          </w:hyperlink>
        </w:p>
        <w:p>
          <w:pPr>
            <w:pStyle w:val="Contents4"/>
            <w:tabs>
              <w:tab w:val="clear" w:pos="8176"/>
              <w:tab w:val="right" w:pos="9026" w:leader="dot"/>
            </w:tabs>
            <w:rPr/>
          </w:pPr>
          <w:hyperlink w:anchor="__RefHeading___Toc2491977_3650668749">
            <w:r>
              <w:rPr>
                <w:webHidden/>
                <w:rStyle w:val="IndexLink"/>
                <w:rtl w:val="true"/>
              </w:rPr>
              <w:t>مسألة</w:t>
            </w:r>
            <w:r>
              <w:rPr>
                <w:rStyle w:val="IndexLink"/>
                <w:rtl w:val="true"/>
              </w:rPr>
              <w:t xml:space="preserve">: </w:t>
            </w:r>
            <w:r>
              <w:rPr>
                <w:rStyle w:val="IndexLink"/>
                <w:rtl w:val="true"/>
              </w:rPr>
              <w:t>لو لم يجد الماء إلّا بمقدار غسل واحد، فمقتضى قاعدة الميسور و الاستصحاب وجوب الإتيان بالممكن</w:t>
            </w:r>
            <w:r>
              <w:rPr>
                <w:rStyle w:val="IndexLink"/>
                <w:rtl w:val="true"/>
              </w:rPr>
              <w:tab/>
            </w:r>
            <w:r>
              <w:rPr>
                <w:rStyle w:val="IndexLink"/>
              </w:rPr>
              <w:t>202</w:t>
            </w:r>
          </w:hyperlink>
        </w:p>
        <w:p>
          <w:pPr>
            <w:pStyle w:val="Contents4"/>
            <w:tabs>
              <w:tab w:val="clear" w:pos="8176"/>
              <w:tab w:val="right" w:pos="9026" w:leader="dot"/>
            </w:tabs>
            <w:rPr/>
          </w:pPr>
          <w:hyperlink w:anchor="__RefHeading___Toc2491979_3650668749">
            <w:r>
              <w:rPr>
                <w:webHidden/>
                <w:rStyle w:val="IndexLink"/>
                <w:rtl w:val="true"/>
              </w:rPr>
              <w:t>مسألة</w:t>
            </w:r>
            <w:r>
              <w:rPr>
                <w:rStyle w:val="IndexLink"/>
                <w:rtl w:val="true"/>
              </w:rPr>
              <w:t xml:space="preserve">: </w:t>
            </w:r>
            <w:r>
              <w:rPr>
                <w:rStyle w:val="IndexLink"/>
                <w:rtl w:val="true"/>
              </w:rPr>
              <w:t>لو وجد الماء و لم يجد الخليطين فمقتضى قاعدة الميسور و الاستصحاب وجوب ثلاثة أغسال بالقراح</w:t>
            </w:r>
            <w:r>
              <w:rPr>
                <w:rStyle w:val="IndexLink"/>
                <w:rtl w:val="true"/>
              </w:rPr>
              <w:tab/>
            </w:r>
            <w:r>
              <w:rPr>
                <w:rStyle w:val="IndexLink"/>
              </w:rPr>
              <w:t>203</w:t>
            </w:r>
          </w:hyperlink>
        </w:p>
        <w:p>
          <w:pPr>
            <w:pStyle w:val="Contents4"/>
            <w:tabs>
              <w:tab w:val="clear" w:pos="8176"/>
              <w:tab w:val="right" w:pos="9026" w:leader="dot"/>
            </w:tabs>
            <w:rPr/>
          </w:pPr>
          <w:hyperlink w:anchor="__RefHeading___Toc2491981_3650668749">
            <w:r>
              <w:rPr>
                <w:webHidden/>
                <w:rStyle w:val="IndexLink"/>
                <w:rtl w:val="true"/>
              </w:rPr>
              <w:t>مسألة</w:t>
            </w:r>
            <w:r>
              <w:rPr>
                <w:rStyle w:val="IndexLink"/>
                <w:rtl w:val="true"/>
              </w:rPr>
              <w:t xml:space="preserve">: </w:t>
            </w:r>
            <w:r>
              <w:rPr>
                <w:rStyle w:val="IndexLink"/>
                <w:rtl w:val="true"/>
              </w:rPr>
              <w:t>لو لم يوجد الماء رأسا، أو خيف من استعماله و لو على وجه الصب من غير ذلك تناثر جلده لكونه محترقا أو مجدورا، وجب التيمّم</w:t>
            </w:r>
            <w:r>
              <w:rPr>
                <w:rStyle w:val="IndexLink"/>
                <w:rtl w:val="true"/>
              </w:rPr>
              <w:tab/>
            </w:r>
            <w:r>
              <w:rPr>
                <w:rStyle w:val="IndexLink"/>
              </w:rPr>
              <w:t>205</w:t>
            </w:r>
          </w:hyperlink>
        </w:p>
        <w:p>
          <w:pPr>
            <w:pStyle w:val="Contents3"/>
            <w:tabs>
              <w:tab w:val="clear" w:pos="8459"/>
              <w:tab w:val="right" w:pos="9026" w:leader="dot"/>
            </w:tabs>
            <w:rPr/>
          </w:pPr>
          <w:hyperlink w:anchor="__RefHeading___Toc2491983_3650668749">
            <w:r>
              <w:rPr>
                <w:webHidden/>
                <w:rStyle w:val="IndexLink"/>
                <w:rtl w:val="true"/>
              </w:rPr>
              <w:t>[</w:t>
            </w:r>
            <w:r>
              <w:rPr>
                <w:rStyle w:val="IndexLink"/>
                <w:rtl w:val="true"/>
              </w:rPr>
              <w:t>الثالث في أحكام التكفين</w:t>
            </w:r>
            <w:r>
              <w:rPr>
                <w:rStyle w:val="IndexLink"/>
                <w:rtl w:val="true"/>
              </w:rPr>
              <w:t>]</w:t>
              <w:tab/>
            </w:r>
            <w:r>
              <w:rPr>
                <w:rStyle w:val="IndexLink"/>
              </w:rPr>
              <w:t>214</w:t>
            </w:r>
          </w:hyperlink>
        </w:p>
        <w:p>
          <w:pPr>
            <w:pStyle w:val="Contents4"/>
            <w:tabs>
              <w:tab w:val="clear" w:pos="8176"/>
              <w:tab w:val="right" w:pos="9026" w:leader="dot"/>
            </w:tabs>
            <w:rPr/>
          </w:pPr>
          <w:hyperlink w:anchor="__RefHeading___Toc2491985_3650668749">
            <w:r>
              <w:rPr>
                <w:webHidden/>
                <w:rStyle w:val="IndexLink"/>
                <w:rtl w:val="true"/>
              </w:rPr>
              <w:t>مسألة</w:t>
            </w:r>
            <w:r>
              <w:rPr>
                <w:rStyle w:val="IndexLink"/>
                <w:rtl w:val="true"/>
              </w:rPr>
              <w:t xml:space="preserve">: </w:t>
            </w:r>
            <w:r>
              <w:rPr>
                <w:rStyle w:val="IndexLink"/>
                <w:rtl w:val="true"/>
              </w:rPr>
              <w:t>يعتبر في جنس الكفن كونه متوسّطا لائقا بحال الميّت من حيث الشرف و الضعة</w:t>
            </w:r>
            <w:r>
              <w:rPr>
                <w:rStyle w:val="IndexLink"/>
                <w:rtl w:val="true"/>
              </w:rPr>
              <w:tab/>
            </w:r>
            <w:r>
              <w:rPr>
                <w:rStyle w:val="IndexLink"/>
              </w:rPr>
              <w:t>214</w:t>
            </w:r>
          </w:hyperlink>
        </w:p>
        <w:p>
          <w:pPr>
            <w:pStyle w:val="Contents4"/>
            <w:tabs>
              <w:tab w:val="clear" w:pos="8176"/>
              <w:tab w:val="right" w:pos="9026" w:leader="dot"/>
            </w:tabs>
            <w:rPr/>
          </w:pPr>
          <w:hyperlink w:anchor="__RefHeading___Toc2491987_3650668749">
            <w:r>
              <w:rPr>
                <w:webHidden/>
                <w:rStyle w:val="IndexLink"/>
                <w:rtl w:val="true"/>
              </w:rPr>
              <w:t>مسألة</w:t>
            </w:r>
            <w:r>
              <w:rPr>
                <w:rStyle w:val="IndexLink"/>
                <w:rtl w:val="true"/>
              </w:rPr>
              <w:t xml:space="preserve">: </w:t>
            </w:r>
            <w:r>
              <w:rPr>
                <w:rStyle w:val="IndexLink"/>
                <w:rtl w:val="true"/>
              </w:rPr>
              <w:t xml:space="preserve">يجب </w:t>
            </w:r>
            <w:r>
              <w:rPr>
                <w:rStyle w:val="IndexLink"/>
                <w:rtl w:val="true"/>
              </w:rPr>
              <w:t>[</w:t>
            </w:r>
            <w:r>
              <w:rPr>
                <w:rStyle w:val="IndexLink"/>
                <w:rtl w:val="true"/>
              </w:rPr>
              <w:t>تحنيط الميّت بعد تغسيله</w:t>
            </w:r>
            <w:r>
              <w:rPr>
                <w:rStyle w:val="IndexLink"/>
                <w:rtl w:val="true"/>
              </w:rPr>
              <w:t>]</w:t>
              <w:tab/>
            </w:r>
            <w:r>
              <w:rPr>
                <w:rStyle w:val="IndexLink"/>
              </w:rPr>
              <w:t>218</w:t>
            </w:r>
          </w:hyperlink>
        </w:p>
        <w:p>
          <w:pPr>
            <w:pStyle w:val="Contents4"/>
            <w:tabs>
              <w:tab w:val="clear" w:pos="8176"/>
              <w:tab w:val="right" w:pos="9026" w:leader="dot"/>
            </w:tabs>
            <w:rPr/>
          </w:pPr>
          <w:hyperlink w:anchor="__RefHeading___Toc2491989_3650668749">
            <w:r>
              <w:rPr>
                <w:webHidden/>
                <w:rStyle w:val="IndexLink"/>
                <w:rtl w:val="true"/>
              </w:rPr>
              <w:t xml:space="preserve">مسألة </w:t>
            </w:r>
            <w:r>
              <w:rPr>
                <w:rStyle w:val="IndexLink"/>
                <w:rtl w:val="true"/>
              </w:rPr>
              <w:t>[</w:t>
            </w:r>
            <w:r>
              <w:rPr>
                <w:rStyle w:val="IndexLink"/>
                <w:rtl w:val="true"/>
              </w:rPr>
              <w:t>في استحباب إضافة الحبرة على الإقطاع الثلاث للكفن</w:t>
            </w:r>
            <w:r>
              <w:rPr>
                <w:rStyle w:val="IndexLink"/>
                <w:rtl w:val="true"/>
              </w:rPr>
              <w:t>]</w:t>
              <w:tab/>
            </w:r>
            <w:r>
              <w:rPr>
                <w:rStyle w:val="IndexLink"/>
              </w:rPr>
              <w:t>225</w:t>
            </w:r>
          </w:hyperlink>
        </w:p>
        <w:p>
          <w:pPr>
            <w:pStyle w:val="Contents4"/>
            <w:tabs>
              <w:tab w:val="clear" w:pos="8176"/>
              <w:tab w:val="right" w:pos="9026" w:leader="dot"/>
            </w:tabs>
            <w:rPr/>
          </w:pPr>
          <w:hyperlink w:anchor="__RefHeading___Toc2491991_3650668749">
            <w:r>
              <w:rPr>
                <w:webHidden/>
                <w:rStyle w:val="IndexLink"/>
                <w:rtl w:val="true"/>
              </w:rPr>
              <w:t>مسألة</w:t>
            </w:r>
            <w:r>
              <w:rPr>
                <w:rStyle w:val="IndexLink"/>
                <w:rtl w:val="true"/>
              </w:rPr>
              <w:t xml:space="preserve">: </w:t>
            </w:r>
            <w:r>
              <w:rPr>
                <w:rStyle w:val="IndexLink"/>
                <w:rtl w:val="true"/>
              </w:rPr>
              <w:t>لو تنجّس البدن أو الكفن بنجاسة خارجة، أو بالخروج من الميت، وجب الإزالة عن كل منهما</w:t>
            </w:r>
            <w:r>
              <w:rPr>
                <w:rStyle w:val="IndexLink"/>
                <w:rtl w:val="true"/>
              </w:rPr>
              <w:tab/>
            </w:r>
            <w:r>
              <w:rPr>
                <w:rStyle w:val="IndexLink"/>
              </w:rPr>
              <w:t>228</w:t>
            </w:r>
          </w:hyperlink>
        </w:p>
        <w:p>
          <w:pPr>
            <w:pStyle w:val="Contents4"/>
            <w:tabs>
              <w:tab w:val="clear" w:pos="8176"/>
              <w:tab w:val="right" w:pos="9026" w:leader="dot"/>
            </w:tabs>
            <w:rPr/>
          </w:pPr>
          <w:hyperlink w:anchor="__RefHeading___Toc2491993_3650668749">
            <w:r>
              <w:rPr>
                <w:webHidden/>
                <w:rStyle w:val="IndexLink"/>
                <w:rtl w:val="true"/>
              </w:rPr>
              <w:t>مسألة</w:t>
            </w:r>
            <w:r>
              <w:rPr>
                <w:rStyle w:val="IndexLink"/>
                <w:rtl w:val="true"/>
              </w:rPr>
              <w:t xml:space="preserve">: </w:t>
            </w:r>
            <w:r>
              <w:rPr>
                <w:rStyle w:val="IndexLink"/>
                <w:rtl w:val="true"/>
              </w:rPr>
              <w:t>كفن المرأة على زوجها</w:t>
            </w:r>
            <w:r>
              <w:rPr>
                <w:rStyle w:val="IndexLink"/>
                <w:rtl w:val="true"/>
              </w:rPr>
              <w:tab/>
            </w:r>
            <w:r>
              <w:rPr>
                <w:rStyle w:val="IndexLink"/>
              </w:rPr>
              <w:t>229</w:t>
            </w:r>
          </w:hyperlink>
        </w:p>
        <w:p>
          <w:pPr>
            <w:pStyle w:val="Contents5"/>
            <w:tabs>
              <w:tab w:val="clear" w:pos="7892"/>
              <w:tab w:val="right" w:pos="9026" w:leader="dot"/>
            </w:tabs>
            <w:rPr/>
          </w:pPr>
          <w:hyperlink w:anchor="__RefHeading___Toc2491995_3650668749">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2491997_3650668749">
            <w:r>
              <w:rPr>
                <w:webHidden/>
                <w:rStyle w:val="IndexLink"/>
                <w:rtl w:val="true"/>
              </w:rPr>
              <w:t>و هاهنا فروع</w:t>
            </w:r>
            <w:r>
              <w:rPr>
                <w:rStyle w:val="IndexLink"/>
                <w:rtl w:val="true"/>
              </w:rPr>
              <w:t>:</w:t>
              <w:tab/>
            </w:r>
            <w:r>
              <w:rPr>
                <w:rStyle w:val="IndexLink"/>
              </w:rPr>
              <w:t>232</w:t>
            </w:r>
          </w:hyperlink>
        </w:p>
        <w:p>
          <w:pPr>
            <w:pStyle w:val="Contents6"/>
            <w:tabs>
              <w:tab w:val="clear" w:pos="7609"/>
              <w:tab w:val="right" w:pos="9026" w:leader="dot"/>
            </w:tabs>
            <w:rPr/>
          </w:pPr>
          <w:hyperlink w:anchor="__RefHeading___Toc2491999_3650668749">
            <w:r>
              <w:rPr>
                <w:webHidden/>
                <w:rStyle w:val="IndexLink"/>
                <w:rtl w:val="true"/>
              </w:rPr>
              <w:t>الأوّل</w:t>
            </w:r>
            <w:r>
              <w:rPr>
                <w:rStyle w:val="IndexLink"/>
                <w:rtl w:val="true"/>
              </w:rPr>
              <w:t xml:space="preserve">: </w:t>
            </w:r>
            <w:r>
              <w:rPr>
                <w:rStyle w:val="IndexLink"/>
                <w:rtl w:val="true"/>
              </w:rPr>
              <w:t>لو لم يملك الزوج سوى المستثنيات و ماتت الزوجة و لم تخلف إلّا كفنا واحدا، حكم في الظاهر بانتقاله إلى الزوج</w:t>
            </w:r>
            <w:r>
              <w:rPr>
                <w:rStyle w:val="IndexLink"/>
                <w:rtl w:val="true"/>
              </w:rPr>
              <w:tab/>
            </w:r>
            <w:r>
              <w:rPr>
                <w:rStyle w:val="IndexLink"/>
              </w:rPr>
              <w:t>232</w:t>
            </w:r>
          </w:hyperlink>
        </w:p>
        <w:p>
          <w:pPr>
            <w:pStyle w:val="Contents6"/>
            <w:tabs>
              <w:tab w:val="clear" w:pos="7609"/>
              <w:tab w:val="right" w:pos="9026" w:leader="dot"/>
            </w:tabs>
            <w:rPr/>
          </w:pPr>
          <w:hyperlink w:anchor="__RefHeading___Toc2492001_3650668749">
            <w:r>
              <w:rPr>
                <w:webHidden/>
                <w:rStyle w:val="IndexLink"/>
                <w:rtl w:val="true"/>
              </w:rPr>
              <w:t>الثاني</w:t>
            </w:r>
            <w:r>
              <w:rPr>
                <w:rStyle w:val="IndexLink"/>
                <w:rtl w:val="true"/>
              </w:rPr>
              <w:t xml:space="preserve">: </w:t>
            </w:r>
            <w:r>
              <w:rPr>
                <w:rStyle w:val="IndexLink"/>
                <w:rtl w:val="true"/>
              </w:rPr>
              <w:t>لو ماتت الزوجة و خلّفت كفنين</w:t>
            </w:r>
            <w:r>
              <w:rPr>
                <w:rStyle w:val="IndexLink"/>
                <w:rtl w:val="true"/>
              </w:rPr>
              <w:tab/>
            </w:r>
            <w:r>
              <w:rPr>
                <w:rStyle w:val="IndexLink"/>
              </w:rPr>
              <w:t>232</w:t>
            </w:r>
          </w:hyperlink>
        </w:p>
        <w:p>
          <w:pPr>
            <w:pStyle w:val="Contents6"/>
            <w:tabs>
              <w:tab w:val="clear" w:pos="7609"/>
              <w:tab w:val="right" w:pos="9026" w:leader="dot"/>
            </w:tabs>
            <w:rPr/>
          </w:pPr>
          <w:hyperlink w:anchor="__RefHeading___Toc2492003_3650668749">
            <w:r>
              <w:rPr>
                <w:webHidden/>
                <w:rStyle w:val="IndexLink"/>
                <w:rtl w:val="true"/>
              </w:rPr>
              <w:t>الثالث</w:t>
            </w:r>
            <w:r>
              <w:rPr>
                <w:rStyle w:val="IndexLink"/>
                <w:rtl w:val="true"/>
              </w:rPr>
              <w:t xml:space="preserve">: </w:t>
            </w:r>
            <w:r>
              <w:rPr>
                <w:rStyle w:val="IndexLink"/>
                <w:rtl w:val="true"/>
              </w:rPr>
              <w:t>لو ماتت الزوجة و مات الزوج بعدها و لم يكن في البين إلّا كفن واحد من ماله اختص به</w:t>
            </w:r>
            <w:r>
              <w:rPr>
                <w:rStyle w:val="IndexLink"/>
                <w:rtl w:val="true"/>
              </w:rPr>
              <w:tab/>
            </w:r>
            <w:r>
              <w:rPr>
                <w:rStyle w:val="IndexLink"/>
              </w:rPr>
              <w:t>232</w:t>
            </w:r>
          </w:hyperlink>
        </w:p>
        <w:p>
          <w:pPr>
            <w:pStyle w:val="Contents6"/>
            <w:tabs>
              <w:tab w:val="clear" w:pos="7609"/>
              <w:tab w:val="right" w:pos="9026" w:leader="dot"/>
            </w:tabs>
            <w:rPr/>
          </w:pPr>
          <w:hyperlink w:anchor="__RefHeading___Toc2492005_3650668749">
            <w:r>
              <w:rPr>
                <w:webHidden/>
                <w:rStyle w:val="IndexLink"/>
                <w:rtl w:val="true"/>
              </w:rPr>
              <w:t xml:space="preserve">الرابع </w:t>
            </w:r>
            <w:r>
              <w:rPr>
                <w:rStyle w:val="IndexLink"/>
                <w:rtl w:val="true"/>
              </w:rPr>
              <w:t>[</w:t>
            </w:r>
            <w:r>
              <w:rPr>
                <w:rStyle w:val="IndexLink"/>
                <w:rtl w:val="true"/>
              </w:rPr>
              <w:t>حكم ما لو تقارن موت السيد و العبد</w:t>
            </w:r>
            <w:r>
              <w:rPr>
                <w:rStyle w:val="IndexLink"/>
                <w:rtl w:val="true"/>
              </w:rPr>
              <w:t>]</w:t>
              <w:tab/>
            </w:r>
            <w:r>
              <w:rPr>
                <w:rStyle w:val="IndexLink"/>
              </w:rPr>
              <w:t>233</w:t>
            </w:r>
          </w:hyperlink>
        </w:p>
        <w:p>
          <w:pPr>
            <w:pStyle w:val="Contents6"/>
            <w:tabs>
              <w:tab w:val="clear" w:pos="7609"/>
              <w:tab w:val="right" w:pos="9026" w:leader="dot"/>
            </w:tabs>
            <w:rPr/>
          </w:pPr>
          <w:hyperlink w:anchor="__RefHeading___Toc2492007_3650668749">
            <w:r>
              <w:rPr>
                <w:webHidden/>
                <w:rStyle w:val="IndexLink"/>
                <w:rtl w:val="true"/>
              </w:rPr>
              <w:t>الخامس</w:t>
            </w:r>
            <w:r>
              <w:rPr>
                <w:rStyle w:val="IndexLink"/>
                <w:rtl w:val="true"/>
              </w:rPr>
              <w:t xml:space="preserve">: </w:t>
            </w:r>
            <w:r>
              <w:rPr>
                <w:rStyle w:val="IndexLink"/>
                <w:rtl w:val="true"/>
              </w:rPr>
              <w:t>كفن المملوك على سيّده</w:t>
            </w:r>
            <w:r>
              <w:rPr>
                <w:rStyle w:val="IndexLink"/>
                <w:rtl w:val="true"/>
              </w:rPr>
              <w:tab/>
            </w:r>
            <w:r>
              <w:rPr>
                <w:rStyle w:val="IndexLink"/>
              </w:rPr>
              <w:t>233</w:t>
            </w:r>
          </w:hyperlink>
        </w:p>
        <w:p>
          <w:pPr>
            <w:pStyle w:val="Contents4"/>
            <w:tabs>
              <w:tab w:val="clear" w:pos="8176"/>
              <w:tab w:val="right" w:pos="9026" w:leader="dot"/>
            </w:tabs>
            <w:rPr/>
          </w:pPr>
          <w:hyperlink w:anchor="__RefHeading___Toc2492009_3650668749">
            <w:r>
              <w:rPr>
                <w:webHidden/>
                <w:rStyle w:val="IndexLink"/>
                <w:rtl w:val="true"/>
              </w:rPr>
              <w:t>مسألة</w:t>
            </w:r>
            <w:r>
              <w:rPr>
                <w:rStyle w:val="IndexLink"/>
                <w:rtl w:val="true"/>
              </w:rPr>
              <w:t xml:space="preserve">: </w:t>
            </w:r>
            <w:r>
              <w:rPr>
                <w:rStyle w:val="IndexLink"/>
                <w:rtl w:val="true"/>
              </w:rPr>
              <w:t>لا إشكال في إخراج الكفن من أصل التركة مقدّما على الديون و الوصايا، و الميراث</w:t>
            </w:r>
            <w:r>
              <w:rPr>
                <w:rStyle w:val="IndexLink"/>
                <w:rtl w:val="true"/>
              </w:rPr>
              <w:tab/>
            </w:r>
            <w:r>
              <w:rPr>
                <w:rStyle w:val="IndexLink"/>
              </w:rPr>
              <w:t>233</w:t>
            </w:r>
          </w:hyperlink>
        </w:p>
        <w:p>
          <w:pPr>
            <w:pStyle w:val="Contents4"/>
            <w:tabs>
              <w:tab w:val="clear" w:pos="8176"/>
              <w:tab w:val="right" w:pos="9026" w:leader="dot"/>
            </w:tabs>
            <w:rPr/>
          </w:pPr>
          <w:hyperlink w:anchor="__RefHeading___Toc2492011_3650668749">
            <w:r>
              <w:rPr>
                <w:webHidden/>
                <w:rStyle w:val="IndexLink"/>
                <w:rtl w:val="true"/>
              </w:rPr>
              <w:t>مسألة</w:t>
            </w:r>
            <w:r>
              <w:rPr>
                <w:rStyle w:val="IndexLink"/>
                <w:rtl w:val="true"/>
              </w:rPr>
              <w:t xml:space="preserve">: </w:t>
            </w:r>
            <w:r>
              <w:rPr>
                <w:rStyle w:val="IndexLink"/>
                <w:rtl w:val="true"/>
              </w:rPr>
              <w:t>لا يجب بذل الكفن على أحد من المسلمين لو لم يكن للميت تركة</w:t>
            </w:r>
            <w:r>
              <w:rPr>
                <w:rStyle w:val="IndexLink"/>
                <w:rtl w:val="true"/>
              </w:rPr>
              <w:tab/>
            </w:r>
            <w:r>
              <w:rPr>
                <w:rStyle w:val="IndexLink"/>
              </w:rPr>
              <w:t>235</w:t>
            </w:r>
          </w:hyperlink>
        </w:p>
        <w:p>
          <w:pPr>
            <w:pStyle w:val="Contents4"/>
            <w:tabs>
              <w:tab w:val="clear" w:pos="8176"/>
              <w:tab w:val="right" w:pos="9026" w:leader="dot"/>
            </w:tabs>
            <w:rPr/>
          </w:pPr>
          <w:hyperlink w:anchor="__RefHeading___Toc2492013_3650668749">
            <w:r>
              <w:rPr>
                <w:webHidden/>
                <w:rStyle w:val="IndexLink"/>
                <w:rtl w:val="true"/>
              </w:rPr>
              <w:t>مسألة</w:t>
            </w:r>
            <w:r>
              <w:rPr>
                <w:rStyle w:val="IndexLink"/>
                <w:rtl w:val="true"/>
              </w:rPr>
              <w:t xml:space="preserve">: </w:t>
            </w:r>
            <w:r>
              <w:rPr>
                <w:rStyle w:val="IndexLink"/>
                <w:rtl w:val="true"/>
              </w:rPr>
              <w:t>لو سقط من الميت شي‌ء من شعر، أو ظفر، أو غيرهما وجب طرحه معه في الكفن</w:t>
            </w:r>
            <w:r>
              <w:rPr>
                <w:rStyle w:val="IndexLink"/>
                <w:rtl w:val="true"/>
              </w:rPr>
              <w:tab/>
            </w:r>
            <w:r>
              <w:rPr>
                <w:rStyle w:val="IndexLink"/>
              </w:rPr>
              <w:t>237</w:t>
            </w:r>
          </w:hyperlink>
        </w:p>
        <w:p>
          <w:pPr>
            <w:pStyle w:val="Contents3"/>
            <w:tabs>
              <w:tab w:val="clear" w:pos="8459"/>
              <w:tab w:val="right" w:pos="9026" w:leader="dot"/>
            </w:tabs>
            <w:rPr/>
          </w:pPr>
          <w:hyperlink w:anchor="__RefHeading___Toc2492015_3650668749">
            <w:r>
              <w:rPr>
                <w:webHidden/>
                <w:rStyle w:val="IndexLink"/>
                <w:rtl w:val="true"/>
              </w:rPr>
              <w:t>الرابع</w:t>
            </w:r>
            <w:r>
              <w:rPr>
                <w:rStyle w:val="IndexLink"/>
                <w:rtl w:val="true"/>
              </w:rPr>
              <w:t xml:space="preserve">: </w:t>
            </w:r>
            <w:r>
              <w:rPr>
                <w:rStyle w:val="IndexLink"/>
                <w:rtl w:val="true"/>
              </w:rPr>
              <w:t>من أحكام التجهيز</w:t>
            </w:r>
            <w:r>
              <w:rPr>
                <w:rStyle w:val="IndexLink"/>
                <w:rtl w:val="true"/>
              </w:rPr>
              <w:t xml:space="preserve">: </w:t>
            </w:r>
            <w:r>
              <w:rPr>
                <w:rStyle w:val="IndexLink"/>
                <w:rtl w:val="true"/>
              </w:rPr>
              <w:t>الدفن</w:t>
            </w:r>
            <w:r>
              <w:rPr>
                <w:rStyle w:val="IndexLink"/>
                <w:rtl w:val="true"/>
              </w:rPr>
              <w:tab/>
            </w:r>
            <w:r>
              <w:rPr>
                <w:rStyle w:val="IndexLink"/>
              </w:rPr>
              <w:t>237</w:t>
            </w:r>
          </w:hyperlink>
        </w:p>
        <w:p>
          <w:pPr>
            <w:pStyle w:val="Contents4"/>
            <w:tabs>
              <w:tab w:val="clear" w:pos="8176"/>
              <w:tab w:val="right" w:pos="9026" w:leader="dot"/>
            </w:tabs>
            <w:rPr/>
          </w:pPr>
          <w:hyperlink w:anchor="__RefHeading___Toc2492017_3650668749">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2492019_3650668749">
            <w:r>
              <w:rPr>
                <w:webHidden/>
                <w:rStyle w:val="IndexLink"/>
                <w:rtl w:val="true"/>
              </w:rPr>
              <w:t>مسألة</w:t>
            </w:r>
            <w:r>
              <w:rPr>
                <w:rStyle w:val="IndexLink"/>
                <w:rtl w:val="true"/>
              </w:rPr>
              <w:t xml:space="preserve">: </w:t>
            </w:r>
            <w:r>
              <w:rPr>
                <w:rStyle w:val="IndexLink"/>
                <w:rtl w:val="true"/>
              </w:rPr>
              <w:t>الظاهر أنّه لم يثبت للدفن حقيقة شرعية و لا عرفية، بل هو باق على معناه اللغوي</w:t>
            </w:r>
            <w:r>
              <w:rPr>
                <w:rStyle w:val="IndexLink"/>
                <w:rtl w:val="true"/>
              </w:rPr>
              <w:tab/>
            </w:r>
            <w:r>
              <w:rPr>
                <w:rStyle w:val="IndexLink"/>
              </w:rPr>
              <w:t>237</w:t>
            </w:r>
          </w:hyperlink>
        </w:p>
        <w:p>
          <w:pPr>
            <w:pStyle w:val="Contents4"/>
            <w:tabs>
              <w:tab w:val="clear" w:pos="8176"/>
              <w:tab w:val="right" w:pos="9026" w:leader="dot"/>
            </w:tabs>
            <w:rPr/>
          </w:pPr>
          <w:hyperlink w:anchor="__RefHeading___Toc2492021_3650668749">
            <w:r>
              <w:rPr>
                <w:webHidden/>
                <w:rStyle w:val="IndexLink"/>
                <w:rtl w:val="true"/>
              </w:rPr>
              <w:t>مسألة</w:t>
            </w:r>
            <w:r>
              <w:rPr>
                <w:rStyle w:val="IndexLink"/>
                <w:rtl w:val="true"/>
              </w:rPr>
              <w:t xml:space="preserve">: </w:t>
            </w:r>
            <w:r>
              <w:rPr>
                <w:rStyle w:val="IndexLink"/>
                <w:rtl w:val="true"/>
              </w:rPr>
              <w:t>يعتبر في الدفن أن يكون الميت مستقبلا للقبلة على جنبه الأيمن</w:t>
            </w:r>
            <w:r>
              <w:rPr>
                <w:rStyle w:val="IndexLink"/>
                <w:rtl w:val="true"/>
              </w:rPr>
              <w:tab/>
            </w:r>
            <w:r>
              <w:rPr>
                <w:rStyle w:val="IndexLink"/>
              </w:rPr>
              <w:t>239</w:t>
            </w:r>
          </w:hyperlink>
        </w:p>
        <w:p>
          <w:pPr>
            <w:pStyle w:val="Contents4"/>
            <w:tabs>
              <w:tab w:val="clear" w:pos="8176"/>
              <w:tab w:val="right" w:pos="9026" w:leader="dot"/>
            </w:tabs>
            <w:rPr/>
          </w:pPr>
          <w:hyperlink w:anchor="__RefHeading___Toc2492023_3650668749">
            <w:r>
              <w:rPr>
                <w:webHidden/>
                <w:rStyle w:val="IndexLink"/>
                <w:rtl w:val="true"/>
              </w:rPr>
              <w:t>مسألة</w:t>
            </w:r>
            <w:r>
              <w:rPr>
                <w:rStyle w:val="IndexLink"/>
                <w:rtl w:val="true"/>
              </w:rPr>
              <w:t xml:space="preserve">: </w:t>
            </w:r>
            <w:r>
              <w:rPr>
                <w:rStyle w:val="IndexLink"/>
                <w:rtl w:val="true"/>
              </w:rPr>
              <w:t>يكره نقل الميت من بلد مات فيه إلى بلد آخر، مع الأمن من طرو الفساد و إلّا فيحرم</w:t>
            </w:r>
            <w:r>
              <w:rPr>
                <w:rStyle w:val="IndexLink"/>
                <w:rtl w:val="true"/>
              </w:rPr>
              <w:t>.</w:t>
              <w:tab/>
            </w:r>
            <w:r>
              <w:rPr>
                <w:rStyle w:val="IndexLink"/>
              </w:rPr>
              <w:t>240</w:t>
            </w:r>
          </w:hyperlink>
        </w:p>
        <w:p>
          <w:pPr>
            <w:pStyle w:val="Contents2"/>
            <w:tabs>
              <w:tab w:val="clear" w:pos="8743"/>
              <w:tab w:val="right" w:pos="9026" w:leader="dot"/>
            </w:tabs>
            <w:rPr/>
          </w:pPr>
          <w:hyperlink w:anchor="__RefHeading___Toc2492025_3650668749">
            <w:r>
              <w:rPr>
                <w:webHidden/>
                <w:rStyle w:val="IndexLink"/>
                <w:rtl w:val="true"/>
              </w:rPr>
              <w:t>المبحث الخامس</w:t>
            </w:r>
            <w:r>
              <w:rPr>
                <w:rStyle w:val="IndexLink"/>
                <w:rtl w:val="true"/>
              </w:rPr>
              <w:t xml:space="preserve">: </w:t>
            </w:r>
            <w:r>
              <w:rPr>
                <w:rStyle w:val="IndexLink"/>
                <w:rtl w:val="true"/>
              </w:rPr>
              <w:t>في الطهارة الترابية</w:t>
            </w:r>
            <w:r>
              <w:rPr>
                <w:rStyle w:val="IndexLink"/>
                <w:rtl w:val="true"/>
              </w:rPr>
              <w:tab/>
            </w:r>
            <w:r>
              <w:rPr>
                <w:rStyle w:val="IndexLink"/>
              </w:rPr>
              <w:t>254</w:t>
            </w:r>
          </w:hyperlink>
        </w:p>
        <w:p>
          <w:pPr>
            <w:pStyle w:val="Contents3"/>
            <w:tabs>
              <w:tab w:val="clear" w:pos="8459"/>
              <w:tab w:val="right" w:pos="9026" w:leader="dot"/>
            </w:tabs>
            <w:rPr/>
          </w:pPr>
          <w:hyperlink w:anchor="__RefHeading___Toc2492027_3650668749">
            <w:r>
              <w:rPr>
                <w:webHidden/>
                <w:rStyle w:val="IndexLink"/>
                <w:rtl w:val="true"/>
              </w:rPr>
              <w:t>[</w:t>
            </w:r>
            <w:r>
              <w:rPr>
                <w:rStyle w:val="IndexLink"/>
                <w:rtl w:val="true"/>
              </w:rPr>
              <w:t>التيمم في القرآن الكريم</w:t>
            </w:r>
            <w:r>
              <w:rPr>
                <w:rStyle w:val="IndexLink"/>
                <w:rtl w:val="true"/>
              </w:rPr>
              <w:t>]</w:t>
              <w:tab/>
            </w:r>
            <w:r>
              <w:rPr>
                <w:rStyle w:val="IndexLink"/>
              </w:rPr>
              <w:t>254</w:t>
            </w:r>
          </w:hyperlink>
        </w:p>
        <w:p>
          <w:pPr>
            <w:pStyle w:val="Contents3"/>
            <w:tabs>
              <w:tab w:val="clear" w:pos="8459"/>
              <w:tab w:val="right" w:pos="9026" w:leader="dot"/>
            </w:tabs>
            <w:rPr/>
          </w:pPr>
          <w:hyperlink w:anchor="__RefHeading___Toc2492029_3650668749">
            <w:r>
              <w:rPr>
                <w:webHidden/>
                <w:rStyle w:val="IndexLink"/>
                <w:rtl w:val="true"/>
              </w:rPr>
              <w:t>المبحث الأوّل</w:t>
            </w:r>
            <w:r>
              <w:rPr>
                <w:rStyle w:val="IndexLink"/>
                <w:rtl w:val="true"/>
              </w:rPr>
              <w:t xml:space="preserve">: </w:t>
            </w:r>
            <w:r>
              <w:rPr>
                <w:rStyle w:val="IndexLink"/>
                <w:rtl w:val="true"/>
              </w:rPr>
              <w:t>في الأمور التي يشرع عندها التيمّم و فيها أسباب</w:t>
            </w:r>
            <w:r>
              <w:rPr>
                <w:rStyle w:val="IndexLink"/>
                <w:rtl w:val="true"/>
              </w:rPr>
              <w:tab/>
            </w:r>
            <w:r>
              <w:rPr>
                <w:rStyle w:val="IndexLink"/>
              </w:rPr>
              <w:t>256</w:t>
            </w:r>
          </w:hyperlink>
        </w:p>
        <w:p>
          <w:pPr>
            <w:pStyle w:val="Contents4"/>
            <w:tabs>
              <w:tab w:val="clear" w:pos="8176"/>
              <w:tab w:val="right" w:pos="9026" w:leader="dot"/>
            </w:tabs>
            <w:rPr/>
          </w:pPr>
          <w:hyperlink w:anchor="__RefHeading___Toc2492031_365066874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492033_3650668749">
            <w:r>
              <w:rPr>
                <w:webHidden/>
                <w:rStyle w:val="IndexLink"/>
                <w:rtl w:val="true"/>
              </w:rPr>
              <w:t>[</w:t>
            </w:r>
            <w:r>
              <w:rPr>
                <w:rStyle w:val="IndexLink"/>
                <w:rtl w:val="true"/>
              </w:rPr>
              <w:t>السبب الأول عدم وجود الماء</w:t>
            </w:r>
            <w:r>
              <w:rPr>
                <w:rStyle w:val="IndexLink"/>
                <w:rtl w:val="true"/>
              </w:rPr>
              <w:t>]</w:t>
              <w:tab/>
            </w:r>
            <w:r>
              <w:rPr>
                <w:rStyle w:val="IndexLink"/>
              </w:rPr>
              <w:t>256</w:t>
            </w:r>
          </w:hyperlink>
        </w:p>
        <w:p>
          <w:pPr>
            <w:pStyle w:val="Contents5"/>
            <w:tabs>
              <w:tab w:val="clear" w:pos="7892"/>
              <w:tab w:val="right" w:pos="9026" w:leader="dot"/>
            </w:tabs>
            <w:rPr/>
          </w:pPr>
          <w:hyperlink w:anchor="__RefHeading___Toc2492035_3650668749">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2492037_3650668749">
            <w:r>
              <w:rPr>
                <w:webHidden/>
                <w:rStyle w:val="IndexLink"/>
                <w:rtl w:val="true"/>
              </w:rPr>
              <w:t>مسألة</w:t>
            </w:r>
            <w:r>
              <w:rPr>
                <w:rStyle w:val="IndexLink"/>
                <w:rtl w:val="true"/>
              </w:rPr>
              <w:t xml:space="preserve">: </w:t>
            </w:r>
            <w:r>
              <w:rPr>
                <w:rStyle w:val="IndexLink"/>
                <w:rtl w:val="true"/>
              </w:rPr>
              <w:t>يجب الفحص عند عدم الماء و لا يجوز التيمّم قبله</w:t>
            </w:r>
            <w:r>
              <w:rPr>
                <w:rStyle w:val="IndexLink"/>
                <w:rtl w:val="true"/>
              </w:rPr>
              <w:t>:</w:t>
              <w:tab/>
            </w:r>
            <w:r>
              <w:rPr>
                <w:rStyle w:val="IndexLink"/>
              </w:rPr>
              <w:t>256</w:t>
            </w:r>
          </w:hyperlink>
        </w:p>
        <w:p>
          <w:pPr>
            <w:pStyle w:val="Contents5"/>
            <w:tabs>
              <w:tab w:val="clear" w:pos="7892"/>
              <w:tab w:val="right" w:pos="9026" w:leader="dot"/>
            </w:tabs>
            <w:rPr/>
          </w:pPr>
          <w:hyperlink w:anchor="__RefHeading___Toc2492039_3650668749">
            <w:r>
              <w:rPr>
                <w:webHidden/>
                <w:rStyle w:val="IndexLink"/>
                <w:rtl w:val="true"/>
              </w:rPr>
              <w:t>مسألة</w:t>
            </w:r>
            <w:r>
              <w:rPr>
                <w:rStyle w:val="IndexLink"/>
                <w:rtl w:val="true"/>
              </w:rPr>
              <w:t xml:space="preserve">: </w:t>
            </w:r>
            <w:r>
              <w:rPr>
                <w:rStyle w:val="IndexLink"/>
                <w:rtl w:val="true"/>
              </w:rPr>
              <w:t>لو خالف و ترك الفحص في السعة و أخّر الصلاة</w:t>
            </w:r>
            <w:r>
              <w:rPr>
                <w:rStyle w:val="IndexLink"/>
                <w:rtl w:val="true"/>
              </w:rPr>
              <w:tab/>
            </w:r>
            <w:r>
              <w:rPr>
                <w:rStyle w:val="IndexLink"/>
              </w:rPr>
              <w:t>262</w:t>
            </w:r>
          </w:hyperlink>
        </w:p>
        <w:p>
          <w:pPr>
            <w:pStyle w:val="Contents5"/>
            <w:tabs>
              <w:tab w:val="clear" w:pos="7892"/>
              <w:tab w:val="right" w:pos="9026" w:leader="dot"/>
            </w:tabs>
            <w:rPr/>
          </w:pPr>
          <w:hyperlink w:anchor="__RefHeading___Toc2492041_3650668749">
            <w:r>
              <w:rPr>
                <w:webHidden/>
                <w:rStyle w:val="IndexLink"/>
                <w:rtl w:val="true"/>
              </w:rPr>
              <w:t>مسألة</w:t>
            </w:r>
            <w:r>
              <w:rPr>
                <w:rStyle w:val="IndexLink"/>
                <w:rtl w:val="true"/>
              </w:rPr>
              <w:t xml:space="preserve">: </w:t>
            </w:r>
            <w:r>
              <w:rPr>
                <w:rStyle w:val="IndexLink"/>
                <w:rtl w:val="true"/>
              </w:rPr>
              <w:t>لو تفحّص في مسافة الغلوة أو الغلوتين و لم يعثر على الماء فتيمّم و صلّى، ثمّ انكشف وجود الماء في تلك المسافة</w:t>
            </w:r>
            <w:r>
              <w:rPr>
                <w:rStyle w:val="IndexLink"/>
                <w:rtl w:val="true"/>
              </w:rPr>
              <w:tab/>
            </w:r>
            <w:r>
              <w:rPr>
                <w:rStyle w:val="IndexLink"/>
              </w:rPr>
              <w:t>266</w:t>
            </w:r>
          </w:hyperlink>
        </w:p>
        <w:p>
          <w:pPr>
            <w:pStyle w:val="Contents5"/>
            <w:tabs>
              <w:tab w:val="clear" w:pos="7892"/>
              <w:tab w:val="right" w:pos="9026" w:leader="dot"/>
            </w:tabs>
            <w:rPr/>
          </w:pPr>
          <w:hyperlink w:anchor="__RefHeading___Toc2492043_3650668749">
            <w:r>
              <w:rPr>
                <w:webHidden/>
                <w:rStyle w:val="IndexLink"/>
                <w:rtl w:val="true"/>
              </w:rPr>
              <w:t>مسألة</w:t>
            </w:r>
            <w:r>
              <w:rPr>
                <w:rStyle w:val="IndexLink"/>
                <w:rtl w:val="true"/>
              </w:rPr>
              <w:t xml:space="preserve">: </w:t>
            </w:r>
            <w:r>
              <w:rPr>
                <w:rStyle w:val="IndexLink"/>
                <w:rtl w:val="true"/>
              </w:rPr>
              <w:t>لو كان عنده الماء و لم يكن كافيا للغسل أو الوضوء</w:t>
            </w:r>
            <w:r>
              <w:rPr>
                <w:rStyle w:val="IndexLink"/>
                <w:rtl w:val="true"/>
              </w:rPr>
              <w:tab/>
            </w:r>
            <w:r>
              <w:rPr>
                <w:rStyle w:val="IndexLink"/>
              </w:rPr>
              <w:t>267</w:t>
            </w:r>
          </w:hyperlink>
        </w:p>
        <w:p>
          <w:pPr>
            <w:pStyle w:val="Contents4"/>
            <w:tabs>
              <w:tab w:val="clear" w:pos="8176"/>
              <w:tab w:val="right" w:pos="9026" w:leader="dot"/>
            </w:tabs>
            <w:rPr/>
          </w:pPr>
          <w:hyperlink w:anchor="__RefHeading___Toc2492045_3650668749">
            <w:r>
              <w:rPr>
                <w:webHidden/>
                <w:rStyle w:val="IndexLink"/>
                <w:rtl w:val="true"/>
              </w:rPr>
              <w:t>السبب الثاني</w:t>
            </w:r>
            <w:r>
              <w:rPr>
                <w:rStyle w:val="IndexLink"/>
                <w:rtl w:val="true"/>
              </w:rPr>
              <w:t xml:space="preserve">: </w:t>
            </w:r>
            <w:r>
              <w:rPr>
                <w:rStyle w:val="IndexLink"/>
                <w:rtl w:val="true"/>
              </w:rPr>
              <w:t>عدم إمكان الوصول إلى الماء مع وجوده</w:t>
            </w:r>
            <w:r>
              <w:rPr>
                <w:rStyle w:val="IndexLink"/>
                <w:rtl w:val="true"/>
              </w:rPr>
              <w:tab/>
            </w:r>
            <w:r>
              <w:rPr>
                <w:rStyle w:val="IndexLink"/>
              </w:rPr>
              <w:t>268</w:t>
            </w:r>
          </w:hyperlink>
        </w:p>
        <w:p>
          <w:pPr>
            <w:pStyle w:val="Contents5"/>
            <w:tabs>
              <w:tab w:val="clear" w:pos="7892"/>
              <w:tab w:val="right" w:pos="9026" w:leader="dot"/>
            </w:tabs>
            <w:rPr/>
          </w:pPr>
          <w:hyperlink w:anchor="__RefHeading___Toc2492047_3650668749">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2492049_3650668749">
            <w:r>
              <w:rPr>
                <w:webHidden/>
                <w:rStyle w:val="IndexLink"/>
                <w:rtl w:val="true"/>
              </w:rPr>
              <w:t>مسألة</w:t>
            </w:r>
            <w:r>
              <w:rPr>
                <w:rStyle w:val="IndexLink"/>
                <w:rtl w:val="true"/>
              </w:rPr>
              <w:t xml:space="preserve">: </w:t>
            </w:r>
            <w:r>
              <w:rPr>
                <w:rStyle w:val="IndexLink"/>
                <w:rtl w:val="true"/>
              </w:rPr>
              <w:t>لو توقّف تحصيل الماء على الشراء وجب</w:t>
            </w:r>
            <w:r>
              <w:rPr>
                <w:rStyle w:val="IndexLink"/>
                <w:rtl w:val="true"/>
              </w:rPr>
              <w:tab/>
            </w:r>
            <w:r>
              <w:rPr>
                <w:rStyle w:val="IndexLink"/>
              </w:rPr>
              <w:t>271</w:t>
            </w:r>
          </w:hyperlink>
        </w:p>
        <w:p>
          <w:pPr>
            <w:pStyle w:val="Contents4"/>
            <w:tabs>
              <w:tab w:val="clear" w:pos="8176"/>
              <w:tab w:val="right" w:pos="9026" w:leader="dot"/>
            </w:tabs>
            <w:rPr/>
          </w:pPr>
          <w:hyperlink w:anchor="__RefHeading___Toc2492051_3650668749">
            <w:r>
              <w:rPr>
                <w:webHidden/>
                <w:rStyle w:val="IndexLink"/>
                <w:rtl w:val="true"/>
              </w:rPr>
              <w:t>السبب الثالث</w:t>
            </w:r>
            <w:r>
              <w:rPr>
                <w:rStyle w:val="IndexLink"/>
                <w:rtl w:val="true"/>
              </w:rPr>
              <w:t xml:space="preserve">: </w:t>
            </w:r>
            <w:r>
              <w:rPr>
                <w:rStyle w:val="IndexLink"/>
                <w:rtl w:val="true"/>
              </w:rPr>
              <w:t>الخوف من استعمال الماء على النفس، أو العرض، أو المال في الجملة</w:t>
            </w:r>
            <w:r>
              <w:rPr>
                <w:rStyle w:val="IndexLink"/>
                <w:rtl w:val="true"/>
              </w:rPr>
              <w:tab/>
            </w:r>
            <w:r>
              <w:rPr>
                <w:rStyle w:val="IndexLink"/>
              </w:rPr>
              <w:t>272</w:t>
            </w:r>
          </w:hyperlink>
        </w:p>
        <w:p>
          <w:pPr>
            <w:pStyle w:val="Contents5"/>
            <w:tabs>
              <w:tab w:val="clear" w:pos="7892"/>
              <w:tab w:val="right" w:pos="9026" w:leader="dot"/>
            </w:tabs>
            <w:rPr/>
          </w:pPr>
          <w:hyperlink w:anchor="__RefHeading___Toc2492053_3650668749">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2492055_3650668749">
            <w:r>
              <w:rPr>
                <w:webHidden/>
                <w:rStyle w:val="IndexLink"/>
                <w:rtl w:val="true"/>
              </w:rPr>
              <w:t xml:space="preserve">مسألة </w:t>
            </w:r>
            <w:r>
              <w:rPr>
                <w:rStyle w:val="IndexLink"/>
                <w:rtl w:val="true"/>
              </w:rPr>
              <w:t>[</w:t>
            </w:r>
            <w:r>
              <w:rPr>
                <w:rStyle w:val="IndexLink"/>
                <w:rtl w:val="true"/>
              </w:rPr>
              <w:t>في الضرر المالي</w:t>
            </w:r>
            <w:r>
              <w:rPr>
                <w:rStyle w:val="IndexLink"/>
                <w:rtl w:val="true"/>
              </w:rPr>
              <w:t>]</w:t>
              <w:tab/>
            </w:r>
            <w:r>
              <w:rPr>
                <w:rStyle w:val="IndexLink"/>
              </w:rPr>
              <w:t>274</w:t>
            </w:r>
          </w:hyperlink>
        </w:p>
        <w:p>
          <w:pPr>
            <w:pStyle w:val="Contents5"/>
            <w:tabs>
              <w:tab w:val="clear" w:pos="7892"/>
              <w:tab w:val="right" w:pos="9026" w:leader="dot"/>
            </w:tabs>
            <w:rPr/>
          </w:pPr>
          <w:hyperlink w:anchor="__RefHeading___Toc2492057_3650668749">
            <w:r>
              <w:rPr>
                <w:webHidden/>
                <w:rStyle w:val="IndexLink"/>
                <w:rtl w:val="true"/>
              </w:rPr>
              <w:t>مسألة</w:t>
            </w:r>
            <w:r>
              <w:rPr>
                <w:rStyle w:val="IndexLink"/>
                <w:rtl w:val="true"/>
              </w:rPr>
              <w:t xml:space="preserve">: </w:t>
            </w:r>
            <w:r>
              <w:rPr>
                <w:rStyle w:val="IndexLink"/>
                <w:rtl w:val="true"/>
              </w:rPr>
              <w:t>لا فرق في انتقال الوظيفة إلى التيمّم بين كون سببه باختيار المكلّف و عدمه</w:t>
            </w:r>
            <w:r>
              <w:rPr>
                <w:rStyle w:val="IndexLink"/>
                <w:rtl w:val="true"/>
              </w:rPr>
              <w:tab/>
            </w:r>
            <w:r>
              <w:rPr>
                <w:rStyle w:val="IndexLink"/>
              </w:rPr>
              <w:t>277</w:t>
            </w:r>
          </w:hyperlink>
        </w:p>
        <w:p>
          <w:pPr>
            <w:pStyle w:val="Contents5"/>
            <w:tabs>
              <w:tab w:val="clear" w:pos="7892"/>
              <w:tab w:val="right" w:pos="9026" w:leader="dot"/>
            </w:tabs>
            <w:rPr/>
          </w:pPr>
          <w:hyperlink w:anchor="__RefHeading___Toc2492059_3650668749">
            <w:r>
              <w:rPr>
                <w:webHidden/>
                <w:rStyle w:val="IndexLink"/>
                <w:rtl w:val="true"/>
              </w:rPr>
              <w:t xml:space="preserve">مسألة </w:t>
            </w:r>
            <w:r>
              <w:rPr>
                <w:rStyle w:val="IndexLink"/>
                <w:rtl w:val="true"/>
              </w:rPr>
              <w:t>[</w:t>
            </w:r>
            <w:r>
              <w:rPr>
                <w:rStyle w:val="IndexLink"/>
                <w:rtl w:val="true"/>
              </w:rPr>
              <w:t>هل الشين داخل في عنوان الحرج</w:t>
            </w:r>
            <w:r>
              <w:rPr>
                <w:rStyle w:val="IndexLink"/>
                <w:rtl w:val="true"/>
              </w:rPr>
              <w:t>]</w:t>
              <w:tab/>
            </w:r>
            <w:r>
              <w:rPr>
                <w:rStyle w:val="IndexLink"/>
              </w:rPr>
              <w:t>280</w:t>
            </w:r>
          </w:hyperlink>
        </w:p>
        <w:p>
          <w:pPr>
            <w:pStyle w:val="Contents5"/>
            <w:tabs>
              <w:tab w:val="clear" w:pos="7892"/>
              <w:tab w:val="right" w:pos="9026" w:leader="dot"/>
            </w:tabs>
            <w:rPr/>
          </w:pPr>
          <w:hyperlink w:anchor="__RefHeading___Toc2492061_3650668749">
            <w:r>
              <w:rPr>
                <w:webHidden/>
                <w:rStyle w:val="IndexLink"/>
                <w:rtl w:val="true"/>
              </w:rPr>
              <w:t>مسألة</w:t>
            </w:r>
            <w:r>
              <w:rPr>
                <w:rStyle w:val="IndexLink"/>
                <w:rtl w:val="true"/>
              </w:rPr>
              <w:t xml:space="preserve">: </w:t>
            </w:r>
            <w:r>
              <w:rPr>
                <w:rStyle w:val="IndexLink"/>
                <w:rtl w:val="true"/>
              </w:rPr>
              <w:t>و لو خاف العطش من جهة قلّة الماء لو استعمله في الطهارة المائية جاز التيمّم</w:t>
            </w:r>
            <w:r>
              <w:rPr>
                <w:rStyle w:val="IndexLink"/>
                <w:rtl w:val="true"/>
              </w:rPr>
              <w:tab/>
            </w:r>
            <w:r>
              <w:rPr>
                <w:rStyle w:val="IndexLink"/>
              </w:rPr>
              <w:t>281</w:t>
            </w:r>
          </w:hyperlink>
        </w:p>
        <w:p>
          <w:pPr>
            <w:pStyle w:val="Contents5"/>
            <w:tabs>
              <w:tab w:val="clear" w:pos="7892"/>
              <w:tab w:val="right" w:pos="9026" w:leader="dot"/>
            </w:tabs>
            <w:rPr/>
          </w:pPr>
          <w:hyperlink w:anchor="__RefHeading___Toc2492063_3650668749">
            <w:r>
              <w:rPr>
                <w:webHidden/>
                <w:rStyle w:val="IndexLink"/>
                <w:rtl w:val="true"/>
              </w:rPr>
              <w:t>مسألة</w:t>
            </w:r>
            <w:r>
              <w:rPr>
                <w:rStyle w:val="IndexLink"/>
                <w:rtl w:val="true"/>
              </w:rPr>
              <w:t xml:space="preserve">: </w:t>
            </w:r>
            <w:r>
              <w:rPr>
                <w:rStyle w:val="IndexLink"/>
                <w:rtl w:val="true"/>
              </w:rPr>
              <w:t>لو انحصر الماء في مضاف مخلوط بالطين فلا إشكال أنّه في ضيق الوقت ينتقل إلى التيمّم</w:t>
            </w:r>
            <w:r>
              <w:rPr>
                <w:rStyle w:val="IndexLink"/>
                <w:rtl w:val="true"/>
              </w:rPr>
              <w:tab/>
            </w:r>
            <w:r>
              <w:rPr>
                <w:rStyle w:val="IndexLink"/>
              </w:rPr>
              <w:t>282</w:t>
            </w:r>
          </w:hyperlink>
        </w:p>
        <w:p>
          <w:pPr>
            <w:pStyle w:val="Contents5"/>
            <w:tabs>
              <w:tab w:val="clear" w:pos="7892"/>
              <w:tab w:val="right" w:pos="9026" w:leader="dot"/>
            </w:tabs>
            <w:rPr/>
          </w:pPr>
          <w:hyperlink w:anchor="__RefHeading___Toc2492065_3650668749">
            <w:r>
              <w:rPr>
                <w:webHidden/>
                <w:rStyle w:val="IndexLink"/>
                <w:rtl w:val="true"/>
              </w:rPr>
              <w:t xml:space="preserve">مسألة </w:t>
            </w:r>
            <w:r>
              <w:rPr>
                <w:rStyle w:val="IndexLink"/>
                <w:rtl w:val="true"/>
              </w:rPr>
              <w:t>[</w:t>
            </w:r>
            <w:r>
              <w:rPr>
                <w:rStyle w:val="IndexLink"/>
                <w:rtl w:val="true"/>
              </w:rPr>
              <w:t>في الخوف و تفاصيله</w:t>
            </w:r>
            <w:r>
              <w:rPr>
                <w:rStyle w:val="IndexLink"/>
                <w:rtl w:val="true"/>
              </w:rPr>
              <w:t>]</w:t>
              <w:tab/>
            </w:r>
            <w:r>
              <w:rPr>
                <w:rStyle w:val="IndexLink"/>
              </w:rPr>
              <w:t>283</w:t>
            </w:r>
          </w:hyperlink>
        </w:p>
        <w:p>
          <w:pPr>
            <w:pStyle w:val="Contents5"/>
            <w:tabs>
              <w:tab w:val="clear" w:pos="7892"/>
              <w:tab w:val="right" w:pos="9026" w:leader="dot"/>
            </w:tabs>
            <w:rPr/>
          </w:pPr>
          <w:hyperlink w:anchor="__RefHeading___Toc2492067_3650668749">
            <w:r>
              <w:rPr>
                <w:webHidden/>
                <w:rStyle w:val="IndexLink"/>
                <w:rtl w:val="true"/>
              </w:rPr>
              <w:t>مسألة</w:t>
            </w:r>
            <w:r>
              <w:rPr>
                <w:rStyle w:val="IndexLink"/>
                <w:rtl w:val="true"/>
              </w:rPr>
              <w:t xml:space="preserve">: </w:t>
            </w:r>
            <w:r>
              <w:rPr>
                <w:rStyle w:val="IndexLink"/>
                <w:rtl w:val="true"/>
              </w:rPr>
              <w:t>هل التيمّم في موارده مشروع رخصة أو عزيمة؟</w:t>
            </w:r>
            <w:r>
              <w:rPr>
                <w:rStyle w:val="IndexLink"/>
                <w:rtl w:val="true"/>
              </w:rPr>
              <w:tab/>
            </w:r>
            <w:r>
              <w:rPr>
                <w:rStyle w:val="IndexLink"/>
              </w:rPr>
              <w:t>284</w:t>
            </w:r>
          </w:hyperlink>
        </w:p>
        <w:p>
          <w:pPr>
            <w:pStyle w:val="Contents5"/>
            <w:tabs>
              <w:tab w:val="clear" w:pos="7892"/>
              <w:tab w:val="right" w:pos="9026" w:leader="dot"/>
            </w:tabs>
            <w:rPr/>
          </w:pPr>
          <w:hyperlink w:anchor="__RefHeading___Toc2492069_3650668749">
            <w:r>
              <w:rPr>
                <w:webHidden/>
                <w:rStyle w:val="IndexLink"/>
                <w:rtl w:val="true"/>
              </w:rPr>
              <w:t>مسألة</w:t>
            </w:r>
            <w:r>
              <w:rPr>
                <w:rStyle w:val="IndexLink"/>
                <w:rtl w:val="true"/>
              </w:rPr>
              <w:t xml:space="preserve">: </w:t>
            </w:r>
            <w:r>
              <w:rPr>
                <w:rStyle w:val="IndexLink"/>
                <w:rtl w:val="true"/>
              </w:rPr>
              <w:t>في الموارد التي يجب فيها التيمّم تعيينا لو خالف و توضّأ أو اغتسل، فهل يصحّ الوضوء و الغسل أو لا؟</w:t>
            </w:r>
            <w:r>
              <w:rPr>
                <w:rStyle w:val="IndexLink"/>
                <w:rtl w:val="true"/>
              </w:rPr>
              <w:tab/>
            </w:r>
            <w:r>
              <w:rPr>
                <w:rStyle w:val="IndexLink"/>
              </w:rPr>
              <w:t>284</w:t>
            </w:r>
          </w:hyperlink>
        </w:p>
        <w:p>
          <w:pPr>
            <w:pStyle w:val="Contents5"/>
            <w:tabs>
              <w:tab w:val="clear" w:pos="7892"/>
              <w:tab w:val="right" w:pos="9026" w:leader="dot"/>
            </w:tabs>
            <w:rPr/>
          </w:pPr>
          <w:hyperlink w:anchor="__RefHeading___Toc2492071_3650668749">
            <w:r>
              <w:rPr>
                <w:webHidden/>
                <w:rStyle w:val="IndexLink"/>
                <w:rtl w:val="true"/>
              </w:rPr>
              <w:t xml:space="preserve">مسألة </w:t>
            </w:r>
            <w:r>
              <w:rPr>
                <w:rStyle w:val="IndexLink"/>
                <w:rtl w:val="true"/>
              </w:rPr>
              <w:t>[</w:t>
            </w:r>
            <w:r>
              <w:rPr>
                <w:rStyle w:val="IndexLink"/>
                <w:rtl w:val="true"/>
              </w:rPr>
              <w:t>في بطلان الوضوء من جهة الاتحاد مع الحرام</w:t>
            </w:r>
            <w:r>
              <w:rPr>
                <w:rStyle w:val="IndexLink"/>
                <w:rtl w:val="true"/>
              </w:rPr>
              <w:t>]</w:t>
              <w:tab/>
            </w:r>
            <w:r>
              <w:rPr>
                <w:rStyle w:val="IndexLink"/>
              </w:rPr>
              <w:t>288</w:t>
            </w:r>
          </w:hyperlink>
        </w:p>
        <w:p>
          <w:pPr>
            <w:pStyle w:val="Contents6"/>
            <w:tabs>
              <w:tab w:val="clear" w:pos="7609"/>
              <w:tab w:val="right" w:pos="9026" w:leader="dot"/>
            </w:tabs>
            <w:rPr/>
          </w:pPr>
          <w:hyperlink w:anchor="__RefHeading___Toc2492073_3650668749">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2492075_3650668749">
            <w:r>
              <w:rPr>
                <w:webHidden/>
                <w:rStyle w:val="IndexLink"/>
                <w:rtl w:val="true"/>
              </w:rPr>
              <w:t>تذييل</w:t>
            </w:r>
            <w:r>
              <w:rPr>
                <w:rStyle w:val="IndexLink"/>
                <w:rtl w:val="true"/>
              </w:rPr>
              <w:t xml:space="preserve">: </w:t>
            </w:r>
            <w:r>
              <w:rPr>
                <w:rStyle w:val="IndexLink"/>
                <w:rtl w:val="true"/>
              </w:rPr>
              <w:t>لو عصى و ارتمس في الماء مع كونه مضرّا بنفسه، أو كونه مغصوبا فنوى بخروجه الغسل لم يصحّ</w:t>
            </w:r>
            <w:r>
              <w:rPr>
                <w:rStyle w:val="IndexLink"/>
                <w:rtl w:val="true"/>
              </w:rPr>
              <w:tab/>
            </w:r>
            <w:r>
              <w:rPr>
                <w:rStyle w:val="IndexLink"/>
              </w:rPr>
              <w:t>288</w:t>
            </w:r>
          </w:hyperlink>
        </w:p>
        <w:p>
          <w:pPr>
            <w:pStyle w:val="Contents3"/>
            <w:tabs>
              <w:tab w:val="clear" w:pos="8459"/>
              <w:tab w:val="right" w:pos="9026" w:leader="dot"/>
            </w:tabs>
            <w:rPr/>
          </w:pPr>
          <w:hyperlink w:anchor="__RefHeading___Toc2492077_3650668749">
            <w:r>
              <w:rPr>
                <w:webHidden/>
                <w:rStyle w:val="IndexLink"/>
                <w:rtl w:val="true"/>
              </w:rPr>
              <w:t>المبحث الثاني</w:t>
            </w:r>
            <w:r>
              <w:rPr>
                <w:rStyle w:val="IndexLink"/>
                <w:rtl w:val="true"/>
              </w:rPr>
              <w:t xml:space="preserve">: </w:t>
            </w:r>
            <w:r>
              <w:rPr>
                <w:rStyle w:val="IndexLink"/>
                <w:rtl w:val="true"/>
              </w:rPr>
              <w:t>في تعيين ما يتيمّم به جنسا و وصفا</w:t>
            </w:r>
            <w:r>
              <w:rPr>
                <w:rStyle w:val="IndexLink"/>
                <w:rtl w:val="true"/>
              </w:rPr>
              <w:t>:</w:t>
              <w:tab/>
            </w:r>
            <w:r>
              <w:rPr>
                <w:rStyle w:val="IndexLink"/>
              </w:rPr>
              <w:t>289</w:t>
            </w:r>
          </w:hyperlink>
        </w:p>
        <w:p>
          <w:pPr>
            <w:pStyle w:val="Contents4"/>
            <w:tabs>
              <w:tab w:val="clear" w:pos="8176"/>
              <w:tab w:val="right" w:pos="9026" w:leader="dot"/>
            </w:tabs>
            <w:rPr/>
          </w:pPr>
          <w:hyperlink w:anchor="__RefHeading___Toc2492079_3650668749">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2492081_3650668749">
            <w:r>
              <w:rPr>
                <w:webHidden/>
                <w:rStyle w:val="IndexLink"/>
                <w:rtl w:val="true"/>
              </w:rPr>
              <w:t>فرع</w:t>
            </w:r>
            <w:r>
              <w:rPr>
                <w:rStyle w:val="IndexLink"/>
                <w:rtl w:val="true"/>
              </w:rPr>
              <w:t xml:space="preserve">: </w:t>
            </w:r>
            <w:r>
              <w:rPr>
                <w:rStyle w:val="IndexLink"/>
                <w:rtl w:val="true"/>
              </w:rPr>
              <w:t>و لا يجوز التيمّم بالمعادن الخارجة عن اسم الأرض بالاستحالة</w:t>
            </w:r>
            <w:r>
              <w:rPr>
                <w:rStyle w:val="IndexLink"/>
                <w:rtl w:val="true"/>
              </w:rPr>
              <w:tab/>
            </w:r>
            <w:r>
              <w:rPr>
                <w:rStyle w:val="IndexLink"/>
              </w:rPr>
              <w:t>297</w:t>
            </w:r>
          </w:hyperlink>
        </w:p>
        <w:p>
          <w:pPr>
            <w:pStyle w:val="Contents4"/>
            <w:tabs>
              <w:tab w:val="clear" w:pos="8176"/>
              <w:tab w:val="right" w:pos="9026" w:leader="dot"/>
            </w:tabs>
            <w:rPr/>
          </w:pPr>
          <w:hyperlink w:anchor="__RefHeading___Toc2492083_3650668749">
            <w:r>
              <w:rPr>
                <w:webHidden/>
                <w:rStyle w:val="IndexLink"/>
                <w:rtl w:val="true"/>
              </w:rPr>
              <w:t>مسألة</w:t>
            </w:r>
            <w:r>
              <w:rPr>
                <w:rStyle w:val="IndexLink"/>
                <w:rtl w:val="true"/>
              </w:rPr>
              <w:t xml:space="preserve">: </w:t>
            </w:r>
            <w:r>
              <w:rPr>
                <w:rStyle w:val="IndexLink"/>
                <w:rtl w:val="true"/>
              </w:rPr>
              <w:t>لو شكّ في صدق اسم الأرض على شي‌ء</w:t>
            </w:r>
            <w:r>
              <w:rPr>
                <w:rStyle w:val="IndexLink"/>
                <w:rtl w:val="true"/>
              </w:rPr>
              <w:tab/>
            </w:r>
            <w:r>
              <w:rPr>
                <w:rStyle w:val="IndexLink"/>
              </w:rPr>
              <w:t>298</w:t>
            </w:r>
          </w:hyperlink>
        </w:p>
        <w:p>
          <w:pPr>
            <w:pStyle w:val="Contents4"/>
            <w:tabs>
              <w:tab w:val="clear" w:pos="8176"/>
              <w:tab w:val="right" w:pos="9026" w:leader="dot"/>
            </w:tabs>
            <w:rPr/>
          </w:pPr>
          <w:hyperlink w:anchor="__RefHeading___Toc2492085_3650668749">
            <w:r>
              <w:rPr>
                <w:webHidden/>
                <w:rStyle w:val="IndexLink"/>
                <w:rtl w:val="true"/>
              </w:rPr>
              <w:t>مسألة</w:t>
            </w:r>
            <w:r>
              <w:rPr>
                <w:rStyle w:val="IndexLink"/>
                <w:rtl w:val="true"/>
              </w:rPr>
              <w:t xml:space="preserve">: </w:t>
            </w:r>
            <w:r>
              <w:rPr>
                <w:rStyle w:val="IndexLink"/>
                <w:rtl w:val="true"/>
              </w:rPr>
              <w:t>يعتبر فيما يتيمّم به أن يكون مباحا</w:t>
            </w:r>
            <w:r>
              <w:rPr>
                <w:rStyle w:val="IndexLink"/>
                <w:rtl w:val="true"/>
              </w:rPr>
              <w:tab/>
            </w:r>
            <w:r>
              <w:rPr>
                <w:rStyle w:val="IndexLink"/>
              </w:rPr>
              <w:t>299</w:t>
            </w:r>
          </w:hyperlink>
        </w:p>
        <w:p>
          <w:pPr>
            <w:pStyle w:val="Contents4"/>
            <w:tabs>
              <w:tab w:val="clear" w:pos="8176"/>
              <w:tab w:val="right" w:pos="9026" w:leader="dot"/>
            </w:tabs>
            <w:rPr/>
          </w:pPr>
          <w:hyperlink w:anchor="__RefHeading___Toc2492087_3650668749">
            <w:r>
              <w:rPr>
                <w:webHidden/>
                <w:rStyle w:val="IndexLink"/>
                <w:rtl w:val="true"/>
              </w:rPr>
              <w:t>مسألة</w:t>
            </w:r>
            <w:r>
              <w:rPr>
                <w:rStyle w:val="IndexLink"/>
                <w:rtl w:val="true"/>
              </w:rPr>
              <w:t xml:space="preserve">: </w:t>
            </w:r>
            <w:r>
              <w:rPr>
                <w:rStyle w:val="IndexLink"/>
                <w:rtl w:val="true"/>
              </w:rPr>
              <w:t>لو تعذّر عليه التيمّم بمطلق ما يسمّى باسم الأرض انتقل إلى التيمّم بالغبار</w:t>
            </w:r>
            <w:r>
              <w:rPr>
                <w:rStyle w:val="IndexLink"/>
                <w:rtl w:val="true"/>
              </w:rPr>
              <w:tab/>
            </w:r>
            <w:r>
              <w:rPr>
                <w:rStyle w:val="IndexLink"/>
              </w:rPr>
              <w:t>301</w:t>
            </w:r>
          </w:hyperlink>
        </w:p>
        <w:p>
          <w:pPr>
            <w:pStyle w:val="Contents4"/>
            <w:tabs>
              <w:tab w:val="clear" w:pos="8176"/>
              <w:tab w:val="right" w:pos="9026" w:leader="dot"/>
            </w:tabs>
            <w:rPr/>
          </w:pPr>
          <w:hyperlink w:anchor="__RefHeading___Toc2492089_3650668749">
            <w:r>
              <w:rPr>
                <w:webHidden/>
                <w:rStyle w:val="IndexLink"/>
                <w:rtl w:val="true"/>
              </w:rPr>
              <w:t>مسألة</w:t>
            </w:r>
            <w:r>
              <w:rPr>
                <w:rStyle w:val="IndexLink"/>
                <w:rtl w:val="true"/>
              </w:rPr>
              <w:t xml:space="preserve">: </w:t>
            </w:r>
            <w:r>
              <w:rPr>
                <w:rStyle w:val="IndexLink"/>
                <w:rtl w:val="true"/>
              </w:rPr>
              <w:t>لو تعذّر عليه التيمّم بالغبار لفقد و نحوه، انتقل إلى المرتبة الثالثة و هو التيمّم بالوحل</w:t>
            </w:r>
            <w:r>
              <w:rPr>
                <w:rStyle w:val="IndexLink"/>
                <w:rtl w:val="true"/>
              </w:rPr>
              <w:tab/>
            </w:r>
            <w:r>
              <w:rPr>
                <w:rStyle w:val="IndexLink"/>
              </w:rPr>
              <w:t>303</w:t>
            </w:r>
          </w:hyperlink>
        </w:p>
        <w:p>
          <w:pPr>
            <w:pStyle w:val="Contents4"/>
            <w:tabs>
              <w:tab w:val="clear" w:pos="8176"/>
              <w:tab w:val="right" w:pos="9026" w:leader="dot"/>
            </w:tabs>
            <w:rPr/>
          </w:pPr>
          <w:hyperlink w:anchor="__RefHeading___Toc2492091_3650668749">
            <w:r>
              <w:rPr>
                <w:webHidden/>
                <w:rStyle w:val="IndexLink"/>
                <w:rtl w:val="true"/>
              </w:rPr>
              <w:t xml:space="preserve">مسألة </w:t>
            </w:r>
            <w:r>
              <w:rPr>
                <w:rStyle w:val="IndexLink"/>
                <w:rtl w:val="true"/>
              </w:rPr>
              <w:t>[</w:t>
            </w:r>
            <w:r>
              <w:rPr>
                <w:rStyle w:val="IndexLink"/>
                <w:rtl w:val="true"/>
              </w:rPr>
              <w:t>في المسح بالثلج</w:t>
            </w:r>
            <w:r>
              <w:rPr>
                <w:rStyle w:val="IndexLink"/>
                <w:rtl w:val="true"/>
              </w:rPr>
              <w:t>]</w:t>
              <w:tab/>
            </w:r>
            <w:r>
              <w:rPr>
                <w:rStyle w:val="IndexLink"/>
              </w:rPr>
              <w:t>305</w:t>
            </w:r>
          </w:hyperlink>
        </w:p>
        <w:p>
          <w:pPr>
            <w:pStyle w:val="Contents3"/>
            <w:tabs>
              <w:tab w:val="clear" w:pos="8459"/>
              <w:tab w:val="right" w:pos="9026" w:leader="dot"/>
            </w:tabs>
            <w:rPr/>
          </w:pPr>
          <w:hyperlink w:anchor="__RefHeading___Toc2492093_3650668749">
            <w:r>
              <w:rPr>
                <w:webHidden/>
                <w:rStyle w:val="IndexLink"/>
                <w:rtl w:val="true"/>
              </w:rPr>
              <w:t>المبحث الثالث</w:t>
            </w:r>
            <w:r>
              <w:rPr>
                <w:rStyle w:val="IndexLink"/>
                <w:rtl w:val="true"/>
              </w:rPr>
              <w:t xml:space="preserve">: </w:t>
            </w:r>
            <w:r>
              <w:rPr>
                <w:rStyle w:val="IndexLink"/>
                <w:rtl w:val="true"/>
              </w:rPr>
              <w:t>في كيفية التيمّم</w:t>
            </w:r>
            <w:r>
              <w:rPr>
                <w:rStyle w:val="IndexLink"/>
                <w:rtl w:val="true"/>
              </w:rPr>
              <w:t>:</w:t>
              <w:tab/>
            </w:r>
            <w:r>
              <w:rPr>
                <w:rStyle w:val="IndexLink"/>
              </w:rPr>
              <w:t>307</w:t>
            </w:r>
          </w:hyperlink>
        </w:p>
        <w:p>
          <w:pPr>
            <w:pStyle w:val="Contents4"/>
            <w:tabs>
              <w:tab w:val="clear" w:pos="8176"/>
              <w:tab w:val="right" w:pos="9026" w:leader="dot"/>
            </w:tabs>
            <w:rPr/>
          </w:pPr>
          <w:hyperlink w:anchor="__RefHeading___Toc2492095_3650668749">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2492097_3650668749">
            <w:r>
              <w:rPr>
                <w:webHidden/>
                <w:rStyle w:val="IndexLink"/>
                <w:rtl w:val="true"/>
              </w:rPr>
              <w:t>مسألة</w:t>
            </w:r>
            <w:r>
              <w:rPr>
                <w:rStyle w:val="IndexLink"/>
                <w:rtl w:val="true"/>
              </w:rPr>
              <w:t xml:space="preserve">: </w:t>
            </w:r>
            <w:r>
              <w:rPr>
                <w:rStyle w:val="IndexLink"/>
                <w:rtl w:val="true"/>
              </w:rPr>
              <w:t>اعلم أنّه لا إشكال في عدم صحّة الإتيان بالتيمّم لأجل الغايات الموقتة قبل حضور أوقاتها</w:t>
            </w:r>
            <w:r>
              <w:rPr>
                <w:rStyle w:val="IndexLink"/>
                <w:rtl w:val="true"/>
              </w:rPr>
              <w:tab/>
            </w:r>
            <w:r>
              <w:rPr>
                <w:rStyle w:val="IndexLink"/>
              </w:rPr>
              <w:t>307</w:t>
            </w:r>
          </w:hyperlink>
        </w:p>
        <w:p>
          <w:pPr>
            <w:pStyle w:val="Contents4"/>
            <w:tabs>
              <w:tab w:val="clear" w:pos="8176"/>
              <w:tab w:val="right" w:pos="9026" w:leader="dot"/>
            </w:tabs>
            <w:rPr/>
          </w:pPr>
          <w:hyperlink w:anchor="__RefHeading___Toc2492099_3650668749">
            <w:r>
              <w:rPr>
                <w:webHidden/>
                <w:rStyle w:val="IndexLink"/>
                <w:rtl w:val="true"/>
              </w:rPr>
              <w:t>مسألة</w:t>
            </w:r>
            <w:r>
              <w:rPr>
                <w:rStyle w:val="IndexLink"/>
                <w:rtl w:val="true"/>
              </w:rPr>
              <w:t xml:space="preserve">: </w:t>
            </w:r>
            <w:r>
              <w:rPr>
                <w:rStyle w:val="IndexLink"/>
                <w:rtl w:val="true"/>
              </w:rPr>
              <w:t>هل يجوز لذوي الأعذار بعد دخول الوقت البدار إلى وظيفتهم و هو التيمّم مطلقا، أو يجب الانتظار</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03_21137"/>
      <w:bookmarkStart w:id="1" w:name="pg1803_21137"/>
      <w:bookmarkEnd w:id="1"/>
    </w:p>
    <w:p>
      <w:pPr>
        <w:pStyle w:val="Heading2"/>
        <w:numPr>
          <w:ilvl w:val="1"/>
          <w:numId w:val="1"/>
        </w:numPr>
        <w:rPr/>
      </w:pPr>
      <w:bookmarkStart w:id="2" w:name="pg1803_21137"/>
      <w:bookmarkStart w:id="3" w:name="__RefHeading___Toc2491801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الدماء الثلاثه و احكام الاموات و التيمم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سيد محمد تقى و اراكى، محمد على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محمد علي تاريخ وفات مقرر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اراكى چاپ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1803_3650668749"/>
      <w:bookmarkStart w:id="6" w:name="_Toc2"/>
      <w:bookmarkEnd w:id="5"/>
      <w:r>
        <w:rPr>
          <w:rtl w:val="true"/>
        </w:rPr>
        <w:t>اشارة</w:t>
      </w:r>
      <w:bookmarkStart w:id="7" w:name="pg1803_2151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491805_3650668749"/>
      <w:bookmarkStart w:id="9" w:name="_Toc3"/>
      <w:bookmarkEnd w:id="7"/>
      <w:bookmarkEnd w:id="8"/>
      <w:r>
        <w:rPr>
          <w:rtl w:val="true"/>
        </w:rPr>
        <w:t>[</w:t>
      </w:r>
      <w:r>
        <w:rPr>
          <w:rtl w:val="true"/>
        </w:rPr>
        <w:t>المقدمة</w:t>
      </w:r>
      <w:r>
        <w:rPr>
          <w:rtl w:val="true"/>
        </w:rPr>
        <w:t>]</w:t>
      </w:r>
      <w:bookmarkEnd w:id="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و لعنة اللّٰه على أعدائهم أجمعين من الآن إلى يوم الدين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فهذا تقرير بحث آية اللّٰه في العالمين السيد محمّد تقي الموسوي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الدماء الثلاثة بقلم الآثم الفاني محمّد علي بن أحمد الفراهاني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 و عن والديه</w:t>
      </w:r>
      <w:bookmarkStart w:id="10" w:name="pg1803_21521"/>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و الكلام في مباحث ثلاثة</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491807_3650668749"/>
      <w:bookmarkStart w:id="12" w:name="_Toc4"/>
      <w:bookmarkEnd w:id="11"/>
      <w:r>
        <w:rPr>
          <w:rtl w:val="true"/>
        </w:rPr>
        <w:t>المبحث الأوّل</w:t>
      </w:r>
      <w:r>
        <w:rPr>
          <w:rtl w:val="true"/>
        </w:rPr>
        <w:t xml:space="preserve">: </w:t>
      </w:r>
      <w:r>
        <w:rPr>
          <w:rtl w:val="true"/>
        </w:rPr>
        <w:t>في الحيض</w:t>
      </w:r>
      <w:bookmarkEnd w:id="12"/>
    </w:p>
    <w:p>
      <w:pPr>
        <w:pStyle w:val="Heading3"/>
        <w:numPr>
          <w:ilvl w:val="2"/>
          <w:numId w:val="1"/>
        </w:numPr>
        <w:rPr/>
      </w:pPr>
      <w:bookmarkStart w:id="13" w:name="__RefHeading___Toc2491809_3650668749"/>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 يتمّ البحث فيه برسم مسائل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491811_3650668749"/>
      <w:bookmarkStart w:id="16" w:name="_Toc6"/>
      <w:bookmarkEnd w:id="15"/>
      <w:r>
        <w:rPr>
          <w:rtl w:val="true"/>
        </w:rPr>
        <w:t>مسألة</w:t>
      </w:r>
      <w:r>
        <w:rPr>
          <w:rtl w:val="true"/>
        </w:rPr>
        <w:t xml:space="preserve">: </w:t>
      </w:r>
      <w:r>
        <w:rPr>
          <w:rtl w:val="true"/>
        </w:rPr>
        <w:t>الحيض في الغالب دم أحمر شديد الحمرة يميل إلى السواد</w:t>
      </w:r>
      <w:bookmarkEnd w:id="16"/>
    </w:p>
    <w:p>
      <w:pPr>
        <w:pStyle w:val="BookText"/>
        <w:rPr/>
      </w:pPr>
      <w:r>
        <w:rPr>
          <w:rFonts w:ascii="Amiri" w:hAnsi="Amiri" w:eastAsia="Amiri" w:cs="Amiri"/>
          <w:color w:val="111111"/>
          <w:sz w:val="28"/>
          <w:sz w:val="28"/>
          <w:szCs w:val="28"/>
          <w:rtl w:val="true"/>
          <w:lang w:bidi="ar-SA"/>
        </w:rPr>
        <w:t>حارّ يخرج بلدغ و حرقة، عكس دم الاستحاضة فإنّه في الغالب أصفر بارد يخرج من دون لدغ و لا 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حفص بن البختري أو حسنته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فسألته عن المرأة يستمر بها الدم فلا تدري أ حيض هو أم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حارّ عبيط أسود له دفع و حرارة، و دم الاستحاضة أصفر بارد فإذا كان للدم حرارة و دفع و سواد فلتدع الصلاة الخبر</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منها صحيحة أخرى و هل هذه الصفات أمارات شرعية في خصوص المستمرة كما هي مورد الصحيحتين أو تعمّ أماريّتها جميع الموارد حتى المبتدئة و المضطربة و الناسية فتترك هذه أيضا العبادة بمجرّد الرؤية إن كان الدم بصفات الحيض و لا تترك إن كان بصفات الاستحاضة؟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الظاهر العموم لظهور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كذا و كذا، في كونه إخبارا عن طبيعة الدم و وضوح أنّ اتّصاف الدم بهذه الصفات ليس في خصوص صورة الاستمرار،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للدم حرارة و دفع و سواد فلتدع الصلاة، تفريع على هذه الكلية من باب تطبيق الكبرى على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تخصيص الأكثر المستبشع، لخروج ذات العادة و ذات العذرة و ذات القرحة؛ فإنّ مرجع الأولى عادتها و مرجع الأخيرتين ما سيأتي دون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في هذه الموارد بالتخصيص و لا يلزم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الحيض بدم العذرة وجب عليها الاختبار بوضع قطنة و الصبر هنيئة و إخراجها، فإن كانت مطوّقة فهو دم العذرة و إن كانت منغمسة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خلف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جارية معصرا لم تطمث فلمّا افتضّها سال الدم فمكث سائلا لا ينقطع نحوا من عشرة أيّام و إنّ القوابل اختلفن في ذلك فقال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و قال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العذرة، فما ينبغي لها أن تصنع؟</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فلتتق اللّٰه فإن كان من دم الحيض فلتمسك عن الصلاة حتّى ترى الطهر و ليمسك عنها بعلها، و إن كان من العذرة فلتتق اللّٰه و لتتوضأ و لتصلّ و يأتيها بعلها إن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لهم أن يعلموا ما هو حتّى يفعلوا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تستدخل القطنة ثم تدعها مليّا ثم تخرجها إخراجا رقيقا فإن كان الدم مطوّقا في القطنة فهو من العذرة و إن كان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مستنقعا في القطنة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قريب منها صحيحة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التطوّق أمارة على عدم الحيضية حتى في مورد آخر بمعنى أنّه لو اشتبه الحيض بالاستحاضة فيستكشف بالتطوّق كونه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يستكشف بالاستنقاع كونه حيضا لعدم العلم بعدم استنقاع دم الاستحاضة أو أنّه أمارة خاصّة بمورد الاشتباه بدم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القول بالأوّل نظرا إلى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مستنقعا في القطنة فهو من الحيض إذ من المعلوم أنّ هذه الصفة لطبيعة دم الحيض و لا خصوصية لكونه مشتبها بدم العذرة في اتصافه بها، و الاعتبار الشرعي ورد على هذا المعنى العام، و خصوصية المورد لا 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هذا من مصاديق ما قرر في الأصول من أنّ وجود القدر المتيقن في مقام التخاطب لا يضرّ بالأخذ بمقدمات الإطلاق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أنّه لو شكت في الافتضاض فهي و إن كان لا يجب عليها الاختبار لأصالة عدم الافتضاض الذي هو موضوع لوجوبه و لكنّها لو اختبرت و خرج القطنة مطوقة استكشفت كشفا إنّيا عن وجود الافتضاض كما يستكشف البلوغ برؤية الدم الجامع للصفات لو شكّت في بلوغ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تقول بعدم الحيضية في أيّام العادة مع التطوّق؟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نسلّم وقوعه و على تقديره فمن باب تقديم أقوى الأمارتين على الأخرى و هو لا ينافي الحجية الذاتية للأمارة الغير الأقوى، و كيف كان فلو تركت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الاختبار في مورد وجوبه و صلّت و صادفت عدم حيضها فالظاهر صحة صلاتها إذا أتت برجاء الواقع و عنوان الاحتياط لأنّ وجوب الفحص و الاختبار إنّما هو طريقي بمناط إدراك الواقع و ليس له نفسيّة و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طريقي بمناط إدراك الواقع و ليس له نفسيّة و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مقابل الأصول المرخصة من الموضوعية و الحكمية لا في مقابل الاحتياط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بدم القرحة فالمشهور أنّه يجب عليها الاختبار بالاستلقاء على ظهرها ثم رفع رجليها ثم إدخال الإصبع الوسطى فإن خرج الدم من الجانب الأيسر فهو حيض و إن خرج من الأيمن فهو من القرحة، لما رواه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عن محمد بن يحيى رفعه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منّا بها قرحة في فرجها و الدم سائل لا تدري من دم الحيض أو من دم القرحة؟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على ظهرها ثمّ ترفع رجليها ثمّ تستدخل إصبعها الوسطى فإن خرج الدم من الجانب الأيسر فهو من الحيض و إن خرج من الجانب الأيمن فهو من القرحة</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مشكل لأنّ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الرواية بعينها و لكنّه روى مكان الجانب الأيسر الجانب الأيمن، و مكان الجانب الأيمن الجانب الأيسر، و ليس الباب باب الروايتين حتى يقال بأنّ الشهرة الفتوائيّة توجب و هن الرواية الّتي أعرض عنها المشهور و سقوط أصلها الجهتي فتبقى الرواية الأخرى سليمة عن المعارض، للقطع باتحاد الرواية و انّ الاختلاف إنّما هو في النسخة و في مثله لا تؤثّر الشهرة الفتوائية شيئا كما أنّه لا وجه للرجوع إلى الأخبار العلاجية لا ترجيحا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و لا تخييرا، لأنّ موردها الروايتان لا النسختان في رواية واحدة، و العجب من بعض الأجلّة حيث أخذ بالترجيح هنا دون التخيير على عكس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 بالتخيير دون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الحقّ عدم الأخذ بشي‌ء منهما، و هل المرجع لها ما ذا؟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فيه بمقتضى القواعد على تقدير تسليم الإجمال إنّما هو الرجوع إلى استصحاب الحالة السابقة الموافقة لأحد الاحتمالين،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 الشارع بواسطة إيجاب الاختبار أسقط في حقها الأصول المرخّصة، و هذا المعنى لا يرتفع بواسطة الإجمال بل هو نظير نفي الثالث الّذي نقول به في المتعارضين كما هو الحال في الرجوع إلى الصفات أو قاعدة الإمكان، و العجب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تفطّن لذلك في الأخذ بالصفات و القاعدة، و مع ذلك جعل المرجع لها الأصل مع أنّه أيضا مثلهما في ذلك، فالمتعيّن في حقّها الاحتياط بالجمع بين الوظيفتين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عليها الاختبار ترجع إلى استصحاب الحالة السابقة طهرا أو حيضا و إن لم تكن حالة سابقة لتوارد الحالتين و عدم العلم بالسابق و اللاحق تحتاط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العروة الوثقى من أنّها تبني على الطهارة ضعيف، لابتنائه على الأخذ بعمومات التكاليف في الشبهة المصداقية و قد قرر في الأصول ضعفه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الدم أصفر باردا بلا لدغ و حرقة أمكن الحكم بكونه من القرحة بناء على عموم مرجعية الصفات كما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حال ما لو اشتبه الحيض بدم آخر غير الاستحاضة و العذرة و القرحة، فإنّه أيضا يحكم بعدم الحيضية بالصفرة و أخواتها بناء على المبنى المذكور، و على تقدير عدم الصفات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ترجع إلى الحالة السابقة إن كانت و إلّا فتحتاط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ثلاثة أيّام و أكثره عشرة كما أنّ أقلّ الطهر أيضا عشرة، و لا إشكال في شي‌ء من هذه الثلاثة في الجملة، و إنّما الإشكال في أنّه هل يعتبر في الثلاثة التي هي أقلّ الحيض أن تكون متوالية أو يكفي الثلاثة المتفرقة في جملة العشرة، فلو رأت الأوّل و الخامس و العاشر كان من أفراد الأقل حقيقة، و من أفراد الأكثر حكما، أو لا يعتبر ذلك أيضا بل يكفي عدم تخلل أقل الطهر بين أبعاضها كما اختاره صاحب الحدائق، و يظهر من بعض كلمات فخر المحققين فلو رأت الأوّل و الحادي عشر و الحادي و العشرين كانت الثلاثة حيضا و ما بقي طهرا و لا يضر كونه أقل من العشرة لأنّ الطهر الّذي لا يكون أقل من العشرة إنّما هو الفاصل بين الحيضتين لا ما تخلّل بين أبعاض حيضة واحدة و يجري ذلك في جانب الأكثر أيضا، فيمكن تحققه في أحد و تسعين يوما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المسألة أقوال و الأظهر القول الأوّل لأنّه المتبادر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ثلاثة، لأنّ المراد من لفظة الحيض إمّا سيلان الدم و إمّا الدم السائل و على التقديرين فالمتبادر منه استمرار السيلان في هذه المدة فيلزمه توالي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ارادة تحيض المرأة و قعودها عن الصلاة و الصوم من لفظة الحيض، فخلاف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التبادر و إن كان في جانب الأكثر أيضا متحققا، فلو رأت ثلاثة مثلا و انقطع ثمّ عاد و لم تتجاوز العشرة لكان مقتضى القاعدة الحكم بكون الدم الثاني استحاضة، و لكن الإجماع قام على الحكم بحيضيته و حيث إنّ الطهر لا يكون أقل من العشرة يحكم بكون النقاء فيما بين الدمين حيضا أيضا، فيكون المجموع مصداقا حكميا للأكثر لا حقيقيّا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و استدل لعدم اعتبار التوالي في الثلاثة الّتي هي أقلّ الحيض، بمرسلة يونس الآتية و هي و إن كانت صحيحة صريحة في ذلك و لكن لا تزيدها صحتها و صراحتها إلّا و هنا و ذلك لإعراض معظم الأصحاب عنها، و هذه المرسلة هي عمدة المستند للقول الثالث أيضا و هو التفصيل بين الطهر المتخلل بين الحيضتين، فيعتبر أن لا يكون أقلّ من العشرة، و الطهر المتخلل بين أبعاض حيضة واحدة فلا يضر كونه أقلّ من العشرة، و لكن دلالتها على ذلك محلّ تأمّل فالأولى نقلها بعينها حتى يتبيّن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يونس عن بعض رجاله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الطهر عشرة أيّام و ذلك أنّ المرأة أوّل ما تحيض ربّما كانت كثيرة الدم و يكون حيضها عشرة أيّام، فلا تزال كلّما كبرت نقصت حتى ترجع إلى ثلاثة أيّام، فإذا رجعت إلى ثلاثة أيّام ارتفع حيضها و لا يكون أقل من ثلاثة أيّام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رأت المرأة الدم في أيّام حيضها تركت الصلاة، فإن استمر بها الدم ثلاثة أيّام فهي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انقطع الدم بعد ما رأته يوما أو يومين اغتسلت و صلّت و انتظرت من يوم رأت الدم إلى عشرة أيّام، فإن رأت في تلك العشرة أيّام من يوم رأت الدم يوما أو يومين حتّى يتم لها ثلاثة أيّام فذلك الذي رأته في أوّل الأمر مع هذا الذي رأته بعد ذلك في العشرة فهو من الحيض، و إن مرّ بها من يوم رأت عشرة أيام و لم تر الدم فذلك اليوم و اليومان الّذي رأته لم يكن من الحيض إنّما كان من علّة إمّا من قرحة في جوفها و إمّا من الجوف، فعليها أن تعيد الصلاة تلك اليومين الّتي تركتها لأنّها لم تكن حائضا فيجب أن تقضي ما تركت من الصلاة في اليوم و اليومين، و إن تمّ لها ثلاثة أيّام فهو من الحيض و هو أدنى الحيض و لم يجب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عليها القضاء و لا يكون الطهر أقلّ من عشرة أيّام، فإذا حاضت المرأة و كان حيضها خمسة أيّام ثمّ انقطع الدم اغتسلت و صلّت، فإن رأت بعد ذلك الدم و لم يتم لها من يوم طهرت عشرة أيّام فذلك من الحيض تدع الصلاة، فإن رأت الدم من أوّل ما رأت الثاني الّذي رأته تمام العشرة أيّام و دام عليها عدت من أوّل ما رأت الدم الأوّل و الثاني عشرة أيّام، ثمّ هي مستحاضة تعمل ما تعمله المستحاضة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رأت المرأة في أيّام حيضها من صفرة أو حمرة فهو من الحيض و كلّ ما رأته بعد أيّام حيضها فليس من الحيض</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لا يخفى أنّ الظاهر من قوله في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انتظرت من يوم رأت الدم إلى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 العشرة مبدوّه من أوّل رؤية الدم لا من حين انقطاعه، و بضميمة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الطهر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بكون النقاء المتخلل في ضمن هذه العشرة حيضا فيطابق المشهور من هذه الجهة، و لكن ينافيه قوله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بعد ذلك الدم و لم يتم لها من يوم طهرت عشرة أيّام، فذلك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ظاهره كون العشرة مبدؤه من حين الانقطاع، فيظهر منه أنّ الطهر الّذي لا يكون أقل من عشرة إنّما هو الواقع بين الحيضتين لا ما وقع بين أبعاض حيضة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بدّ إمّا من رفع اليد من ظاهر الفقرة الأولى بجعل مدخول من خارجا عن العشرة المحدودة، فيكون مبدأ العشرة مما بعده حتى يطابق الفقرة الثانية، فتصير الرواية دليلا على التفصيل المذكور و يكون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أدنى الحيض أدناه سيلانا و إن كان أكثره حكما في بعض الصور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من رفع اليد من ظاهر الفقرة الثانية بحمل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 لها من يوم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طهرت عشرة أيّام، على إرادة أنّه لم يجئ متمم العشرة، فزمان الطهر أخذ مبدأ لمتمّم العشرة لا لنفسها و إنّما مبدأ العشرة أوّل رؤية الدم الأوّل فتكون مطابقة مع المشهور، و لو لم نقل بأولوية الثاني فلا أقل من المساواة بل الظاهر هو الثاني فليس المراد من العشرة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انتظرت من يوم رأت الدم إلى عشرة، عشرة الطهر و إلّا لم يكن وجه لاعتبار كون بقية الثلاثة في تلك العشرة، بل المراد بها عشرة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الاعتبار المذكور كما تفطن به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التفطّن المحافظة على عدم ازدياد أيّام الحيض عن العشرة لاحتساب النقاء من الحيض فيحمل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 لها من يوم طهرت عشرة أيّام، أيضا على عدم مجي‌ء تتمّة عشرة الحيض المبدوة من أوّل الرؤية من حين الطهر باحتساب أيّام النقاء أيضا لا على ابتداء عشرة الطهر من حين الانقطاع، و الشاهد على هذا الحمل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رأت الدم من أوّل ما رأت الثاني الذي رأته تمام العشرة أيّام، فإنّ الظاهر أنّه مفهوم لسابقه، و المراد بالعشرة فيه عشرة الحيض قطعا حتى على قول صاحب الحدائق، لصريح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ما رأت الثاني،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من أوّل ما رأت الدم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إنّه يقول بالتقاط العشرة ممّا بين الأيّام بإسقاط أيّام النقاء فيكون المراد من السابق أيضا عشرة الحيض كما هو الظاهر من لفظة اللام المفيدة للإشارة الداخلة على العشرة في الفقرة اللاحقة، فيكون المراد في الفقرة اللاحقة عدّ العشرة مع احتساب أيّام النقاء لا مع إسقاطها كما ربما يتراءى أنّه الظاهر، و لا يلزم على هذا خلاف الظاهر إلّا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طهرت، حيث إنّ ظاهره كون يوم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الطهر مبدأ العشرة،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رأته في أوّل الأمر مع هذا الّذي رأته بعد ذلك في العشرة، فهو من الحيض، إذ لا وجه بناء على ما ذكرنا لاختصاص الحيضية باليومين، بل يعم ما بينهما أيضا،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أدنى الحيض، و لكنه أولى من العكس كما لا يخفى، مع أنّه ليس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الّذي رأته في أوّل الأمر إلخ، إلّا مجرّد الإشعار ضرورة أنّ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سيدنا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احتمل في العروة لزوم كون الثلاثة الأولى من الحيض في ضمن العشرة و كفاية مجي‌ء البقيّة قبل فصل أقل الطهر فعلى هذا يمكن كون حيض واحد في ثمانين يوما و أنت خبير بمنافاته مع صدر الرواية على حسب التفطّن الّذي نقلناه عن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قوله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يتم لها من يوم طهرت إلخ، حيث إنّه كالصريح في احتساب يوم الطهر من عدد متمّم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الحدائق استدلّ أيضا على مختاره من عدم اعتبار التوالي في أقل الحيض و عدم كون النقاء المتخلل في الحيض الواحد حيضا بصحيحة محمد ابن مسلم أو حسنته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المرأة الدم قبل عشرة أيّام فهو من الحيضة الأولى، و إن كان بعد العشرة فهو من الحيضة المستقبلة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موثقة أخرى له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حمل العشرة في هذه الرواية على عشرة الحيض، لعدم استقامة إطلاق قوله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بعد العشرة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ما إذا رأته بعد العشرة قبل فصل أقل الطهر فيتعيّن حملها على عشرة الطهر، و حينئذ فيستفاد من إطلاق الصدر كلتا الدعويين لشموله ما إذا كان أيّام الدم المرئي قبل العشرة مع أيّام النقاء أزيد من العشرة مع عدم ازديادها عنها بدونها،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الدلالة في الرواية على شي‌ء من الدعويين أمّا على الأولى فلأنّ الحكم في الرواية مبني على الفراغ عن حيضية الدم الأوّل الّذي اعتبر العشرة بالنسبة إليه، فلا يمكن كشف الحال في شروط حيضية ذلك الدم نفيا و إثباتا بهذه الرواية إلّا بالدّور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الثانية فلأنّه كما لا يمكن الأخذ بإطلاق الذيل لو حملنا العشرة على عشرة الحيض، كذلك لا يمكن الأخذ بإطلاق الصدر لو حملناها على عشرة الطهر لشموله ما إذا ازداد أيّام الدم فقط عن العشرة فلا بدّ على كلّ من الحملين من القول بالإهمال في إحدى الفقرتين و معه يسقط عن صلاحية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على دعواه الثانية بموثقة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ثلاثة أيام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تصنع ما بينها و بين شهر فإن انقطع عنها الدم و إلّا فهي بمنزلة المستحاضة</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منها رواية أبي بصير، و فيه أنّه إمّا يقول بكون جميع أيّام الدم المتفرق</w:t>
      </w:r>
      <w:bookmarkStart w:id="17" w:name="pg1803_21543"/>
    </w:p>
    <w:p>
      <w:pPr>
        <w:pStyle w:val="BookText"/>
        <w:rPr/>
      </w:pPr>
      <w:bookmarkEnd w:id="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في الشهر حيضا واحدا، أو يقول بكونها حيضات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كون الحيض الواحد خمسة عشر يوما و على الثاني يلزم عدم فصل أقلّ الطهر بين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حمل الرواية على المرأة التي لم تستقر لها عادة و اشتبه عليها الحال فإنّها تبني عند رؤية الدم الأوّل بالحيضية لقاعدة الإمكان، لعدم علمها بلحوق الدم الثاني، و كذلك تعمل بالقاعدة عند رؤية الثاني لعدم علمها بلحوق الثالث و هكذا إلى آخر الشهر و لا يضر العلم الإجمالي الحاصل بعد رؤية الدماء و ذلك لما تقرر في الأصول من أنّ العلم الإجمالي الحاصل بعد فوت أحد أطرافه لا يضر بإجراء الأصل العملي في الباقي، و سيجي‌ء تتمة الكلام إن شاء اللّٰه عند التعرض لقاعدة الإمكان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491813_3650668749"/>
      <w:bookmarkStart w:id="19" w:name="_Toc7"/>
      <w:bookmarkEnd w:id="18"/>
      <w:r>
        <w:rPr>
          <w:rtl w:val="true"/>
        </w:rPr>
        <w:t>مسألة</w:t>
      </w:r>
      <w:r>
        <w:rPr>
          <w:rtl w:val="true"/>
        </w:rPr>
        <w:t xml:space="preserve">: </w:t>
      </w:r>
      <w:r>
        <w:rPr>
          <w:rtl w:val="true"/>
        </w:rPr>
        <w:t>لا إشكال و لا خلاف في أنّ الخارج بعد سنّ اليأس ليس بحيض</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كالخارج قبل بلوغ التسع، و إنّما الإشكال و الخلاف في تعيين حدّ اليأس، و الأقوى أنّه الخمسون في غير القرشيّة و الستون فيها، لمرسلة ابن أبي عمير الّذي مراسيله كالمسانيد،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 بها يقيد إطلاقات الخمسين و الستين و إن بعد التقييد في الثاني، لكن لا محيص عنه في مقام الجمع كما هو واضح، و المراد بالقرشية من انتسب إلى نضر بن كنانة بن خزيمة أحد أجداد النبيّ صلّى اللّٰه عليه و آله و سلم بالأب، و لا يكفي الانتساب بالأمّ، فإنّه لا يقال فلان من قريش إلّا إذا انتسب إليهم بالأب، نعم قد يقال للمنتسب بالأمّ أنّه قرشي بنحو المسامحة فإنّ النسبة يكتفى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فيها بأدنى ملابسة، فالتبادر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منه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و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عليه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ألحق النبطية بالقرشية استنادا إلى مرسلة المفيد في المقنعة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القرشية من النساء و النبطية تريان الدم إلى ستين سنة</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 لكن لم يعلم انجبارها بعمل الأصحاب حتى من المفيد المرسل لها، فرفع اليد عن إطلاقات الخمسين بها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القول به فهل المراد بالنبطية من ينزل البطائح بين العراقين الكوفة و البصرة أو من كان أحد أبويه عربيا و الآخر عجميا، أو كل من كان أحد أبويه من قبيلة و الآخر من أخرى، و على الأوّل فهل هو اسم لقوم مخصوصين كانوا في زمان صدور الروايات ينزلون البطائح بحيث يرتفع الحكم بانقراضهم، أو لكلّ من كان معنونا بهذا العنوان بحيث يدور الحكم مدار العنوان؟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مع دوران المعنى بين الأقل و الأكثر يرجع فيما زاد على المتيقّن إلى مطلقات الخمسين، و مع الدوران بين المتباينين تسقط الإطلاقات عن البين و يرجع إلى الأصل العملي، و هل هو أصالة الحيضية أو أصالة الطهر؟ الأقوى الثاني و سيجي‌ء في الفرع اللاحق بيانه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شكّت المرأة بالشبهة المصداقية أنّها قرشية أو لا فقد يقال إنّها ترجع إلى أصالة عدم بلوغها سنّ اليأس،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اليأس بالحمل الشائع ليس مشكوكا لكونه مردّدا بين الخمسين المعلوم الوجود و الستّين المعلوم العدم، نعم عنوان سنّ اليأس بما هو هذا المفهوم و ما هو الموضوع له لهذه اللفظة مشكوك التحقق و لكنّه ليس موضوعا للأثر لأنّ الأثر مرتّب على مصاديقه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ترجع إلى أصالة عدم القرشية نظرا إلى أنّ أفراد غير القرشية أغلب و أكثر و الظن يلحق الشي‌ء بالأغلب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حجية الظن المذكور لا من مقدمات الانسداد و لا من غيرها و الحق أنّها ترجع إلى أصالة عدم الانتساب من قريش و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إنّه معارض باستصحاب عدم الانتساب إلى قبيلة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الأثر مرتّبا على الانتساب إلى قبيلة أخرى، بل على عدم الانتساب إلى قبيلة قريش، فانّ الخاصّ إنما يعنون العام بنقيض عنوانه لا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لعدم الانتساب حالة سابقة لوضوح ثبوت الشكّ فيه من أوّل وجود المرأة، هذا لو أريد به العدم بنحو ليس الناقصة، و لو أريد بنحو ليس التامة فهو و إن كان له حالة سابقة أزليّة لكن جواز استصحابه مبني على ما يظهر من بعض كلمات الكفاية في مبحث العام و الخاص، من كون مآل هذين النحوين من السلب إلى معنى واحد، و التحقيق خلافه فإنّ الموضوع في أحدهما الماهية الملحوظة بعناية الوجود الخارجي و أشرابه و في الآخر هو الماهية الساذجة الملحوظة لا بعنايته، و ليس بينهما جامع و كل منهما نقيض للإيجاب الّذي كان من سنخه، فإذا أخذ الإيجاب الملحوظ في موضوعه أيضا عناية الوجود موضوعا للأثر فنقيض ذلك الأثر يثبت للسلب الملحوظ في موضوعه أيضا عناية الوجود، فإجراء الاستصحاب في السلب الغير الملحوظ فيه عناية الوجود ثمّ إثبات السلب الملحوظ كذلك من أوضح أفراد الأصل المثبت و هل هو إلّا كاستصحاب عدم الكرية الأزلي، أو عدم وجود الكر في هذا المكان لإثبات عدم كرية الماء المخلوق دفعة في ذلك المكان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 بالفرق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قرشية فهي ترى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الحمرة إلى ما فوق الخمسين و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بلغت خمسين لم تر حمرة إلّا أن تكون قرشية، فمفاد الأوّل انّ الموضوع المرأة الملحوظة بعناية الفراغ عن الوجود الخارجي و وصف كينونتها من قريش على وجه تقييد أحد الأمرين بالآخر و مفاد الثاني إنّما هو موضوعية الأمرين المذكورين على وجه التركيب دون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فإنّه لا يخلو عن دقة، و على هذا فيقال أحد الأمرين و هو المرأة الكذائية محرز بالوجدان و الآخر و هو عدم الكينونة الكذائية محرز بالأصل، فقد تمّ الموضوع بكلا جزئية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عدم جريان الأصل المذكور فهل الأصل هو الحيضية أو عدمها، ذهب بعض الأجلّة إلى الأوّل و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و هو الحق لأنّ الأصل الأوّل راجع إلى الاستصحاب التعليقي الموضوعي لأنّ تقريبه أنّ هذه المرأة كانت في السابق بحيث لو خرج منها الدم كان حيضا فالآن كما كان و قد قرر في الأصول ضعفه و حاصل إشكاله أنّ ما هو متعلّق اليقين الفعلي و هو الوجود التقديري غير موضوع للأثر و ما هو الموضوع للأثر و هو الوجود الفعلي ليس متعلّقا لليقين الفعلي، بل اليقين التقديري و هو خارج عن منصرف دليل الاستصحاب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ينفع هذا الاستصحاب في ما كان الأثر للوجود التقديري كما في الحرمة المرتبة على الصوم المضر أعني ما لو وجد كان مضرا و كما في وجوب الاعتداد بالأشهر المرتب على المطلّقة التي لا تحيض فعلا مع كونها في سن من تحيض،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 وجد منها الدم كان حيضا فبانضمام الاستصحاب التعليقي للحيضية و استصحاب الطهر الفعلي كلما رأت دما تصير المرأة داخلة في الموضوع المذكور، و ليس اشكال الاستصحاب التعليقي المذكور في مقامنا كونه مثبتا كما يظهر من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bookmarkStart w:id="20" w:name="pg1803_21552"/>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و قد بيّن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 وجه لرجوع المرأة المذكورة إلى عموم مرجعية الصفات و ذلك لتقييد موضوع علاميّتها بكونها قبل سن القعود و اليأس فكشف هذا القيد بسببها نظير كشف قيد موثقية المخبر بصدور الخبر عنه مع كون موضوع الحجية خبر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شكت المرأة بالشبهة المصداقية في بلوغها حدّ اليأس لا من جهة الشبهة في الانتساب إلى قريش، بل من جهة الشبهة في تاريخ ولادتها ترجع إلى أصالة عدم اليأس و لا يجري هنا الإشكال الّذي تقدّم في نظيره في صورة الشك في الانتساب كما هو واضح</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491815_3650668749"/>
      <w:bookmarkStart w:id="22" w:name="_Toc8"/>
      <w:bookmarkEnd w:id="21"/>
      <w:r>
        <w:rPr>
          <w:rtl w:val="true"/>
        </w:rPr>
        <w:t>مسألة</w:t>
      </w:r>
      <w:r>
        <w:rPr>
          <w:rtl w:val="true"/>
        </w:rPr>
        <w:t xml:space="preserve">: </w:t>
      </w:r>
      <w:r>
        <w:rPr>
          <w:rtl w:val="true"/>
        </w:rPr>
        <w:t>كل دم أمكن أن يكون حيضا فهو حيض</w:t>
      </w:r>
      <w:bookmarkEnd w:id="22"/>
    </w:p>
    <w:p>
      <w:pPr>
        <w:pStyle w:val="BookText"/>
        <w:rPr/>
      </w:pPr>
      <w:r>
        <w:rPr>
          <w:rFonts w:ascii="Amiri" w:hAnsi="Amiri" w:eastAsia="Amiri" w:cs="Amiri"/>
          <w:color w:val="111111"/>
          <w:sz w:val="28"/>
          <w:sz w:val="28"/>
          <w:szCs w:val="28"/>
          <w:rtl w:val="true"/>
          <w:lang w:bidi="ar-SA"/>
        </w:rPr>
        <w:t>سواء كان جامعا لصفات الحيض أم فاقدا و هذه هي القاعدة المعبّر عنها في كلماتهم بقاعدة الإمكان و قد تكرّر نقل الإجماع عليه في كلامهم حتى أنّه حكي عن المحقّق و العلّامة أنّهما استدلّا على حيضية الدم الكائن بين الثلاثة إلى العشرة أوّلا بالإجماع و ثانيا بهذه القاعدة فيظهر منهما كون هذه القاعدة في عرض الإجماع و أخواته من الأدلّة الأربعة من الأمور التي يستدل بها لا عليها، و مع ذلك قد استدل عليها بالأصل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التكلّم في تنقيح معاني ألفاظ هذه القاعدة أوّلا قبل التكلّم في مداركها و مبانيها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لفظة الإمكان ليس هو الإمكان الاحتمالي كما هو الشأن في عامّة الألفاظ، ضرورة أنّها موضوعة للمعاني النفس الأمريّة لا الاحتمالية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نعم الإمكان النفس الأمري الملحوظ مطلقا و من جميع الجهات و المحذورات حتى محذور تحقّق الممكن بلا علّته أيضا مقطوع عدم إرادته لأنّ الإمكان بهذا المعنى مساوق للوجوب، و لهذا قيل إنّ الممكن أبدا محفوف بالضرورتين لأنّه لا يخلو إمّا يوجد علّته التامّة و إمّا لا، و لا واسطة بين النفي و الإثبات فمع وجود علّته لا يمكن عدمه و إلّا يلزم تخلّف المعلول عن علّته و مع عدم وجود علّته لا يمكن وجوده و إلّا لزم الترجيح بلا مرجّح و استحالته من البديهيات الأوّلية حتى عند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فيصير محصل هذه القاعدة على هذا المعنى أنّ كل دم وجب كونه حيضا فهو حيض، فيتعيّن أن يكون المراد هو الإمكان النفس الأمري و لكن بملاحظة الموانع و الشرائط الكلية المقرّرة في الشرع لحيضية الدماء، فانّ الشرط و إن كان يلزم من عدمه العدم و لكن لا يلزم من وجوده الوجود، و كذلك المانع و إن كان يلزم من وجوده العدم، و لكن لا يلزم من عدمه الوجود، فمحصل معنى القاعدة على هذا أنّ كل دم اجتمع فيه شرائط الحيضية و فقد فيه موانعها فهو و إن كان بحسب الخصوصيات الشخصية الغير الممكن ضبطها تحت ضابط و الإحاطة بها لغير العالم بما في الأرحام يحتمل عدم حيضيته و لكنّه محكوم شرعا بالحيضيّة و على هذا فالتمسّك بالقاعدة في الشبهة الحكمية للشرط أو المانع أو الموضوعية لهما كما وقع في بعض الكلمات خارج عن قانون الاستدلال لأنّه استدلال بعموم القاعدة في الشبهة الموضوعية للعنوان الذي أخذ موضوعا لها و هو عنوان الإمكان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جميع ما استدل به على القاعدة ممّا عدا الإجماع للخدشة فيه مجال واسع فانّ من تلك الأدلّة الأخبار الدالّة على أنّ ما تراه المرأة 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العشرة من الحيضة الأولى و ما تراه بعدها من الحيضة المستقبلة </w:t>
      </w:r>
      <w:r>
        <w:rPr>
          <w:rStyle w:val="FootnoteAnchor"/>
          <w:rtl w:val="true"/>
        </w:rPr>
        <w:footnoteReference w:id="10"/>
      </w:r>
      <w:r>
        <w:rPr>
          <w:rFonts w:ascii="Amiri" w:hAnsi="Amiri" w:eastAsia="Amiri" w:cs="Amiri"/>
          <w:color w:val="111111"/>
          <w:sz w:val="28"/>
          <w:sz w:val="28"/>
          <w:szCs w:val="28"/>
          <w:rtl w:val="true"/>
          <w:lang w:bidi="ar-SA"/>
        </w:rPr>
        <w:t>حيث حكم بالحيضية في الدمين المذكورين بمجرد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تمحّض النظر بعد الفراغ عن أصل الحيضية في جعل الضابط لكون الدم من الحيضة الأولى و كونه من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تعجيل الوقت معلّلا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تعجل الوقت </w:t>
      </w:r>
      <w:r>
        <w:rPr>
          <w:rStyle w:val="FootnoteAnchor"/>
          <w:rtl w:val="true"/>
        </w:rPr>
        <w:footnoteReference w:id="11"/>
      </w:r>
      <w:r>
        <w:rPr>
          <w:rFonts w:ascii="Amiri" w:hAnsi="Amiri" w:eastAsia="Amiri" w:cs="Amiri"/>
          <w:color w:val="111111"/>
          <w:sz w:val="28"/>
          <w:sz w:val="28"/>
          <w:szCs w:val="28"/>
          <w:rtl w:val="true"/>
          <w:lang w:bidi="ar-SA"/>
        </w:rPr>
        <w:t>، و الدالّة على حيض الحامل معلّلا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قذفت الرحم الدم </w:t>
      </w:r>
      <w:r>
        <w:rPr>
          <w:rStyle w:val="FootnoteAnchor"/>
          <w:rtl w:val="true"/>
        </w:rPr>
        <w:footnoteReference w:id="12"/>
      </w:r>
      <w:r>
        <w:rPr>
          <w:rFonts w:ascii="Amiri" w:hAnsi="Amiri" w:eastAsia="Amiri" w:cs="Amiri"/>
          <w:color w:val="111111"/>
          <w:sz w:val="28"/>
          <w:sz w:val="28"/>
          <w:szCs w:val="28"/>
          <w:rtl w:val="true"/>
          <w:lang w:bidi="ar-SA"/>
        </w:rPr>
        <w:t>حيث حكم بالحيضية بمجرد عدم مانعية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استناد الحكم بالحيضية إلى وجود المقتضي بضميمة عدم صلاحية ما تخيّله السائل مانعا للمانعيّة لا إلى مجرد عدم المانع و لو مع عدم إحراز المقتضي، و أمّا إنّ المقتضي هل هو ما يعم القاعدة أو خصوص العلم الوجداني و الصفات فلا يعلم من هذه الأخبار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بن يعقوب </w:t>
      </w:r>
      <w:r>
        <w:rPr>
          <w:rStyle w:val="FootnoteAnchor"/>
          <w:rtl w:val="true"/>
        </w:rPr>
        <w:footnoteReference w:id="13"/>
      </w:r>
      <w:r>
        <w:rPr>
          <w:rFonts w:ascii="Amiri" w:hAnsi="Amiri" w:eastAsia="Amiri" w:cs="Amiri"/>
          <w:color w:val="111111"/>
          <w:sz w:val="28"/>
          <w:sz w:val="28"/>
          <w:szCs w:val="28"/>
          <w:rtl w:val="true"/>
          <w:lang w:bidi="ar-SA"/>
        </w:rPr>
        <w:t>الواردة فيمن ترى الدم أربعة ثمّ الطهر خمسة ثم الدم أربعة ثم الطهر خمسة و هكذا إلى آخر الشهر بأنّها كلّما ترى الدم تدع الصلاة و كلّما ترى الطهر تصلّي، إذ من المعلوم أنّ الحكم بالحيضية ليس إلّا لأجل الإمكان و لا يضر العلم الإجمالي بالخلاف حيث لا يمكن كون الجميع حيضا واحدا لكونه أزيد من العشرة و لا متعدّدا لكون الطهر المتخلل أقل من العشرة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و ذلك لحصول العلم المذكور تدريجا و بعد فقدان أحد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التدريجية للعلم الإجمالي في الدفعة الثانية مثلا بأنّه يجب إمّا قضاء الصلاة الّتي تركتها في الدفعة الأولى، و إمّا أداء الصلاة في هذه الدفعة، فالعمل بالرواية في موردها مخالف لقاعدة العلم الإجمالي فكيف يمكن إثبات قاعدة الإمكان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المبتدئة بأنّها تتحيّض بمجرد الرؤية </w:t>
      </w:r>
      <w:r>
        <w:rPr>
          <w:rStyle w:val="FootnoteAnchor"/>
          <w:rtl w:val="true"/>
        </w:rPr>
        <w:footnoteReference w:id="14"/>
      </w:r>
      <w:r>
        <w:rPr>
          <w:rFonts w:ascii="Amiri" w:hAnsi="Amiri" w:eastAsia="Amiri" w:cs="Amiri"/>
          <w:color w:val="111111"/>
          <w:sz w:val="28"/>
          <w:sz w:val="28"/>
          <w:szCs w:val="28"/>
          <w:rtl w:val="true"/>
          <w:lang w:bidi="ar-SA"/>
        </w:rPr>
        <w:t>حيث لا مستند للتحيّض سوى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على الناظر في تلك الأخبار كون النظر ممحضا إلى مقدار حيضها عند تجاوز دمها عن العشرة بعد الفراغ عن أصل حيضية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الكلام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الّذي استدلّ به على القاعدة أعني أصالة الحيضية، فإن أريد به الغلبة فلا دليل على حجية الظن الحاصل بها في الموضوعات، و إن أريد به أصالة عدم الآفة الموجبة لسائر أقسام الدم غير الحيض،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واف بإثبات الحيضية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به بناء العقلاء على أصالة السلامة و عدم الخروج عن مقتضى الطبيعة الأوّليّة للشي‌ء ما لم يتحقّق المانع،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راجع إلى قاعدة المقتضي و المانع، و قد قرّر في الأصول عدم ثبوت بنائهم عليها بوجه العموم، و إن أريد ثبوت بنائهم في خصوص هذا الباب كما في باب ظواهر الألفاظ و ربما يستشهد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بخلو الأخبار عن التعرض لما يتشخّص به دم الحيض عن غيره لا من السائلين و لا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غاية الاهتمام فهذا شاهد على كون الأصل المذكور مرتكزا عندهم فلهذا لم يحتاجوا إلى التعرّض المذكور،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المسلّم عدم حصول التزلزل و التحيّر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منشأه أمارية الصفات عندهم، أو ارتكازية الأصل المذكور فكلّ محتمل و لا ينافي معهودية الصفات عندهم جهل السائل في مورد أخبار الصفات بالحيضية حتى نبّهه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قبيل الجهل التفصيلي الغير المنافي مع العلم الارتكازي فلم يبق من الأدلّة الّتي أقاموها عدا الإجماع و الإنصاف تماميته إذ لم ير قبل المحقّق الثاني تشكيك فيه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المحقّق الثاني و تبعه الأردبيلي و بالغ تلميذه صاحب المدارك حتى جزم بالعدم في فاقد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فيما ليس للعقل إليه سبيل و لا من واضح النقل عليه دليل يكون حجة و ما نحن فيه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فيما يحتمل كون تمام استناد المجمعين إلى العقل و النقل لا فيما يعلم كون الاستناد إلى الإجماع في عرض سائر الأدلّة، كيف و إلّا لما صحّ في شي‌ء من المسائل الاحتجاج بالأدلّة الأربعة و ما نحن فيه من القبيل الثاني كما لا يخفى على من راجع الكلمات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علاج معارضة القاعدة مع أمارية الصفات بناء على استفادة عموم مرجعيتها كما هو الحق و قد تقدّم، و لا يبعد أن يقال باختصاص أخبار الصفات بما قبل الثلاثة في غير ذات العادة و في الدم المتجاوز عن العشرة في غير المعتادة، فإنّ المورد الأوّل شبهة مصداقية للقاعدة و الثاني ممّا يعارض فيه القاعدة بمثلها، و لا يلزم من ذلك التخصيص المستبشع كما لا يخفى</w:t>
      </w:r>
      <w:r>
        <w:rPr>
          <w:rFonts w:eastAsia="Amiri" w:cs="Amiri" w:ascii="Amiri" w:hAnsi="Amiri"/>
          <w:color w:val="111111"/>
          <w:sz w:val="28"/>
          <w:szCs w:val="28"/>
          <w:rtl w:val="true"/>
          <w:lang w:bidi="ar-SA"/>
        </w:rPr>
        <w:t>.</w:t>
      </w:r>
      <w:bookmarkStart w:id="23" w:name="pg1803_21563"/>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3"/>
        <w:numPr>
          <w:ilvl w:val="2"/>
          <w:numId w:val="1"/>
        </w:numPr>
        <w:rPr/>
      </w:pPr>
      <w:bookmarkStart w:id="24" w:name="__RefHeading___Toc2491817_3650668749"/>
      <w:bookmarkStart w:id="25" w:name="_Toc9"/>
      <w:bookmarkEnd w:id="24"/>
      <w:r>
        <w:rPr>
          <w:rtl w:val="true"/>
        </w:rPr>
        <w:t>مسألة</w:t>
      </w:r>
      <w:r>
        <w:rPr>
          <w:rtl w:val="true"/>
        </w:rPr>
        <w:t xml:space="preserve">: </w:t>
      </w:r>
      <w:r>
        <w:rPr>
          <w:rtl w:val="true"/>
        </w:rPr>
        <w:t>تستقر العادة شرعا برؤية الدم على نسق واحد مرّتين متواليتين</w:t>
      </w:r>
      <w:bookmarkEnd w:id="25"/>
    </w:p>
    <w:p>
      <w:pPr>
        <w:pStyle w:val="BookText"/>
        <w:rPr/>
      </w:pPr>
      <w:r>
        <w:rPr>
          <w:rFonts w:ascii="Amiri" w:hAnsi="Amiri" w:eastAsia="Amiri" w:cs="Amiri"/>
          <w:color w:val="111111"/>
          <w:sz w:val="28"/>
          <w:sz w:val="28"/>
          <w:szCs w:val="28"/>
          <w:rtl w:val="true"/>
          <w:lang w:bidi="ar-SA"/>
        </w:rPr>
        <w:t>غير مفصول بينهما بالخلاف سواء اتفق اتحاد النسق في العدد فقط أو في الوقت كذلك أو فيهما معا، و يسمّى الأوّل بالعادة العددية و الثاني بالوقتية و الثالث بالوقتية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الإجماع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مضمرة سماعة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اتّفق شهران عدة أيام سواء فتلك أيّامها </w:t>
      </w:r>
      <w:r>
        <w:rPr>
          <w:rStyle w:val="FootnoteAnchor"/>
          <w:rtl w:val="true"/>
        </w:rPr>
        <w:footnoteReference w:id="1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يونس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الدم في الشهر الثاني لوقته من الشهر الأوّل حتّى توالى عليها حيضتان أو ثلاث فقد علم الآن أنّ ذلك قد صار لها وقتا و خلقا معروفا تعمل عليه و تدع ما سواه و يكون سنّتها فيما تستقبل ان استحاضت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الوقت ان توالى عليها حيضتان أو ثلاث لقول رسول اللّٰه صلّى اللّٰه عليه و آله و سلم للتي تعرف أيامها دعي الصلاة أيام أقرائك، فعلمنا أنّه لم يجعل القراء الواحد سنّة لها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الصلاة أيّام قرئك، و لكن سنّ لها الأقراء و أدناه حيضتان فصاعدا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هاتين الروايتين خصوصا الثانية بملاحظة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توالى عليها حيضتان حيث إنّ كلمة حتى تعليلية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حتى تدخل الجنة، لا غائيّة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حتى تعلم أنّه قذر، و كما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 أنّ الميزان في حصول العادة الشرعية صدق الاستواء و اتحاد النظم و النسق بين الحيضتين المتواليتين سواء اتفق ذلك في الوقت فقط أم في العدد كذلك أم في 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و من هنا يعلم عدم الموضوعية لتوالي الشهرين الهلاليين، فلو تكرر الدم على نسق واحد في الشهر الأوّل و العاشر و لم تر بينهما دما أصلا كفى في حصول العادة لصدق عنوان توالي الحيضتين، و يكفي أيضا في حصول عادة العدد رؤية الدم مرتين بعدد واحد في شهر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حصول عادة الوقت تحتاج إلى حيضة ثالثة بأن ترى الدم ثلاثة مثلا و الطهر عشرة ثمّ الدم ثلاثة، ثم الطهر عشرة ثمّ الدم ثلاثة فتصير في هذه المرّة ذات، عادة وقتيّة أيضا لاستقرار وقتها في اليوم الحادي عشر من الطهر فترجع إليها في المرّة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شهرا ثلاثة و شهرا أربعة و شهرا خمسة ثمّ دارت عليها الدورة الثانية أيضا بهذا الترتيب تحقّق لها العادة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رأت شهرين ثلاثة و شهرين أربعة ثم رأت بهذا الترتيب نوبة أخرى ففي حصول العادة المركبة إشكال لاحتمال كون كل شهرين ناسخين لما تقدّمهما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تكرّر مرارا عديدة بحيث استقرّ لها العادة العرفية بهذا النظم و الترتيب اندرجت حينئذ في من تعرف أيّامها بالنسبة إلى هذا المركب، و هل يكفي الأقل المتكرر في العدد الزائد و الناقص في حصول العادة بالنسبة إلى العدد الناقص، و كذا الكلام في الوقت المشترك بين الوقتين المختلفين، الظاهر العدم و ذلك لعدم صدق تكرّر الدم على نسق واحد فيكون الأخذ بذلك القدر الجامع أخذ بقرء واحد و قد سنّ لها النبيّ صلّى اللّٰه عليه و آله و سلم الأخذ بالأقراء لا القرء الواحد، و لو كان في الدمين المتكررين نقاء متخلّل إمّا في أحدهما أو في كليهما إمّا على نسق واحد أو بالاختلاف فهل تحصل العادة في المجموع من أيّام الدم و النقاء أو أنّ العبرة</w:t>
      </w:r>
      <w:bookmarkStart w:id="26" w:name="pg1803_21568"/>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بخصوص أيّام الدم، الظاهر الأوّل فإنّه بعد محكومية النقاء شرعا بالحيضية لا بدّ من احتسابه من العدد و لا يضر تفاوت الدمين فيه باتحاد النسق بينهما كما لا يضر تفاوتهما في لون الصفرة و الحمرة باتحاد نسقهما بعد كون كل منهما محكوما بالحيضية شرعا 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حصول العادة بالتميز كما لو استمر بها الدم في شهرين و كان خمسة من أوّلهما واجدة للصفات إذ المستفاد من أخبار الصفات أنّ الشارع جعلها أمارة على الحيضية شرعا فتندرج المرأة بواسطة قيام هذه الأمارة عندها مرتين متواليتين في موضوع من تعرف أيامها، كما أنّ المستفاد من دليل قاعدة الإمكان أيضا أنّ الشارع جعل إمكان الحيض أمارة على الوقوع فيكفي في حصول العادة إحراز حيضية الدمين المتكررين بالقاعدة أيضا، و العجب من بعض الأجلّة الإعلام حيث صدر منه خلاف ذلك في مسألة الصفات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491819_3650668749"/>
      <w:bookmarkStart w:id="28" w:name="_Toc10"/>
      <w:bookmarkEnd w:id="27"/>
      <w:r>
        <w:rPr>
          <w:rtl w:val="true"/>
        </w:rPr>
        <w:t>مسألة</w:t>
      </w:r>
      <w:r>
        <w:rPr>
          <w:rtl w:val="true"/>
        </w:rPr>
        <w:t xml:space="preserve">: </w:t>
      </w:r>
      <w:r>
        <w:rPr>
          <w:rtl w:val="true"/>
        </w:rPr>
        <w:t>لا إشكال في أنّ ذات العادة الوقتية تترك العادة بمجرّد الرؤية</w:t>
      </w:r>
      <w:bookmarkEnd w:id="28"/>
    </w:p>
    <w:p>
      <w:pPr>
        <w:pStyle w:val="BookText"/>
        <w:rPr/>
      </w:pPr>
      <w:r>
        <w:rPr>
          <w:rFonts w:ascii="Amiri" w:hAnsi="Amiri" w:eastAsia="Amiri" w:cs="Amiri"/>
          <w:color w:val="111111"/>
          <w:sz w:val="28"/>
          <w:sz w:val="28"/>
          <w:szCs w:val="28"/>
          <w:rtl w:val="true"/>
          <w:lang w:bidi="ar-SA"/>
        </w:rPr>
        <w:t>إذا رأت في الوقت أو قبله أو بعده على وجه يصدق تعجيل الوقت أو تأخّره، و تدل عليه بعد الإجماع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يونس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رأت المرأة الدم في أيّام حيضها تركت الصلاة فإن استمر بها الدم ثلاثة أيام فهي حائض</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إنّما الإشكال فيما لو رأت قبل الوقت لا على الوجه المذكور أو بعد الوقت و في ذات العادة العددية فقط و في المبتدئة و المضطربة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مجمل الكلام في جميع هذه الأقسام أنّ مقتضى العلم الإجمالي بتوجه إحدى وظيفتي الحائض و المستحاضة لزوم رعاية كلتيهما و أصالة عدم الحيض معارضة</w:t>
      </w:r>
      <w:bookmarkStart w:id="29" w:name="pg1803_21571"/>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بأصالة عدم الاستحاضة، و قاعدة الإمكان غير جارية لاختصاصها بصورة استقرار الإمكان بمعنى اجتماع الشرائط العامة و فقد الموانع كذلك و قبل استمرار الدم إلى الثلاثة لم يحرز ذلك وجدانا و إحرازه تعبدا بالاستصحاب أيضا غير نافع لأنّ مراد المجمعين من الاستقرار سكون النفس و الخروج عن التزلزل لا الاستقرار النفس الأمري حتى يمكن إحرازه بالتعبّد و لا أقلّ من احتمال كونه المراد، و قد عرفت أنّ عمدة الدليل على القاعدة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مجرى لها بعد الثلاثة أيضا لاحتمال تجاوز الدم عن العشرة و وجود الدم الأقوى هناك و هو مانع عن حيضية هذا الدم و إحراز عدمه بالاستصحاب أيضا غير مجد لما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وجود الدم الأقوى من قبيل الموانع كالصغير و اليأس و الحمل على القول بمانعيته و إنّما هو من قبيل المزاحم فالممتنع إنّما هو جمع الدمين في الحيضيّة بعد الفراغ عن قابلية كل منهما في حدّ ذاته و بحسب مادة الخطاب كما هو الحال في الأختين في باب النكاح فلا مضايقة من استصحاب العدم فيه و إن منعنا عن استصحاب عدم المانع أو وجود الشرط، و قد نبّه على ذلك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إشكال في جريان القاعدة بعد الثلاثة، و أمّا قبلها فإن قلنا بعموم مرجعية الصفات كما حقّقناه سابقا فلا بدّ من الحكم بالحيضية مع الصفات و بالاستحاضة مع العدم، و إلّا فلا محيص عن الاحتياط</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491821_3650668749"/>
      <w:bookmarkStart w:id="31" w:name="_Toc11"/>
      <w:bookmarkEnd w:id="30"/>
      <w:r>
        <w:rPr>
          <w:rtl w:val="true"/>
        </w:rPr>
        <w:t>مسألة</w:t>
      </w:r>
      <w:r>
        <w:rPr>
          <w:rtl w:val="true"/>
        </w:rPr>
        <w:t xml:space="preserve">: </w:t>
      </w:r>
      <w:r>
        <w:rPr>
          <w:rtl w:val="true"/>
        </w:rPr>
        <w:t>لو رأت ثلاثة و انقطع ثمّ رأت في ضمن العشرة دما آخر</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انقطع على العشرة أو ما دونها كان الكل مع النقاء المتخلّل حيضا و تدلّ عليه مضافا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الإجماع على خصوص هذا الفرع قاعدة الإمكان بضميمة عدم إمكان أقلّية الطهر من العشرة و لو لا الإجماع لأمكن الخدشة في عموم الحكم بالنسبة إلى المعتادة فيما لو رأت الصفرة بعد أيّامها من جهة المستفيضة </w:t>
      </w:r>
      <w:r>
        <w:rPr>
          <w:rStyle w:val="FootnoteAnchor"/>
          <w:rtl w:val="true"/>
        </w:rPr>
        <w:footnoteReference w:id="18"/>
      </w:r>
      <w:r>
        <w:rPr>
          <w:rFonts w:ascii="Amiri" w:hAnsi="Amiri" w:eastAsia="Amiri" w:cs="Amiri"/>
          <w:color w:val="111111"/>
          <w:sz w:val="28"/>
          <w:sz w:val="28"/>
          <w:szCs w:val="28"/>
          <w:rtl w:val="true"/>
          <w:lang w:bidi="ar-SA"/>
        </w:rPr>
        <w:t>الدالة على أنّ الصفرة بعد أيّام الحيض ليست حيضا، و العجب من بعض الأعلام حيث حمل أيّام الحيض على أيّام إمكانه مع كونه خلاف الظاهر، بل خلاف الصريح لبعض الأخبار و هو مرسلة يونس الطويلة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ثلاثة مثلا و انقطع ثمّ بعد فصل أقل الطهر رأت ثلاثة أيضا فعلى ما حقّقناه من جريان قاعدة الإمكان كان كل من الدمين محكوما بالحيضية من غير فرق بين كونهما جامعين أو فاقدين أو مختلفين، و لو رأت ثلاثة مثلا ثم رأت قبل فصل أقل الطهر ثلاثة أيضا و كان المجموع مع النقاء المتخلل أزيد من العشرة فإن كان مع أحدهما مرجح من عادة أو صفات كان هو المقدم و إلّا فالباب باب المزاحمة و الأقوى فيه التخيير، و العجب من بعض الأعلام حيث حكم بمرجحيّة السبق الزماني، و أنت خبير بما فيه بعد استواء الدمين فيما هو الملاك كما هو الحال في نظائره من المتزاحمين، و قد يستدل لمرجحيّة السبق الزماني بقول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مكثت المرأة عشرة أيّام ترى الدم ثم طهرت فمكثت ثلاثة أيام طاهرا ثم رأت الدم بعد ذلك أتمسك عن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مستحاضة</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مفروض السائل الفراغ عن حيضية الدم الأوّل و هو لا يتحقّق إلّا</w:t>
      </w:r>
      <w:bookmarkStart w:id="32" w:name="pg1803_21577"/>
    </w:p>
    <w:p>
      <w:pPr>
        <w:pStyle w:val="BookText"/>
        <w:rPr/>
      </w:pPr>
      <w:bookmarkEnd w:id="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بالعادة أو الصفة، و أمّا بالقاعدة فهو أوّل الكلام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491823_3650668749"/>
      <w:bookmarkStart w:id="34" w:name="_Toc12"/>
      <w:bookmarkEnd w:id="33"/>
      <w:r>
        <w:rPr>
          <w:rtl w:val="true"/>
        </w:rPr>
        <w:t>مسألة</w:t>
      </w:r>
      <w:r>
        <w:rPr>
          <w:rtl w:val="true"/>
        </w:rPr>
        <w:t xml:space="preserve">: </w:t>
      </w:r>
      <w:r>
        <w:rPr>
          <w:rtl w:val="true"/>
        </w:rPr>
        <w:t>إذا انقطع دم الحيض في الظاهر مع احتمال ثبوته في الباطن وجب عليها الاختبار</w:t>
      </w:r>
      <w:bookmarkEnd w:id="34"/>
    </w:p>
    <w:p>
      <w:pPr>
        <w:pStyle w:val="BookText"/>
        <w:rPr/>
      </w:pPr>
      <w:r>
        <w:rPr>
          <w:rFonts w:ascii="Amiri" w:hAnsi="Amiri" w:eastAsia="Amiri" w:cs="Amiri"/>
          <w:color w:val="111111"/>
          <w:sz w:val="28"/>
          <w:sz w:val="28"/>
          <w:szCs w:val="28"/>
          <w:rtl w:val="true"/>
          <w:lang w:bidi="ar-SA"/>
        </w:rPr>
        <w:t>بإدخال قطنة و الصبر هنيئة فإن خرجت نقية حكمت بكونها طاهرة فقد جعل الشارع نقاء الباطن طريقا ظاهريا على الطهر الواقعي في مقابل احتمال كونه نقاء متخللا و حيضا حكميا، كما جعل نقاء القطنة طريقا ظاهريا على نقاء الباطن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على وجوب الاختبار موثقة سماعة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الطهر و ترى الصفرة أو الشي‌ء فلا تدري أطهرت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فلتقم فلتلصق بطنها إلى حائط و ترفع رجلها على الحائط كما رأيت الكلب يصنع إذا أراد أن يبول ثم تستدخل الكرسف فإذا كان ثمّة من الدم مثل رأس الذباب خرج فإن خرج دم فلم تطهر و إن لم يخرج فقد طهرت</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 ظاهرها كون الاختبار واجبا طريقيا فقد أوجب الشارع في هذا الفرد من الشبهة الموضوعية الفحص عن الواقع بالرجوع إلى هذا الطريق الظاهري و لم يرخص الرجوع إلى الأصل العملي أعني استصحاب بقاء الدم في الباطن و استصحاب حدث الحيض لاحتمال كون النقاء متخلّلا، لا واجبا نفسيا حتّى في حقّ من يعلم بالبقاء أو يعمل بالاحتياط، و لا مقدّميا لاعتبار حصول الجزم في النية أو إحراز الطهر في صحة الغسل في خصوص المقام، و لا إرشاديا مسوقا بغرض جعل الطريق فقط من دون إيجاب الرجوع حتى يكون الأصل جاريا قبل اعمال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و العجب من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استظهر الاحتمال الأخير في الرواية حتى التجأ في حملها على المعنى الأوّل إلى فهم الأصحاب، مع أنّك خبير بأنّ ظاهر الأمر هو المولوية دون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الخصوصية المذكورة في الرواية للاختبار غير واجبة و إنّما هي دخيلة في كمال الواجب لا في أصله لشهادة صحيحة محمّد بن مسلم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الحائض أن تغتسل فلتستدخل قطنة فإن خرج فيها شي‌ء من الدم فلا تغتسل و إن لم تر شيئا فلتغتسل، و إن رأت بعد ذلك صفرة فلتتوضأ و لتصل</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مع ملاحظة اختلاف الأخبار المقيدة ففي بعضها ذكر الرجل اليسرى و في آخر اليمنى و في ثالث من دون الوصف، و هذا ممّا يوجب و هن ظهورها في إرادة الوجوب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موضوع الاختبار هو الانقطاع الظاهري مع احتمال الثبوت الباطني احتمالا زائدا على ما يقتضيه طبع الحيض فإنّه غالبا لا ينفك عن الانقطاع الظاهري مع الظنّ بالثبوت في الباطن، فإذا طرأ عليها حالة ترديد زائد على ذلك وجب عليها الاختبار و كلّما عادت الحالة عاد الوجوب و لو تعذّر عليها الاختبار لظلمة أو عمى مع فقد المرشد فالظاهر بقاء مادة الخطاب بالنسبة إليها و إن سقط الوجوب كما هو الحال في نظائره من الواجبات المطلقة في حقّ العاجز فلا يشرع في حقها الرجوع إلى الأصل و يجب عليها الاحتياط و يتحقّق بالاغتسال في أوّل الأمر و إتيان الصلاة و الصوم، و إذا حصل لها العلم بالنقاء تعيد الغسل و تقضي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العلم الإجمالي بتوجه إحدى وظيفتي الحائض و الطاهر إليها إعادة الغسل عند كل صلاة تحتمل النقاء عندها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محتملة للنقاء في أوّل الأمر لا يحصل لها علم إجمالي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الشغل اليقيني بالصلاة المتوقفة على الطهارة تحصيل العلم بالطهارة و لكنّه متعذّر لأنّها كلّما كرّرت الغسل احتملت حصول النقاء في أثنائه أو بعده أو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كون التكرار المذكور أولى، و أمّا الوجوب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كلّه فيما لو خرجت القطنة نقية، و أمّا لو خرجت متلطّخة و لو بقليل من الصفرة صبرت المبتدئة و من لم يستقر لها عادة عددية و حكمت بكونه حيضا ظاهرا و واقعا حتى يتبيّن لها النقاء بإعمال الاختبار ثانيا و ثالثا و هكذا أو تمضي العشرة و تدلّ على الحكم في كلا القسمين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البكر أوّل ما تحيض تقعد في الشهر يومين و في الشهر ثلاثة يختلط عليها لا يكون طمثها في الشهر عدّة أيّام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 تدع الصلاة ما دامت ترى الدم ما لم تجز العشرة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 كذا الحكم في المعتادة عادة عددية ما لم تنقض عادتها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انقضت عادتها و كانت أقلّ من العشرة و لما تنقض العشرة فقد اختلف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الإطباق على أصل مشروعية الاستظهار بترك العبادة في مقامين أحدهما في أنّه على نحو الوجوب أو الاستحباب و الثاني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حدّه، و منشأ الاختلاف اختلاف الأخبار فإنّها بين ما حكمت بالاستظهار و بين ما حكمت بالاغتسال و الصلاة و الطائفة الأولى أيضا بين ما لم يذكر فيه حدّ الاستظهار و ما عيّن حد الاستظهار في اليوم و ما عيّنه في اليومين و ما عيّنه في الثلاثة، و ما خيّر بين اليوم و اليومين و الثلاثة، و ما خير بين اليومين و الثلاثة، و ما خيّر بين اليوم و اليومين، و ما عيّنه إلى العشرة، و ما عيّنه في ثلثي العادة، فبعضهم حمل الطائفة الأولى بشهادة الاختلاف الواقع في نفسها و بقرينة الطائفة الثانية المحمولة على أصل المشروعية لكونها واردة بعد سبق الحظر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في بعض أخبار الطائفة الأولى في مقام التفريع على الاستظهار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حلّ لها الصلاة حلّ لزوجها أن يغشاها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لا يخفى أنّ تفريع حلّية الغشيان على الاستظهار لا يناسب الاستحباب فالمتعيّن حملها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اختلافها في أنفسها فبعضهم نزله على اختلاف مراتب العادات فذات العادة التسعة تستظهر بيوم و الثمانية بيومين و هكذا، و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مادة الاستظهار على معناه اللغوي أعني طلب استكشاف الحال و ظهوره و نزل الاختلاف على مراتب ذلك فإنّ تبيّن الحال قد يحصل بيوم و قد يحصل بيومين و هكذا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بل الظاهر أنّ المراد به الاحتياط كما عبّر به في بعض الأخبار و إطلاق الأخبار يأبى عن الحمل على ذات عادة مخصوصة فالمتعيّن الحمل على الوجوب التخييري برفع اليد عن ظاهر كل في التعيين بنص الآخر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المشروعيّة كما هو الحال في نظائره كما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فأعتق رقبة، و 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ظاهرت فأطعم ستين مسكينا، و القول بأنّه في المقام غير ممكن لرجوعه إلى التخيير بين الفعل و الترك في الزائد عن اليوم الواحد فيلزم جواز الترك لا إلى بدل بخلاف المثال فإنّ الثابت فيه جوازه إلى بدل و هو لا ينافي الوجوب و يلزم التخيير بين الأقل و الأكثر و هو في التدريجيّات كما في المقام غير معقول كما 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طرفي التخيير الأمر القلبي و هو عقد القلب و البناء على التحيّض كما هو الحال في تخيّر المستمرة الدم التي ليس لها عادة و لا تميز، بين الأخذ بالست أو السّبع في كل شهر فيرتفع الإشكال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بإزاء هذه الأخبار أخبار مانعة بظاهرها عن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المستحاضة من أنّها بعد انقضاء أيّامها تغتسل و تصلّي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النفساء بهذا المضمون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الدالة على أنّ الصفرة و الكدرة في أيّام الحيض حيض و في أيام الطهر طهر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مرسلة يونس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رأت المرأة من صفرة أو حمرة في أيّام حيضها فهو من الحيض، و كلّ ما رأته بعد أيّامها فليس من الحيض</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و 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اختلفت الأنظار في وجه الجمع بين الطائفتين فالمنسوب إلى عامة المتأخّرين و هو مختار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ينافيه ما في بعض أخبار الاستظهار من تعليق حلّية الغشيان بمضيّ أيام الاستظهار فإنّه غير مناسب مع الاستحباب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آخرين حمل أخبار الاستظهار على صورة اجتماع الصفات و الأخبار الأخر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مع ذكر الدم الرقيق في بعض أخبار الاستظهار كذكر الحمرة في ذيل مرسلة يونس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ثالث معاملة الإطلاق و التقييد بحمل الأخبار الأخيرة على ما بعد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مع كونهما في مقام التحديد لمقدار جلوس المرأة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السفر ثمانية فراسخ، 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تسعة، و لا يخفى أنّهما عرفا من المتباينين لا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رابع حمل أخبار الاستظهار على من كان في عادتها خلاف بزيادة يوم أو يومين أحيانا و نقيصة هذا المقدار كذلك بناء على عدم زوال العادة بذلك كما مرّ تقويته، و الأخبار الأخير على مستقيمة العادة بشهادة موثقة البصري </w:t>
      </w:r>
      <w:r>
        <w:rPr>
          <w:rStyle w:val="FootnoteAnchor"/>
          <w:rtl w:val="true"/>
        </w:rPr>
        <w:footnoteReference w:id="28"/>
      </w:r>
      <w:r>
        <w:rPr>
          <w:rFonts w:ascii="Amiri" w:hAnsi="Amiri" w:eastAsia="Amiri" w:cs="Amiri"/>
          <w:color w:val="111111"/>
          <w:sz w:val="28"/>
          <w:sz w:val="28"/>
          <w:szCs w:val="28"/>
          <w:rtl w:val="true"/>
          <w:lang w:bidi="ar-SA"/>
        </w:rPr>
        <w:t>المذكور فيها هذا التفصيل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أخبار الاستظهار على كثرتها و بلوغها ثلاثة و عشرين خبرا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الحمل على هذا الفرد النادر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خامس حمل أخبار الاستظهار على من تجاوز دمها العادة في الشهر الأوّل و غيرها على الشهر الثاني و ما بعده بقرينة بعض </w:t>
      </w:r>
      <w:r>
        <w:rPr>
          <w:rStyle w:val="FootnoteAnchor"/>
          <w:rtl w:val="true"/>
        </w:rPr>
        <w:footnoteReference w:id="29"/>
      </w:r>
      <w:r>
        <w:rPr>
          <w:rFonts w:ascii="Amiri" w:hAnsi="Amiri" w:eastAsia="Amiri" w:cs="Amiri"/>
          <w:color w:val="111111"/>
          <w:sz w:val="28"/>
          <w:sz w:val="28"/>
          <w:szCs w:val="28"/>
          <w:rtl w:val="true"/>
          <w:lang w:bidi="ar-SA"/>
        </w:rPr>
        <w:t>الأخبار الّذي ورد فيه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المستحاضة في غير واحد من أخبار الاستظهار، و الظاهر أنّ المراد بها من استمر بها الدم أشهرا أو سنين و عدم تمشّيه في أخبار الصفرة و الكدرة لكونه بالنسبة إليها تقييدا للمطلق بالفرد النادر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في رفع الاختلاف حمل أخبار الاستظهار على صورة الشك و الترديد في انقطاع الدم على العشرة فما دونها و عدمه بقرينة كلمة الاستظهار و الاحتياط و الانتظار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الدم فكذا و إن لم ينقطع فكذا، لوضوح عدم تمشّي هذه الأمور في حقّ القاطع بأحد الطرفين و حمل الأخبار الأخر ممّا عدا ذيل المرسلة و أخبار الصفرة و الكدرة على صورة القطع بالتجاوز عن العشرة سواء حصل القطع من جهة كونها مستحاضة مستمرا دمها أشهرا أو سنين أو من جهة كونها نفساء، و الغالب تجاوز دمها عن الشهر فضلا عن العشر، أو من جهة استقامة عادتها فإنّه أيضا قد يصير أحيانا سببا للقطع المذكور فإنّ مادة الدم لو كانت ضعيفة كان انضباط العادة و استقامتها مانعا و حابسا عن خروج الدم بانقضائها فيستكشف من عدم الحبس و المنع كون المادة قوية لا ينقطع على العشرة فما دونها كما أنّ المرأة المستحاضة الّتي استمر دمها أشهرا أو سنين قد يتّفق لها حالة الترديد و الشك بواسطة استعمال بعض الأدوية و رؤية الفتور و الضعف في خروج الدم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و لونه، و ليس هذا تقييدا للمطلق بالفرد النادر، بل هو تعرّض للفرد النادر لما ذكرنا من عدم تمشّي الاستظهار في حقّ غير المتردّد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الصفرة و الكدرة فمحمولة على الحكم الواقعي بعد تقييدها بصورة التجاوز عن العشرة بواسطة ما دلّ على أنّ ما تراه المرأة قبل العشرة فهو من الحيضة الأولى، و أخبار الاستظهار محمولة على الحكم الظاهري في حقّ من لا يعلم كونه من مصاديق الكلّية الأولى أو الثانية، و الشاهد على هذا الحمل رواية يونس القصيرة فإنّها مشتملة على فقرأت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حاضت المرأة و كان حيضها خمسة أيّام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رأت الدم من أوّل ما رأت الثاني الذي رأته تمام العشرة أيّام و دام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رأت المرأة في أيّام حيضها من صفرة أو حمرة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الفقرة الأولى إحدى الكلّيتين الواقعيتين و من الفقرة الأخيرة الكلية الأخرى، و من الوسطى هو الحكم الظاهري في أيّام الاستظهار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على ما ذكرنا من الحكم الظاهري أنّه لو انكشف الحال بعد ذلك إمّا بالانقطاع أو بالتجاوز تبني على الواقع و إن كان على خلاف ما عملته في الظاهر، ففي الصورة الأولى تقضي ما صامته من أيّام ما بعد الاستظهار، و في الثانية تقضي ما تركته من الصلاة و الصوم في أيّام الاستظهار، و العجب من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حكومته أخبار الاستظهار على أخبار الصفرة و الكدرة ببيان أنّها توجب اندراج أيّام الاستظهار في أيّام الحيض و احتسابها جزءا منها تعبّدا، و أنت خبير بأنّه ليس مفادها إلّا أنّ المرأة بعد انقضاء أيّامها تعمل عمل الحائض كما أنّ مفاد ما يقابلها أنّها بعد أيّامها تعامل معاملة</w:t>
      </w:r>
      <w:bookmarkStart w:id="35" w:name="pg1803_21601"/>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الطاهر، و ليس لأحد هذين التعبيرين حكومة على الآخر</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491825_3650668749"/>
      <w:bookmarkStart w:id="37" w:name="_Toc13"/>
      <w:bookmarkEnd w:id="36"/>
      <w:r>
        <w:rPr>
          <w:rtl w:val="true"/>
        </w:rPr>
        <w:t>مسألة</w:t>
      </w:r>
      <w:r>
        <w:rPr>
          <w:rtl w:val="true"/>
        </w:rPr>
        <w:t xml:space="preserve">: </w:t>
      </w:r>
      <w:r>
        <w:rPr>
          <w:rtl w:val="true"/>
        </w:rPr>
        <w:t>إذا حصل النقاء من الحيض و لما تغتسل فهل تحل لزوجها مباشرتها</w:t>
      </w:r>
      <w:bookmarkEnd w:id="37"/>
    </w:p>
    <w:p>
      <w:pPr>
        <w:pStyle w:val="BookText"/>
        <w:rPr/>
      </w:pPr>
      <w:r>
        <w:rPr>
          <w:rFonts w:ascii="Amiri" w:hAnsi="Amiri" w:eastAsia="Amiri" w:cs="Amiri"/>
          <w:color w:val="111111"/>
          <w:sz w:val="28"/>
          <w:sz w:val="28"/>
          <w:szCs w:val="28"/>
          <w:rtl w:val="true"/>
          <w:lang w:bidi="ar-SA"/>
        </w:rPr>
        <w:t>و لو مع الكراهة أو لا تحل أو تحل مع غسل فرجها و لا تحل بدونه، ثمّ على كل من تقديري الحرمة أو الكراهة فهل يشرع التيمم عند تعذّر الماء لزوالهما أو لا؟ ينبغي قبل التكلم في أدلّة المسألة تأسيس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الإباحة و لا ترجع إلى استصحاب الحرمة لكونه مخدوشا بعدم بقاء الموضوع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قرّر في الأصول أنّ الموضوع في الاستصحاب مأخوذ من العرف لا من الدليل و الخدشة المذكورة مبنيّة على الثاني، بل الحق عدم الرجوع إلى الاستصحاب المذكور لكونه محكوما بالدليل و هو قوله تعالى نِسٰاؤُكُمْ حَرْثٌ لَكُمْ فَأْتُوا حَرْثَكُمْ أَنّٰى شِئْتُمْ </w:t>
      </w:r>
      <w:r>
        <w:rPr>
          <w:rStyle w:val="FootnoteAnchor"/>
          <w:rtl w:val="true"/>
        </w:rPr>
        <w:footnoteReference w:id="30"/>
      </w:r>
      <w:r>
        <w:rPr>
          <w:rFonts w:ascii="Amiri" w:hAnsi="Amiri" w:eastAsia="Amiri" w:cs="Amiri"/>
          <w:color w:val="111111"/>
          <w:sz w:val="28"/>
          <w:sz w:val="28"/>
          <w:szCs w:val="28"/>
          <w:rtl w:val="true"/>
          <w:lang w:bidi="ar-SA"/>
        </w:rPr>
        <w:t xml:space="preserve">فإنّه إمّا أن يقال بأنّ كلمة أنى ظرف زمان أو يقال بأنّها ظرف مكان بمعنى أيّ موضع من الحرث المذكور قبلا أو دبرا أو غيرهما، فعلى الأوّل فالمرجع هو العموم الزماني دون استصحاب حكم الخاص، و على الثاني فالآية مع قوله تعالى فَاعْتَزِلُوا النِّسٰاءَ فِي الْمَحِيضِ </w:t>
      </w:r>
      <w:r>
        <w:rPr>
          <w:rStyle w:val="FootnoteAnchor"/>
          <w:rtl w:val="true"/>
        </w:rPr>
        <w:footnoteReference w:id="31"/>
      </w:r>
      <w:r>
        <w:rPr>
          <w:rFonts w:ascii="Amiri" w:hAnsi="Amiri" w:eastAsia="Amiri" w:cs="Amiri"/>
          <w:color w:val="111111"/>
          <w:sz w:val="28"/>
          <w:sz w:val="28"/>
          <w:szCs w:val="28"/>
          <w:rtl w:val="true"/>
          <w:lang w:bidi="ar-SA"/>
        </w:rPr>
        <w:t>من باب دليلي المسافر و الحاضر و من باب التنويع، و ليس من مقام الرجوع إلى الاستصحاب كما هو واضح و حيث إنّ القدر المتيقّن من المحيض لو لم يكن بظاهره هو التلبس بدم الحيض لا الابتلاء بحدثه كان ما نحن فيه مندرجا تحت الآية الأولى و محكوما بحكم الحلّية، هذا هو الكلام في أصل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و أمّا أدلّتها فمجمل الكلام فيها أنّ مقتضى قوله تعالى وَ لٰا تَقْرَبُوهُنَّ حَتّٰى يَطْهُرْنَ </w:t>
      </w:r>
      <w:r>
        <w:rPr>
          <w:rStyle w:val="FootnoteAnchor"/>
          <w:rtl w:val="true"/>
        </w:rPr>
        <w:footnoteReference w:id="32"/>
      </w:r>
      <w:r>
        <w:rPr>
          <w:rFonts w:ascii="Amiri" w:hAnsi="Amiri" w:eastAsia="Amiri" w:cs="Amiri"/>
          <w:color w:val="111111"/>
          <w:sz w:val="28"/>
          <w:sz w:val="28"/>
          <w:szCs w:val="28"/>
          <w:rtl w:val="true"/>
          <w:lang w:bidi="ar-SA"/>
        </w:rPr>
        <w:t>بناء على قراءة التخفيف حلّية الوطي بعد الطهر بمعنى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قراءة التشديد توقف الحلّية على الاغتسال فانّ المراد بالآية بناء على التشديد هو الاغتسال كما في آية وَ إِنْ كُنْتُمْ جُنُباً فَاطَّهَّرُوا </w:t>
      </w:r>
      <w:r>
        <w:rPr>
          <w:rStyle w:val="FootnoteAnchor"/>
          <w:rtl w:val="true"/>
        </w:rPr>
        <w:footnoteReference w:id="33"/>
      </w:r>
      <w:r>
        <w:rPr>
          <w:rFonts w:ascii="Amiri" w:hAnsi="Amiri" w:eastAsia="Amiri" w:cs="Amiri"/>
          <w:color w:val="111111"/>
          <w:sz w:val="28"/>
          <w:sz w:val="28"/>
          <w:szCs w:val="28"/>
          <w:rtl w:val="true"/>
          <w:lang w:bidi="ar-SA"/>
        </w:rPr>
        <w:t>و حينئذ فإن قلنا بتواتر القراءات حصل الإجمال لتكافؤ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بأقوائية ظهور قراءة التشديد على قراءة التخفيف فيحمل الثاني على ما لا ينافي الأوّل بحمل الطهر على الطهارة من حدث الحيض لا النقاء من دمه، و إن قلنا بعدم التواتر و عدم جواز الاستدلال و إنّما المسلّم جواز القراءة كما هو الحق المقرّر في محله فحينئذ يحصل الإجمال في الآية، و لكن يمكن الرجوع إلى قوله تعالى بعد تلك الفقرة فَإِذٰا تَطَهَّرْنَ فَأْتُوهُنَّ </w:t>
      </w:r>
      <w:r>
        <w:rPr>
          <w:rStyle w:val="FootnoteAnchor"/>
          <w:rtl w:val="true"/>
        </w:rPr>
        <w:footnoteReference w:id="34"/>
      </w:r>
      <w:r>
        <w:rPr>
          <w:rFonts w:ascii="Amiri" w:hAnsi="Amiri" w:eastAsia="Amiri" w:cs="Amiri"/>
          <w:color w:val="111111"/>
          <w:sz w:val="28"/>
          <w:sz w:val="28"/>
          <w:szCs w:val="28"/>
          <w:rtl w:val="true"/>
          <w:lang w:bidi="ar-SA"/>
        </w:rPr>
        <w:t>و لا تعارض بقوله تعالى فَاعْتَزِلُوا النِّسٰاءَ فِي الْمَحِيضِ لإمكان حمله على حدث الحيض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الكلام في الآية، و أمّا أخبار المسألة فبين طائفتين في إحداهما النهي عن الوطي قبل الاغتسال، و في الأخرى عدم البأس، و من المعلوم أنّ مقتضى الجمع بين المضمونين هو الحمل على الكراهة، و أمّا صحيحة ابن مسلم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ينقطع عنها الدم دم الحيض في آخر أيّامها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زوجها شبق فليأمرها فلتغسل فرجها ثم يمسها إن شاء قبل أن تغتسل</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فلا شهادة فيها للجمع بحمل الطائفة المرخصة على صورة الشّبق و المانعة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تعليق رفع المنع على الشّبق بمعنى شدّة الميل لا يناسب التحريم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كونها في مقام بيان الوسيلة لرفع المنع بعد الفراغ عن أصله، و أمّا إنّ المنع كراهي أو تحريمي فليس بصدده و إنّما هو موكول إلى محله، و من هنا تعرف أنّه لا يمكن الاستشهاد بهذه الصحيحة لوجوب غسل الفرج فإنّ الأمر الّذي يتوسل به إلى رفع الكراهة لا يناسبه الوجوب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يشرع التيمّم عند تعذّر الماء لرفع الكراهة أو التحريم، 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بدلية التيمّم و أنّه يكفيك عشر سنين مشروعيته و عدم انتقاضة بالجماع كعدم انتقاض تيمّم الجنابة بمسّ الميّت و سائر الأحداث غير الجنابة و الخدشة في العموم بأنّه فيما كان الطهارة شرطا لا فيما كان حدث خاص مانعا كما فيما نحن فيه حيث إنّ المباشرة غير مشروطة بالطهارة و إلّا لما شرعت في حق الجنب أو من مس ميّتا و إنّما منع منها حدث الحيض، فمدفوعة بعدم الفرق بين الصورتين في الاندراج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التراب عشر سنين، و تدل على المشروعية روايتان ناصّتان بذلك و لا يعارضهما ما في الموثق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حاضت ثم طهرت في سفر فلم تجد الماء يومين أو ثلاثة هل لزوجها أن يقطع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لزوجها أن يقطع عليها حتى تغتسل</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و ذلك إمّا لورودها في مقام أصل المنع قبل الاغتسال كسائر الأخبار المانعة، و إمّا محمولة على ثبوت المراتب للكراهة و اللّٰه العالم</w:t>
      </w:r>
      <w:r>
        <w:rPr>
          <w:rFonts w:eastAsia="Amiri" w:cs="Amiri" w:ascii="Amiri" w:hAnsi="Amiri"/>
          <w:color w:val="111111"/>
          <w:sz w:val="28"/>
          <w:szCs w:val="28"/>
          <w:rtl w:val="true"/>
          <w:lang w:bidi="ar-SA"/>
        </w:rPr>
        <w:t>.</w:t>
      </w:r>
      <w:bookmarkStart w:id="38" w:name="pg1803_21610"/>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Heading3"/>
        <w:numPr>
          <w:ilvl w:val="2"/>
          <w:numId w:val="1"/>
        </w:numPr>
        <w:rPr/>
      </w:pPr>
      <w:bookmarkStart w:id="39" w:name="__RefHeading___Toc2491827_3650668749"/>
      <w:bookmarkStart w:id="40" w:name="_Toc14"/>
      <w:bookmarkEnd w:id="39"/>
      <w:r>
        <w:rPr>
          <w:rtl w:val="true"/>
        </w:rPr>
        <w:t>مسألة</w:t>
      </w:r>
      <w:r>
        <w:rPr>
          <w:rtl w:val="true"/>
        </w:rPr>
        <w:t xml:space="preserve">: </w:t>
      </w:r>
      <w:r>
        <w:rPr>
          <w:rtl w:val="true"/>
        </w:rPr>
        <w:t>لو دخل عليها الوقت و هي طاهرة ثم عرضها الحيض</w:t>
      </w:r>
      <w:bookmarkEnd w:id="40"/>
    </w:p>
    <w:p>
      <w:pPr>
        <w:pStyle w:val="BookText"/>
        <w:rPr/>
      </w:pPr>
      <w:r>
        <w:rPr>
          <w:rFonts w:ascii="Amiri" w:hAnsi="Amiri" w:eastAsia="Amiri" w:cs="Amiri"/>
          <w:color w:val="111111"/>
          <w:sz w:val="28"/>
          <w:sz w:val="28"/>
          <w:szCs w:val="28"/>
          <w:rtl w:val="true"/>
          <w:lang w:bidi="ar-SA"/>
        </w:rPr>
        <w:t>فإن اتسع طهرها للفرد الاختياري من الصلاة المجعول في حقّها مع قطع النظر عن التضيق العارض بسبب الحيض، فلا إشكال في ثبوت الأداء و لا في ثبوت القضاء مع ترك الأداء، كما لا إشكال في عدم ثبوتهما لو لم يتسع لا للفرد الاختياري و لا للاضطراري، و القول بثبوت القضاء مع الاتساع لأكثر الصلاة ضعيف لضعف مستنده و هو الرواية الضعيفة سندا و دلالة، و إنّما الإشكال فيما لو اتسع للفرد الاضطراري خاصة دون الاختياري فهل يثبت الأداء و مع عدمه القضاء كما ذهب إليه كاشف اللثام و اختاره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إن رجع عنه أخيرا أو ينتفي كلاهما كما ذهب إليه صاحب العروة و قرّره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يفصل بين الأداء فيثبت، و القضاء فينتفي كما ذهب إليه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مستند الأوّل أنّا لا نرى فرقا بين التضيق الذاتي و العرضي الحاصل بسبب عروض الموت أو الجنون أو نحوهما من الأعذار العقلية و بين التضيق العرضي الحاصل بسبب عروض الحيض فكما لا إشكال في ثبوت الأمرين في الأوّل، فلا بدّ أن لا يكون فيه إشكال في الأخير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 الثاني إبداء الفرق بين الصورتين بدعوى أنّ شرائط مطلوبية الصلاة مادة محقّقة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انتفاء شرائط حسن الخطاب أعني القدرة و الحياة و العقل، و أمّا في الثانية فالطهارة من الحيض قيد شرعي للمطلوبية المادّية دون حسن الخطاب و مع انتفاء المطلوبية المادية لا قضاء لعدم صدق الفوت و لا أداء أمّا الفرد الاختياري فواضح، و أمّا الاضطراري فلأنّه إنّما يشرع في حقّ العاجز عن الفرد الاختياري بعد الفراغ عن مشروعية الاختياري في حقّه مادّة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إن سقط عنه خطابه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الثالث أمّا في ثبوت الأداء فهو ما ذكر في وجه القول الأوّل، و أمّا في نفي القضاء فهو الأدلة الخاصة النافية للقضاء عن الحائض بدعوى أنّ المتبادر منها نفي القضاء فيما لو صار الحيض سببا لامتناع تحقّق الصلاة المشروعة في حقها مع قطع النظر عن هذا الضيق العرضي، و إن أمكن تحقّقها بملاحظة فردها المجعول بملاحظته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المسألة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لطبيعة الطهارة من الحيض الكائنة بين الحدّين من الوقت مدخلية شرعية في الجملة في مطلوبية الصلاة مادة، و لهذا لا نقول بثبوت القضاء في حقّ من استوعب حيضها لجميع الوقت، كما أنّه لا إشكال أيضا في أنّ الشرط ليس هو صرف وجود هذه الطبيعة بين الحدين من دون مدخلية مقدار خاص، و لا مع اعتبار كونها بمقدار أكثر الصلاة، و لهذا لا نقول بثبوت القضاء في حقّ من أدرك الطهارة آنا ما من الوقت أو بمقدار أكثر الصلاة، و إنّما الإشكال في أنّه هل المعتبر كونها بمقدار الصلاة الاختياريّة أو يكفي بمقدار الاضطراري، فعلى الثاني يثبت كلا الأمرين، و على الأوّل ينتفي كلاهما و لا يبعد استظهار الأوّل من الأدلّة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الكلام فيما لو أدرك الطهر في أوّل الوقت و مثله الكلام فيما لو أدركه في آخره لجريان ما ذكرنا فيه أيضا حرفا بحرف، 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فرّق بينهما، فقال في الأوّل بثبوت الأداء دون القضاء كما عرفت، و قال في الثاني بعد اعتبار سعة الوقت لمقدار الطهارة المائية من الغسل و الوضوء بملاحظة الأدلّة الخاصة الناصّة في ذلك بوجوب الأداء و القضاء كليهما</w:t>
      </w:r>
      <w:bookmarkStart w:id="41" w:name="pg1803_21615"/>
    </w:p>
    <w:p>
      <w:pPr>
        <w:pStyle w:val="BookText"/>
        <w:rPr/>
      </w:pPr>
      <w:bookmarkEnd w:id="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و لو لم يتسع الوقت بعد الطهارة المائية إلّا لإدراك ركعة من الوقت مع إسقاط سائر الشرائط الاختيارية، و أنت خبير بأنّ ما ذكره في جانب أوّل الوقت لنفي القضاء جار هنا أيضا بالنسبة إلى إدراك الركعة و إسقاط سائر الشرائط فلم يعلم للفرق المذكور وجه اللّٰهمّ إلّا أن ينعقد الإجماع في صورة إدراك الركعة على ثبوت الأداء و القضاء مع عدمه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491829_3650668749"/>
      <w:bookmarkStart w:id="43" w:name="_Toc15"/>
      <w:bookmarkEnd w:id="42"/>
      <w:r>
        <w:rPr>
          <w:rtl w:val="true"/>
        </w:rPr>
        <w:t>مسألة</w:t>
      </w:r>
      <w:r>
        <w:rPr>
          <w:rtl w:val="true"/>
        </w:rPr>
        <w:t xml:space="preserve">: </w:t>
      </w:r>
      <w:r>
        <w:rPr>
          <w:rtl w:val="true"/>
        </w:rPr>
        <w:t>لا إشكال في أنّه تحرم عليها حال التلبس بالدم و ما بحكمه من النقاء المتخلّل الصلاة و الطواف و الصوم</w:t>
      </w:r>
      <w:bookmarkEnd w:id="43"/>
    </w:p>
    <w:p>
      <w:pPr>
        <w:pStyle w:val="BookText"/>
        <w:rPr/>
      </w:pPr>
      <w:r>
        <w:rPr>
          <w:rFonts w:ascii="Amiri" w:hAnsi="Amiri" w:eastAsia="Amiri" w:cs="Amiri"/>
          <w:color w:val="111111"/>
          <w:sz w:val="28"/>
          <w:sz w:val="28"/>
          <w:szCs w:val="28"/>
          <w:rtl w:val="true"/>
          <w:lang w:bidi="ar-SA"/>
        </w:rPr>
        <w:t>و كذا في حال الانقطاع و قبل الاغتسال، كما أنّه لا إشكال في كون الحرمة في الحالة الثانية على وجه التشريع و إنّما الكلام في الحالة الأولى و أنّ الحرمة فيها تشريعية أو ذاتية، و لا يخفى أنّ مقتضى الأصل هو الأوّل و ذلك لثبوت الحرمة التشريعية على كل حال و إنّما الشك في ثبوت الزائد و الأصل قاض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مقتضى الأدلّة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الثاني نظرا إلى أنّه الظاهر من عنوان الحرمة و عدم الجواز و عدم الحلّية و النهي و الأمر بالترك الوارد كل منها في بعض الأخبار فإنّ الظاهر كون فعل الصلاة مثلا معلّقا لها من حيث الذات لا بعنوان ثانوي و هو التشريع، هذا لو قلنا بأنّ التشريع سار إلى الخارج، و أمّا لو قلنا بأنّه ممحّض في الأمر القلبي من دون سرايته إلى الخارج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هو مقتضى جعل الاحتياط في أيّام الاستظهار بترك العبادة فإنّ الظاهر أنّه من باب دوران الأمر بين المحذورين و أقوائية جانب الحرمة، و إلّا لكان مقتضى الاحتياط فعل العبادة بوظيفة الاستحاضة مع تروك الحائض</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هو مقتضى قول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رأت الدم المشتبه بين الحيض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و العذرة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فلتتق اللّٰه فإن كان من دم الحيض فلتمسك عن الصلاة حتى ترى الطهر و ليمسك عنها بعلها، و إن كان من العذرة فلتتق اللّٰه و لتتوضّأ و لتصل و يأتيها بعلها إن أحب ذلك</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فإنّ المرأة المذكورة كانت عالمة بأنّ الحائض الواقعي تقعد عن الصلاة و الطاهر كذلك تصلّي، و إنّما كانت جاهلة بحكم حال الاشتباه و كانت تصلّي في تلك الحال بعنوان الاحتياط و الرجاء حسب إرشاد فقهاء العامة لها بعد سؤالها إيّاهم أوّلا كما هو مذكور في صدر الخبر المذكور في الحدائق، فكأنّ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 بعنوان الاحتياط محرّم، و لا يناسب هذا إلّا مع الحرمة الذاتية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أمّا عن الأوّل فيما تقرر في الأصول من أنّ هذه العناوين إذا تعلّقت بالماهيات المركّبة في مقام بيان أجزائها و شرائطها فهي ظاهرة في الوضع دون التكليف مضافا إلى أنّ النهي و الأمر بالترك واردان في مقام توهّم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كونها في مقام التكليف لكن عنوان التشريع و إن كان عارضيا لكنّه ملازم غالبي لهذه الأفعال إذا الغالب إتيانها بعنوان التعبديّة، و المأمور بهيّة بأمر الشارع و إتيانها بغير هذه الكيفية مع تحقّق العبادية و إن كان ممكنا لكنّه فرض نادر، فمن الممكن كون النواهي راجعا إليها بملاحظة هذا العنوان الملازم لها غالبا و لا نسلّم كون التشريع أمرا قلبيا، لم لا يجوز أن يكون من قبيل التعظيم و التوهين ساريا إلى الخارج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الثاني فبإمكان كون الاحتياط بترك العبادة تشريعا و سائر المحرّمات ذاتا فلا ينافي فعل العبادة بغير وجه التشريع</w:t>
      </w:r>
      <w:r>
        <w:rPr>
          <w:rFonts w:eastAsia="Amiri" w:cs="Amiri" w:ascii="Amiri" w:hAnsi="Amiri"/>
          <w:color w:val="111111"/>
          <w:sz w:val="28"/>
          <w:szCs w:val="28"/>
          <w:rtl w:val="true"/>
          <w:lang w:bidi="ar-SA"/>
        </w:rPr>
        <w:t>.</w:t>
      </w:r>
      <w:bookmarkStart w:id="44" w:name="pg1803_21622"/>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نعم هذا احتياط ناقص و الاحتياط التام فعل الصلاة بقصد الاحتياط مع مراعاة وظيفة الاستحاضة و تروك الحائض لكن رفع عنها الاحتياط التام و اكتفى بالناقص لأجل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الثالث فبأنّ الرواية في مقام الإرجاع إلى الطريق المنصوب للتشخيص و أنّه على تقدير تشخيص الحيض يجب رعاية وظيفته الحتمية و على تقدير تشخيص العذرة يجب رعاية وظيفتها كذلك، و أمّا إنّ حرمة الصلاة على التقدير الأوّل تشريعية أو ذاتية فالرواية ساكتة عنه و ملائمة مع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بالحرمة الذاتية لا يشرع لها فعل العبادة رجاء و بعنوان الاحتياط بعد ثبوت الطريق الشرعي و إمكان الرجوع إليه و إن كان مع عدم الثبوت أو عدم إمكان الرجوع لا محيص لها في العبادة من اختيار أحد الأمرين من الفعل أو الترك مع رعاية سائر تروك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بالحرمة التشريعية فيشرع لها الاحتياط بفعل العبادة و لو مع ثبوت الطريق و إمكان الرجوع إليه كما هو واضح</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491831_3650668749"/>
      <w:bookmarkStart w:id="46" w:name="_Toc16"/>
      <w:bookmarkEnd w:id="45"/>
      <w:r>
        <w:rPr>
          <w:rtl w:val="true"/>
        </w:rPr>
        <w:t>مسألة</w:t>
      </w:r>
      <w:r>
        <w:rPr>
          <w:rtl w:val="true"/>
        </w:rPr>
        <w:t xml:space="preserve">: </w:t>
      </w:r>
      <w:r>
        <w:rPr>
          <w:rtl w:val="true"/>
        </w:rPr>
        <w:t>لا يجوز لها مسّ كتابة القرآن</w:t>
      </w:r>
      <w:bookmarkEnd w:id="46"/>
    </w:p>
    <w:p>
      <w:pPr>
        <w:pStyle w:val="BookText"/>
        <w:rPr/>
      </w:pPr>
      <w:r>
        <w:rPr>
          <w:rFonts w:ascii="Amiri" w:hAnsi="Amiri" w:eastAsia="Amiri" w:cs="Amiri"/>
          <w:color w:val="111111"/>
          <w:sz w:val="28"/>
          <w:sz w:val="28"/>
          <w:szCs w:val="28"/>
          <w:rtl w:val="true"/>
          <w:lang w:bidi="ar-SA"/>
        </w:rPr>
        <w:t xml:space="preserve">لقوله تعالى لٰا يَمَسُّهُ إِلَّا الْمُطَهَّرُونَ </w:t>
      </w:r>
      <w:r>
        <w:rPr>
          <w:rStyle w:val="FootnoteAnchor"/>
          <w:rtl w:val="true"/>
        </w:rPr>
        <w:footnoteReference w:id="38"/>
      </w:r>
      <w:r>
        <w:rPr>
          <w:rFonts w:ascii="Amiri" w:hAnsi="Amiri" w:eastAsia="Amiri" w:cs="Amiri"/>
          <w:color w:val="111111"/>
          <w:sz w:val="28"/>
          <w:sz w:val="28"/>
          <w:szCs w:val="28"/>
          <w:rtl w:val="true"/>
          <w:lang w:bidi="ar-SA"/>
        </w:rPr>
        <w:t>و قد كفانا مئونة إجمال الآية من حيث مرجع الضمير و من حيث المراد من المطهّرين رواية إبراهيم بن عبد الحميد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المصحف لا تمسّه على غير طهر و لا جنبا و لا تمس خطه و لا تعلّقه، إنّ اللّٰه تعالى يقول لٰا يَمَسُّهُ إِلَّا الْمُطَهَّرُونَ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و توهّم أنّ الرواية موجبة لسقوط الآية عن الاستدلال من جهة الهيئة و أنّ المراد بها مطلق المرجوحية لمكان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الخارجي بأنّ النهي فيه للكراهة مدفوع بأنّ استدلال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إنّما هو للمعطوف عليه لا المعطوف مع شدّة مناسبتها للمعطوف أيضا، فإنّه إذا كان مسّ الكتابة حراما ناسب أن يكون تعليق القرآن مكروها و المناسبة المذكورة و إن لم تصر بمثابة صحّ لأمثالنا التمسّك بها لكن كفى بها وجها مصححا لذكر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مقام تقريب الحكم المذكور و تأييده و لا ينافي الرواية المذكورة رواية الاحتجاج من أنّه لمّا استخلف الثاني سأل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إليهم القرآن الّذي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أن امتنع أن يدفع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الّذي عندي لا يمسّه إلّا المطهّرون و الأوصياء من ولدي، فقال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وقت لإظهاره معلوم؟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قام القائم من ولدي يظهره و يحمل الناس عليه فتجري السنّة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لإمكان أن يكون المراد من المطهّرين طبعية جامعة ذات مراتب و كذا من القرآن، فالمرتبة الكاملة من القرآن و هي المحفوظة من إسقاط المحرّفين لا يمسّها إلّا المطهّرون من أرجاس المعاصي أعني الملائكة و الأوصياء إلى زمان 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المرتبة الناقصة و هي الموجودة منه في ما بأيدينا لا يمسّها إلّا المطهّرون من أرجاس الأحداث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على الحكم أيضا موثقة أبي بصير أو صحيحته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قرأ في المصحف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لا يمسّ الكتاب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47" w:name="pg1803_21627"/>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3"/>
        <w:numPr>
          <w:ilvl w:val="2"/>
          <w:numId w:val="1"/>
        </w:numPr>
        <w:rPr/>
      </w:pPr>
      <w:bookmarkStart w:id="48" w:name="__RefHeading___Toc2491833_3650668749"/>
      <w:bookmarkStart w:id="49" w:name="_Toc17"/>
      <w:bookmarkEnd w:id="48"/>
      <w:r>
        <w:rPr>
          <w:rtl w:val="true"/>
        </w:rPr>
        <w:t>مسألة</w:t>
      </w:r>
      <w:r>
        <w:rPr>
          <w:rtl w:val="true"/>
        </w:rPr>
        <w:t xml:space="preserve">: </w:t>
      </w:r>
      <w:r>
        <w:rPr>
          <w:rtl w:val="true"/>
        </w:rPr>
        <w:t>هل يشرع لها حال تلبسها بالدم أو ما بحكمه الأغسال المندوبة</w:t>
      </w:r>
      <w:bookmarkEnd w:id="49"/>
    </w:p>
    <w:p>
      <w:pPr>
        <w:pStyle w:val="BookText"/>
        <w:rPr/>
      </w:pPr>
      <w:r>
        <w:rPr>
          <w:rFonts w:ascii="Amiri" w:hAnsi="Amiri" w:eastAsia="Amiri" w:cs="Amiri"/>
          <w:color w:val="111111"/>
          <w:sz w:val="28"/>
          <w:sz w:val="28"/>
          <w:szCs w:val="28"/>
          <w:rtl w:val="true"/>
          <w:lang w:bidi="ar-SA"/>
        </w:rPr>
        <w:t>كغسلي الإحرام و الجمعة أو الواجبة كغسلي المسّ و الجنابة أو لا يشرع أو هنا تفصيل مجمل القول في ذلك أنّ الكلام تارة بحسب القاعدة و أخرى 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قلنا بأنّ الطهارة الحاصلة من الأغسال حقيقة واحدة ذات مراتب أو حقائق متخالفة كما أنّ الأخير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اللّٰه عليك حقوق إلخ </w:t>
      </w:r>
      <w:r>
        <w:rPr>
          <w:rStyle w:val="FootnoteAnchor"/>
          <w:rtl w:val="true"/>
        </w:rPr>
        <w:footnoteReference w:id="41"/>
      </w:r>
      <w:r>
        <w:rPr>
          <w:rFonts w:ascii="Amiri" w:hAnsi="Amiri" w:eastAsia="Amiri" w:cs="Amiri"/>
          <w:color w:val="111111"/>
          <w:sz w:val="28"/>
          <w:sz w:val="28"/>
          <w:szCs w:val="28"/>
          <w:rtl w:val="true"/>
          <w:lang w:bidi="ar-SA"/>
        </w:rPr>
        <w:t>فاللازم القول بالمشروعية و احتمال مانعية حدث الحيض عن تأثير الأغسال مدفوع بإطلاق أدلّتها، و إن قلنا بأنّها حقيقة واحدة غير قابلة للتشكيك فاللازم القول بعدمها كما هو واضح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فاعلم أنّه لا إشكال في مشروعية غسل الإحرام في حقّها لورود النص الخاص بذلك، و أمّا غسل الجمعة فمقتضى رواية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تطهر يوم الجمعة و تذكر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 لكنّها تتوضّأ في وقت الصلاة ثمّ تستقبل القبلة و تذكر اللّٰه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عدم المشروعية فإنّ قول السائل تطهر يوم الجمعة بعد معلومية عدم إرادة الطهارة من الخبث لوضوح تمشّيها منها، و عدم إرادة الطهارة من الحدث الأصغر أيضا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تتوضّأ، يتعيّن حمله على إرادة الغسل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تغتسل يوم الجمعة و لا يخفى ظهوره في إرادة غسل الجمعة، و قد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 العجب من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فقهه حيث حمل الطهر في</w:t>
      </w:r>
      <w:bookmarkStart w:id="50" w:name="pg1803_21630"/>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الموضعين على غسل الحيض، و لا يخفى أنّه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غسل الجنابة فقد ورد فيه روايتان مقتضى صريح إحداهما مشروعيته و هي موثقة عمّار عن المرأة يواقعها زوجها ثمّ تحيض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تغتسل فعلت، و إن لم تفعل فليس عليها شي‌ء، فإذا طهرت اغتسلت غسلا واحدا للحيض و الجنابة</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 مقتضى ظهور الأخرى إمّا بحسب الذات أو بمقتضى الجمع عدم وجوبه لعدم وجوب الغايات المشروطة به من الصلاة و غيرها و هي مصححة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يجامعها زوجها فتحيض و هي في المغتسل تغتسل أو لا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قد جاءها ما يفسد الصلاة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لكن مع ذلك المشهور بينهم عدم المشروعية، بل عن المعتبر دعوى الإجماع، و عن المنتهى أنّه لم ينسب الخلاف إلّا إلى أكثر العامة، و لا يخفى أنّ الإجماع محصّله غير حاصل لوجود الخلاف كما يعلم بالمراجعة و على تقديره غير مجد لاحتمال استنادهم إلى تخيّل المضادّة بين الحدث الملازم لها ما دام رؤية الدم و بين الطهارة و منقوله غير حجة و إذن فالأقوى صحّة جميع الأغسال غير غسل الحيض حتى غسل الجمعة كما أفتى به في العروة، و ذلك لاحتمال أن يكون المراد بقول السائل في الخبر المتقدّم تطهر يوم الجمعة السؤال عن غسل الحيض لتخيّله أنّ حدث الحيض كالاستحاضة ممكن الاجتماع مع الغسل، فإذا جاء هذا الاحتمال حصل الإجمال فيبقى إطلاق أدلّة غسل الجمعة كسائر الأغسال بحاله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491835_3650668749"/>
      <w:bookmarkStart w:id="52" w:name="_Toc18"/>
      <w:bookmarkEnd w:id="51"/>
      <w:r>
        <w:rPr>
          <w:rtl w:val="true"/>
        </w:rPr>
        <w:t>مسألة</w:t>
      </w:r>
      <w:r>
        <w:rPr>
          <w:rtl w:val="true"/>
        </w:rPr>
        <w:t xml:space="preserve">: </w:t>
      </w:r>
      <w:r>
        <w:rPr>
          <w:rtl w:val="true"/>
        </w:rPr>
        <w:t>لا إشكال في عدم صحّة الصوم منها في حال رؤية الدم</w:t>
      </w:r>
      <w:bookmarkEnd w:id="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w:t>
      </w:r>
      <w:bookmarkStart w:id="53" w:name="pg1803_21634"/>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يصح بعد الانقطاع و قبل الاغتسال أو لا يصح فتعمّد البقاء على حدث الحيض يكون كتعمّده على حدث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الثاني و ذهب صاحب المدارك و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و الأقوى هو المشهور لورود النص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طهرت بليل ثمّ توانت أن تغتسل حتى أصبحت فعليها قضاء ذلك اليوم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ضعف السند لو كان منجبر بالشهرة، و قد يستدل للمشهور بأنّ حدث الحيض أشدّ منافاة للصوم من حدث الجنابة ألا ترى عدم بطلان الصوم بحدوث الجنابة القهرية في أثناء النهار و بطلانه بطروّ الحيض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كونه قياسا أنّ عدم مجامعة الحيض في حال استمرار الدم مع الصوم مسلّم و لكنّه غير ملازم مع عدم مجامعته بعد الانقطاع و مورد القياس هو الأوّل، و محل الكلام هو الثاني</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491837_3650668749"/>
      <w:bookmarkStart w:id="55" w:name="_Toc19"/>
      <w:bookmarkEnd w:id="54"/>
      <w:r>
        <w:rPr>
          <w:rtl w:val="true"/>
        </w:rPr>
        <w:t>مسألة</w:t>
      </w:r>
      <w:r>
        <w:rPr>
          <w:rtl w:val="true"/>
        </w:rPr>
        <w:t xml:space="preserve">: </w:t>
      </w:r>
      <w:r>
        <w:rPr>
          <w:rtl w:val="true"/>
        </w:rPr>
        <w:t>لا إشكال في حرمة اللبث عليها في سائر المساجد</w:t>
      </w:r>
      <w:bookmarkEnd w:id="55"/>
    </w:p>
    <w:p>
      <w:pPr>
        <w:pStyle w:val="BookText"/>
        <w:rPr/>
      </w:pPr>
      <w:r>
        <w:rPr>
          <w:rFonts w:ascii="Amiri" w:hAnsi="Amiri" w:eastAsia="Amiri" w:cs="Amiri"/>
          <w:color w:val="111111"/>
          <w:sz w:val="28"/>
          <w:sz w:val="28"/>
          <w:szCs w:val="28"/>
          <w:rtl w:val="true"/>
          <w:lang w:bidi="ar-SA"/>
        </w:rPr>
        <w:t>و مطلق الدخول حتّى الاجتياز في المسجدين الحرامين إنّما الكلام في أنّ المراد من الاجتياز المجوّز في سائر المساجد هل هو خصوص ما لو كان الدخول من باب و الخروج من آخر كما اختاره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 ما لو كان كل منهما من باب واحد كما رجّحه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فقهه لا يبعد ترجيح الأوّل لأنّه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الآية و لفظ الاجتياز الواقع في النص</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حاضت في أحد المسجدين تيمّمت لأجل الخروج للنص الدالّ على ذلك و قيده في العروة بعدم أقصرية زمان الخروج أو مساواته لزمان التيمّم، و لا بأس به و لا يتعدّى الحكم إلى ما لو اضطرت إلى اللبث في سائر المساجد إذ مع استمرار</w:t>
      </w:r>
      <w:bookmarkStart w:id="56" w:name="pg1803_21638"/>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الدم كما هو المفروض لا يجدي في حقها الغسل، فكيف بالتيمّم الّذي هو بدله، و إنّما قلنا به في الصورة الأولى تعبّدا للنص فلا يتعدّى إلى غيرها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491839_3650668749"/>
      <w:bookmarkStart w:id="58" w:name="_Toc20"/>
      <w:bookmarkEnd w:id="57"/>
      <w:r>
        <w:rPr>
          <w:rtl w:val="true"/>
        </w:rPr>
        <w:t>مسألة</w:t>
      </w:r>
      <w:r>
        <w:rPr>
          <w:rtl w:val="true"/>
        </w:rPr>
        <w:t xml:space="preserve">: </w:t>
      </w:r>
      <w:r>
        <w:rPr>
          <w:rtl w:val="true"/>
        </w:rPr>
        <w:t>لا إشكال في أنّه يحرم على الحائض كالجنب وضع الشي‌ء في سائر المساجد إذا استلزم اللبث</w:t>
      </w:r>
      <w:bookmarkEnd w:id="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أخذ الشي‌ء و تناوله منها و لو مع الاستلزام المذكور جائز لورود النص في الموضعين إنّما الكلام في أنّ الوضع لذاته و لو انفك عن اللبث كما لو كان من خارج المسجد محرّم آخر أيضا، أو أنّ المحرّم هو اللبث مع استلزامه و لا حرمة بدونه، و إسناد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الوضع عرضي و من باب الوصف بحال متعلّق الموصوف، الأقوى هو الثاني لأنّه مقتضى ما ورد في النص من تعليل الحرمة في جانب الوضع بأنّه يقدر على وضع ما بيده في غير المسجد، و الجواز في جانب الأخذ بأنّه لا يقدر على أخذ ما في المسجد إلّا من المسجد إذ كما أنّ تعليل الرخصة في الشي‌ء بالضرورة العرفية لا يصلح إلّا مع وجود مقتضى المنع فيه، و مع وجود مقتضى الجواز في ذاته لا يصلح التعليل بالضرورة العرفية، كذلك تعليل المنع بعدم الضرورة العرفية لا يصلح إلّا مع وجود مقتضى المنع في ذات الشي‌ء إذ مجرّد عدم الضرورة ليس من مقتضيات المنع كما هو واضح، و لا يخفى أنّ ما يصلح أن يكون مقتضيا للمنع في هذين الفعلين ليس إلّا اللبث خصوصا مع سبق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 الحائض لا يدخلان المسجد إلّا مجتازين </w:t>
      </w:r>
      <w:r>
        <w:rPr>
          <w:rStyle w:val="FootnoteAnchor"/>
          <w:rtl w:val="true"/>
        </w:rPr>
        <w:footnoteReference w:id="46"/>
      </w:r>
      <w:r>
        <w:rPr>
          <w:rFonts w:ascii="Amiri" w:hAnsi="Amiri" w:eastAsia="Amiri" w:cs="Amiri"/>
          <w:color w:val="111111"/>
          <w:sz w:val="28"/>
          <w:sz w:val="28"/>
          <w:szCs w:val="28"/>
          <w:rtl w:val="true"/>
          <w:lang w:bidi="ar-SA"/>
        </w:rPr>
        <w:t>و ليس في البين شي‌ء آخر صالحا للمانعية، هذا و قد ورد نص آخر بتحريم الأخذ و تجويز الوضع معلّلا باستلزام الأخذ للدخول دون الوضع و هو مؤيد لما ذكرنا في جانب الوضع، نعم هو معارض مع النص الأوّل في جانب</w:t>
      </w:r>
      <w:bookmarkStart w:id="59" w:name="pg1803_21640"/>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الأخذ فإن أمكن حمله على الكراهة فهو و إلّا فالمتعيّن طرحه لكونه معرضا عنه عند الأصحاب</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491841_3650668749"/>
      <w:bookmarkStart w:id="61" w:name="_Toc21"/>
      <w:bookmarkEnd w:id="60"/>
      <w:r>
        <w:rPr>
          <w:rtl w:val="true"/>
        </w:rPr>
        <w:t>مسألة</w:t>
      </w:r>
      <w:r>
        <w:rPr>
          <w:rtl w:val="true"/>
        </w:rPr>
        <w:t xml:space="preserve">: </w:t>
      </w:r>
      <w:r>
        <w:rPr>
          <w:rtl w:val="true"/>
        </w:rPr>
        <w:t>لا إشكال في أنّه يحرم عليها كالجنب قراءة سور العزائم الأربع</w:t>
      </w:r>
      <w:bookmarkEnd w:id="61"/>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اقرأ و النجم و حم السجدة و الم السجدة، و توهم اختصاص الحرمة بخصوص آية السجدة ضعيف فإنّه و إن ورد في غالب نصوص الباب لفظ السجدة و هو لو لم نقل بظهوره في نفس الآية فلا أقلّ من الإجمال، و لكن عن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للجنب و الحائض أن يقرءا ما شاءا من القرآن إلّا سور العزائم الأربع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و النجم، و تنزيل السجدة، و حم السجدة، و روى ذلك البزنطي في جامعه عن المثنى عن الحسن الصيقل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اسناد ما ذكره إلى خصوص البزنطي شاهد قطعي على أنّ الموجود في تلك الرواية أسماء السور لا لفظ السجدة و إلّا لما كان للتخصيص به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التحريم مختص بقراءة المجموع أو يعم الأبعاض حتّى البسملة لو قرأها بقصد تلك السورة؟ الظاهر الثاني لأنّه المتبادر من النهي المتعلّق بالأفعال المركّبة التدريجية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هذا الكاغذ، أو لا تأكل هذا الرغيف، و ليس حال النهي كالأمر أو الإجازة المتعلّقين بتلك الأفعال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دوران الحكم في القراءة و اللبث مدار ثبوت الوصف العنواني،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حائضا لأنّ المشتق حقيقة في ما تلبس بالمبدإ، و لا يخفى أنّ المبدأ هنا و هو مادة الحيض عبارة عن نفس خروج الدم لا الأثر الحاصل منه و هو الحدث على عكس الحال في مادة الجنابة فإنّها عبارة عن الحدث الحاصل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خروج المني لا عن سببه الّذي هو الخروج، فإذا قيل الحائض و الجنب كذا فكأنّه قيل المتلبس بحدث الجنابة و بخروج دم الحيض كذا، و العجب من بعض الأعاظم حيث ذهب إلى تعميم التحريم لما بعد الانقطاع قبل الاغتسال مستدلا بأنّه مقتضى المناسبة المغروسة في الأذهان، و فيه ما لا يخفى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إشكال في ثبوت الكراهة في مطلق القراءة ممّا عدا سور العزائم و تأكدها في ما زاد على السبع و اغلظيّتها في ما زاد على السبعين كما هو مقتضى الجمع بين الأخبار إنّما الإشكال في تصوير الكراهة فإنّها بالمعنى المصطلح لا تناسب العبادية المتقوّمة بالرجحان، و بمعنى قلّة الثواب إنّما تتمشّى في ما إذا كانت للطبيعة من حيث نفسها مقدار من المصلحة تختلف باختلاف فرديها المتبادلين في الوجود نقيصة و عدمها حتى يصح النهي عنها باعتبار وقوعها في ضمن أحد ذينك الفردين إرشادا إلى إيقاعها في ضمن الفرد الخالي عن المنقصة، و هذا المعنى أيضا غير متحقّق في ما نحن فيه فانّ القراءة في غير حال الحيض ليست مطلوبة بدلا عن القراءة في حاله، بل كل منهما مطلوب استقلالي كما هو واضح، و حسم مادة الاشكال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هنا ليست بأحد المعنيين المذكورين و إنّ القراءة في حال الحيض على حدّ مصلحتها في غير هذا الحال، و لكن الفرق ابتلاؤها في هذا الحال بضد وجودي أرجح منها و أهم فورد النهي عنها بالعرض و المجاز إرشادا إلى ذلك الأهم، و تصحيح عباديّتها حينئذ إمّا بالأمر الترتّبي إن صحّحناه في باب الضد و بالرجحان الذاتي إن لم نصححه أو بالأمر المطلق إن صحّحنا توجيه الطلب نحو الضدين بنحو الإطلاق في ما كان على وجه الاستحباب، و أنّ المحذور مختص بصورة كونه على وجه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ثمّ لا إشكال في وجوب سجدة التلاوة عليها فيما إذا قرأت آية السجدة عصيانا أو نسيانا، و أمّا لو سمعتها ففيه روايتان </w:t>
      </w:r>
      <w:r>
        <w:rPr>
          <w:rStyle w:val="FootnoteAnchor"/>
          <w:rtl w:val="true"/>
        </w:rPr>
        <w:footnoteReference w:id="47"/>
      </w:r>
      <w:r>
        <w:rPr>
          <w:rFonts w:ascii="Amiri" w:hAnsi="Amiri" w:eastAsia="Amiri" w:cs="Amiri"/>
          <w:color w:val="111111"/>
          <w:sz w:val="28"/>
          <w:sz w:val="28"/>
          <w:szCs w:val="28"/>
          <w:rtl w:val="true"/>
          <w:lang w:bidi="ar-SA"/>
        </w:rPr>
        <w:t>في إحديهما الأمر بالسجود و في الأخرى النهي عنه، و مقتضى الجمع و إن كان إمّا حمل الأمر على الاستحباب بقرينة النهي المحمول على جواز الترك لوروده في مقام توهّم الوجوب، أو حمل النهي على الكراهة بقرينة الأمر المحمول على جواز العمل لوروده في مقام توهم الحظر، و لكن هنا جمع آخر أقرب منهما و هو حمل الأمر على صورة الاستماع و النهي على صورة السماع بشهادة موثقة ابن سنان عن رجل سمع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إلّا أن يكون منصتا لقراءته، مستمعا لها أو يصلّي بصلاته، و أمّا أن يكون في ناحية و أنت في أخرى فلا تسجد لما سمعت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 الطريق على محمد بن عيسى و قد حكى الصدوق عن شيخه ابن الوليد عدم الاعتماد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بموافقتها للتقية فانّ المحكي عن ابن عباس و عثمان عدم السجود للسامع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يصلّي بصلاته، فإنّا لا نقول بجواز قراءة العزيمة في الفريضة و لا تشرع الجماعة في النافلة غالبا فلا محمل صحيح لهذه الفقرة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باشتمالها على النهي عن السجود للسامع مع أنّ المسلّم عندنا الاستحباب على تقدير عدم الوجوب</w:t>
      </w:r>
      <w:r>
        <w:rPr>
          <w:rFonts w:eastAsia="Amiri" w:cs="Amiri" w:ascii="Amiri" w:hAnsi="Amiri"/>
          <w:color w:val="111111"/>
          <w:sz w:val="28"/>
          <w:szCs w:val="28"/>
          <w:rtl w:val="true"/>
          <w:lang w:bidi="ar-SA"/>
        </w:rPr>
        <w:t>.</w:t>
      </w:r>
      <w:bookmarkStart w:id="62" w:name="pg1803_21649"/>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و الكل مدفوع، أمّا الأوّل فلأنّ الرواية متلقاة بالقبول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 يضر مع وجود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فإمّا نختار الجواز و إمّا نحمل الفقرة المذكورة على الاقتداء بالمخالف، فالمحصل من الرواية أنّ السجود يجب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عند الاستماع، و الآخر عند الاقتداء و لو لم يكن 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النهي لكونه في مقام توهم الوجوب على جواز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دليل المسألة و هذه الرواية عموم من وجه لاختصاص دليل المسألة بالحائض و عمومه للسماع و الاستماع و عموم الرواية من الحيثية الأولى و خصوصيته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الباب 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و سمعتها فاسجد، و إن كنت على غير وضوء، و إن كنت جنبا و إن كانت المرأة لا تصلّي إلخ</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 النسبة بين هذه الرواية و رواية عبد اللّٰه بن سنان عموم مطلق فهاتان الروايتان بعد تقييد مطلقهما بمقيدهما تصيران قرينة على تعيين المراد في سائر أدلّة الباب</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491843_3650668749"/>
      <w:bookmarkStart w:id="64" w:name="_Toc22"/>
      <w:bookmarkEnd w:id="63"/>
      <w:r>
        <w:rPr>
          <w:rtl w:val="true"/>
        </w:rPr>
        <w:t>مسألة</w:t>
      </w:r>
      <w:r>
        <w:rPr>
          <w:rtl w:val="true"/>
        </w:rPr>
        <w:t xml:space="preserve">: </w:t>
      </w:r>
      <w:r>
        <w:rPr>
          <w:rtl w:val="true"/>
        </w:rPr>
        <w:t>لا إشكال في حرمة وطي الحائض قبلا</w:t>
      </w:r>
      <w:bookmarkEnd w:id="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 و سنة و إجماعا بل ضرورة من الدين، و لهذا نقول بكفر مستحلّيه، و لا فرق بين ما إذا كان الحيض معلوما بالوجودان أو ثابتا بالطريق الشرعي كالعادة و التميز و تخيير المرأة العدد المذكور في الروايات، و أمّا في أيّام الاستظهار فهل يثبت التحريم في حقّ الزوج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ببنائها على التحيض أولا؟ ذهب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الفرق بين ما إذا كان الاستظهار واجبا تعيينا كما في اليوم الأوّل فيثبت، و ما إذا كان واجبا تخييرا كما في ما بعده إلى العشرة فلا يثبت بالنسبة إلى الزوج و إن حرم عليها التمكين مستدلا بأنّ التخيير في الثاني إنّما هو حكم العقل من باب دوران الأمر بين المحذورين من دون تعبّد شرعي في البين، و أمّا التعيين في الأوّل فحيث لا حكومة للعقل فيه لعدم المرجّح في نظره فلا محيص عن حمله على التعبّد الشرعي كما أنّ التخيير في مورد الأخذ بالروايات أيضا كذلك إذ الموجود هناك مضافا إلى دوران الأمر بين المحذورين في كلّ يوم علم إجمالي بثبوت حيض في مجموع الشهر فالتخيير المذكور من حيث تعيين هذا المعلوم الإجمالي في عدّة أيّام معلومة خارج عن عهدة العقل و لا محيص عن حمله على التعبّد، و حينئذ فالمرجع في حقّ الزوج في ما بعد اليوم الأوّل من الاستظهار هو البراءة دون استصحاب الحيض أو قاعدة الإمكان السقوط هذين الأخيرين في حقّه قطعا لدلالة الأخبار على أنّها لو اختارت البناء على الطهر حلّ لزوجها أن يغشاها هذا ما ذكره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التحيض تعيينا كما في اليوم الأوّل من الاستظهار أو تخييرا كما في مورد الأخذ بالروايات و إن كان شرعيا لكن من الممكن كونه متعرضا لخصوص وظيفة المرأة مع السكوت عن التعرض لوظيفة الزوج فكما قلتم في ذينك الموضعين على ما هو الظاهر بأنّ الشارع جعل اختيار أمر الحيض الّذي هو موضوع لكلتا الوظيفتين بيد المرأة إمّا تعيينا و إمّا تخييرا فلم لا تقولون بمثله فيما بعد اليوم الأوّل من الاستظهار، و إن كان التخيير الّذي يستقل به العقل غير ناظر إلّا إلى وظيفة المرأة، و الحاصل أنّ ما ذكره مخالف للظاهر جدّا</w:t>
      </w:r>
      <w:r>
        <w:rPr>
          <w:rFonts w:eastAsia="Amiri" w:cs="Amiri" w:ascii="Amiri" w:hAnsi="Amiri"/>
          <w:color w:val="111111"/>
          <w:sz w:val="28"/>
          <w:szCs w:val="28"/>
          <w:rtl w:val="true"/>
          <w:lang w:bidi="ar-SA"/>
        </w:rPr>
        <w:t>.</w:t>
      </w:r>
      <w:bookmarkStart w:id="65" w:name="pg1803_21655"/>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و لو شكّ في أصل طروّ الحيض و عدمه فلا إشكال في جواز رجوعهما إلى البراءة من دون فحص و لو مع إمكانه بسهولة للإجماع على عدم لزوم الفحص في هذه الشبهة الموضوعية، كما لا إشكال في حجية قولها لو أخبرت بالحيض و انقطاع الأصل بسببه في حقّ الزوج، و ذلك لورود النص المعتبر </w:t>
      </w:r>
      <w:r>
        <w:rPr>
          <w:rStyle w:val="FootnoteAnchor"/>
          <w:rtl w:val="true"/>
        </w:rPr>
        <w:footnoteReference w:id="50"/>
      </w:r>
      <w:r>
        <w:rPr>
          <w:rFonts w:ascii="Amiri" w:hAnsi="Amiri" w:eastAsia="Amiri" w:cs="Amiri"/>
          <w:color w:val="111111"/>
          <w:sz w:val="28"/>
          <w:sz w:val="28"/>
          <w:szCs w:val="28"/>
          <w:rtl w:val="true"/>
          <w:lang w:bidi="ar-SA"/>
        </w:rPr>
        <w:t xml:space="preserve">على أنّ العدّة و الحيض إلى النساء، إذا ادّعت صدقت، إنّما الكلام في أنّ هذا الحكم هل يعم ما لو كانت المرأة متهمة، أحرز من حالها و لو ظنّها أنّها لا تبالي بمخالفة الشرع في تضييع حقّ الزوج أو يختص بغيرها؟ الظاهر الثاني، لإمكان دعوى انصراف الإطلاق عن شمول الصورة المذكورة، مضافا إلى رواية السكوني </w:t>
      </w:r>
      <w:r>
        <w:rPr>
          <w:rStyle w:val="FootnoteAnchor"/>
          <w:rtl w:val="true"/>
        </w:rPr>
        <w:footnoteReference w:id="51"/>
      </w:r>
      <w:r>
        <w:rPr>
          <w:rFonts w:ascii="Amiri" w:hAnsi="Amiri" w:eastAsia="Amiri" w:cs="Amiri"/>
          <w:color w:val="111111"/>
          <w:sz w:val="28"/>
          <w:sz w:val="28"/>
          <w:szCs w:val="28"/>
          <w:rtl w:val="true"/>
          <w:lang w:bidi="ar-SA"/>
        </w:rPr>
        <w:t>عن جعفر عن أبيه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ادّعت أنّها حاضت في شهر واحد ثلاث 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كلّفوا نسوة من بطانتها أنّ حيضها كان في ما مضى على ما ادّعت فإن شهدن صدقت، و إلّا فهي كاذبة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الدعوى البعيدة من أحد المناشئ لتحقّق الاتهام و الظن المذكور في حقّ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تصلح الرواية لإثبات المدعى في سائر الأفراد فالعمدة في إثبات العموم هو الانصراف المذكور، و لو ادّعت الطهر بعد ثبوت الحيض فمقتضى الأخبار قبول قولها أيضا كما هو واضح</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491845_3650668749"/>
      <w:bookmarkStart w:id="67" w:name="_Toc23"/>
      <w:bookmarkEnd w:id="66"/>
      <w:r>
        <w:rPr>
          <w:rtl w:val="true"/>
        </w:rPr>
        <w:t>مسألة</w:t>
      </w:r>
      <w:r>
        <w:rPr>
          <w:rtl w:val="true"/>
        </w:rPr>
        <w:t xml:space="preserve">: </w:t>
      </w:r>
      <w:r>
        <w:rPr>
          <w:rtl w:val="true"/>
        </w:rPr>
        <w:t>هل تجب الكفّارة بوطي الحائض أو لا؟</w:t>
      </w:r>
      <w:bookmarkEnd w:id="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القدماء و المتأخرين هو الأوّل، و المشهور بين متأخّري المتأخّرين هو الثاني، و مستند الأوّل رواية داود بن فرقد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الطمث يتصدق إذا كان في أوّله بدينار و في وسطه بنصف دينار و في آخره بربع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عنده ما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مسكين واحد و إلّا استغفر اللّٰه و لا يعود، فإنّ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الاستغفار توبة و كفارة لمن لم يجد السبيل إلى شي‌ء من الكفارة</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هنا روايات أخر بين مطلقة في إثبات الدينار أو نصفه أو التصدق على مسكين بقدر شبعه، و بين مقتصرة على الدينار في أوّل الحيض و نصفه في وسطه لكنّها محمولة على ما ذكر في الرواية الأولى من التفصيل حملا للمطلق على المقيّد، و لا ينافيها رواية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رجل أتى جارية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ربه، قال عبد الكريم، فانّ الناس يقولون عليه نصف دينار أو دينار؟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فليتصدق على عشرة مساكين </w:t>
      </w:r>
      <w:r>
        <w:rPr>
          <w:rStyle w:val="FootnoteAnchor"/>
          <w:rtl w:val="true"/>
        </w:rPr>
        <w:footnoteReference w:id="53"/>
      </w:r>
      <w:r>
        <w:rPr>
          <w:rFonts w:ascii="Amiri" w:hAnsi="Amiri" w:eastAsia="Amiri" w:cs="Amiri"/>
          <w:color w:val="111111"/>
          <w:sz w:val="28"/>
          <w:sz w:val="28"/>
          <w:szCs w:val="28"/>
          <w:rtl w:val="true"/>
          <w:lang w:bidi="ar-SA"/>
        </w:rPr>
        <w:t>لإمكان 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تقريرا لما ذكره السائل من الدينار و نصفه و بيانا لمصرفه و عدم تعرّضه ابتداء لعدم كونه بصدد البيان من هذه الجهة، و لا رواية علي بن إبراهيم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امرأة في الفرج في أوّل حيضها فعليه أن يتصدق بدينار، و عليه ربع حدّ الزاني خمسة و عشرون جلدة و إن أتاها في آخر أيّام حيضها فعليه أن يتصدّق بنصف دينار و يضرب اثنتي عشرة جلدة و نصفا </w:t>
      </w:r>
      <w:r>
        <w:rPr>
          <w:rStyle w:val="FootnoteAnchor"/>
          <w:rtl w:val="true"/>
        </w:rPr>
        <w:footnoteReference w:id="54"/>
      </w:r>
      <w:r>
        <w:rPr>
          <w:rFonts w:ascii="Amiri" w:hAnsi="Amiri" w:eastAsia="Amiri" w:cs="Amiri"/>
          <w:color w:val="111111"/>
          <w:sz w:val="28"/>
          <w:sz w:val="28"/>
          <w:szCs w:val="28"/>
          <w:rtl w:val="true"/>
          <w:lang w:bidi="ar-SA"/>
        </w:rPr>
        <w:t>لإمكان حمل نصف الدينار المذكور في آخر الحيض في هذه الرواية على الاستحباب بقرينة الرواية الأولى، و مستند الثاني صحيحة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رجل واقع امرأته و هي طامث؟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يلتمس فعل ذلك و قد نهى اللّٰه أن يقربها،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أ عليه كفّارة؟ قال لا أعلم فيه شيئا يستغفر اللّٰه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قريب منها عدّة روايات أخر فتحمل الأوامر الواردة في الطائفة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الأولى بقرينة هذه على الاستحباب، و لا يخفى أنّ مقتضى الصناعة و إن كان ذلك لكن اعراض مشهور القدماء و المتأخّرين عن الطائفة الثانية مع كون الجمع المذكور بمثابة من الوضوح لا يكاد يخفى على أدنى الطلبة قد يوجب الوهن و التزلزل في أركان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فروعا لا بأس بالتنبيه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المذكور مختص بوطي الزوجة أو يعم الأجنبية؟ مقتضى الإطلاقات هو الثاني، و قد يمنع الإطلاق بدعوى كونها في مقام الوطي المباح ذاتا الحرام عرضا لأجل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الحكم في وطي المملوكة أيضا أم يختص بالزوجة؟ مقتضى الإطلاقات هو الأوّل، لكن المنقول عن الفقه الرضوي مؤيدا بالإجماع المحكي عن الانتصار و نفي الخلاف المحكي عن السرائر التصدّق بثلاثة أمداد في وطي المملوكة و رفع اليد عن المطلقات بمجرد ذلك بناء على القول بالوجوب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بناء على الاستحباب تسامحا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الزوجة بين الدائمة و المنقطعة و الحرّة و الأمة لتساوي الكل في الاندراج تحت الإطلاق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بالعامد العالم بالحكم و الموضوع أم يعم الجاهل مطلقا أو في خصوص الجهل بالحكم دون الموضوع، الأقوى في الجهل بالموضوع أو الحكم قصورا العدم بقرينة ذكر الاستغفار و لفظ الكفّارة، كما أنّ الظاهر في الجهل بالحكم تقصيرا الثبوت لا لاندراجه تحت الإطلاق</w:t>
      </w:r>
      <w:r>
        <w:rPr>
          <w:rFonts w:eastAsia="Amiri" w:cs="Amiri" w:ascii="Amiri" w:hAnsi="Amiri"/>
          <w:color w:val="111111"/>
          <w:sz w:val="28"/>
          <w:szCs w:val="28"/>
          <w:rtl w:val="true"/>
          <w:lang w:bidi="ar-SA"/>
        </w:rPr>
        <w:t>.</w:t>
      </w:r>
      <w:bookmarkStart w:id="68" w:name="pg1803_21663"/>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الدينار، المثقال من الذهب و من المثقال، المثقال الشرعي و 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أنّه هل يتعيّن دفع العين أم يكفي القيمة؟ لا يبعد الثاني لأنّ المتبادر من الأمر بدفع الأثمان ملاحظتها من حيث المالية،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تومانا للفقير، يكفي دفع هذا المقدار من الفلوس، و يشهد له ذكر نصف الدينار و ربعه إذ من البعيد غايته إرادة الكسر المشاع إذ الظاهر عدم مسكوكية النصف و الربع في تلك الأزمان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مصرف هذه الكفّارة مصرف سائر الكفّارات و هو مستحقّ الزكاة و لا يعتبر فيه التعدّد و إن ذكر في رواية عبد الملك المتقدّمة التصدق على عشرة مساكين، لكن رفع اليد عن المطلقات الكثيرة الواردة في مقام البيان بمثل هذه الرواية في غاية البعد خصوصا مع عدم عمل أحد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الروايات أنّ لكلّ حيض أوّلا و وسطا و آخرا لا أنّ هذه الأمور ملحوظة بالنسبة إلى العشرة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تتكرر الكفّارة بتكرّر موجبها أم لا؟ المسألة مبنيّة على القول بالتداخل في باب الأسباب المتعددة لمسبب واحد و عدمه، و حيث إنّ المختار فيها كما قرّر في الأصول هو القول بعدم التداخل فالأقوى في المسألة هو التكرّر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491847_3650668749"/>
      <w:bookmarkStart w:id="70" w:name="_Toc24"/>
      <w:bookmarkEnd w:id="69"/>
      <w:r>
        <w:rPr>
          <w:rtl w:val="true"/>
        </w:rPr>
        <w:t>مسألة</w:t>
      </w:r>
      <w:r>
        <w:rPr>
          <w:rtl w:val="true"/>
        </w:rPr>
        <w:t xml:space="preserve">: </w:t>
      </w:r>
      <w:r>
        <w:rPr>
          <w:rtl w:val="true"/>
        </w:rPr>
        <w:t>لا إشكال في وجوب الغسل عليها بعد الانقطاع</w:t>
      </w:r>
      <w:bookmarkEnd w:id="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إشكال في كون وجوبه غيريا لأجل وجوب الغايات المشروطة بالطهور و إطلاق الأمر و إن كان يقتضي النفسية لكن بعد معهودية غيرية الوضوء و الغسل في الشريعة لا يبقى مجال للإطلاق و مقدماته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بالانصراف كان لاحتمال النفسية في المقام وجه، لكنّه قول ضعيف كما قرّر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و لا إشكال أيضا في اتحاد كيفيته مع غسل الجنابة كما هو الحال في سائر الأغسال من الواجبة و المندوبة، و إنّما الكلام في أنّه هل هو مثله في الإغناء عن الوضوء فيستباح بمجرده الدخول في الصلاة و نحوها أو لا، بل تتوقف الاستباحة المذكورة على ضم الوضوء، ذهب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و اختار ابن الجنيد و السيد المرتضى من القدماء و المحقّق الأردبيلي و أصحاب المدارك و الذخيرة و المفاتيح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المشهور مرسلة ابن أبي عمير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غسل قبله الوضوء إلّا غسل الجنابة</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مرسلته الأخرى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غسل وضوء إلّا الجنابة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إرسالهما بعد كون المرسل ابن أبي عمير مجبور بعمل الأصحاب، و تقريب الدلالة أنّه بعد معلومية عدم إرادة كون الوضوء إمّا مطلقا أو في صورة التقديم شرطا لصحة الغسل كإطلاق الماء أو طهارته و لا لكماله كالمضمضة و الاستنشاق و لا معدودا من أجزائه كالغسلات الثلاث فإنّه كاحتمال كون الغسل شرطا لصحة الوضوء أو لكماله أو معدودا من أحد أجزائه مضافا إلى بعده في نفسه مناف لإطلاق الأدلّة الواردة في الشريعة في بيان ماهية الغسل و الوضوء، و بعد معلومية عدم إرادة الوجوب النفسي أو الاستحباب كذلك يتعيّن حمل الكلام على إرادة الوضوء الصلاتي و كون وصف التقديم إمّا مستحبا نفسيا أو موجبا لكمال فردي في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و العجب من بعض الأعاظم حيث جعل احتمال كون الوضوء شرطا كماليا للغسل كالمضمضة و الاستنشاق في عرض ما ذكرنا، بل جعله أولى، و أنت خبير بأنّه لا يصلح للعرضية فضلا عن الأولوية و بإزاء هاتين المرسلتين أخبار أخر و لكنّها بين مطلقة دالة إمّا على أنّ أي وضوء أطهر من الغسل و أنقى، و إمّا على أنّ الوضوء بعد الغسل كما في بعضها أو قبله و بعده كما في بعض آخر بدعة، و هذه قابلة للحمل على خصوص الجنابة بقرينة المرسلتين، و بين ما دلّ على أنّ غسل الجمعة و غيره مجز عن الوضوء، و مقتضى الجمع العرفي الواضح بين هذه و بين المرسلتين حمل المرسلتين على الاستحباب، و حيث إنّ وضوح هذا الجمع بمثابة لا يكاد يخفى على أدنى الطلبة فضلا عن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يعتنوا بهذه الأخبار كشف ذلك كشفا قطعيا عن وجود خلل في حجيتها إمّا صدورا و إمّا جهة و إمّا دلالة فتبقى المرسلتان سليمتين عن المعارض الحجة، فيكون القول بعدم الاجتزاء مع كونه مخيّرا في الوضوء بين التقديم و التأخير و إن كان الأوّل هو الأفضل هو الأقوى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بعض الأعاظم حيث مال هنا إلى القول بالاجتزاء، بل قال به في مبحث الاستحاضة و لعلّ نظره إلى أنّ إعراض الأصحاب لا يكشف عن وجود الخلل المذكور إذ لعلّهم أخذوا بالمرسلتين ترجيحا أو تخييرا أو جمعا بوجه آخر غير ما ذكرنا كما هو الحال في بابي المنجزات و انفعال البئر،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عن أنّ وضوح الجمع الذي ذكرنا يسد باب هذه الاحتمالات، و من غرائب الأوهام في المقام أنّه لو كان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وضوء أنقى من الغسل هو الإطلاق و إرادة الماهيّة دون الفرد المعهود منها و هو غسل الجنابة يلزم كون الغسل</w:t>
      </w:r>
      <w:bookmarkStart w:id="71" w:name="pg1803_21672"/>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كافيا عن الوضوء في حقّ المحدث بالأصغر مع عدم ابتلائه بشي‌ء من موجبات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بالإطلاق فالكلام المذكور ليس مشرعا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فكما أنّ هذه القضية في مقام رفع حجر المالك عن التصرفات بعد الفراغ عن مشروعيتها، كذلك القضية الأولى في مقام أرجحية الغسل من الوضوء في رفع الحدث الأصغر في الموارد التي فرغ عن مشروعية الغسل فيها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491849_3650668749"/>
      <w:bookmarkStart w:id="73" w:name="_Toc25"/>
      <w:bookmarkEnd w:id="72"/>
      <w:r>
        <w:rPr>
          <w:rtl w:val="true"/>
        </w:rPr>
        <w:t>مسألة</w:t>
      </w:r>
      <w:r>
        <w:rPr>
          <w:rtl w:val="true"/>
        </w:rPr>
        <w:t xml:space="preserve">: </w:t>
      </w:r>
      <w:r>
        <w:rPr>
          <w:rtl w:val="true"/>
        </w:rPr>
        <w:t>لا إشكال في سقوط قضاء الصلوات اليومية عنها و ثبوت قضاء صوم رمضان عليها</w:t>
      </w:r>
      <w:bookmarkEnd w:id="73"/>
    </w:p>
    <w:p>
      <w:pPr>
        <w:pStyle w:val="BookText"/>
        <w:rPr/>
      </w:pPr>
      <w:r>
        <w:rPr>
          <w:rFonts w:ascii="Amiri" w:hAnsi="Amiri" w:eastAsia="Amiri" w:cs="Amiri"/>
          <w:color w:val="111111"/>
          <w:sz w:val="28"/>
          <w:sz w:val="28"/>
          <w:szCs w:val="28"/>
          <w:rtl w:val="true"/>
          <w:lang w:bidi="ar-SA"/>
        </w:rPr>
        <w:t>إنّما الإشكال في قضاء غير اليومية من الصلوات كالكسوفين و سائر الآيات و الصلاة و الصوم الواجبين بالنذر و شبهه، أمّا قضاء الكسوفين فمجمل الكلام فيه أنّه قد يقال بانصراف دليل نفي القضاء عنهما، و فيه عدم الفرق بين الدليل المذكور 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الانصراف ففي كليهما، و إن لم يصح كما هو الحق فكذلك و لا وجه للتفكيك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بأنّه و إن لم يكن انصراف لكن مقتضى تعليل نفي القضاء في بعض النصوص في جانب الصلاة بكونها متكرّرة في كل يوم و ليلة مرّات و في الصوم بكونه في السنة شهرا الاختصاص في الأوّل باليومية، و قد يدفع تارة بأنّ العلّة المذكورة ملحوظة بالنسبة إلى جنس الصلاة و الصوم لا أفرادهما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المقرر في محلّه من كون العلّة معمّمة و مخصّصة بالنسبة إلى أفراد الجنس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و أخرى بأنّا لا نسلّم كون المراد بها العلّة الحقيقية للحكم بل المراد ما يكون من قبيل الحكم و المقتضيات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ألا ترى عدم جريانه في مثل قول القائل لا تأكل الرّمان بعلّة أنّه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الاختصاص مسلّم في صورة انحصار العلّة و عدم علّة أخرى تقوم مقامها، و لكن في المقام علّة أخرى مذكورة في بعض النصوص مقتضاها العموم للكسوفين أيضا و هو كون الصلاة أمرا وجوديا مانعا عن اشتغال الأركان بأضدادها الوجودية الراجعة إلى مرمّة المعاش بخلاف الصوم فإنّه أمر عدمي غير موجب لاشتغال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المانع و إن كان بحسب الدقة صادقا على الكسوفين و لكنّهما بواسطة قلّة أفرادهما و كونها في العمر معدودة قليلة لا يحسبان من أفراده عرفا و لا أقل من الشك فيرجع إلى بعض الروايات المقتصرة على العلّة الأولى و هو رواية أبي بصير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فالأقوى لو لا شبهة الإجماع في المسألة كما يظهر من بعض الكلمات هو القول بثبوت القضاء، و قد أفتى به في العروة و وافقه أكثر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الزلزلة و سائر الآيات فإن قلنا بكونها موقّتة إلى آخر العمر فلا إشكال في وجوبها بعد الانقطاع لبقاء وقتها بحسب الفرض، و إن قلنا بكون هذه الأمور أسبابا لها من دون توقيت في البين فمقتضى القاعدة عدم الوجوب لمصادفة السبب مع وجود المانع، و كذا الحال لو شككنا في أنّها من أي النحوين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الصلاة الواجبة بالنذر و شبهه فقد يقال إنّا و إن قلنا في الكسوفين بالوجوب لا نقول به هنا لأنّ عنوان الوفاء الذي هو الواجب غير قابل للتدارك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لأنّه تابع لالتزام الناذر الّذي هو بحسب الفرض على نحو وحدة المطلوب لوضوح أنّ الكلام في هذه الصورة و إلّا فلا إشكال في الوجوب في ما إذا كان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ذات الصلاة الّتي هي متعلّق الالتزام قابلة للتدارك و لكنّها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الوفاء جهة تعليلية فالموضوع في الحقيقة هو ذات الصلاة و هي قابلة كما هو واضح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 بعدم الوجوب لأنّ مصادفة الحيض كاشفة عن عدم انعقاد النذر من الأوّل و لا فرق بين اختصاص النذر باليوم الّذي صادف الحيض و بين عمومه لكلّ يوم كنذر صلاة ركعتين في كل خميس لانكشاف الفساد حينئذ أيضا بالنسبة إلى الفرد المصادف، و منه يظهر الكلام في الصوم المنذور أيضا</w:t>
      </w:r>
      <w:r>
        <w:rPr>
          <w:rFonts w:eastAsia="Amiri" w:cs="Amiri" w:ascii="Amiri" w:hAnsi="Amiri"/>
          <w:color w:val="111111"/>
          <w:sz w:val="28"/>
          <w:szCs w:val="28"/>
          <w:rtl w:val="true"/>
          <w:lang w:bidi="ar-SA"/>
        </w:rPr>
        <w:t>.</w:t>
      </w:r>
      <w:bookmarkStart w:id="74" w:name="pg1803_21680"/>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Heading2"/>
        <w:numPr>
          <w:ilvl w:val="1"/>
          <w:numId w:val="1"/>
        </w:numPr>
        <w:rPr/>
      </w:pPr>
      <w:bookmarkStart w:id="75" w:name="__RefHeading___Toc2491851_3650668749"/>
      <w:bookmarkStart w:id="76" w:name="_Toc26"/>
      <w:bookmarkEnd w:id="75"/>
      <w:r>
        <w:rPr>
          <w:rtl w:val="true"/>
        </w:rPr>
        <w:t>المبحث الثاني</w:t>
      </w:r>
      <w:r>
        <w:rPr>
          <w:rtl w:val="true"/>
        </w:rPr>
        <w:t xml:space="preserve">: </w:t>
      </w:r>
      <w:r>
        <w:rPr>
          <w:rtl w:val="true"/>
        </w:rPr>
        <w:t>في الاستحاضة</w:t>
      </w:r>
      <w:bookmarkEnd w:id="76"/>
    </w:p>
    <w:p>
      <w:pPr>
        <w:pStyle w:val="Heading3"/>
        <w:numPr>
          <w:ilvl w:val="2"/>
          <w:numId w:val="1"/>
        </w:numPr>
        <w:rPr/>
      </w:pPr>
      <w:bookmarkStart w:id="77" w:name="__RefHeading___Toc2491853_3650668749"/>
      <w:bookmarkStart w:id="78" w:name="_Toc27"/>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 تمام الكلام فيه يقتضي رسم مسائل</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491855_3650668749"/>
      <w:bookmarkStart w:id="80" w:name="_Toc28"/>
      <w:bookmarkEnd w:id="79"/>
      <w:r>
        <w:rPr>
          <w:rtl w:val="true"/>
        </w:rPr>
        <w:t>مسألة</w:t>
      </w:r>
      <w:r>
        <w:rPr>
          <w:rtl w:val="true"/>
        </w:rPr>
        <w:t xml:space="preserve">: </w:t>
      </w:r>
      <w:r>
        <w:rPr>
          <w:rtl w:val="true"/>
        </w:rPr>
        <w:t xml:space="preserve">لا إشكال في أنّ الدم الّذي ليس بنفاس و لا قرح و لا جرح و لا عذرة </w:t>
      </w:r>
      <w:r>
        <w:rPr>
          <w:rtl w:val="true"/>
        </w:rPr>
        <w:t>[</w:t>
      </w:r>
      <w:r>
        <w:rPr>
          <w:rtl w:val="true"/>
        </w:rPr>
        <w:t>يكون استحاضة</w:t>
      </w:r>
      <w:r>
        <w:rPr>
          <w:rtl w:val="true"/>
        </w:rPr>
        <w:t>]</w:t>
      </w:r>
      <w:bookmarkEnd w:id="8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امتنع كونه حيضا لفقد بعض شروطه كالخارج من الصغيرة أو اليائسة أو الأقل من الثلاثة لا ينحصر أمره في أن يكون خارجا من عرق العاذل الواقع في أقصى الرحم الّذي هو موضوع للأحكام الخاصة و ذلك لإمكان كونه خارجا من سائر العروق الموجودة في بدن الإنسان كما هو الحال في دم الرعاف و الخارج بالقي‌ء و نحوه، إنّما الكلام في أنّه هل هنا أصل ثانوي قاض بكون الدم استحاضة بعد امتناع كونه حيضا كالأصل الأوّلي القاضي بالحيضية مع إمكانها، ذهب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 استفادة هذا الأصل من أخبار الصفات في صورة جامعيّة الدم 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باردا أصفر، رقيقا خارجا بفتور على عكس دم الحيض، و أمّا في صورة فاقديّته فالمتبع هو الدليل الخاص فإن قام فهو و إلّا فمقتضى الأصل الموضوعي و الحكمي عدم كونه استحاضة هذا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الاستحاضة عرفا و لغة عبارة عن استمرار دم الحيض و تجاوزه عن أيّام العادة فليس مطلق الدم الخارج من عرق العاذل مسمّى بهذا الاسم، بل خصوص ما كان منه مسبوقا بالحيض و مختلطا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بالمعنى الأوّل اصطلاح جديد لدى الفقهاء و لا يمكن حمل كلام الشارع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الاصطلاح الجديد، و على هذا فمن الممكن كون الصفات من خواص الدم بوصف كونه استحاضة بالمعنى القديم لا له بوصف كونه كذلك بالمعنى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 بأنّ المستفاد من مذاق الشرع وجود الأصل الثانوي المذكور من دون ملاحظة الصفات، و منشأ هذه الاستفادة أمران بنحو الاستقلال و إن أبيت فلا أقلّ من كون كل منهما جزءا للسبب الكاشف،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الفتاوى، و الآخر النصوص المتفرقة، و يكفي من الأوّل قوله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قد يعبر بها عن كل دم تراه المرأة غير دمي الحيض و النفاس خارج من الفرج ممّا ليس بعذرة و لا قرح سواء اتصل بالحيض كالمجاوز لأكثر الحيض أ و لم يكن كالّذي تراه المرأة قبل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بها عن الدم المتصل بدم الحيض وحده، و بهذا المعنى تنقسم الاستحاضة إلى معتادة و مبتدئة و أيضا إلى مميّزة و غيرها، و يسمّى ما عدا ذلك دم فساد، و لكن الأحكام المذكورة في جميع ذلك لا تختلف انتهى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شرح المفاتيح أنّ كل دم يكون أقل من ثلاثة أيّام و لم يكن من قرح أو جرح فهو استحاضة عند الفقهاء، و يكفي من الثاني صحيحة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ولدي ترى الدم و هي حامل كيف تصنع بالصلاة؟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الحامل الدم بعد ما يمضي عشرون يوما من الوقت الّذي كانت ترى فيه الدم من الشهر الّذي كانت تقعد فيه فانّ ذلك ليس من الرحم و لا من الطمث فلتتوضّأ و تحتشي بكرسف و تصلّي الحديث </w:t>
      </w:r>
      <w:r>
        <w:rPr>
          <w:rStyle w:val="FootnoteAnchor"/>
          <w:rtl w:val="true"/>
        </w:rPr>
        <w:footnoteReference w:id="58"/>
      </w:r>
      <w:r>
        <w:rPr>
          <w:rFonts w:ascii="Amiri" w:hAnsi="Amiri" w:eastAsia="Amiri" w:cs="Amiri"/>
          <w:color w:val="111111"/>
          <w:sz w:val="28"/>
          <w:sz w:val="28"/>
          <w:szCs w:val="28"/>
          <w:rtl w:val="true"/>
          <w:lang w:bidi="ar-SA"/>
        </w:rPr>
        <w:t>ألا ترى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بالفاء التفريعيّة وجوب التوضّؤ على عدم كون الدم من الطمث فهو بمنزلة العلّة المنصوصة يتعدّى من موردها إلى غيره و بعد وضوح استظهار كون الوضوء مسببا عن خروج الدم لا عن سائر الأسباب كالنوم و نحوه يكون المحصل كون الدم المذكور حدثا بعلّة عدم كونه من الطمث و حيث إنّ حدثية الدم الذي ليس من الطمث منحصرة في كونه نفاسا أو استحاضة، و المفروض في المقام عدم الأوّل فيتعيّن كونه من الثاني، فيكون الحكم باستحاضية الدم معلّلا بعدم حيضيته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في مرسلة يونس القصيرة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الدم بعد ما رأته يوما أو يومين اغتسلت و صلّت و انتظرت من يوم رأت الدم إلى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مرّ بها من يوم رأت الدم عشرة أيّام و لم تر الدم فذلك اليوم و اليومان الّذي رأته لم يكن من الحيض إنّما كان من علّة إمّا من قرحة في جوفها و إمّا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إبداء احتمال كون الدم من قرحة في الجوف أو من الجوف رتّب عليه وجوب الاغتسال و بعد امتناع كونه غسل الحيض كما هو واضح يتعيّن كونه غسل الاستحاضة، إلى غير ذلك من النصوص الواردة في بابي النفاس و الحامل الّتي يستفاد منها الأصل الثانوي المذكور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القدر المتيقّن منه غير الدم الخارج من الرضيعة كما أنّ المتيقّن منه</w:t>
      </w:r>
      <w:bookmarkStart w:id="81" w:name="pg1803_21688"/>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صورة عدم العلم بعلّة أخرى في الباطن يحتمل كون الدم خارجا من تلك العلّة، فإنّ الشارع اعتنى بالاحتمال مع العلم المزبور في مقابل الأصل الأولي، فكيف لا يعتني به في مقابل الأصل الثانوي، و أمّا مع عدم تحقّق العلم و كون المتحقّق صرف الاحتمال فالمستفاد من مذاقه عدم الاعتناء، و قد يتمسك لتقريب الأصل المذكور ببناء العقلاء على أصالة السلامة في عامة الأشياء الّتي منها مزاج المرأة و ينظّر المقام بباب الألفاظ حيث إنّ مقتضى الأصل الأوّلي فيها هو الحمل على الحقيقة مع إمكانها، و مقتضى الثانوي الحمل على أقرب المجازات مع تعذّرها و لكنّا في غنى و فسحة عن إثبات ذلك بعد ما تقدّم و إن اعتمد عليه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أستاذنا الحائري عن سيّده الأستاذ السيّد محمد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مضجعهما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491857_3650668749"/>
      <w:bookmarkStart w:id="83" w:name="_Toc29"/>
      <w:bookmarkEnd w:id="82"/>
      <w:r>
        <w:rPr>
          <w:rtl w:val="true"/>
        </w:rPr>
        <w:t>مسألة</w:t>
      </w:r>
      <w:r>
        <w:rPr>
          <w:rtl w:val="true"/>
        </w:rPr>
        <w:t xml:space="preserve">: </w:t>
      </w:r>
      <w:r>
        <w:rPr>
          <w:rtl w:val="true"/>
        </w:rPr>
        <w:t>لا إشكال في اجتماع الحيض مع الإرضاع</w:t>
      </w:r>
      <w:r>
        <w:rPr>
          <w:rtl w:val="true"/>
        </w:rPr>
        <w:t xml:space="preserve">. </w:t>
      </w:r>
      <w:r>
        <w:rPr>
          <w:rtl w:val="true"/>
        </w:rPr>
        <w:t>و في اجتماعه مع الحمل قولان</w:t>
      </w:r>
      <w:r>
        <w:rPr>
          <w:rtl w:val="true"/>
        </w:rPr>
        <w:t xml:space="preserve">: </w:t>
      </w:r>
      <w:r>
        <w:rPr>
          <w:rtl w:val="true"/>
        </w:rPr>
        <w:t>المشهور هو الاجتماع</w:t>
      </w:r>
      <w:bookmarkEnd w:id="83"/>
    </w:p>
    <w:p>
      <w:pPr>
        <w:pStyle w:val="Heading4"/>
        <w:numPr>
          <w:ilvl w:val="3"/>
          <w:numId w:val="1"/>
        </w:numPr>
        <w:rPr/>
      </w:pPr>
      <w:bookmarkStart w:id="84" w:name="__RefHeading___Toc2491859_3650668749"/>
      <w:bookmarkStart w:id="85" w:name="_Toc30"/>
      <w:bookmarkEnd w:id="84"/>
      <w:r>
        <w:rPr>
          <w:rtl w:val="true"/>
        </w:rPr>
        <w:t>اشارة</w:t>
      </w:r>
      <w:bookmarkEnd w:id="8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المفيد و الإسكافي و الحلّي و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عدمه و نسبه في النافع إلى أشهر الروايات، و ليعلم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هو الاجتماع لا لقاعدة الإمكان لاحتمال أن يكون عدم الحمل من حدود الحيضية شرعا، فالإمكان الّذي هو الموضوع في القاعدة غير محرز مع وجود الحمل، بل للاستصحاب، و تقريره أنّ المرأة الحامل كانت قبل الحمل بحيث متى رأت الدم بقانون الحيض كانت محكومة بترك الصلاة و سائر الأحكام، فالآن كما كانت و لا يعارض باستصحاب أحكام الطاهر الّتي كانت ثابتة قبل رؤية الدم لأنّه من قبيل الاستصحاب الفعلي، و الأوّل من التعليقي، و قد قرّر في محلّه حكومة التعليقي على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نعم إنّما ينفع هذا الاستصحاب لجريان أحكام الحائض على المرأة لا لجريان أحكام الحيض من نزح المقدّر لوقوعه في البئر و عدم العفو عن قليله في الصلاة على نفس الدم لكونه من الأصل المثبت بالنسبة إليه، و لا يجري مثله بالنسبة إلى الدم لكونه من الاستصحاب التعليقي في الموضوع، و قد قرّر في محلّه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المشهور روايات مستفيضة </w:t>
      </w:r>
      <w:r>
        <w:rPr>
          <w:rStyle w:val="FootnoteAnchor"/>
          <w:rtl w:val="true"/>
        </w:rPr>
        <w:footnoteReference w:id="60"/>
      </w:r>
      <w:r>
        <w:rPr>
          <w:rFonts w:ascii="Amiri" w:hAnsi="Amiri" w:eastAsia="Amiri" w:cs="Amiri"/>
          <w:color w:val="111111"/>
          <w:sz w:val="28"/>
          <w:sz w:val="28"/>
          <w:szCs w:val="28"/>
          <w:rtl w:val="true"/>
          <w:lang w:bidi="ar-SA"/>
        </w:rPr>
        <w:t>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الحامل ربما قذفت بالدم يعني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رأته دما كثيرا فلا تصلينّ، و إن كان قليلا فلتغتسل عند 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تصلّي ذينك اليومين، و إن كان صفرة فلتغتسل عند 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كثيرا أحمر فلا تصلّي، و إن كان قليلا أصفر فلتتوضّأ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في بطن أمّه غذاؤه الدم فربما كثر ففضل عنه، فإذا فضل دفقته، فإذا دفقته حرمت عليها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سادس بعد السؤال عن الحلبي ترى الدم كما كانت ترى أيام حيضها مستقيما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 كما كانت تصنع في حيضها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سابع بعد السؤال عن امرأة ترى الدم في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أيامها التي كانت تحيض فإذا زاد الدم على الأيام الّتي كانت تقعد استظهرت بثلاثة أيّام ثم هي 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و في ثامن بعد السؤال عن الحبلى ترى الدم و هي حامل كما كانت ترى الدم قبل ذلك في كل شهر هل تترك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الصلاة إذا دام، 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دام شرط للحيضية الواقعية لا لتحيّضها بمجرد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أدلّة المشهور، و مستند القول الآخر رواية السكوني عن جعفر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ما كان الهّٰر ليجعل حيضا مع حبل،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رأت الدم و هي حامل لا تدع الصلاة إلّا أن ترى على رأس الولد إذا ضربها الطلق و رأت الدم تركت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حبس عليه الحيضة فجعلها رزقه في بطن أمّه، و في ثالثة بعد السؤال عن الحبلى ترى الدفقة و الدفقتين من الدم في الأيام و في الشهر و الشهرين،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ليس تمسك هذه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المستفيضة، بل المتواترة في استبراء السبايا بحيضة، و كذا الجواري المنتقلة ببيع أو غيره، و الموطوءة بالزنا، و الأمة المحللة للغير، و المرأة المسترابة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نظر بل منع، أمّا الأوّل فلإمكان كونه إخبارا عن الغالب فانّ عدم اجتماع الأمرين أمر غالبي مرتكز في الأذهان حتى يجعل أحدهما دليلا و أمارة على عدم الآخر، و لهذا كثر السؤال من الرواة عن إمكانه، و إن أبيت إلّا عن كونها لبيان الحكم الشرعي فلا بدّ من حملها على التقية لما حكي من موافقتها لما هو المشهور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فلعدم منافاة الحبس المذكور مع دفع الزائد عن مقدار الكفاية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فلأنّ الحكم بعدم الحيضية في مفروض السائل من الدفقة و الدفقتين في الأيّام أو الشهر و الشهرين إنّما هو لأجل اختلال شروط الحيض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لعدم اجتماعه مع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الرابع فلأنّ غلبة عدم اجتماع الأمرين كما مرّ كافية في صحة جعل أحدهما أمارة على عدم الآخر، بل جعل الشارع العدة في بعض المواضع ثلاث حيضات لحكمة عدم اختلاط الأنساب دليل على إمكان اجتماعهما، و إلّا لكان المتعيّن جعل العدّة حيضة واحدة في جميع المواضع،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جعلها حيضة واحدة أيضا دليل على بطلان القول بالامتناع إذ عليه يتوقّف إحراز الحيضية على إحراز الشرط و هو عدم الحمل، فلو توقّف الثاني أيضا على الأوّل لزم الدور لكنّه مدفوع بأنّ إحراز المشروط إنّما يكون بقاعدة الإمكان أو العادة أو الصفات، و إحراز الشرط بعد ذلك إنّما يكون بطريق الإنّ، و الحاصل أنّه على كلا القولين يكون الدم عند الشك في وجود الحمل محكوما بالحيضية على القواعد الظاهرية، و هذا المقدار كاف في تحقّق الاستبراء و الحكم ببراءة الرحم و الحكم بكونه استحاضة على القول بالامتناع بعد كشف الخلاف و استبانة الحمل لا يضر بالأمارية قبل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التفصيل بين الحمل المستبين فلا يجتمع مع الحيض، و غيره فيجتمع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للشيخ في الخلاف و لم يذكر له مستند سوى الصحيحة الآتية و لا إشعار فيها به، بل مقتضى إطلاقه كإطلاق سائر الأخبار، بل صريح البعض عدم الفرق بين القسمين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الآخر للشيخ أيضا في نهايته و كتابي الأخبار و هو التفصيل بين ما رأته المعتادة الحامل متأخرا عن عادتها بعشرين يوما فلا يكون حيضا و غيره فيكون حيضا، مستدلّا بصحيحة الحسين بن نعيم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الحامل الدم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ما يمضي عشرون يوما من الوقت الّذي كانت ترى فيه الدم في الشهر الذي كانت تقعد فيه فإنّ ذلك ليس من الرحم و لا من الطمث، فلتتوضأ و تحتشي بكرسف و تصلّي، فإذا رأت الحامل قبل الوقت الذي كانت ترى فيه الدم بقليل أو في الوقت من ذلك الشهر فإنّه من الحيضة</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بناء على أنّ المعيار هو الصدر، و المذكور في الذيل من باب أحد مصاديق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رفع اليد عن المطلقات الكثيرة الواردة في مقام البيان و حفظ ظهور هذا الخبر في نفي الحيضية الواقعية و بين حفظ تلك الإطلاقات و رفع اليد عن الظهور المذكور بحمله على نفي التحيض الظاهري بمجرّد الرؤية قبل استكشاف الخلاف بالاستمرار إلى الثلاثة اعتناء بالأمارتين الضعيفتين عند اجتماعهما أعني الحمل و التأخّر عن العادة بالمقدار المذكور، و الثاني لو لم يكن أرجح فلا أقل من المساواة الموجبة للإجمال المسقط للخبر عن الاستدلال فيكون المرجع تلك المطلقات نظير ما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و تردد بين زيد العالم و الجاهل فانّ العام المذكور يكون مرجعا بالنسبة إلى زيد العالم، بل يكون رافعا لإجمال الخاص فكذلك الحال في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فالأقوى هو القول بالاجتماع من غير فرق بين الاستبانة و عدمها و التأخّر عن العادة بعشرين و عدمه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سمّى رفع اليد عن عدم التحيّض الظاهري بعد كشف الخلاف بمضي الثلاثة تقييدا مع أنّه ليس إلّا من باب ارتفاع الحكم الظاهري بارتفاع موضوعه لكشف الخطاء</w:t>
      </w:r>
      <w:r>
        <w:rPr>
          <w:rFonts w:eastAsia="Amiri" w:cs="Amiri" w:ascii="Amiri" w:hAnsi="Amiri"/>
          <w:color w:val="111111"/>
          <w:sz w:val="28"/>
          <w:szCs w:val="28"/>
          <w:rtl w:val="true"/>
          <w:lang w:bidi="ar-SA"/>
        </w:rPr>
        <w:t>.</w:t>
      </w:r>
      <w:bookmarkStart w:id="86" w:name="pg1803_21703"/>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Heading4"/>
        <w:numPr>
          <w:ilvl w:val="3"/>
          <w:numId w:val="1"/>
        </w:numPr>
        <w:rPr/>
      </w:pPr>
      <w:bookmarkStart w:id="87" w:name="__RefHeading___Toc2491861_3650668749"/>
      <w:bookmarkStart w:id="88" w:name="_Toc31"/>
      <w:bookmarkEnd w:id="87"/>
      <w:r>
        <w:rPr>
          <w:rtl w:val="true"/>
        </w:rPr>
        <w:t>تتميم</w:t>
      </w:r>
      <w:r>
        <w:rPr>
          <w:rtl w:val="true"/>
        </w:rPr>
        <w:t xml:space="preserve">: </w:t>
      </w:r>
      <w:r>
        <w:rPr>
          <w:rtl w:val="true"/>
        </w:rPr>
        <w:t>الظاهر أنّ حال الحامل في عدم التحيّض بمجرد الرؤية عند عدم مصادفة العادة إلّا مع وجود الصفة كحال غيره</w:t>
      </w:r>
      <w:bookmarkEnd w:id="88"/>
    </w:p>
    <w:p>
      <w:pPr>
        <w:pStyle w:val="BookText"/>
        <w:rPr/>
      </w:pPr>
      <w:r>
        <w:rPr>
          <w:rFonts w:ascii="Amiri" w:hAnsi="Amiri" w:eastAsia="Amiri" w:cs="Amiri"/>
          <w:color w:val="111111"/>
          <w:sz w:val="28"/>
          <w:sz w:val="28"/>
          <w:szCs w:val="28"/>
          <w:rtl w:val="true"/>
          <w:lang w:bidi="ar-SA"/>
        </w:rPr>
        <w:t>و أمّا عند مصادفة العادة فهل تتحيّض بمجرد الرؤية و لو مع فقد الصفة أو لا؟ يظهر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الدغدغة نظرا إلى احتمال انصراف ما دلّ على تحيّض المعتادة بمجرد الرؤية كمرسلة يونس القصيرة عن شمول المقام و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دما عبيطا فلا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ذات العادة مضافا إلى ظهور قوله في بعض آخر منها في خصوص ذات العادة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الصلاة إذا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الحيض متأخرا عن الثلاثة ثم جعل أقرب التوجيهات في مقام الجمع بين الأخبار هو القول باعتبار العادة إذا انضمت مع الصفة و عدم اعتبارها مع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وجه لما احتمله من الانصراف إلّا ندرة الوجود و هي غير موجبة له، مع أنّ قوله في بعض أخبار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أيّامها التي كانت تحيض فإذا زاد الدم على الأيّام التي كانت تقعد استظهرت بيوم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القعود بمجرد حضور الأيّام بلا مهلة كما أنّ الاستظهار يكون بمجرد مضي الأيّام كذلك،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الصلاة إذا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مرّ أنّ الصدر راجع إلى الحيضية الواقعية لا التحيّض الظاهري يعني أنّها تتحيّض فعلا بشرط عدم انكشاف الخلاف فيما بعد، و إذن فتقييد دليل اعتبار العادة بدليل الصفة مع كون كل منهما أمارة مستقلة تقييد بلا وجه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2491863_3650668749"/>
      <w:bookmarkStart w:id="90" w:name="_Toc32"/>
      <w:bookmarkEnd w:id="89"/>
      <w:r>
        <w:rPr>
          <w:rtl w:val="true"/>
        </w:rPr>
        <w:t>مسألة</w:t>
      </w:r>
      <w:r>
        <w:rPr>
          <w:rtl w:val="true"/>
        </w:rPr>
        <w:t xml:space="preserve">: </w:t>
      </w:r>
      <w:r>
        <w:rPr>
          <w:rtl w:val="true"/>
        </w:rPr>
        <w:t>لا إشكال في ما لو انقطع الدم على العشرة فما دون في أنّه محكوم بالحيضية مطلقا</w:t>
      </w:r>
      <w:bookmarkEnd w:id="9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ما لم يمنع عنه مانع آخر، و أمّا لو تجاوز عن العشرة فقد اختلط حينئذ الحيض بالاستحاضة، فلا بد من الرجوع في التشخيص إلى ما نصبه الشارع مائزا في حقها بحسب تكليفها الفعلي، فإنّها على أقسام لأنّها إمّا تكون مبتدئة أو غيرها و مرادنا بالمبتدئة من لم تستقر لها عادة سواء لم تر الدم قط و كان هذا أوّل ما رأت و تسمّى بالمبتدئة بالمعنى الأخص، أم رأت مكرّرا و لكن لا على نسق واحد و تسمّى مضطربة كذلك، و غير المبتدئة بالمعنى الأعم و لا محالة تكون ذات عادة فعليّة إمّا تكون ذاكرة لعادتها، و إمّا ناسية لها و قد تسمّى هذه مضطربة أيضا، فهذه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أوّلا أنّ مرسلة يونس الطويلة قد قسمت المستحاضة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و الناسية و المبتدئة بالمعنى الأخص و صرّحت في صدرها بأنّ رسول اللّٰه صلّى اللّٰه عليه و آله و سلم سنّ لها ثلاث سنن، قد بيّن كل مشكل لمن سمعها و فهمها حتى لم يدع لأحد فيه مقالا بالرأي، و في موضع آخر بأنّ جميع حالات المستحاضة تدور على هذه السنن الثلاث لا تخلو أبدا من واحدة منهنّ، فتوهم صاحب الرياض أنّ المراد حصر المستحاضة في الثلاث فالتجأ إلى إدراج المضطربة في المبتدئة مع أنّه فسّرها في المرسلة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لها أيام قبل ذلك و استحاضت أوّل ما رأت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بالأوّل هو الأوّل بالإضافة إلى حصول العادة أي رأت الدم أوّلا قبل حصول العادة و لا يخفى أنّ ما ذكره خلاف صريح قوله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تر الدم قط و رأت أوّل ما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الحصر حصر السنن لا المستحاضة</w:t>
      </w:r>
      <w:r>
        <w:rPr>
          <w:rFonts w:eastAsia="Amiri" w:cs="Amiri" w:ascii="Amiri" w:hAnsi="Amiri"/>
          <w:color w:val="111111"/>
          <w:sz w:val="28"/>
          <w:szCs w:val="28"/>
          <w:rtl w:val="true"/>
          <w:lang w:bidi="ar-SA"/>
        </w:rPr>
        <w:t>.</w:t>
      </w:r>
      <w:bookmarkStart w:id="91" w:name="pg1803_21709"/>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 مثل هذا التوهّم ما ذكره جمال الملّة في حاشية الروضة في ذات السنة الثانية حيث جعلها في المرسلة لمن كانت لها أيّام متقدمة ثم اختلط عليها من طول الدم و زادت و نقصت حتى أغفلت عددها و موضعها من الشهر 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المضطربة بالمعنى الأخص لا الناسية و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أغفلت، تركت لا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يلائم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الحيض أن تكون الصفرة و الكدرة فما فوقها في أيّام الحيض إذا عرفت حيضا كلّه إن كان الدم أسود أو غير ذلك فهذا يبيّن لك أنّ قليل الدم و كثيره أيام الحيض حيض كلّه إذا كانت الأيّام معلومة، فإذا جهلت الأيّام و عددها احتاجت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بأيّام الحيض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الصفرة و الكدرة في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العادة فتكون هي المراد بالأيام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جهلت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الجهل يحتاج إلى واقع محفوظ، و إرادة عدم العلم بنحو السالبة المنتفية الموضوع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و نقصت،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و تأخّرت، يناسب إرادة المضطربة لكن دلالة ما ذكرنا على إرادة الناسية أقوى فيراد بالتقدّم و التأخّر و الزيادة و النقصان ما يلائم محفوظية العادة فعلا مع ذهول الذهن عنها لا ما يلازم زوال العادة و متروكيّتها رأسا و كيف كان فلنرجع إلى حكم الأقسام في طي مسائل فنقول</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491865_3650668749"/>
      <w:bookmarkStart w:id="93" w:name="_Toc33"/>
      <w:bookmarkEnd w:id="92"/>
      <w:r>
        <w:rPr>
          <w:rtl w:val="true"/>
        </w:rPr>
        <w:t>مسألة</w:t>
      </w:r>
      <w:r>
        <w:rPr>
          <w:rtl w:val="true"/>
        </w:rPr>
        <w:t xml:space="preserve">: </w:t>
      </w:r>
      <w:r>
        <w:rPr>
          <w:rtl w:val="true"/>
        </w:rPr>
        <w:t>لا إشكال في رجوع المبتدئة بالمعنى الأعم إلى الصفات</w:t>
      </w:r>
      <w:bookmarkEnd w:id="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توهّمه صاحب الحدائق من اختصاص الصفات بالناسية و انحصار الأمر في المبتدئة بالمعنى الأخص في الرجوع إلى الروايات نظرا إلى المرسلة المتقدمة فيخصّص 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عموم الروايات الآمرة بالرجوع إلى الصفات بقول مطلق، مدفوع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أطبق الدم عليها و كان الدم على لون واحد و حالة واحدة فسنتها السبع و الثلاث و العشرون، لأنّ قصّتها كقصّة حمنة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أثجّه ثجّا، يدل على أنّ رجوع الناسية إلى الصفات معلّل باختلاف اللون مع عدم العادة و رجوع المبتدئة إلى الروايات معلّل باتحاد اللون مع عدمها، فيعلم من ذلك جريان حكم كل منهما في الأخرى مع جريان علّته فيها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الرجوع إلى التميّز فيما إذا لم يكن المتّصف بصفة الحيض أقل من ثلاث و لا أزيد من العشرة و لا تخلّل الدم الضعيف الأقل من العشرة بين القويّين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فقد أحد هذه الأمور الثلاثة فهل المرأة فاقدة التميز و مرجعها عادة النساء أو الروايات مطلقا أو أنّها واجدة التميز في الجملة في جميع تلك الصور؟ قد أفتى بالأوّل في نجاة العباد، و اختار الثاني بعض الأعلام، و محصل ما ذكره أنّه في صورة النقصان عن الثلاثة أو الزيادة على العشرة ترجع في تشخيص المحل إلى التميز و في تشخيص العدد إلى عادة النساء أو الروايات و في صورة تخلّل الضعيف بين القويّين إن أمكن حيضية الجميع، فإن قلنا بأنّ الحكم باستحاضية الضعيف من باب عدم الأمارة على حيضيته تعيّن الحكم بحيضية الكل، إذا الحكم بحيضية القويّين الحافّين أمارة على حيضية الوسط و إن قلنا بأنّه من جهة أماريّة صفة الاستحاضة يحكم على القويّ الأوّل بالحيضية و على الوسط و ما بعده بالاستحاضية للسبق الزماني في الأوّل فلا يعارضه الدم الوسط و الأخير، و هذا مع إمكان حيضية الكل، و أمّا مع عدم الإمكان سواء أمكن جعل بعض الأسود الثاني جزءا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الحيضة الأولى أم لم يمكن فرجح أوّلا الحكم بحيضية الأسود الأوّل دون ما بعده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على نفسه بأنّه غير تام في صورة إمكان جعل بعض الثاني من الحيضية الأولى بناء على القول بأنّ الحكم باستحاضيّة الأصفر من باب عدم الأمارة على الحيضية فإنّ المتعيّن حينئذ القول بحيضية الأوّل و الثاني و ما أمكن جعله حيضا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بأنّه يلزم حينئذ من الرجوع إلى الصفة عدمه إذ تندرج المرأة بذلك تحت من رأت الدم على هيئة واحدة مستمرا إلى أن تجاوز العشرة و مرجعها عادة النساء أو الروايات، و على هذا فيتعيّن ما ذكرناه حتى لا يلزم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رجح ثانيا كون المقام بقسميه من قبيل الخبرين المتعارضين بأن لا يكون السبق الزماني مرجحا في البين، و على هذا فيحكم بأمارية الصفة بحيضية أحد الدمين و يرجع في تشخيصه إلى عادة النساء أو الروايات إن أمكن، و إلّا فإلى المرجّحات الظنّية الموجودة مع أحدهما إن كانت في البين و إلّا فيحكم بالتخيير هذا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صورتي النقصان عن الثلاثة و الزيادة على العشرة خلاف المستفاد من المرسلة إذ المستفاد منها مرجعية التميز بلا نقيصة عنه و لا زيادة عليه، و مع عدم إمكان ذلك جعلت مرجعها الروايات و لعلّ هذا سرّ ما يظهر من كافة من عدا شيخ الطائفة و كاشف اللثام و سيد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الصورتين فاقدة التميز رأسا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صورة تخلّل الضعيف مع إمكان حيضية الكل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احتمال الحكم بحيضية الأسود الأوّل دون الثاني و الثالث لا وجه له، بل المتعين الحكم بحيضية الكل كما أفتى به شيخنا المرتضى و الميرزا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أنّ الحكم باستحاضيّة الدم عند الإدبار يكون من جهة عدم إقبال الحيض و ظهور صفاته لا من جهة صفات الاستحاضة المقارنة لإدبار الحيض و علائمه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صورة تخلّل الضعيف مع عدم إمكان جمع الكل في الحيضية من ترجيح السبق الزماني أوّلا ثمّ اختيار التعارض بين الدمين ثانيا و الرجوع إلى المرجّح لو كان و إلّا فالتخيير، فيه أنّ السبق الزماني كيف يكون مرجحا مع واجديّة كل من السابق و اللاحق شرائط الحيضية بحسب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التخيير فهو حق كما في الجمع بين الأختين لو لا إرجاع المرسلة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 في ذات العادة الوقتية فقط بالرجوع من حيث العدد إلى التميز ثم إلى عادة الأهل ثمّ إلى الروايات فما وجه عدم القول به في واجدة التميز الفاقدة فأحد الشروط الثلاثة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الظاهر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الحيضة فدعي الصلاة و إذا أدبرت فاغسلي عنك الدم و 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صورة إمكان الرجوع إلى كلّ من الإقبال و الإدبار بلا زيادة و لا نقصان و من دون لزوم محذور و هو غير متحقّق إلّا مع اجتماع الشرائط الثلاثة و مقتضى التقابل المستفاد من المرسلة بين موردي السنة الثانية و الثالثة أنّ كلّ ما خرج عن مورد الثانية فهو داخل في الثالثة، و لعلّ هذا منشأ فتوى شيخنا المرتضى و من تبعه في الرسالة العملية بذلك</w:t>
      </w:r>
      <w:r>
        <w:rPr>
          <w:rFonts w:eastAsia="Amiri" w:cs="Amiri" w:ascii="Amiri" w:hAnsi="Amiri"/>
          <w:color w:val="111111"/>
          <w:sz w:val="28"/>
          <w:szCs w:val="28"/>
          <w:rtl w:val="true"/>
          <w:lang w:bidi="ar-SA"/>
        </w:rPr>
        <w:t>.</w:t>
      </w:r>
      <w:bookmarkStart w:id="94" w:name="pg1803_21721"/>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ثمّ إنّهم ذكروا أنّ الأسود قوي الأحمر، و الأحمر قوي الأشقر، و هو قوي الأصفر، و هو قوي الأكدر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اللازم منه ملاحظة المرتبة في كل واحد من هذه الأصناف فالأشد سوادا قوى أضعفه و هكذا، و الالتزام به مشكل فإنّه و إن كان ملائما مع مقتضى كلمتي الإقبال و الإدبار لكن لا يناسب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لاندراج كل من الشديد و الضعيف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إلحاق الثخانة و النتن ممّا يوجب الظن النوعي بالحيضية دون الظن الشخصي أو مطلق الظن و لو حصل من الرؤيا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حصول العادة بتطابق الشهرين المتواليين في صفة الدم على نسق واحد فتكون هي المرجع في الشهر الثالث و لو خالفت مع التميز و لا يلزم زيادة الفرع على الأصل فإنّ العادة إنّما تحصل من تكرّر التميز لا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أدلّة حصول العادة بالمرتين هو المرتان المستويتان في الأخذ و الانقطاع و هما مفقودان مع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عدم حصول العادة و لو مع القطع الوجداني بالحيض و تطابق الشهرين فيه مع الاستمرار و هو مخالف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توالى عليها حيضتان إلخ</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491867_3650668749"/>
      <w:bookmarkStart w:id="96" w:name="_Toc34"/>
      <w:bookmarkEnd w:id="95"/>
      <w:r>
        <w:rPr>
          <w:rtl w:val="true"/>
        </w:rPr>
        <w:t>مسألة</w:t>
      </w:r>
      <w:r>
        <w:rPr>
          <w:rtl w:val="true"/>
        </w:rPr>
        <w:t xml:space="preserve">: </w:t>
      </w:r>
      <w:r>
        <w:rPr>
          <w:rtl w:val="true"/>
        </w:rPr>
        <w:t>لا إشكال في أنّه مع عدم التميّز ترجع المبتدئة بالمعنى الأعم إلى عادة أهلها</w:t>
      </w:r>
      <w:bookmarkEnd w:id="96"/>
    </w:p>
    <w:p>
      <w:pPr>
        <w:pStyle w:val="Heading4"/>
        <w:numPr>
          <w:ilvl w:val="3"/>
          <w:numId w:val="1"/>
        </w:numPr>
        <w:rPr/>
      </w:pPr>
      <w:bookmarkStart w:id="97" w:name="__RefHeading___Toc2491869_3650668749"/>
      <w:bookmarkStart w:id="98" w:name="_Toc35"/>
      <w:bookmarkEnd w:id="97"/>
      <w:r>
        <w:rPr>
          <w:rtl w:val="true"/>
        </w:rPr>
        <w:t>اشارة</w:t>
      </w:r>
      <w:bookmarkEnd w:id="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مضمرة سماعة بعد السؤال عن جارية حاضت أوّل حيضها فدام دمها ثلاثة أشهر و هي لا تعرف أيّام أقرائها؟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أقراؤها مثل أقراء نسائها فإن كنّ نساؤها مختلفات فأكثر جلوسها عشرة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و أقلّه ثلاثة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موثقة زرارة و محمد بن مسلم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للمستحاضة أن تنظر بعض نسائها فتقتدي بأقرائها ثمّ تستظهر على ذلك بيوم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إن كانت لا تعرف أيّام نفاسها فابتليت جلست مثل أيّام أمّها أو أختها أو خالتها و استظهرت بثلثي ذلك</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على هذا فيجب تقييد المرسلة المتقدمة الآمرة بالرجوع إلى الروايات بصورة فقدان الأهل أو اختلافهنّ في العادة كما أنّ الرجوع إلى الأهل مرتّب على التميّز فإنّ التميز كالعادة أمارة على معرفة الحيض و عادة الأهل جعلت أمارة لمن لا أمارة لها على معرفة الحيض فسائر الأمارات مقدمة عليها و هي مقدّمة على الروايات التي هي بمنزلة الأصل العملي، و لا يعتبر اتّحاد البلد كما لا يعتبر اتّحاد المأكل و الملبس و المسكن للإطلاق، و لا فرق بين كون الانتساب من الطرفين أو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عبرة بالقرابة السببية كما هو واضح، و لا إشكال في الاعتبار بعادة الأهل في العدد فإنّه المتيقّن من النص، و أمّا من حيث الوقت فمحل إشكال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مختلفات فأكثر جلوسها عشرة و أقلّه ثلاثة،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استظهرت بيوم و لا أقلّ من الشك، فالمرجع إطلاق المرسلة لكون الشبهة مفهومية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جزم بدخول العادة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الوقتية العددية معا، و العددية فقط في مورد النص و تردد في الوقتية فقط، مع أنّ اللازم من اختصاص النص بالقسمين الأوّلين اجتماع اللحاظين فإنّ العدد إن كان ملحوظا على وجه التقييد بالوقت اختص بالقسم الأوّل و إن لو حظ على وجه الإطلاق اختص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احتماله الأخذ بالقدر المشترك بين العدد الزائد و الناقص، مع أنّه مخالفة صريحة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مختلفات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محيص عن حمل الروايتين الأخيرتين الآمرتين بالرجوع إلى البعض أو إلى الأم أو الأخت أو الخالة على صورة حصول الظن من ذلك بموافقة البقية و إن كان فرضا نادرا، بل نفس حصول الاتفاق من الكل بحيث كان الخارج عنه معدوما أو بحكمه، و حصول الاطّلاع عليه جزما أو ظنّا أمر نادر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يرتفع التهافت بين أخبار المسألة و بين المرسلة الدالة على حصر السنن في الثلاثة التي ليس الرجوع إلى الأهل من أحدها فإنّ الحصر المذكور مستقيم مع الندرة المذكورة، و يندفع ما ربّما يتوهم في المقام من كون التعارض بين الطائفتين على وجه التباين فلا محيص عن الرجوع إلى المرجّحات السندية و هي مع المرسلة، لأنّ المرسل و هو يونس بن عبد الرحمن من أصحاب الإجماع إذ فيه أنّ ذلك إنّما يلزم لو حملنا الروايتين على مرجعية البعض في مرحلة الثبوت أو في مرحلة الإثبات و لكن بنحو الكاشفية التعبدية، و أمّا لو حملناهما على الكشف الظنّي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الأحياء و الأموات من الطبقة الأولى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في الأحياء حصول العلم بالاتّفاق و لو بالرجوع إلى البعض و اكتفى في الأموات بعدم العلم بالمخالفة و لم يعلم وجه الفرق</w:t>
      </w:r>
      <w:r>
        <w:rPr>
          <w:rFonts w:eastAsia="Amiri" w:cs="Amiri" w:ascii="Amiri" w:hAnsi="Amiri"/>
          <w:color w:val="111111"/>
          <w:sz w:val="28"/>
          <w:szCs w:val="28"/>
          <w:rtl w:val="true"/>
          <w:lang w:bidi="ar-SA"/>
        </w:rPr>
        <w:t>.</w:t>
      </w:r>
      <w:bookmarkStart w:id="99" w:name="pg1803_21729"/>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Heading4"/>
        <w:numPr>
          <w:ilvl w:val="3"/>
          <w:numId w:val="1"/>
        </w:numPr>
        <w:rPr/>
      </w:pPr>
      <w:bookmarkStart w:id="100" w:name="__RefHeading___Toc2491871_3650668749"/>
      <w:bookmarkStart w:id="101" w:name="_Toc36"/>
      <w:bookmarkEnd w:id="100"/>
      <w:r>
        <w:rPr>
          <w:rtl w:val="true"/>
        </w:rPr>
        <w:t>تتميم</w:t>
      </w:r>
      <w:r>
        <w:rPr>
          <w:rtl w:val="true"/>
        </w:rPr>
        <w:t xml:space="preserve">: </w:t>
      </w:r>
      <w:r>
        <w:rPr>
          <w:rtl w:val="true"/>
        </w:rPr>
        <w:t>نسب إلى المشهور اعتبار عادة الأقران إمّا في عرض عادة الأهل و إمّا في طوله</w:t>
      </w:r>
      <w:bookmarkEnd w:id="101"/>
    </w:p>
    <w:p>
      <w:pPr>
        <w:pStyle w:val="BookText"/>
        <w:rPr/>
      </w:pPr>
      <w:r>
        <w:rPr>
          <w:rFonts w:ascii="Amiri" w:hAnsi="Amiri" w:eastAsia="Amiri" w:cs="Amiri"/>
          <w:color w:val="111111"/>
          <w:sz w:val="28"/>
          <w:sz w:val="28"/>
          <w:szCs w:val="28"/>
          <w:rtl w:val="true"/>
          <w:lang w:bidi="ar-SA"/>
        </w:rPr>
        <w:t>و لم يعلم له وجه سوى دعوى كونه أمارة ظنية على تشخيص حيض المرأة أو دعوى كون الأقران مندرجة تحت عنوان نسائها على نحو الظهور الطولي، و في كلتا الدعويين ما لا يخفى، إذ لا دليل على حجية مطلق الظن لا من دليل الانسداد و لا غيره، و اللازم من الأخذ بالظهور الطولي المذكور الاعتبار بعادة أهل البلد مع فقد الأقران و لا قائل به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491873_3650668749"/>
      <w:bookmarkStart w:id="103" w:name="_Toc37"/>
      <w:bookmarkEnd w:id="102"/>
      <w:r>
        <w:rPr>
          <w:rtl w:val="true"/>
        </w:rPr>
        <w:t>مسألة</w:t>
      </w:r>
      <w:r>
        <w:rPr>
          <w:rtl w:val="true"/>
        </w:rPr>
        <w:t xml:space="preserve">: </w:t>
      </w:r>
      <w:r>
        <w:rPr>
          <w:rtl w:val="true"/>
        </w:rPr>
        <w:t>لو فقد الأهل أو كنّ مختلفات أو تعذّر العلم بحالهنّ فلا إشكال في رجوع المبتدئة بالمعنى الأعم إلى العدد</w:t>
      </w:r>
      <w:bookmarkEnd w:id="1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في الروايات، و إنّما الإشكال في تعيين ذلك العدد،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السبع في كل شهر معينا، و قد اختاره السيد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وسيلته و تعليقته على العروة، نظرا إلى أنّه العدد المصرّح به في غير موضع من المرسلة، و في موضع واحد منها و إن صرّح بالست مردّدا بينه و بين السبع لكن لم يعلم كون الترديد من الإمام أو الراوي، فالقدر المتيقن هو السبع و حيث صرّح فيها بأنّ أقصى حيضها السبع و أقصى طهرا الثلاث و العشرون فقد نفى صريحا ما عداه من الأعداد من الفوق و التحت، فلا جمع عرفي بينها و بين الأخبار المثبتة لسائر الأعداد فلا بدّ من الرجوع إلى المرجحات و هي مع المرسلة لكونها متلقّاة بالقبول بين الأصحاب مع كون مرسلها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الظاهر كون الترديد من الإمام لأنّ مقتضى الأصل العقلائي كون صورة ما نقله الناقل بجميع الخصوصيات مسموعة له بدون وقوع سهو منه أو اشتباه، و أمّا ما ذكر من عدم الجمع العرفي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يسهل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الخطب وقوع هذا التهافت في نفس المرسلة بناء على ما ذكرنا من ظهور كون الترديد من الإمام فما يكون الجواب عنه يكون بعينه جوابا عن التهافت الواقع بينه و بين سائر الأخبار، و حاصل الجواب في المقامين أنّ الأقصائية المذكورة مختصة بالمرأة التي اختارت العدد المذكور، فمن اختارت التحيّض بالسبع كان أقصى طهرها الثلاث و العشرين، و من اختارت التحيّض بغيره كان أقصى طهرها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فالحق وجود الجمع العرفي و قد اختلفت الأنظار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هو التخيير بين الست و السبع و الثلاث في كل شهر و قد اختاره في العروة الوثقى و قرّره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 مقتضى الجمع بين المرسلة و موثقتي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إذا رأت الدم في أوّل حيضها فاستمر بها الدم بعد ذلك تركت الصلاة عشرة أيّام ثمّ تصلي عشرين يوما، فإن استمر بها الدم بعد ذلك تركت الصلاة ثلاثة أيّام و صلّت سبعة و عشرين يوما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أوّل ما تحيض يدفع عليها الدم فتكون مستحاضة إنّها تنتظر بالصلاة فلا تصلي حتى يمضي أكثر ما يكون من الحيض فإذا مضى ذلك و هو عشرة أيّام فعلت ما تفعله المستحاضة ثمّ صلّت فمكثت تصلّي بقية شهرها ثمّ تترك الصلاة في المرّة الثانية أقل ما تترك امرأة الصلاة و تجلس أقل ما يكون من الطمث و هو ثلاثة أيّام، و فإن دام عليها الحيض صلّت في وقت الصلاة الّتي صلّت و جعلت وقت طهرها أكثر ما يكون من الطهر و تركها الصلاة أقل ما يكون من الحيض</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فإنّ الظاهر من هاتين الموثقتين كون العشرة وظيفة للشهر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الأوّل خاصة و كون الثلاثة وظيفة لبقية الشهور، و إن بلغت ما بلغت و لا سيما الرواية الثانية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دام عليها الحيض صلّت في وقت الصلاة الّتي صلّت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سبق هذه الكيفية لها، و لا يتحقق ذلك إلّا في المرة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تركها الصلاة أقلّ ما يكون من الحيض لوجوب حمله على المرّة الثالثة لئلّا يلزم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فالظاهر أنّ العشرة في الشهر الأوّل أيضا من باب التحيّض الظاهري لاحتمال الانقطاع على العشر فما دونه، و إلّا فالوظيفة الواقعية فيه كسائر الشهور هو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المعنى يحمل مقطوعة سماعة </w:t>
      </w:r>
      <w:r>
        <w:rPr>
          <w:rStyle w:val="FootnoteAnchor"/>
          <w:rtl w:val="true"/>
        </w:rPr>
        <w:footnoteReference w:id="67"/>
      </w:r>
      <w:r>
        <w:rPr>
          <w:rFonts w:ascii="Amiri" w:hAnsi="Amiri" w:eastAsia="Amiri" w:cs="Amiri"/>
          <w:color w:val="111111"/>
          <w:sz w:val="28"/>
          <w:sz w:val="28"/>
          <w:szCs w:val="28"/>
          <w:rtl w:val="true"/>
          <w:lang w:bidi="ar-SA"/>
        </w:rPr>
        <w:t>المتقدمة في عادة الأهل، فإن كنّ مختلفات فأكثر جلوسها عشرة و أقلّه ثلاثة، و رواية الخزاز عن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المستحاضة كيف تصنع إذا رأت الدم و إذا رأت الصفرة و لم تدع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الحيض ثلاثة و أكثره عشرة و تجمع بين الصلاتين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حمل المقطوعة و رواية الخزاز على عشرة التحيض في خصوص الشهر الأوّل خلاف الظاهر جدا، فإنّ الموضوع المذكور في صدر المقطوعة هو المرأة الّتي دام دمها ثلاثة أشهر، كما أنّ الموضوع في رواية الخزاز هو المستحاضة و هو بقول مطلق يشمل من استمر بها الدم أشهرا متمادية أو سنين، و لهذا ذهب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 جمع آخر و هو حمل المقطوعة و الرواية على الاجزاء و الموثقتين و المرسلة على الفضل و الاستحباب بمعنى أنّ المستحاضة يجزيها اختيار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أي عدد شاءت من الثلاثة أو العشرة و ما بينهما لكن يستحب لها اختيار السبع أو الست أو الثلاثة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استقرّ عليه ديدنهم في أمثال المقام من حمل المطلق على المقيد و التصرف في مادة المطلق لا حمل المقيد على المطلق و التصرف في هيئة المقيد، و عليه هذا فالوجه في مقام الجمع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يتصرف أوّلا في الموثقتين بقرينة المقطوعة و الرواية، فيحملان على جعل الشهور شهرين شهرين و جعل العشرة في أحدهما و الثلاثة في الآخر، ثمّ يتصرّف في إطلاق المقطوعة و الرواية فتحملان على مفادي المرسلة و الموثقتين، فإنّ المقطوعة تدل بإطلاقها على جواز اختيار الثلاثة و العشرة تخييرا في شهر واحد و على جواز اختيار أحدهما في شهر و الآخر في شهر آخر، و كذا تدل بإطلاقها على جواز اختيار أيّ عدد شاءت من المراتب المتوسطة بين الثلاثة و العشرة، فمن الحيثية الأولى يقيّد إطلاقها بالموثقتين و من الحيثية الثانية يقيّد بالمرسلة، فيكون المتحصل تخييرها بين الست و السبع في كل شهر و بين الثلاثة في شهر و العشرة في آخر كما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فيكون المراد من قوله في الموثقة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في وقت الصلاة الّتي صلّت، هو الإشارة إلى تأخير الظهر و المغرب و تعجيل العصر و العشاء لا إلى سبق التطهّر بالسبع و العشرين حتى لا يتحقّق موضوعه إلّا في الشهر الثالث و ما بعده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يتعيّن عليها وضع العدد في أوّل الشهر أو لها الخيار في أيّ جزء و المراد بالشهر هو المبدوء من أوّل الرؤية دون خصوص الهلالي كما هو واضح الظاهر الأوّل، لكونه المتبادر عرفا من قوله صلّى اللّٰه عليه و آله و سلم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في كل شهر في علم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ستة أيّام أو سبعة أيام ثمّ اغتسلي غسلا و صومي ثلاثة و عشرين يوما أو أربعة و عشرين، فإنّ الظاهر كون التحيّض و التطهّر كليهما مظروفين للشهر مع اعتبار وقوع الثاني عقيب الأوّل كما هو مقتضى العطف بثمّ و لا يخفى عدم تمشّي ذلك إلّا بوقوع سبع التحيض في أوّل الشهر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يجب على المبتدئة بالمعنى الأعم التحيض إلى العشرة في أوّل الرؤية نصّا و إجماعا، و كما مرّ في مسألة وجوب الاستبراء على الحائض، و حينئذ فلا معنى لرفع اليد عن هذا التحيّض الظاهري بعد وقوعه، إذ هو نظير رفع اليد عن إحدى خصال الكفارة بعد إتيانها و تبديل الامتثال و إن كان معقولا لكنّه محتاج إلى دليل خاص و بدونه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الدورة الأولى، و مثله الكلام في الأدوار المتأخرة و لو لم نقل بجريان عشرة التحيض الظاهري فيها و اختصاصه الدورة الأولى كما هو الظاهر من دليله و من أدلّة التميّز، فإنّه بعد تبادر التوالي في الثلاث و العشرين مدة التطهر و تعقبها لسبع التحيض لا يتمشّى ذلك إلّا بوقوع سبع التحيض في أوّل كل دورة من الأدوار اللاحقة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أنّا لو قلنا بإجمال الأدلّة و احتملنا جريان تبديل الامتثال في المقام لكان مقتضى الاشتغال العقلي تعيّن الوضع في الأوّل إذ الأمر حينئذ دائر بين التعيين في الأوّل و التخيير و لا يحتمل تعيّن الوسط أو الآخر، و نحن و إن قلنا بالبراءة في سائر المقامات عند دوران الأمر بين التعيين و التخيير في المسألة الفقهيّة لا بد أن نقول بالاشتغال في هذا المقام، و ذلك لأنّ التحيّض غير خال عن التشريع و النسبة إلى الشرع فلا يجوز مع الشك و يجب الاقتصار فيه على مورد اليقين</w:t>
      </w:r>
      <w:r>
        <w:rPr>
          <w:rFonts w:eastAsia="Amiri" w:cs="Amiri" w:ascii="Amiri" w:hAnsi="Amiri"/>
          <w:color w:val="111111"/>
          <w:sz w:val="28"/>
          <w:szCs w:val="28"/>
          <w:rtl w:val="true"/>
          <w:lang w:bidi="ar-SA"/>
        </w:rPr>
        <w:t>.</w:t>
      </w:r>
      <w:bookmarkStart w:id="104" w:name="pg1803_21743"/>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ثمّ على القول بالتخيير هل لزوجها إلزامها بالوضع في جزء معين؟ الظاهر العدم لأنّ حق الزوج مبني على تقدير طهرها من الحيض، فلها قلب هذا التقدير بضدّه بواسطة اختيار التحيض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اختارت عددا في شهر فلا يتعيّن عليها ذلك العدد في الشهر الآخر بل لها الخيار في أوّل كل 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بناء على ما اخترناه من كون التخيير مقتضى الجمع العرفي و أمّا بناء على كونه من باب التخيير بين الخبرين المتعارضين، فالمسألة مبنية على القول بالتخيير الاستمراري في المسألة الأصوليّة و تنقيحه موكول إلى محلّه</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491875_3650668749"/>
      <w:bookmarkStart w:id="106" w:name="_Toc38"/>
      <w:bookmarkEnd w:id="105"/>
      <w:r>
        <w:rPr>
          <w:rtl w:val="true"/>
        </w:rPr>
        <w:t>مسألة</w:t>
      </w:r>
      <w:r>
        <w:rPr>
          <w:rtl w:val="true"/>
        </w:rPr>
        <w:t xml:space="preserve">: </w:t>
      </w:r>
      <w:r>
        <w:rPr>
          <w:rtl w:val="true"/>
        </w:rPr>
        <w:t>لا إشكال في أنّ ذات العادة العددية الوقتية عند الاستمرار ترجع إلى عادتها</w:t>
      </w:r>
      <w:bookmarkEnd w:id="106"/>
    </w:p>
    <w:p>
      <w:pPr>
        <w:pStyle w:val="Heading4"/>
        <w:numPr>
          <w:ilvl w:val="3"/>
          <w:numId w:val="1"/>
        </w:numPr>
        <w:rPr/>
      </w:pPr>
      <w:bookmarkStart w:id="107" w:name="__RefHeading___Toc2491877_3650668749"/>
      <w:bookmarkStart w:id="108" w:name="_Toc39"/>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و لا رجوع لها إلى التميّز لا في صورة المعارضة مع العادة و القول بالتخيير بينهما، فضلا عن ترجيح التميز ضعيف إذ المستفاد من المرسلة اختصاص أمارية التميز بصورة فقدان العادة، بل و لا في صورة عدم المعارضة، إمّا لفصل أقل الطهر بينهما، و إمّا لكونهما معا في ضمن عشرة واحدة، إذ المستفاد من المرسلة أنّه لا سنة لذات العادة غير عادتها و لا مرجعية لإقبال الدم و إدباره في حقّها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ذات العادة العددية فقط أو الوقتية كذلك، في أنّ المرجع في غير جهة عادتها، أعني الوقت في الأولى و العدد في الثانية ما ذا؟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 في الأولى أنّها تأخذ بالعدد بمقتضى عادتها فإن كان تميز يوافق العدد تأخذ به و إن لم يوافقه أخذت به أيضا لكن مع إكماله من الفاقد في صورة النقيصة و تنقيصه في صورة الزيادة، و إن لم يكن تميّز جعلت العدد في أوّل الدم، لأنّه مقتضى الاشتغال العقلي في الدوران بين التعيين و التخيير في مقامنا كما</w:t>
      </w:r>
      <w:bookmarkStart w:id="109" w:name="pg1803_21746"/>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تقدم توضيحه في المسألة المتقدمة، و لا رجوع هنا إلى عادة الأهل و لا إلى الروايات أمّا الثاني فواضح، و أمّا الأوّل فلعدم استفادة أزيد من مرجعيته في مقام تعيين العدد من دليله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الثانية أنّها تأخذ من حيث الوقت بمقتضى العادة و أمّا من حيث العدد فإن حصل لها بواسطة تكرر الدم مرارا كثيرة علم أو اطمئنان بقدر جامع بين عددين و أنّه لا يخرج حيضها عمّا بين الأربعة و السبعة مثلا لرؤيته كذلك دائما في مدّة متمادية وجب عليها إعمال قاعدة التميّز و عادة الأهل أو الروايات بنحو الترتيب في ما بين الحدين إن أمكن و إلّا وجب عليها الاحتياط بمراعاة عمل المستحاضة و انقطاع الحيض فربما يجتمع عليها عند إرادة عدم التداخل ثمانية أغسال بل عشرة للزوم إعادة غسل الاستحاضة للعصر و العشاء بملاحظة تخلّل الفصل بين الصلاتين بغسل الحيض و مقدماته و إن لم يحصل لها العلم أو الاطمئنان المذكور وجب عليها إعمال القواعد الثلاث في الوقت المعتاد في ما بين الثلاثة إلى العشرة إذ لا دليل على ثبوت العادة الشرعية بالنسبة إلى العدد المتكرر بين العددين المختلفين كما مرّ توضيحه في محلّه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491879_3650668749"/>
      <w:bookmarkStart w:id="111" w:name="_Toc40"/>
      <w:bookmarkEnd w:id="110"/>
      <w:r>
        <w:rPr>
          <w:rtl w:val="true"/>
        </w:rPr>
        <w:t>فروع</w:t>
      </w:r>
      <w:r>
        <w:rPr>
          <w:rtl w:val="true"/>
        </w:rPr>
        <w:t>:</w:t>
      </w:r>
      <w:bookmarkEnd w:id="111"/>
    </w:p>
    <w:p>
      <w:pPr>
        <w:pStyle w:val="Heading5"/>
        <w:numPr>
          <w:ilvl w:val="4"/>
          <w:numId w:val="1"/>
        </w:numPr>
        <w:rPr/>
      </w:pPr>
      <w:bookmarkStart w:id="112" w:name="__RefHeading___Toc2491881_3650668749"/>
      <w:bookmarkStart w:id="113" w:name="_Toc41"/>
      <w:bookmarkEnd w:id="112"/>
      <w:r>
        <w:rPr>
          <w:rtl w:val="true"/>
        </w:rPr>
        <w:t>الأوّل</w:t>
      </w:r>
      <w:r>
        <w:rPr>
          <w:rtl w:val="true"/>
        </w:rPr>
        <w:t xml:space="preserve">: </w:t>
      </w:r>
      <w:r>
        <w:rPr>
          <w:rtl w:val="true"/>
        </w:rPr>
        <w:t>صاحبة العادة العددية الوقتية لو رأت عددها متقدّما على الوقت أو متأخرا عنه حكم بحيضيته</w:t>
      </w:r>
      <w:bookmarkEnd w:id="1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كذا لو رأت غير عددها كذلك إذا انقطع على العشرة فما دون و أمّا لو تجاوز العشرة في إحدى الصورتين فتجعل عددها في أوّل الدم حيضا مع عدم التميّز و في مورده مع وجوده و الباقي استحاضة كما مرّ</w:t>
      </w:r>
      <w:bookmarkStart w:id="114" w:name="pg1803_21748"/>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توضيحه في المسألة المتقدمة، و لو رأت عددها في غير الوقت و رأت في الوقت بغير عددها و لم يمكن جمعهما في الحيضية لا استقلالا و لا انضماما مع إمكان حيضية كلّ منهما بانفراده تحقّقت المعارضة بين العادتين و لا وجه لترجيح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وافق أحد الدمين مع التميز أو إحدى الروايات كان هو المقدّم و إلّا فلا بدّ من الاحتياط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في أصل الحيضية و أمّا التحيّض بمجرد الرؤية فإن كان التقدّم و التأخّر على وجه يصدق تعجيل العادة و تأخيرها كما لو كان بيوم أو يومين فلا كلام في تحيضها بمجرّد الرؤية بحكم العادة، و كذا لو كان الدم بصفة الحيض و إلّا فلا تتحيّض إلّا بعد مضي الثلاثة لعدم استقرار الإمكان إلّا بعده كما مرّ توضيحه في محلّه</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491883_3650668749"/>
      <w:bookmarkStart w:id="116" w:name="_Toc42"/>
      <w:bookmarkEnd w:id="115"/>
      <w:r>
        <w:rPr>
          <w:rtl w:val="true"/>
        </w:rPr>
        <w:t>الثاني</w:t>
      </w:r>
      <w:r>
        <w:rPr>
          <w:rtl w:val="true"/>
        </w:rPr>
        <w:t xml:space="preserve">: </w:t>
      </w:r>
      <w:r>
        <w:rPr>
          <w:rtl w:val="true"/>
        </w:rPr>
        <w:t>صاحبة العادة العددية الوقتية لو رأت قبل الوقت و فيه</w:t>
      </w:r>
      <w:bookmarkEnd w:id="116"/>
    </w:p>
    <w:p>
      <w:pPr>
        <w:pStyle w:val="BookText"/>
        <w:rPr/>
      </w:pPr>
      <w:r>
        <w:rPr>
          <w:rFonts w:ascii="Amiri" w:hAnsi="Amiri" w:eastAsia="Amiri" w:cs="Amiri"/>
          <w:color w:val="111111"/>
          <w:sz w:val="28"/>
          <w:sz w:val="28"/>
          <w:szCs w:val="28"/>
          <w:rtl w:val="true"/>
          <w:lang w:bidi="ar-SA"/>
        </w:rPr>
        <w:t>أو فيه و بعده، أو قبله و فيه و بعده، ففي جميع الصور الثلاث إن انقطع الدم على العشرة فما دونها كان الكل حيضا، و إن تجاوز العشرة كان العادة حيضا و ما عداها سواء كان المتقدّم أم المتأخر أم كليهما استحاضة و هذا واضح</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491885_3650668749"/>
      <w:bookmarkStart w:id="118" w:name="_Toc43"/>
      <w:bookmarkEnd w:id="117"/>
      <w:r>
        <w:rPr>
          <w:rtl w:val="true"/>
        </w:rPr>
        <w:t>الثالث</w:t>
      </w:r>
      <w:r>
        <w:rPr>
          <w:rtl w:val="true"/>
        </w:rPr>
        <w:t xml:space="preserve">: </w:t>
      </w:r>
      <w:r>
        <w:rPr>
          <w:rtl w:val="true"/>
        </w:rPr>
        <w:t>صاحبة العادة العددية سواء كانت وقتية أم لا إذا كانت عادتها في كل شهر مرة</w:t>
      </w:r>
      <w:bookmarkEnd w:id="118"/>
    </w:p>
    <w:p>
      <w:pPr>
        <w:pStyle w:val="BookText"/>
        <w:rPr/>
      </w:pPr>
      <w:r>
        <w:rPr>
          <w:rFonts w:ascii="Amiri" w:hAnsi="Amiri" w:eastAsia="Amiri" w:cs="Amiri"/>
          <w:color w:val="111111"/>
          <w:sz w:val="28"/>
          <w:sz w:val="28"/>
          <w:szCs w:val="28"/>
          <w:rtl w:val="true"/>
          <w:lang w:bidi="ar-SA"/>
        </w:rPr>
        <w:t>فرأت عددها أو غيره في شهر مرتين مع فصل أقل الطهر كان كل منهما حيضا لعدم القطع أو الاطمئنان بنفي الحيضية في أحدهما و لا ثبوت تعبّد شرعي بذلك، فمقتضى قاعدة الإمكان حيضية كليهما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مع انقطاع كل منهما على العشرة فما دون مع عدم النقصان عن</w:t>
      </w:r>
      <w:bookmarkStart w:id="119" w:name="pg1803_21751"/>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الثلاثة و أمّا لو تجاوز أحدهما أو كلاهما عن العشرة مع تخلّل أقل الطهر بينهما فتجعل مقدار العادة في أوّل كل من الدمين حيضا و الباقي استحاضة في صورة عدم التميز و مع وجوده تجعل مقدار العادة في مورده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491887_3650668749"/>
      <w:bookmarkStart w:id="121" w:name="_Toc44"/>
      <w:bookmarkEnd w:id="120"/>
      <w:r>
        <w:rPr>
          <w:rtl w:val="true"/>
        </w:rPr>
        <w:t xml:space="preserve">مسألة </w:t>
      </w:r>
      <w:r>
        <w:rPr>
          <w:rtl w:val="true"/>
        </w:rPr>
        <w:t>[</w:t>
      </w:r>
      <w:r>
        <w:rPr>
          <w:rtl w:val="true"/>
        </w:rPr>
        <w:t>في حكم الناسية الواجدة للتمييز بأقسامها</w:t>
      </w:r>
      <w:r>
        <w:rPr>
          <w:rtl w:val="true"/>
        </w:rPr>
        <w:t>]</w:t>
      </w:r>
      <w:bookmarkEnd w:id="121"/>
    </w:p>
    <w:p>
      <w:pPr>
        <w:pStyle w:val="BookText"/>
        <w:rPr/>
      </w:pPr>
      <w:r>
        <w:rPr>
          <w:rFonts w:ascii="Amiri" w:hAnsi="Amiri" w:eastAsia="Amiri" w:cs="Amiri"/>
          <w:color w:val="111111"/>
          <w:sz w:val="28"/>
          <w:sz w:val="28"/>
          <w:szCs w:val="28"/>
          <w:rtl w:val="true"/>
          <w:lang w:bidi="ar-SA"/>
        </w:rPr>
        <w:t>قد عرفت حكم استمرار الدم في المبتدئة بقسميها و في صاحبة العادة بأقسامها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الناسية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رجوعها إلى التميز لو كان سواء كانت ناسية للوقت و العدد معا أو لأحدهما فقط، غاية الأمر أنّها ترجع إلى التميّز في الأولى لتشخيص كلا الأمرين، و في الثانية لتشخيص خصوص ما جهلته منهما دون ما كان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ذكرت الوقت فقط و لا محالة يكون تذكره إجمالا إمّا بأوّله أو وسطه أو آخره لعدم تعقّل نسيان العدد مع ذكره تفصيلا تتحيّض في أيّامها المعلومة و إن كانت فاقدة و إنّما ترجع إلى التميز في الأيّام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ذكرت العدد فقط فإن وافق التميز عددها فهو و إلّا وجب إكماله من الفاقد في صورة النقيصة و تنقيصه بقدر ما يوافق عددها في صورة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ذكرت أنّ عادتها المنسية لم تكن في الشهر أزيد من مرّة واحدة فرأت التميز في شهر مرّتين أو ثلاثا تحيضت بالجميع إلّا إذا علمت أو اطمأنّت من الاعتياد في المرّات الكثيرة، نفي حيضية ما زاد عن المرّة الواحدة كما مرّ مثل ذلك في صاحبة العادة الذاكرة لها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بعض الأعلام حيث يظهر منه الفرق بين المقامين و لم يظهر له وجه</w:t>
      </w:r>
      <w:r>
        <w:rPr>
          <w:rFonts w:eastAsia="Amiri" w:cs="Amiri" w:ascii="Amiri" w:hAnsi="Amiri"/>
          <w:color w:val="111111"/>
          <w:sz w:val="28"/>
          <w:szCs w:val="28"/>
          <w:rtl w:val="true"/>
          <w:lang w:bidi="ar-SA"/>
        </w:rPr>
        <w:t>.</w:t>
      </w:r>
      <w:bookmarkStart w:id="122" w:name="pg1803_21753"/>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و الدليل على رجوع الناسية إلى التميّز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سواء قلنا بأنّ مورد السنة الثانية فيها من كانت له عادة سابقة ثمّ زالت أو من كان له عادة ثم نسيتها، أمّا على الثاني فواضح، و أمّا على الأوّل فلأنّ المستفاد منها أنّ علّة الرجوع إلى التميز عدم إمكان الرجوع إلى العادة من غير فرق بين كونه لأجل فقد العادة ثبوتا أو لأجل فقدها إثباتا مع تحقّقها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تحيّضها بمجرّد رؤية الدم المتّصف من غير حاجة إلى انتظار الثلاثة، فإنّ الاعتماد على أمارية الصفة دون قاعدة الإمكان حتى تحتاج إلى إحراز استقراره بمضيّ الثلاثة و هو واضح</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491889_3650668749"/>
      <w:bookmarkStart w:id="124" w:name="_Toc45"/>
      <w:bookmarkEnd w:id="123"/>
      <w:r>
        <w:rPr>
          <w:rtl w:val="true"/>
        </w:rPr>
        <w:t xml:space="preserve">مسألة </w:t>
      </w:r>
      <w:r>
        <w:rPr>
          <w:rtl w:val="true"/>
        </w:rPr>
        <w:t>[</w:t>
      </w:r>
      <w:r>
        <w:rPr>
          <w:rtl w:val="true"/>
        </w:rPr>
        <w:t>في حكم الفاقدة للتمييز بأقسامها</w:t>
      </w:r>
      <w:r>
        <w:rPr>
          <w:rtl w:val="true"/>
        </w:rPr>
        <w:t>]</w:t>
      </w:r>
      <w:bookmarkEnd w:id="124"/>
    </w:p>
    <w:p>
      <w:pPr>
        <w:pStyle w:val="BookText"/>
        <w:rPr/>
      </w:pPr>
      <w:r>
        <w:rPr>
          <w:rFonts w:ascii="Amiri" w:hAnsi="Amiri" w:eastAsia="Amiri" w:cs="Amiri"/>
          <w:color w:val="111111"/>
          <w:sz w:val="28"/>
          <w:sz w:val="28"/>
          <w:szCs w:val="28"/>
          <w:rtl w:val="true"/>
          <w:lang w:bidi="ar-SA"/>
        </w:rPr>
        <w:t>قد عرفت الحال في الناسية الواجدة للتميز بأقسامها و بقي الكلام فيها في صورة فقد التميز، و لنتكلم في هذه المسألة في الناسية للوقت الحافظة للعدد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أوّلا أنّ العدد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ضالا في جملة لا يكون ذلك العدد أزيد من نصف تلك الجملة سواء ساواه أم كان أنقص كالخمسة أو الأربعة في جملة العشرة فإنّ الخمسة مساوية لنصف العشرة و الأربعة أنقص منه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يكون أزيد من نصف الجملة المذكورة كالستة في العشرة فإنّ الستة أزيد من نصف العشرة و هو الخمسة بواحد و لا يخفى أنّه في الصورة الثانية يكون هنا يقين حيض بتلك الزيادة و ضعفها، ففي المثال المذكور يكون الخامس و السادس حيضا بيقين و على هذا القياس سائر الأمثلة، فالكلام في مسألتنا ممحض في حال المرأة بالنسبة إلى أيّامها المشكوكة و هي جميع أيّام الجملة التي وقع فيها الضلال في الصورة الأولى و ما قبل المقدار المتيقن و ما بعده في الصورة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أقوال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الاحتياط عليها في جميع الأيّام المشكوكة للعلم الإجمالي في كل يوم يوم منها يتوجه التكليف إليها إمّا بأفعال المستحاضة و إمّا بتروك الحائض، و بهذا التقريب يندفع الإشكال بأنّ العلم الإجمالي في الأمور التدريجية غير مؤثر في التنجيز مضافا إلى فساد الإشكال من أصله كما قرر في محلّه، فإنّ الإشكال إنّما يتوجه على تقدير تقريبه بالعلم الإجمالي بوجود حيض إمّا في اليوم الحاضر و إمّا في أحد الأيّام الآتية و أمّا على ما ذكرنا، فلا موقع للإشكال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الإشكال باستلزام الاحتياط المذكور للعسر مدفوع بعد الغضّ عن ابتنائه على جريان دليل الحرج في الأحكام العقلية و الغضّ عن عدم وروده في من لم يتحقّق في حقّه عسر أصلا إلّا على تقدير اعتبار الحرج بالإضافة إلى النوع و هو خلاف التحقيق بأنّ غاية الأمر سقوط الاحتياط في ما فيه الحرج كترك الوطي دائما مثلا و هو غير موجب لسقوطه فيما لا حرج فيه كترك قراءة العزائم و ترك دخول المسجدين و لبث سائر المساجد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على القول بإيجاب الاحتياط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القول بحرمة العبادات في حقّ الحائض تشريعا، و أمّا على القول بحرمتها ذاتا فهو و إن كان تامّا في العبادات المستحبة و عامة التروك، و لكنّه غير تام في العبادات الواجبة فإنّ الأمر فيها دائر بين الوجوب و الحرمة و حكم العقل في مثله التخيير بين الفعل و الترك، و حيث إنّ الترك في جميع أيّام الشهر و كذا الترك في يوم و الفعل في آخر خلاف الإجماع و الضرورة، فلا يبقى إلّا جواز الترك بمقدار العدد و في أيّ موضع شاءت من الشهر و اختيار الفعل في بقية الشهر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خروجا عن مخالفة الإجماع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تطبيق هذا على القاعدة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الظاهري بالتحيّض في عدّة أيّام من الشهر و التطهر في بقيّته الثابت في الشريعة في حق المبتدئة و من لم يستقر لها عادة في الوقت مع ثبوت العادة في العدد محتمل الثبوت في الناسية التي هي محل كلامنا قطعا و حينئذ فإذا اختارت ترك العبادة في اليوم الأوّل من الشهر فأمرها في اليوم الثاني دائر بين جواز كل من الفعل و الترك لو لم يكن التكليف المذكور ثابتا في حقها، و بين تعيين الترك على تقدير ثبوته فيكون الترك خارجا عن التحيّر الّذي هو موضوع حكم العقل بالتخيير، و هكذا الكلام إلى أن ينقضي عددها، فإذا انقضى انعكس الأمر كما انّها إذا اختارت فعل العبادة من أوّل الشهر إلى أن بقي من الشهر مقدار عددها تعيّن حينئذ اختيار الترك لعين 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الاحتياط اجتهاد في مقابل النص، فإنّ المستفاد من مرسلة يونس الطويلة أنّ جميع أحكام المستحاضة منحصر في السنن الثلاث، و لا شك أنّ الناسية المذكورة من أقسام المستحاضة كما لا شبهة في أنّ مرجعها ليس هو السنّة الأولى و لا الثانية فانحصر أمرها في الثالثة، و لا شبهة في عدم مرجعية خصوص عدد الست و السبع مطلقا في حقها، فانحصر الأمر في أن يكون المرجع لها عددها المحفوظ لها إمّا مخيرة في وضعه في أيّ موضع من الشهر أو مع تعيين وضعه في الأول مع التطهر في بقية الشهر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 ملاحظة حال من لم يستقر لها عادة في الوقت مع ثبوت العادة في العدد فإنّ مجرد تحقّق العادة في الوقت في مرحلة الثبوت مع عدم الطريق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إلى معرفتها إثباتا في ما نحن فيه ليس إلّا كمجرّد تحقق أصل الحيضية في مرحلة الثبوت مع عدم الطريق إلى معرفتها إثباتا في المرأة المذكورة، و كذا ملاحظة الحال في النّاسية الّتي لم تحفظ شيئا من عددها و وقتها فإنّ معلومية العدد في ما نحن فيه لا تجعلها أسوأ حالا من المرأة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الأكثر بل المشهور من الرجوع إلى العدد المحفوظ مخيرة في وضعه في أيّ موضع من الشهر شاءت، و مستنده إمّا القاعدة العقلية المشار إليها بناء على الحرمة الذاتية و إمّا المرسلة المذكورة بالتقريب الذي مرّ مع استفادة التخيير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و البيان من ملاحظة الأمارات الظنية في تعيين الوقت أوّلا ثمّ الرجوع إلى التخيير المذكور و مستنده في التخيير ما ذكر و في تعيين العمل بالظنّ أوّلا أنّ المستند في التخيير إن كان القاعدة العقلية، فلا يخفى أنّ حكم العقل بالتخيير يكون بمناط قبح الترجيح بلا مرجح و مع وجود الأمارة الظنية يرتفع المناط المذكور و إن كان المرسلة المذكورة فأوّلا لا نسلّم دلالتها على التخيير، بل هي مجملة من هذا الحيث و على تقدير دلالتها فلا إطلاق لها بالنسبة إلى مورد وجود الظن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ما ذهب إليه كاشف اللثام من الرجوع إلى العدد معينا لوضعه في أوّل الشهر من دون ملاحظة الأمارة الظنية أمّا التعيين في الأوّل فلدلالة المرسلة المذكورة عليه و قد تقدّم تقريب دلالتها في مسألة المبتدئة فراجع، مضافا إلى أنّه يجب على الناسية المذكورة التحيّض في أوّل الرؤية إلى العشرة و بعد التجاوز لم يثبت جواز تبديل الامتثال في حقها، فإذا تحقّق هذا في الدورة الأولى</w:t>
      </w:r>
      <w:bookmarkStart w:id="125" w:name="pg1803_21764"/>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جرى في الأدوار المتأخرة لما يستفاد من النصوص من وجوب تأخّر التطهر عن التحيّض كما مر في مسألة المبتدئة، و أمّا عدم وجوب ملاحظة الظن فلبطلان الدليل العقلي المذكور لبطلان مبناه و هو الحرمة الذاتية كما تقدّم في محلّه، و أمّا المرسلة المتقدمة فمنع إطلاقها في غاية الضعف فإنّها تدل على أنّ المرأة المستحاضة بعد عدم إمكان الرجوع إلى العادة في حقها و استواء أيّامها في الصفات المنصوصة للدم من الحرقة و الحرارة و الدفع و العبيطية و البحرانية و السواد تتحيّض في عدّة أيّام من الشهر إمّا مع التخيير و إمّا مع التعيين في الأوّل، كما مرّ تقويته و تتطهر في البقية من غير فرق بين وجود أمارة نوعية مفيدة للظن في بعض الأيّام كالبين، أو أمارة شخصية مفيدة للظن الشخصي لامرأة شخصيّة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مرجعية العدد مع التعيين في الأوّل مع ملاحظة الأمارة الظنية أولا، و قد عرفت قوته في الجزء الأوّل و ضعفه في الثاني</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491891_3650668749"/>
      <w:bookmarkStart w:id="127" w:name="_Toc46"/>
      <w:bookmarkEnd w:id="126"/>
      <w:r>
        <w:rPr>
          <w:rtl w:val="true"/>
        </w:rPr>
        <w:t>مسألة</w:t>
      </w:r>
      <w:r>
        <w:rPr>
          <w:rtl w:val="true"/>
        </w:rPr>
        <w:t xml:space="preserve">: </w:t>
      </w:r>
      <w:r>
        <w:rPr>
          <w:rtl w:val="true"/>
        </w:rPr>
        <w:t>الناسية للعدد الذاكرة للوقت</w:t>
      </w:r>
      <w:bookmarkEnd w:id="127"/>
    </w:p>
    <w:p>
      <w:pPr>
        <w:pStyle w:val="BookText"/>
        <w:rPr/>
      </w:pPr>
      <w:r>
        <w:rPr>
          <w:rFonts w:ascii="Amiri" w:hAnsi="Amiri" w:eastAsia="Amiri" w:cs="Amiri"/>
          <w:color w:val="111111"/>
          <w:sz w:val="28"/>
          <w:sz w:val="28"/>
          <w:szCs w:val="28"/>
          <w:rtl w:val="true"/>
          <w:lang w:bidi="ar-SA"/>
        </w:rPr>
        <w:t>بنحو الإجمال ليتعقل معه نسيان العدد إذا ذكرت أوّل حيضها فلا إشكال في أنّها تتحيّض بما ذكرته أوّل حيضها و بما بعده ممّا يكمّله ثلاثة قطعا، بل و كذا بما بعد الثلاثة ممّا لا يحتمل نقصان عادتها عنه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فيما بعد ذلك إلى العشرة من الأيّام المشكوكة المحتمل كونها من عادتها فهل تعمل في جميعها عمل المستحاضة نظرا إلى أصالة العموم في أوامر العبادة و إن كانت الشبهة مصداقية أو إلى قاعدة المقتضي و المانع اللتين قد بيّن في الأصول ضعفها أو تحتاط في الجميع بالجمع بين تروك الحائض و أعمال المستحاضة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نظرا إلى العلم الإجمالي بتوجه إحدى الوظيفتين إليها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تتحيض في الجميع نظرا إلى استصحاب الحيضيّة و قاعدة الإمكان و إن كان في الأخير أنّ مورد القاعدة مختصّ بما إذا كان العلّة الأخرى محتمل الوجود في الباطن لا مقطوعة و المقام من قبيل الثاني، إذا الفرض اختلاط الحيض بالاستحاضة مع القطع بوجود كليهما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ترجع إلى الروايات فتتخير بين الأخذ بالسبعة في كل شهر أو الستة كذلك أو الثلاثة في شهر و العشرة في آخر ما لم تعلم مخالفة إحداها لعادتها و إلّا فلتأخذ بما عداها نظرا إلى مرسلة يونس الطويلة الدالة على التخيير المذكور في موردها و لو بمعونة الدليل الخارجي فإذا بنينا على التعدّي من موردها بالتقريب الذي مرّ في المسألة المتقدّمة فلا بدّ من القول بالتخيير المذكور أيضا في ما تعدينا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تأخذ بخصوص السبعة في كل شهر أو الستة كذلك نظرا إلى أنّ الدليل الخارجي خاص بالمبتدئة فلا وجه لرفع اليد عن ظاهر المرسلة فيما نحن فيه و لا يلزم من ذلك استعمال الصيغة في معنيين،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بالنسبة إلى المبتدئة و التعيين بالنسبة إلى الناسية فإنّهما ليسا بمعنيين متباينين فانّ التخيير منتزع من تقييد الصيغة و التعيين من إطلاقها كما بيّن ذلك مشروحا في الأصول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من الوجوه المذكورة هو الوجه الأخير كما لا يخفى وجهه و لو علمت مخالفة كلا العددين لعددها إجمالا، فهل ترجع إلى استصحاب الحيض أو إلى الأقرب من العددين بالقدر الممكن في طرفي النقيضة و الزيادة؟ لا يبعد الثاني نظرا إلى تصريح المرسلة بأنّ ما فيها من السنن الثلاث وظيفة منحصرة لأقسام</w:t>
      </w:r>
      <w:bookmarkStart w:id="128" w:name="pg1803_21770"/>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المستحاضة بأسرها بحيث لا تخرج واحدة من أفرادها عن تحت إحدى السنن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الحال في ما لو ذكرت آخر وقتها أو وسطه الحقيقي المحتلف بمتساويين أو غير الحقيقي أو شيئا منه مع عدم العلم بكونه أوّلا أو آخرا أو وسطا، فإنّ الحكم في الجميع هو الأخذ بأحد العددين على وجه يناسب مع ما ذكرته من الآخر و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يعلم الحال في ناسية الوقت و العدد كليهما المسماة بالمتحيّرة و إن اختلفت الأقوال فيها حتى انتهت إلى قريب من عشرين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القول بالاحتياط في الناسية فهل تقضي صومها بعد انقضاء شهر رمضان ثلاثة أيّام أو عشرة الذي ذهب إليه القائل بالاحتياط هو الثاني و الذي صرّح به شيخنا المرتضى معترضا على القول المذكور هو الأوّل و لم يعلم وجهه، فإنّ حيضية الزائد عن الثلاثة و إن كانت على سبيل الاحتمال لا القطع لكن وقعت طرفا للعلم الإجمالي فإنّها تعلم إجمالا بأنّ عشرة أيّام من الشهر، إمّا مورد لتوجه وظائف الحيض التي منها قضاء عشرة أيّام من الصوم بعد الشهر، و إمّا مورد لتوجّه وظائف المستحاضة فلا بدّ من الخروج عن عهدة هذا العلم الإجمالي</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491893_3650668749"/>
      <w:bookmarkStart w:id="130" w:name="_Toc47"/>
      <w:bookmarkEnd w:id="129"/>
      <w:r>
        <w:rPr>
          <w:rtl w:val="true"/>
        </w:rPr>
        <w:t>مسألة</w:t>
      </w:r>
      <w:r>
        <w:rPr>
          <w:rtl w:val="true"/>
        </w:rPr>
        <w:t xml:space="preserve">: </w:t>
      </w:r>
      <w:r>
        <w:rPr>
          <w:rtl w:val="true"/>
        </w:rPr>
        <w:t>لا إشكال في انقسام المستحاضة إلى ثلاثة</w:t>
      </w:r>
      <w:r>
        <w:rPr>
          <w:rtl w:val="true"/>
        </w:rPr>
        <w:t xml:space="preserve">: </w:t>
      </w:r>
      <w:r>
        <w:rPr>
          <w:rtl w:val="true"/>
        </w:rPr>
        <w:t>قليلة و كثيرة و متوسطة</w:t>
      </w:r>
      <w:bookmarkEnd w:id="1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دمها إمّا يثقب الكرسف و يجاوزه و ينفذه و إمّا لا، و على الأوّل إمّا يسيل منه إلى الخرقة و إمّا لا، فغير الثاقب قليلة، و الثاقب غير السائل متوسطة، و الثاقب السائل كثيرة، و هل يعتبر في المتوسطة انغماس القطنة و استنقاعها من جميع جوانبها بحيث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لو بقي من أحد جوانبها شي‌ء غير منغمس كانت قليلة أو يكفي الثقب و النفوذ و لو مع عدم الانغماس المذكور المصرّح به في المسالك هو الأوّل، و لكن المتبادر من ألفاظ الثقب و أخواته المذكورة في النصوص هو الثاني، و الغالب و إن كان عدم انفكاك أحد الأمرين عن الآخر لكن المعيار ما جعل موضوعا للحكم منهما و إن انفك عن الآخر و إن كان فرضا نادرا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ما ذكروه من الأحكام في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تبديل القطنة أو تطهيرها لكل صلاة فريضة أو نافلة في القسم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بالإجماعات المنقولة في عبائر جملة من أساطين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بوجوب إزالة النجاسة للصلاة و بالأخبار الدالّة على الوجوب في القسمين الآخرين بضميمة عدم تعقّل الفرق أو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أمّا عن الأوّل فبأنّ الإجماع محصّله غير حاصل و منقوله غير حجّة مضافا إلى قوّة احتمال استنادهم إلى الوجهين الأخيرين، و لذا نسب إلى المتأخرين الذهاب إلى عدم الوجوب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الثاني فبأنّ ما ظهر من القطنة طاهر في هذا القسم بحسب الفرض و ما كان منها باطنا، فحاله حال النواة حيث إنّها ما دامت داخلة في الجوف و إن علم ملاقاتها للقذر غير مانعة عن الصلاة قطعا، و إن كانت بعد الخروج محكومة بالنجاسة احتياطا، و ليست كالدودة المتكونة في الجوف المعلوم ملاقاتها للقذر إذا خرجت غير متلطخة فإنّها محكومة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ما نحن فيه من قبيل المحمول الذي لا يتم فيه الصلاة و قد تقرر في محلّه اختيار عدم مانعية نجاسته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و أمّا عن الثالث،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دلالة الأخبار على الوجوب في الأصل،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القسمين الآخرين فكيف الحال في الفرع و هو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الدلالة أنّ خبر صفوان منها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مستحاضة تغتسل و تستدخل قطنة بعد قطنة و تجمع بين صلاتين بغسل</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 إن كان ظاهرا في لزوم تجديد القطنة و وقوع هذا العمل منها مكرّرا، و بعد القطع بعدم إرادة فعل ذلك مطلقا و تردد الأمر بين إرادته عند كل غسل أو عند كل صلاة كان الثاني أنسب بمعنى التكرار، لكن دلالة الأخبار الأخر على عدم الوجوب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الجعفي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هي لم تر طهرا اغتسلت و احتشت و لا تزال تصلّي بذلك الغسل حتى يظهر الدم على الكرسف، فإذا ظهر أعادت الغسل و أعادت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صحيحة الصحاف </w:t>
      </w:r>
      <w:r>
        <w:rPr>
          <w:rStyle w:val="FootnoteAnchor"/>
          <w:rtl w:val="true"/>
        </w:rPr>
        <w:footnoteReference w:id="71"/>
      </w:r>
      <w:r>
        <w:rPr>
          <w:rFonts w:ascii="Amiri" w:hAnsi="Amiri" w:eastAsia="Amiri" w:cs="Amiri"/>
          <w:color w:val="111111"/>
          <w:sz w:val="28"/>
          <w:sz w:val="28"/>
          <w:szCs w:val="28"/>
          <w:rtl w:val="true"/>
          <w:lang w:bidi="ar-SA"/>
        </w:rPr>
        <w:t>في حديث حيض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فلتغتسل ثمّ تحتشي و تستذفر و تصلّي الظهر و العصر ثمّ لتنظر، فإن كان الدم فيما بينها و بين المغرب لا يسيل من خلف الكرسف، فلتتوضأ و لتصل عند وقت كل صلاة ما لم تطرح الكرسف عنها، فإن طرحت الكرسف عنها فسال الدم وجب عليها الغسل، و إن طرحت الكرسف و لم يسل فلتتوضأ و لتصل و لا غسل عليها إلخ</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ظاهر الأوّل ظهورا قويا إناطة إعادة الكرسف بإعادة الغسل لا بإتيان الصلاة، و ظاهر الثاني كذلك ان اختيار طرح الكرسف بيدها من دون إلزامه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تمامية الدلالة في الأصل نمنع عدم تعقل الفرق بينه و بين الفرع إذ كما أنّ وجوب الغسل من مختصات الأصل لم لا يجوز أن يكون هذا أيضا كذلك و كفى فارقا ظهور الدم في السطح الظاهر من القطنة في الأصل دون الفرع مضافا إلى إيجابه لتلوّث الخرقة، فمن الممكن أن يكون التبديل لأجل عدم العفو عن هذه النجاسة و إن كانت في المحمول الّذي لا يتم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وجوب الاختبار لا يفيد بحال القائل بوجوب التبديل في القليلة نظرا إلى استلزام إدخال القطنة بعد إخراجها لتلويث ظاهر الفرج مضافا إلى تبادر الطاهرة من دليل استدخال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كما يأتي في محلّه إن شاء اللّٰه عدم وجوب الفحص و الاختبار و جواز الرجوع إلى الاحتياط أو الاستصحاب كما هو الحال في عامة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القول بالوجوب إنّما نقول به في ما لو احتمل تبدّل الدم من حالة إلى أخرى لا مع القطع بالعدم و وجوب تغيير القطنة على القول به أعمّ من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الأحكام الّتي ذكروها في هذا القسم،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وجوب الوضوء لكل صلاة كما ذهب إليه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العماني و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الأوّل إلى أنّ الدم في هذا القسم ليس بحدث أصلا فلا يوجب غسلا و لا وضوءا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إلى أنّه موجب في اليوم و الليلة غسلا واحدا مع اشتراكهما في إدراج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المتوسطة في قسم الكثيرة في إيجابها لكل يوم و ليلة أغسالا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الأوّل صحيحة زرارة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تقعد بقدر حيضها و تستظهر بيومين فإن انقطع الدم و إلّا اغتسلت و احتشت و استثفرت و صلّت، فإن جاز الدم الكرسف تعصبت و اغتسلت ثمّ صلّت الغداة بغسل و الظهر و العصر بغسل و المغرب و العشاء بغسل و إن لم يجز الدم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سواء، الحديث </w:t>
      </w:r>
      <w:r>
        <w:rPr>
          <w:rStyle w:val="FootnoteAnchor"/>
          <w:rtl w:val="true"/>
        </w:rPr>
        <w:footnoteReference w:id="72"/>
      </w:r>
      <w:r>
        <w:rPr>
          <w:rFonts w:ascii="IRNazanin" w:hAnsi="IRNazanin" w:eastAsia="IRNazanin"/>
          <w:color w:val="111111"/>
          <w:sz w:val="28"/>
          <w:sz w:val="28"/>
          <w:szCs w:val="28"/>
          <w:rtl w:val="true"/>
          <w:lang w:bidi="fa-IR"/>
        </w:rPr>
        <w:t>بناء على حمل الغسل الواحد على غسل النفاس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مخالفته للظاهر غني عن البيان مضافا إلى ارتكاب خلاف الظاهر ف حمل جاز و لم يجز على معنى ثقب و لم يثقب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الثاني موثقة سماعة المضمرة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 اغتسلت لكل صلاتين و للفجر غسلا و إن لم يجز الدم الكرسف فعليها الغسل كلّ يوم مرّة و الوضوء لكل صلاة، و إن أراد زوجها أن يأتيها فحين تغتسل، هذا إذا كان دما عبيطا و إن كان صفرة فعليها الوضوء</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إنّها ظاهرة في أنّ دم الاستحاضة على قسمين ثاقب و غير ثاقب فتجب في الأوّل ثلاثة أغسال و في الثاني غسل واحد فيراد من عدم الجواز في الذيل بقرينة الصدر عدم الثقب و المراد بالوضوء لكل صلاة هو الوضوء المعهود لكل صلاة عند تحقق أسبابه المعهودة، و على هذا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صفرة فعليها الوضوء، سلب الأثر عن الصفرة بالمرة و كونها كدم الرعاف و لعلّه يقول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ابن الجنيد هذا غاية ما يوجه به الاستدلال بالرواية للقول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 التصرف في الصدر بقرينة الذيل بحمل الثقب على الجواز أولى من العكس،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عدم الجواز على عدم 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الأولوية أنّ الغالب في الدم الّذي يثقب الحائل الكثيف مثل الكرسف جريانه و تجاوزه عنه فارادة الجواز من الثقب ليس بذلك البعيد، و هذا بخلاف حمل عدم الجواز مع كونه أعم لغة على خصوص فرد منه و هو عدم 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قولكم أيضا يلزم حمله على خصوص فرد منه و هو 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نسلّم بعده عرفا، ألا ترى أنّ قولك فلان لم يتجاوز في سيره عن بلدة بغداد، يفهم منه عرفا وصوله إلى تلك البلد، و حمل الكلام على خصوص عدم الوصول إليها بعيد، و على هذا فيراد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صفرة فعليها الوضوء، خصوص غير الثاقب فإنّ الصفرة ملازمة غالبا مع ضعف الدم الملازم مع عدم الثقب، و المراد بالوضوء في هذه الفقرة ما تقدّم ذكره في الفقرة السابقة من الوضوء لكل صلاة، الظاهر في كونه لأجل هذا السبب، و حمله على سائر الأسباب خلاف الظاهر فتنطبق الرواية بتمامها على المذهب المشهور من تثليث أقسام الدم بحسب الكمّيّة قوّة و ضعفا من غير اعتبار بكيفيته و لونه، و هو و إن كان مخالفا للجمود على ظاهر عنواني الدم العبيط و الصفرة لكن يتعين المصير إليه بقرينة سائر الأخبار مثل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معاوية بن عمّار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الدم لا يثقب الكرسف توضأت و دخلت المسجد و صلّت كل صلاة بوضوء</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و في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 كل صلاة بوضوء ما لم ينفذ الدم، فإذا نفذ الدم اغتسلت </w:t>
      </w:r>
      <w:r>
        <w:rPr>
          <w:rStyle w:val="FootnoteAnchor"/>
          <w:rtl w:val="true"/>
        </w:rPr>
        <w:footnoteReference w:id="75"/>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ضعف ما ذكره بعض الأساطين ممّن عاصرناه من تثليث الأقسام بوجه آخر غير ما ذهب إليه المشهور من تقسيم الدم إلى الأحمر و الأصفر، ثمّ تقسيم الأوّل إلى السائل و غير السائل، و الحكم في الأوّل بثلاثة أغسال و في الثاني بغسل واحد و في الأصفر بجميع أقسامه و إن كان سائلا بالوضوء لكل صلاة، و قد ظهر وجه ضعفه ممّا تقدّم فلا حاجة إلى الإطالة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 اعترافه بظهور الأخبار في المذهب المشهور و تطبيق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الصحاف، فإن طرحت الكرسف عنها و سال الدم وجب عليها الغسل على مذهبهم بحمله بقرينة سابقه و لا حقه على إرادة كون السيلان بدرجة متى وضعت الكرسف صبغ الدم سطحه الخارج و لا يسيل عنه و انّه يراد من التحديدات الثلاثة في كلام المشهور هي على تقدير وضع الكرسف لا طرحه كما يراد من وصول الكف إلى الركبة في تحديد الركوع هو على تقدير وضع الكف لا إرساله، عدل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طرحت الكرسف و سال الدم وجب الغسل، و قوله في رواية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تصلّي بذلك الغسل حتى يظهر الدم على الكرسف، فإذا ظهر أعادت الغسل و أعادت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دم الاستحاضة من الفرج بلا قطنة أو على السطح الخارج من القطنة معها موجب للغسل، كما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انّ خروج البول موجب للوضوء،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لكن الفرق انّ خروج البول لا فرق بين أنحائه، و لكن يعتبر في دم الاستحاضة أنّ يكون خروجه بنفسه بدليل انّها لو طرحت الكرسف مع عدم تلطّخ سطحه الخارج فظهر تلطخ سطحه الّذي كان باطنا مع عدم خروج الدم بعد الطرح لا يوجب الغسل بنص الرواية، و كما أنّه لو أمكن الاحتفاظ من خروج البول و احتباسه بشدّ رأس الإحليل فلا يضرّ البول المحتبس في المجرى بطهارته بعد الوضوء، كذلك لو أمكن احتباس دم الاستحاضة بحشو الفرج من القطنة بنحو لا يصبغ سطحها الخارج، فلا يضر الدم المحتبس في الجوف و في داخل القطنة بطهارتها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إذا أمكن ذلك في مقدار معتد به من الزمان كاف للطهارة و الصلاة، و أمّا لو لم يمكن بحيث متى وضعت القطنة ظهر الدم على سطحها الخارج صبيبا لا يرقى كانت حينئذ كسلس البول، و قد اكتفى الشارع في حقّها في اليوم و الليلة بأغسال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بأنّ ظهور الأخبار الدالة على كفاية الغسل الواحد في اليوم و الليلة في خصوص المستحاضة الوسطى مقدّم على الظهور المذكور لو سلمت دلالتها على الخدشة،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عنها لأجل خدشات اختلجت في ذهنه سنذكرها مع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دلالة الأخبار على تثليث الأقسام على ما يوافق المشهور ممّا لا سبيل لإنكاره كما اعترف به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بين ثلاثة مضامين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رتّب فيه الأغسال الثلاثة على سيلان الدم من الكرسف إلى الخرقة و إن اختلفت في التعبير عن هذا المعنى، فتارة عبّر عنه بسيلان الدم من خلف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الكرسف صبيبا لا يرقى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بصبغ القطنة دم لا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بمجاوزة الدم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بثقب الدم إيّاه و المراد بالأخير بحكم الغلبة و قرينة سائر الأخبار هو المجاوزة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المضمون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رتّب فيه الغسل في اليوم و الليلة مرّة واحدة على عنوان عدم مجاوزة الدم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رتّب فيه عدم الحاجة إلى الغسل أو إثبات الوضوء لكل صلاة على عدم ثقب الدم الكرسف و إن اختلفت في التعبير عن ذلك أيضا، فعبّر عنه تارة بعدم الثقب، و أخرى بعدم النفوذ، و ثالثة بعدم الظهور على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ما تقدّم أنّ المراد بعدم المجاوزة في القسم الوسط بحكم التبادر العرفي هو السلب بانتفاء المحمول لا الموضوع فكما يفهم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لم يتجاوز بغداد انّه وصل إليها، كذا يفهم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الدم الكرسف انّه وصل إلى سطحه الظاهر، فالقول بأنّ الحكم بدخول هذا الفرد تحت العموم يحتاج إلى تجشم و تشبّث بذيل أصالة الإطلاق لو لم نقل بالانصراف عنه عجيب، بل ينبغي أن يقال ذلك في عكسه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منه القول بأنّه حمل للمطلق على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أنّه خلط بين إشباع الدم للسطح الظاهر و بين صبغه له من دون إشباع خصوصا إذا كان لجزء منه لا لتمامه، كما هو الحال في أوائل أمره حيث إنّه تدريجي الحصول، فالذي يندر تخلّفه عن المجاوزة إنما هو القسم الأوّل، و أمّا الثاني خصوصا في أوائل الأمر فتخلّفه عن المجاوزة كثير كما لا يخفى مضافا إلى أنّه لو سلم كونه فردا نادرا، لكن مقتضى التبادر الّذي ذكرنا أنّه من باب التعرض للفرد النادر و ليس هو بعيدا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كحمل المطلق على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القول بأنّه لما وقع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يجاوز، مقابلا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ثقب الدم الكرسف، فلا بدّ من حمله على قولنا لم يثقب قضية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أنّه بعد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ثقب، بحكم الغلبة و بقرينة سائر الأخبار 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فمفروغية الوصول إلى السطح الظاهر في كلتا القضيّتين لا تنافي قضية المقابلة، ألا ترى أنّ مفهوم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زيد قائما فكذا، ليس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زيد موجودا، بل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زيد الموجود بقائم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القول بأنّ المعنى الذي ذكرتم للأخبار معارض بمعنى آخر و هو حمل عدم المجاوزة في الطائفة الثانية على عدم الثقب مع اختصاصه بالحمرة مع تخصيص الطائفة الثالثة بالصفرة بقرينة ما في ذيل بعض الطائفة الثانية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دما عبيطا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مضافا إلى عدم مساعدته للفهم العرفي الذي عرفت و إلى أنّ حمل الدم الّذي هو عبارة عمّا يعبّر عنه 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الصفرة الّتي هي عبارة عمّا يعبّر عنه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البعد بمكان أنّه كفاه إشكالا انّه ممّا لم ينقل القول به من أحد حتى من ابن الجنيد، و إن نقلنا عن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تقويته زاعما أنّه لا وحشة من الانفراد مع مساعدة الدليل و لا يخفى أنّ عدم الوحشة من الانفراد مع مساعدة الدليل إنّما يصح في المسائل العقلية، و أمّا في النقليات، فكفى بالانفراد عيبا و خدشة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ممّا ذكرنا انّه لا يحتاج في تطبيق الأخبار على مذهب المشهور إلى القول بأنّه يستكشف من الفتاوى و من الفقه الرضوي المصرّح بالتثليث المذكور</w:t>
      </w:r>
      <w:bookmarkStart w:id="131" w:name="pg1803_21798"/>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وجود قرينة موجبة للتأويل في ظواهر الأخبار حتى يرد عليه أنّه ليس بأزيد من ظن خارجي لا يعبأ به و ذلك لما عرفت من كمال مساعدة الفهم العرفي لما ذهبوا إليه، فافهم و استقم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فالأقوى ما ذهبوا إليه من الفرق بين المتوسطة و الكثيرة باختصاص الأولى بالغسل في اليوم و الليلة مرّة واحدة و الثانية بثلاثة أغسال و أمّا القليلة فليس عليها إلّا 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معتبر في كل ركعتين من النافلة أيضا أم يختصّ اعتباره بخصوص الفريضة؟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توضأت و دخلت المسجد و صلّت كل صلاة بوضوء</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هو الأوّل بعد ملاحظة انّ بناءهم في الصدر الأوّل كان على تفريق الصلوات على الأوقات إدراكا للفضيلة و عدم جمعهم لاثنتين منها في وقت واحد كما جرت عليه العادة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يضر الانصراف إلى الفريضة في سائر الأخبار لو سلم بعد وجود هذا الظهور في الخبر المذكور كما لا ضير في كون الحكم حرجيا بعد كونه استحبابيّا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491895_3650668749"/>
      <w:bookmarkStart w:id="133" w:name="_Toc48"/>
      <w:bookmarkEnd w:id="132"/>
      <w:r>
        <w:rPr>
          <w:rtl w:val="true"/>
        </w:rPr>
        <w:t xml:space="preserve">مسألة </w:t>
      </w:r>
      <w:r>
        <w:rPr>
          <w:rtl w:val="true"/>
        </w:rPr>
        <w:t>[</w:t>
      </w:r>
      <w:r>
        <w:rPr>
          <w:rtl w:val="true"/>
        </w:rPr>
        <w:t>لا وجه لاختصاص موجبية الاستحاضة المتوسطة للحدث الأكبر بخصوص صلاة و كونها بالنسبة إلى سائر الصلوات من موجبات الحدث الأصغر</w:t>
      </w:r>
      <w:r>
        <w:rPr>
          <w:rtl w:val="true"/>
        </w:rPr>
        <w:t>]</w:t>
      </w:r>
      <w:bookmarkEnd w:id="13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الكلام في تبديل القطنة، بل و الخرقة في الاستحاضة المتوسطة، و أنّه لا دليل على لزومه لكل صلاة و غاية ما يستفاد من الأدلّة وجوب تبديل القطنة لكل غسل اللّٰهمّ إلّا أن يكون إجماع كما يظهر من بعضهم، كما انّك عرفت أنّ الأقوى في هذا القسم هو الاكتفاء في اليوم و الليلة بالغسل مرّة واحدة، وفاقا للمشهور و خلافا للعماني و ابن الجنيد حيث سوّيا بينه و بين الكثيرة في لزوم ثلاثة أغسال، و إن اختاره صاحب المفاخر و المحقّق في المعتبر و جمع من متأخّري</w:t>
      </w:r>
      <w:bookmarkStart w:id="134" w:name="pg1803_21801"/>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المتأخرين، و قد مرّ تضعيفه مفصلا في المسألة المتقدّمة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انّه لا وجه لاختصاص موجبية الوسطى للحدث الأكبر بخصوص صلاة الصبح و كونها بالنسبة إلى سائر الصلوات من موجبات الحدث الأصغر، كما لا وجه لاختصاص موجبيّتها للحدث الأكبر بالنسبة إلى سائر الصلوات بما إذا كان حدوثها في وقت صلاة الصبح و لو بعد فعلها، و إن كان ربما يتراءى من عبائر الفتاوى و الفقه الرضوي الوجه الأوّل، و لكن لا بدّ من حملها على إرادة ما ذكرنا و ذكرهم لخصوص من جهة فرضهم الكلام في مستمرة الدم و ذلك لإطلاق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الجعفي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تصلّي بذلك الغسل حتى يظهر على الكرسف، فإذا ظهر أعادت الغسل و أعادت الكرسف، فإنّه مطلق من كلتا الجهتين المذكورتين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أنّه لو فرض حدوث المتوسطة قبل العشاء فهل يبقى أثر غسلها لتمام الدورة الّتي أوّلها العشاء و آخرها المغرب أو لا بدّ من تجديد الغسل لغداة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النصوص هو الأوّل، و إن كان ربما يتراءى من عبائرهم الثاني و لكن لا وجه له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491897_3650668749"/>
      <w:bookmarkStart w:id="136" w:name="_Toc49"/>
      <w:bookmarkEnd w:id="135"/>
      <w:r>
        <w:rPr>
          <w:rtl w:val="true"/>
        </w:rPr>
        <w:t>مسألة</w:t>
      </w:r>
      <w:r>
        <w:rPr>
          <w:rtl w:val="true"/>
        </w:rPr>
        <w:t xml:space="preserve">: </w:t>
      </w:r>
      <w:r>
        <w:rPr>
          <w:rtl w:val="true"/>
        </w:rPr>
        <w:t>لا إشكال في أنّه يجب في قسم الكثيرة علاوة على تغيير القطنة و الخرقة و الوضوء لكل صلاة و الغسل لصلاة الغداة غسلان آخران</w:t>
      </w:r>
      <w:bookmarkEnd w:id="136"/>
    </w:p>
    <w:p>
      <w:pPr>
        <w:pStyle w:val="BookText"/>
        <w:rPr/>
      </w:pPr>
      <w:r>
        <w:rPr>
          <w:rFonts w:ascii="Amiri" w:hAnsi="Amiri" w:eastAsia="Amiri" w:cs="Amiri"/>
          <w:color w:val="111111"/>
          <w:sz w:val="28"/>
          <w:sz w:val="28"/>
          <w:szCs w:val="28"/>
          <w:rtl w:val="true"/>
          <w:lang w:bidi="ar-SA"/>
        </w:rPr>
        <w:t>أحدهما للظهرين تجمع بينهما، و الآخر للعشاءين كذلك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تعيين ما هو الميزان لوجوب ثلاثة أغسال، فهل العبرة بتحقّق تلك الحالة في وقت ما و لو مع انقطاعها بعده، أو أنّ العبرة بتحقّقها في وقت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الصلاة الّتي تغتسل لأجلها فلا عبرة بتحقّقها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الوجه الأوّل إفراط كما أنّ الثاني تفريط و الحق اختيار وجه ثالث و هو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التقادير الثلاثة الموجودة في الأخبار محمولة على الوجود التقديري كما هو الحال في تحديد الركوع و نظائره من الأمثلة العرفية بمعنى أنّ المراد كون قوة الدم بدرجة متى وضعت الكرسف و صبرت بالمقدار المتعارف كان الدم ثاقبا أو غير ثاقب، و على الأوّل سائلا أو غير سائل، ثمّ يعتبر في حدوث حدثية هذا الدم خروجه من الفرج و لو بمقدار رأس إبرة، كما هو الشأن في سائر موجبات الحدث الأصغر و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في بقاء حدثيته استدامته في الباطن على الحالة الكذائية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خروج الدم و لو قبل الوقت في إيجاب مقتضاه للصلاة الّتي بعدها، و أمّا سائر الصلوات فإن فرض انقطاع الدم ظاهرا و باطنا من حين الشروع في الغسل، إمّا الفترة، أو لبرء، فلا موجب للوضوء أو الغسل بالنسبة إليها، فيعتبر في إيجاب ذلك للصلاة المتأخرة من بقاء الدم بالصفة الكذائيّة و لو في الباطن في أثناء الغسل أو فيه و في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في هذا المقام كلامه الّذي قدّمناه سابقا و قدمنا مخالفته للأدلّة من وجوه، و نقول هاهنا انّه مخالف لكلمات القوم أيضا من وجوه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في وجوب الوضوء بمجرّد نزول الدم عن محله الأصلي المسمى بعرق العاذل إلى فضاء الفرج و لو لم يخرج أصلا و هم يعتبرون خروجه و لو بتوسط قطنة و بمقدار رأس إبرة، و كما لا يقال بانت المرأة أو حاضت</w:t>
      </w:r>
      <w:bookmarkStart w:id="137" w:name="pg1803_21808"/>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أو أمنت إلّا مع خروج هذه الأمور و برزوها في الظاهر، فكذلك الحال في قولنا استحاضت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في وجوب الغسل بمجرد خروج الدم بنفسه عند عدم المانع و لو كان في غاية درجة من الضعف و القلّة و هم يعتبرون بلوغه في القوة إلى حد يثقب الكرسف لو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المتوسطة و الكثيرة، بل جعل الأولى مع أخفيّتها أشد حالا من الثانية مع أشدّيّتها لأنّه أوجب في الأولى خمسة أغسال فجعل لكل صلاة غسلا لو ظهر الدم على الكرسف كذلك و اكتفى في الثانية بثلاثة 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في عدم إيجاب الغسل بالتحفّظ من خروج الدم و لو كان في غاية درجة من القوة و الشدّة بأيّ وسيلة أمكنت ما لم تصل إلى حدّ العسر و الحرج و لو بوضع القطنة الملبّدة و نحوها ممّا يؤمن معه من نفوذ الدم، و هم يكتفون في إيجاب الغسل بمجرد كون قوّة الدم بدرجة لو وضعت القطنة المتعارفة الغير الملبّدة و لا المندوفة كان الدم نافذا امّا مع السيلان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بمخالفة كلامه لكلامهم لكن استراح بموافقة كلامه للاحتياط مع أنّه من الجهة الأخيرة مخالف للاحتياط أيضا كما هو واضح</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491899_3650668749"/>
      <w:bookmarkStart w:id="139" w:name="_Toc50"/>
      <w:bookmarkEnd w:id="138"/>
      <w:r>
        <w:rPr>
          <w:rtl w:val="true"/>
        </w:rPr>
        <w:t xml:space="preserve">مسألة </w:t>
      </w:r>
      <w:r>
        <w:rPr>
          <w:rtl w:val="true"/>
        </w:rPr>
        <w:t>[</w:t>
      </w:r>
      <w:r>
        <w:rPr>
          <w:rtl w:val="true"/>
        </w:rPr>
        <w:t>في وجوب الوضوء لكل صلاة في الاستحاضة المتوسطة و الكثيرة</w:t>
      </w:r>
      <w:r>
        <w:rPr>
          <w:rtl w:val="true"/>
        </w:rPr>
        <w:t>]</w:t>
      </w:r>
      <w:bookmarkEnd w:id="139"/>
    </w:p>
    <w:p>
      <w:pPr>
        <w:pStyle w:val="BookText"/>
        <w:rPr/>
      </w:pPr>
      <w:r>
        <w:rPr>
          <w:rFonts w:ascii="Amiri" w:hAnsi="Amiri" w:eastAsia="Amiri" w:cs="Amiri"/>
          <w:color w:val="111111"/>
          <w:sz w:val="28"/>
          <w:sz w:val="28"/>
          <w:szCs w:val="28"/>
          <w:rtl w:val="true"/>
          <w:lang w:bidi="ar-SA"/>
        </w:rPr>
        <w:t>قد عرفت في ما تقدّم وجوب الوضوء لكل صلاة في الاستحاضة القليلة لدلالة الأخبار المعتبرة، بقي الكلام من هذه الجهة في المتوسطة و الكثيرة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 في الأولى أنّه لا خلاف في وجوب الوضوء فيها بالنسبة إلى بقية الصلوات غير الغداة و أمّا فيها فذهب بعضهم إلى الوجوب و آخر إلى الاجتزاء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الأقوى الأوّل لا لما قيل من أنّ حدّي التوسط و الكثرة أبدا مسبوقان بالقلّة الّتي هي موجبة للوضوء، لأنّ القلّة عبارة عن كينونة الدم في باطن الفرج بعد نزوله عن محله الأصلي، و مقتضى القاعدة في مثل المقام من المسببين المتخالفين في الحقيقة عدم التداخل و إن قلنا بالتداخل في المتوافقين، و ذلك لما مرّ من أنّه يعتبر في حدوث الاستحاضة و لو كانت قليلة من خروج الدم في ابتداء الأمر و لو بمقدار رأس إبرة كما هو الحال في مادتي الحيض و 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تقييد منك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تعيين ميزان القلّة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ينفذ الدم القطنة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الظهور المذكور في مادة الاستحاضة، فالقول المذكور ليس تحديدا مطلقا، بل مقصورا على تعيين مرتبة الدم، فكأنّه قيل الدم البالغ بحدّ عدم الثقب يكون بخروجه موجبا للحدث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قولكم أيضا لا محالة يكون الحدّان مسبوقين أبدا بالقلّة و ذلك لكونهما تدريجيّين في الحصول فلا يصل بحد الثقب بلا سيلان إلّا بعد وصوله إلى حدّ عدم الثقب كما لا تصل إلى الثقب مع السيلان إلّا بعد وصوله إلى الثقب بدونه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نفس شأنية الوصول إلى الحدّين من أوّل الأمر كافية في اتّصاف الدم من الأوّل بالتوسط و الكثرة و عدم اتّصافه بالقلّة، بل الوجه في قوّة القول بالوجوب روايتا </w:t>
      </w:r>
      <w:r>
        <w:rPr>
          <w:rStyle w:val="FootnoteAnchor"/>
          <w:rtl w:val="true"/>
        </w:rPr>
        <w:footnoteReference w:id="78"/>
      </w:r>
      <w:r>
        <w:rPr>
          <w:rFonts w:ascii="Amiri" w:hAnsi="Amiri" w:eastAsia="Amiri" w:cs="Amiri"/>
          <w:color w:val="111111"/>
          <w:sz w:val="28"/>
          <w:sz w:val="28"/>
          <w:szCs w:val="28"/>
          <w:rtl w:val="true"/>
          <w:lang w:bidi="ar-SA"/>
        </w:rPr>
        <w:t>سماعة المتقدمتان المصرّحتان في المتوسطة بإثبات الغسل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في كل يوم مرّة و 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طرحت الكرسف و سال الدم وجب عليها الغسل، و قوله في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نفذ الدم اغتسلت، و في رواية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تصلّي بذلك الغسل حتى يظهر الدم على الكرسف، فإذا ظهر أعادت الغسل و أعادت الكرسف، و في رواية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ظهر على الكرسف فلتغتسل ثم تضع كرسفا آخر ثمّ تصلّي مع كونها مطلقات كثيرة واردة في مقام البيان يشكل رفع اليد عنها بالموثقتين، بل المتعيّن حمل المطلقات على صورة اتّصال الغسل بالصلاة كما هي ظاهرها و الموثقتين على صورة الانفصال كما لا يبعد فيهما، فإنّ شمولهما لصورة الاتصال إنّما هو بأصالة الإطلاق فيمكن رفع اليد عنها لظهور تلك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ظهور المطلقات المذكورة في الاتصال و الموثقتين في الإطلاق، بل كل منهما مطلق من كلتا الجهتين، و حينئذ فلا بدّ من معاملة المطلق و المقيد بينهما، و مقتضى القاعدة تقديم إطلاق المقيد على إطلاق المطلق، و لا مانع من جهة كثرة المطلقات كما له نظائر كثيرة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الثانية أنّ الأقوال فيها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وجوب الوضوء لكل صلاة، و الثاني عدم كذلك، و الثالث وجوبه مع كل غسل، و رواية الباب منحصرة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يونس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فلتدع الصلاة أيّام أقرائها ثمّ تغتسل و تتوضأ لكل 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سال مثل المثعب، و الإنصاف أنّ دلالتها على إثبات الوضوء لكل صلاة في الاستحاضة الكثيرة غير قابلة للإنكار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حملنا الاغتسال فيها على غسل الحيض تمّت دلالتها على الوجوب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أيضا، و إن حملناه على غسل الاستحاضة كما لعلّه الظاهر لكونه أحوج إلى البيان من الوضوء، فإن جعلنا الظرف،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متعلقا بخصوص الفعل الثاني، فكذلك تمّت دلالتها على الوجوب، و إن جعلناه متعلّقا بكلا الفعلين، كما لعلّه الظاهر في نظائره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 أعط درهما لكل من هؤلاء، فحيث إنّ الأمر بالغسل حينئذ لا بد من حمله على الاستحباب فحمل الأمر بالوضوء على الوجوب مع وقوعه في سياقه مشكل، بل إتيان الوضوء في ما بين صلاتي الظهر و العصر و في ما بين المغرب و العشاء خلاف الاحتياط لمنافاته الفورية المعتبرة في ما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بإتيانه في أثناء الإقامة إلّا أن يقال باشتراطها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تمامية دلالة الرواية على الوجوب، فإنّ الظاهر أنّها في مقام أصل إثبات الصلاة بعد انقضاء العادة في حقّ المستحاضة قبالا لتركها في أيّامها مع الإشارة إلى الوظيفة المشتركة بين الأقسام الثلاثة و إحالة الوظائف الخاصة إلى محالّها، فالمراد بالاغتسال 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 الأخبار المطلقة الواردة في هذا القسم،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الخالية عن ذكر الوضوء في صورة الاتّصال، كذيل رواية الصحاف و ما ورد في قصّة حمنة من مرسلة يونس الطويلة، و ذيل رواية البصري، و مصحّحة أبي بصير، و رواية ابن مسلم فتحمل هذه الرواية على صورة الانفصال بقرينتها إن قلنا بإطلاقها، و إن قلنا بإهمالها من هذه الجهة فالأمر أوضح يعلم جوابها ممّا مرّ في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الكلام في مسألتنا غير مبتن على الكلام في المسألة العامة، أعني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إغناء كل غسل عن الوضوء و عدمه في غير غسل الجنابة، و ذلك لإمكان القول بعدم الإغناء في تلك المسألة و القول بعدم الوجوب هاهنا لعدم وفاء الأدلة بإثبات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كون الاستحاضة الكثيرة من موجبات الحدث الأصغر، و من المعلوم أنّ القول بعدم الإغناء في تلك المسألة غير واف بإثبات المقتضي و كذا إمكان القول هناك بالإغناء و هنا بالوجوب، نظر إلى أنّ الإغناء لو قلنا به إنّما هو بالنسبة إلى الوضوء الّذي أوجبه السبب المتقدم على الغسل لا ما قارنه أو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القول بانفكاك المتوسطة و الكثيرة عن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بتلازمهما معها فلازم القول بالاغناء في المسألة العامة عدمه هنا مع انفصال الغسل عن الصلاة لتخلل الحدث الأصغر في أثنائه أو ملحوقيته بالحدث المذكور، و من المعلوم أنّ القائل بالإغناء لا يقول به في هاتين الصورتين كما أنّ لازمة الإغناء هنا مع الاتصال إذ كما أنّ الوضوء المتصل لا يضرّه الحدث المتخلّل أو المتأخّر، فكذلك الغسل الّذي هو مؤثّر أثره و قائم مقامه عند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الحال في صلاة العصر عند جمعها مع الظهر إذ اللازم الإتيان بالوضوء لها مع عدمه للظهر، و هذا ممّا لم يقل به أحد إذ قد عرفت أنّ الأقوال بين ثلاثة الوضوء لهما معا، و عدمه لهما كذلك و الوضوء للظهر دون العصر، و أمّا العكس فلا قائل به، و يمكن الجواب بأنّ القائل المذكور يلتزم بعدمه للظهر، للأدلّة العامة و كذلك للعصر فرارا عن القول بالفصل مضافا إلى الأخبار الخاصة الظاهرة في نفيه من حيث السكوت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الوضوء مقدّم على الغسل أو بالعكس؟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المتوسطة فالأحوط لها تأخير الوضوء، و لعلّه بملاحظة حصول الطهر الحقيقي من الحدث الأكبر بسبب</w:t>
      </w:r>
      <w:bookmarkStart w:id="140" w:name="pg1803_21823"/>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الغسل، فيبقى ابتلاؤها بالحدث الأصغر الذي أوجبه الدم الباطني الغير الثاقب، فلا بد من تأخير الوضوء ليصير أخف، و بين الكثيرة التي دمها صبيب لا يرقى، فالأحوط لها تأخير الغسل، لأنّ تأخير الوضوء ينافي الفورية المعتبرة في إتيان الصلاة عقيب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المتوسطة مبني على أصله من أنّ المتوسطة لا تصير متوسطة إلّا بعد ظهور الدم على القطنة أو إلى خارج الفرج و أنّ التقابل بين القليلة و المتوسطة و الكثيرة تقابل الأقل و الأكثر لا تقابل التباين كما هو ظاهر الأصحاب بل صريحهم، و قد مرّ ضعف الأصل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الكثيرة من الاحتياط في جانب الغسل معارض بالمثل في جانب الوضوء، و مجرد كون الأوّل رافعا للأكبر و الثاني للأصغر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الأخبار الخاصة الواردة في المتوسطة المذكورة فيها الغسل و الوضوء بعطف الثاني على الأوّل بالواو، الخيار في تقديم أيّهما شاءت، فإنّ الواو لمطلق الجمع، و كذا مقتضى إطلاق دليلي الغسل و الوضوء في الكثيرة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491901_3650668749"/>
      <w:bookmarkStart w:id="142" w:name="_Toc51"/>
      <w:bookmarkEnd w:id="141"/>
      <w:r>
        <w:rPr>
          <w:rtl w:val="true"/>
        </w:rPr>
        <w:t>مسألة</w:t>
      </w:r>
      <w:r>
        <w:rPr>
          <w:rtl w:val="true"/>
        </w:rPr>
        <w:t xml:space="preserve">: </w:t>
      </w:r>
      <w:r>
        <w:rPr>
          <w:rtl w:val="true"/>
        </w:rPr>
        <w:t>هل يجوز للمستحاضة البدار مع رجاء زوال العذر في آخر الوقت أم يجب الانتظار؟</w:t>
      </w:r>
      <w:bookmarkEnd w:id="142"/>
    </w:p>
    <w:p>
      <w:pPr>
        <w:pStyle w:val="BookText"/>
        <w:rPr/>
      </w:pPr>
      <w:r>
        <w:rPr>
          <w:rFonts w:ascii="Amiri" w:hAnsi="Amiri" w:eastAsia="Amiri" w:cs="Amiri"/>
          <w:color w:val="111111"/>
          <w:sz w:val="28"/>
          <w:sz w:val="28"/>
          <w:szCs w:val="28"/>
          <w:rtl w:val="true"/>
          <w:lang w:bidi="ar-SA"/>
        </w:rPr>
        <w:t>ثمّ ما حكم الإتيان بوظيفتها عند زوال العذر في أثناء الوقت من حيث الاجزاء و العدم؟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البدار مع القطع بزوال العذر، بل و كذا مع الظن، لعدم الإطلاق لدليل التكليف الاضطراري بالنسبة إليهما فتبقى إطلاقات التكليف الاختياري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بإطلاق دليل الاضطراري بالنسبة إلى الاحتمال فضلا عن القطع أو الاطمئنان بالبقاء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و ملخص الكلام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العذر إمّا أن يكون بحصول البرء أو بالفترة الواسعة للطهارة و الصلاة، و على التقديرين إمّا أن يكون قبل الشروع في الأعمال و إمّا في أثنائها، و إمّا بعد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في جميع الصور المزبورة عدم الاجزاء و لزوم الاستئناف أو الإعادة، و ما يظهر من العروة الوثقى من الحكم بصورة الفتوى بعدم الإجزاء في صورة البرء و بصورة الاحتياط في صورة الفترة الواسعة لم يظهر له وجه، فإنّ الأحكام ليست مرتبة على مرض الاستحاضة بل على دمها، كما أنّ حكم السلس ليس مرتبا على داية بل على خروج البول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الفرق بين الوضوء الناقص الصادر من ذي الجبيرة أو في حال التقيّة حيث إنّ صريحهم الحكم بالاجزاء لو زال العذر بعد الصلاة؟ و بين المقام حيث حكمت بعدمه في الصورة المزبورة؟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الفرق أنّ الوضوء الناقص في موضوعه رافع للحدث حقيقة، و المفروض صدوره في حال وجود الموضوع، و أمّا في المقام فلا يعقل رافعيّة الوضوء و الغسل لما يتخلّل في خلالهما أو يوجد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ثبوت العفو ما دام مستمرا إلى آخر الوقت فتبقى إطلاقات الأدلّة الأوّلية في غيره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انقطع الدم في أثناء الصلاة و شكت في أنّه للبرء أو للفترة الواسعة أو غيرها مضت في صلاة نظرا إلى استصحاب الطهارة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باستصحاب كونها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الحكم غير مرتب على مرض الاستحاضة كما مرّ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بأنّ الأجزاء السابقة كانت لو انضمت مع اللاحقة التأمت منها</w:t>
      </w:r>
      <w:bookmarkStart w:id="143" w:name="pg1803_21829"/>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الكل و الآن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الشك في حصول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بأنّ هذه المرأة الشخصية كانت يجب عليها الإتيان ببقية الأجزاء و الآن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يثبت التئام المركب بإتيانها و استصحاب حصول الالتئام بسببها مبني على الاستصحاب التعليقي الموضوعي الّذي قد بيّن في محلّه ضعفه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491903_3650668749"/>
      <w:bookmarkStart w:id="145" w:name="_Toc52"/>
      <w:bookmarkEnd w:id="144"/>
      <w:r>
        <w:rPr>
          <w:rtl w:val="true"/>
        </w:rPr>
        <w:t>مسألة</w:t>
      </w:r>
      <w:r>
        <w:rPr>
          <w:rtl w:val="true"/>
        </w:rPr>
        <w:t xml:space="preserve">: </w:t>
      </w:r>
      <w:r>
        <w:rPr>
          <w:rtl w:val="true"/>
        </w:rPr>
        <w:t>هل يجب عليها المبادرة إلى الصلاة بعد الوضوء و الغسل أو يجوز لها التأخير؟</w:t>
      </w:r>
      <w:bookmarkEnd w:id="145"/>
    </w:p>
    <w:p>
      <w:pPr>
        <w:pStyle w:val="BookText"/>
        <w:rPr/>
      </w:pPr>
      <w:r>
        <w:rPr>
          <w:rFonts w:ascii="Amiri" w:hAnsi="Amiri" w:eastAsia="Amiri" w:cs="Amiri"/>
          <w:color w:val="111111"/>
          <w:sz w:val="28"/>
          <w:sz w:val="28"/>
          <w:szCs w:val="28"/>
          <w:rtl w:val="true"/>
          <w:lang w:bidi="ar-SA"/>
        </w:rPr>
        <w:t>لا ينبغي الإشكال في جواز التأخير بمقدار الإتيان بالمقدمات كالذهاب من مكان الغسل إلى مكان الصلاة، بل الرواح إلى المسجد و الاشتغال بالأذان و الإقامة، بل و الإتيان بالمستحبات في خلال الصلاة و عدم الاقتصار على الأقل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الزيادة على ذلك مثل إتيان الغسل و الوضوء في أوّل الوقت و الصلاة في آخره، فيمكن التشكيك في إطلاق الأدلّة لذلك بواسطة ما فيها من تكرار الوضوء لكل صلاة و الجمع بين الصلاتين فيبقى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بالنسبة إلى هذه الصورة بحاله</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491905_3650668749"/>
      <w:bookmarkStart w:id="147" w:name="_Toc53"/>
      <w:bookmarkEnd w:id="146"/>
      <w:r>
        <w:rPr>
          <w:rtl w:val="true"/>
        </w:rPr>
        <w:t>مسألة</w:t>
      </w:r>
      <w:r>
        <w:rPr>
          <w:rtl w:val="true"/>
        </w:rPr>
        <w:t xml:space="preserve">: </w:t>
      </w:r>
      <w:r>
        <w:rPr>
          <w:rtl w:val="true"/>
        </w:rPr>
        <w:t>و هل يجب عليها استخبار الحال؟ و أنّها داخلة في أيّ من الأقسام؟</w:t>
      </w:r>
      <w:bookmarkEnd w:id="1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بالوجوب تارة للزوم المخالفة الكثيرة من العمل بالأصول قبل الفحص و الاستخبار</w:t>
      </w:r>
      <w:r>
        <w:rPr>
          <w:rFonts w:eastAsia="Amiri" w:cs="Amiri" w:ascii="Amiri" w:hAnsi="Amiri"/>
          <w:color w:val="111111"/>
          <w:sz w:val="28"/>
          <w:szCs w:val="28"/>
          <w:rtl w:val="true"/>
          <w:lang w:bidi="ar-SA"/>
        </w:rPr>
        <w:t>.</w:t>
      </w:r>
      <w:bookmarkStart w:id="148" w:name="pg1803_21832"/>
    </w:p>
    <w:p>
      <w:pPr>
        <w:pStyle w:val="BookText"/>
        <w:rPr/>
      </w:pPr>
      <w:bookmarkEnd w:id="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و أخرى للعلم الإجمالي بتوجه إحدى الوظائف الثلاث إليها فالأصول متعارضة متساقطة و 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مجرد لزوم المخالفة الكثيرة غير مانع عن جريان إطلاق أدلة الأصول كما هو المشاهد في بابي الطهارة من الحدث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فلانحلال العلم المذكور امّا مع وجود الحالة السابقة لواحد من الأقسام فواضح على ما هو الحق من جريان الأصل في التدريجيات، و أمّا مع عدمه فلجريان أصالة عدم حدوث موجب الأكبر و عدم معارضته بأصالة عدم موجب الأصغر، بناء على ما هو الحق من كون آثار الأقسام من قبيل الأقل و الأكثر لا من باب المتباينين، بأن يكون أحدها موجبا للوضوء فقط و الآخر للغسل كذلك</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491907_3650668749"/>
      <w:bookmarkStart w:id="150" w:name="_Toc54"/>
      <w:bookmarkEnd w:id="149"/>
      <w:r>
        <w:rPr>
          <w:rtl w:val="true"/>
        </w:rPr>
        <w:t>مسألة</w:t>
      </w:r>
      <w:r>
        <w:rPr>
          <w:rtl w:val="true"/>
        </w:rPr>
        <w:t xml:space="preserve">: </w:t>
      </w:r>
      <w:r>
        <w:rPr>
          <w:rtl w:val="true"/>
        </w:rPr>
        <w:t>و هل يجب عليها الاستظهار و التحفّظ من خروج الدم</w:t>
      </w:r>
      <w:bookmarkEnd w:id="150"/>
    </w:p>
    <w:p>
      <w:pPr>
        <w:pStyle w:val="BookText"/>
        <w:rPr/>
      </w:pPr>
      <w:r>
        <w:rPr>
          <w:rFonts w:ascii="Amiri" w:hAnsi="Amiri" w:eastAsia="Amiri" w:cs="Amiri"/>
          <w:color w:val="111111"/>
          <w:sz w:val="28"/>
          <w:sz w:val="28"/>
          <w:szCs w:val="28"/>
          <w:rtl w:val="true"/>
          <w:lang w:bidi="ar-SA"/>
        </w:rPr>
        <w:t>و لو بشدّ تكّة مثلا في وسطها و جعل خرقة مشدودة الرأسين و شدّ كل من رأسيها في وسطها مع تفريق الشقّين ليكون موجبا لانبساط وسط الخرقة و احتفافه بأطراف الفرج؟</w:t>
      </w:r>
    </w:p>
    <w:p>
      <w:pPr>
        <w:pStyle w:val="BookText"/>
        <w:rPr/>
      </w:pPr>
      <w:r>
        <w:rPr>
          <w:rFonts w:ascii="Amiri" w:hAnsi="Amiri" w:eastAsia="Amiri" w:cs="Amiri"/>
          <w:color w:val="111111"/>
          <w:sz w:val="28"/>
          <w:sz w:val="28"/>
          <w:szCs w:val="28"/>
          <w:rtl w:val="true"/>
          <w:lang w:bidi="ar-SA"/>
        </w:rPr>
        <w:t>لا إشكال في الوجوب بناء على مختار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احتباس الدم موجبا للطهارة الحقيقية من الحدث الأكبر نظير المسلوس إذا أمكنه التحفظ من خروج البول بمقدار الطهارة و الصلاة و أمّا بناء على المختار من كفاية وجود الدم في الباطن في بقاء الحدثية فالوجه في الوجوب هو التحفظ من سراية الخبث و المنع عن تعديه بالمقدار الممكن</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491909_3650668749"/>
      <w:bookmarkStart w:id="152" w:name="_Toc55"/>
      <w:bookmarkEnd w:id="151"/>
      <w:r>
        <w:rPr>
          <w:rtl w:val="true"/>
        </w:rPr>
        <w:t xml:space="preserve">مسألة </w:t>
      </w:r>
      <w:r>
        <w:rPr>
          <w:rtl w:val="true"/>
        </w:rPr>
        <w:t>[</w:t>
      </w:r>
      <w:r>
        <w:rPr>
          <w:rtl w:val="true"/>
        </w:rPr>
        <w:t>حال الاستحاضة بالنسبة إلى سائر العبادات</w:t>
      </w:r>
      <w:r>
        <w:rPr>
          <w:rtl w:val="true"/>
        </w:rPr>
        <w:t>]</w:t>
      </w:r>
      <w:bookmarkEnd w:id="15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حال المستحاضة بالنسبة إلى صلواتها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حالها بالنسبة إلى سائر العبادات المتوقّفة على الطهارة من الحدثين كالنوافل و صلاتي القضاء و الآيات و الطواف و بالنسبة إلى سائر الأمور المتوقفة إمّا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على الطهارة منهما كمس المصحف أو على خصوص الطهارة من حدث الحيض و شبهه كالوطي و دخول المسجدين و لبث سائر المساجد و قراءة العزائم بناء على حرمة ذلك في حقّ المستحاضة، فهل هي بعد الوظائف الصلاتية بحكم الطاهرة بالنسبة إلى هذه الأشياء و لو بعد انقضاء الوقت فلا تحتاج إلى تجديد الوظيفة إلى أن يجيئها حدث آخر كالجنابة و البول و غيرهما، أو هي كذلك ما دام الوقت، أو ما دام لم تفرغ عن الغاية المنوية، أو تحتاج إلى تجديد الوظيفة لأجل تلك الأشياء مستقلا، أو أنّ تلك الأشياء غير مشروعة في حقها ما دامت مستحاضة رأسا؟</w:t>
      </w:r>
    </w:p>
    <w:p>
      <w:pPr>
        <w:pStyle w:val="BookText"/>
        <w:rPr/>
      </w:pPr>
      <w:r>
        <w:rPr>
          <w:rFonts w:ascii="Amiri" w:hAnsi="Amiri" w:eastAsia="Amiri" w:cs="Amiri"/>
          <w:color w:val="111111"/>
          <w:sz w:val="28"/>
          <w:sz w:val="28"/>
          <w:szCs w:val="28"/>
          <w:rtl w:val="true"/>
          <w:lang w:bidi="ar-SA"/>
        </w:rPr>
        <w:t>الظاهر من كلماتهم التسالم على عدم الأخير، و أمّا بالنسبة إلى ما قبله فكلامهم غير 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الكلام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إثبات أصل المشروعية، و الثاني بعد إثباتها في جواز الاكتفاء لها بالوظائف الصلاتية أو الاحتياج إلى الوظيفة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الكلام 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إمكان التمسك في إثبات المشروعية بظهور اتفاقهم و تسالمهم كما عرفت و بورود الأدلّة الخاصة في بعض الموارد كالنوافل في حق القليلة و الطواف و الطوي مطلقا يمكن التمسك أيضا لإثباتها بإطلاقات أدلّة تلك الأشياء فإنّه لم يرد في دليل تقييدها بالمستحاضة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اشتراطها بالطهارة معلوم كما أنّ عدم تحقق الطهارة في حقّ المستحاضة على وجه الحقيقة أيضا معلوم و تحقّقها على وجه التنزيل لم يثبت في غير الصلوات اليومية و بعض الموارد الخاصة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الوضوء و الغسل لما كانا في حقّ المستحاضة مؤثرين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مرتبة من الطهارة أمر بهما الشارع لأجل الصلوات اليومية لا أنّه لما كانا مأتيّا بهما لأجل الصلوات المذكورة كانا مؤثرين و ورد الأمر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و لكن من أين علمت اكتفاء الشارع بتلك المرتبة في غير الصلوات اليومية، و بعبارة أخرى إن ثبت أنّ الاضطرار ملحوظ حكمة في اكتفاء الشارع ثبت مدعاكم لكن لم يثبت، فلم لا يجوز أن يكون ملحوظا علّة فعلى هذا ما دام لم يضطر إلى مسّ المصحف مثلا لا يجوز لها مسه رأسا؟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استفادة كونه حكمة بمناسبة الحكم و الموضوع بمعنى أنّ الشارع جعل هذه الوظيفة في حقّ المستحاضة طهارة حكمية كالطهارة الحقيقية في حقّ سائر الأشخاص تستبيح بها كلّ ما يستبيحه سائر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لما كان في القدرة على تحصيل الطهارة الّتي هي الشرط جاز التمسك بعمومات أدلّة المشروطات و لا يضر كون الشبهة مصداقية لكون المخصّص لبيّا فإنّ القدرة شرط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اشتراط الطهارة ظاهر في الحقيقية لا في الأعم منها و من التنزيليّة فليقتصر في رفع اليد عن هذا الظاهر بمقدار ثبت الدليل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جواز الاكتفاء بالوظائف الصلاتية منحصر في الإجماعات المنقولة و استصحاب الطهارة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في الأصول عدم حجيّته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التمسك به مع وجود الدليل الاجتهادي،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 فانّ القدر المتيقن من رفع اليد عن هذا العموم ما إذا</w:t>
      </w:r>
      <w:bookmarkStart w:id="153" w:name="pg1803_21841"/>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أتى بتلك المشروطات بوظيفة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العروة الوثقى حيث إنّ المصرّح به في بعض عباراته الاكتفاء بالأغسال الصلاتية، و في بعضها عدمه و الاحتياج إلى الغسل المستقل، و المحشون أيضا قرروه على ذلك</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491911_3650668749"/>
      <w:bookmarkStart w:id="155" w:name="_Toc56"/>
      <w:bookmarkEnd w:id="154"/>
      <w:r>
        <w:rPr>
          <w:rtl w:val="true"/>
        </w:rPr>
        <w:t>مسألة</w:t>
      </w:r>
      <w:r>
        <w:rPr>
          <w:rtl w:val="true"/>
        </w:rPr>
        <w:t xml:space="preserve">: </w:t>
      </w:r>
      <w:r>
        <w:rPr>
          <w:rtl w:val="true"/>
        </w:rPr>
        <w:t>هل يجوز للمستحاضة مع كونها محدثة بالأكبر دخول المسجدين و لبث سائر المساجد و قراءة العزائم؟</w:t>
      </w:r>
      <w:bookmarkEnd w:id="155"/>
    </w:p>
    <w:p>
      <w:pPr>
        <w:pStyle w:val="BookText"/>
        <w:rPr/>
      </w:pPr>
      <w:r>
        <w:rPr>
          <w:rFonts w:ascii="Amiri" w:hAnsi="Amiri" w:eastAsia="Amiri" w:cs="Amiri"/>
          <w:color w:val="111111"/>
          <w:sz w:val="28"/>
          <w:sz w:val="28"/>
          <w:szCs w:val="28"/>
          <w:rtl w:val="true"/>
          <w:lang w:bidi="ar-SA"/>
        </w:rPr>
        <w:t>فحال هذا السبب حال مسّ الميت، أو حاله حال الجنابة فيحرم عليها ذلك مع حرمة وضع شي‌ء في المساجد و مسّ اسم اللّٰه تعالى و خطّ المصحف، أو حاله حال الحيض فيضاف إلى حرمة الأمور المذكورة حرمة الوطي و عدم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أقصى ما يستدل به على عدم الجواز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عبائر معاقد الإجماعات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بما عليها لم يحرم عليها ما يحرم على الحائض فإنّه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مفهوم الثاني أنّه إذا لم يبلغ قدر كرّ ينجسه كل شي‌ء من النجاسات، كذلك مفهوم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يأت بما عليها يحرم عليها كل ما يحرم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بيان كون المفهوم في العبارتين و نظائرهما إيجابا كلّيا لا جزئيا فموكول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الأخبار الدالّة على تحريم الأشياء المذكورة على الحائض بدعوى أنّ الاستحاضة استفعال من الحيض فمادّة الحيض فيها محفوظة، فيجري فيه ما ثبت للحيض إلّا ما خرج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الجميع ما لا يخفى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يزيد على الإجماع المنقول، نعم يظهر من العروة الوثقى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و محشّيها الاعتماد على الإجماع المدعى على تحريم الأشياء الخمسة المحرّمة في حقّ الجنب في حقّها، و لكن دعوى الوثوق بهذا الإجماع أيضا عهدتها على مدّعيها و إن كانت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دم الحيض و الاستحاضة متغايران منشأ و صفة و أحكاما، و على فرض التسليم بعد جعل الشارع إيّاهما قسمين متقابلين بتخصيص الأوّل بما لا يزيد على العشرة و لا ينقص عن الثلاثة، بخلاف الثاني لا يبقى للظهور المذكور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أخصّ من المدعى لعدم جريانه في الدم الخارج من اليائسة و الصغيرة مثلا لعدم مسبوقيّتها بالحيض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هو الكلام في غير الوطي، و أمّا الوطي فقد وقع الخلاف بعد الاتفاق على جوازه بعد الاعمال في جوازه بدونها رأسا، أو توقفه على الغسل فقط، أو عليه مع الوضوء، أو عليهما مع سائر الأعمال و مستند الجواز مطلقا الأصل الّذي لا أصل له مع وجود الدليل كما يأتي، و آية حل الأزواج و ما ملكت أيمانكم الّتي هي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في مقام الحليّة الذاتية لا الفعلية و آية فَاعْتَزِلُوا النِّسٰاءَ فِي الْمَحِيضِ وَ لٰا تَقْرَبُوهُنَّ حَتّٰى يَطْهُرْنَ فَإِذٰا تَطَهَّرْنَ فَأْتُوهُنَّ </w:t>
      </w:r>
      <w:r>
        <w:rPr>
          <w:rStyle w:val="FootnoteAnchor"/>
          <w:rtl w:val="true"/>
        </w:rPr>
        <w:footnoteReference w:id="79"/>
      </w:r>
      <w:r>
        <w:rPr>
          <w:rFonts w:ascii="Amiri" w:hAnsi="Amiri" w:eastAsia="Amiri" w:cs="Amiri"/>
          <w:color w:val="111111"/>
          <w:sz w:val="28"/>
          <w:sz w:val="28"/>
          <w:szCs w:val="28"/>
          <w:rtl w:val="true"/>
          <w:lang w:bidi="ar-SA"/>
        </w:rPr>
        <w:t>التي هي في مقام رفع المنع و الحظر من جهة الحيض فقط و بعض الأخبار الّتي مساقها مساق الآية الأخيرة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استحلّت به الصلاة فليأتها زوجها و لتطف بالبيت</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يدل على توقف الجواز على</w:t>
      </w:r>
      <w:bookmarkStart w:id="156" w:name="pg1803_21845"/>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الغسل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اتحاد ما يستحل به الصلاة مع ما يستحل به الطواف بالوحدة الشخصية لا النوعية، و من المعلوم أنّ الّذي يقبل الاتحاد الشخصي من المقدمات الصلاتية ليس إلّا الغسل لاحتياج ما عداه إلى التجديد لكون الطواف بمنزلة الصلاة الثانية الّتي هي كذلك قطعا، فإذا كان الغسل وحده هو المراد في جانب الطواف كان كذلك في جانب الوطي أيضا، و الظاهر اعتبار وصف بمعاقبة الطواف للصلاة، إذ كما يعتبر معاقبة الصلاة الثانية للأولى في جواز الاكتفاء بغسل الأولى للثانية، فكذلك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بقرينة ذلك يعلم الحال في الوطي أيضا، و على هذا فبعض الأخبار الظاهرة في اعتبار الوضوء في جواز الوطي مضافا إلى الغسل محمول على الاستحباب</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491913_3650668749"/>
      <w:bookmarkStart w:id="158" w:name="_Toc57"/>
      <w:bookmarkEnd w:id="157"/>
      <w:r>
        <w:rPr>
          <w:rtl w:val="true"/>
        </w:rPr>
        <w:t xml:space="preserve">مسألة </w:t>
      </w:r>
      <w:r>
        <w:rPr>
          <w:rtl w:val="true"/>
        </w:rPr>
        <w:t>[</w:t>
      </w:r>
      <w:r>
        <w:rPr>
          <w:rtl w:val="true"/>
        </w:rPr>
        <w:t>هل يتوقف صحة صوم المستحاضة في الكثيرة على الأغسال كما في الصلاة؟</w:t>
      </w:r>
      <w:r>
        <w:rPr>
          <w:rtl w:val="true"/>
        </w:rPr>
        <w:t>]</w:t>
      </w:r>
      <w:bookmarkEnd w:id="158"/>
    </w:p>
    <w:p>
      <w:pPr>
        <w:pStyle w:val="BookText"/>
        <w:rPr/>
      </w:pPr>
      <w:r>
        <w:rPr>
          <w:rFonts w:ascii="Amiri" w:hAnsi="Amiri" w:eastAsia="Amiri" w:cs="Amiri"/>
          <w:color w:val="111111"/>
          <w:sz w:val="28"/>
          <w:sz w:val="28"/>
          <w:szCs w:val="28"/>
          <w:rtl w:val="true"/>
          <w:lang w:bidi="ar-SA"/>
        </w:rPr>
        <w:t>لا إشكال في مدخلية أغسالها الثلاثة في اليوم و الليلة في الكثيرة في صحّة صلواتها الخمس كغسلها في اليوم و الليلة مرّة واحدة في المتوسطة، و هل يتوقف صحّة صومها أيضا على الأغسال أو لا؟ الّذي جزم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هو الأوّل و لا مستند له سوى مكاتبة ابن مهزيار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طهرت من حيضها أو دم نفاسها في أوّل يوم من شهر رمضان ثمّ استحاضت فصلّت و صامت شهر رمضان كلّه من غير أن تعمل ما تعمله المستحاضة من الغسل لكل صلاتين، هل يجوز صومها و صلاتها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صومها و لا تقضي صلاتها، لأنّ رسول اللّٰه صلّى اللّٰه عليه و آله و سلّم كان يأمر المؤمنات من نسائه بذلك</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الكليني و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رسول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صلّى اللّٰه عليه و آله و سلم كان يأمر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خدش فيها سندا بضعفها من جهة الإضمار و كونها مكاتبة، و أجيب بمجبوريتها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مضمونا باشتمالها على خلاف الإجماع القطعي من عدم وجوب قضاء صلاتها بالإخلال بأغسالها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باشتمالها على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تكرير وقوع الأمر بذلك عن النبيّ صلّى اللّٰه عليه و آله و سلم مع عدم اتفاق الابتلاء بذلك إلّا في غاية الندرة و لا سيما مع اشتماله على بعض رواياتها على ذكر الصديقة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تكاثرت النصوص بكونها لم تر حمرة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 بأنّ عدم مشمولية جزء من الرواية لدليل الحجية لا يضر بالباقي فإنّ التعبّد و الحجية إنّما هو في مورد الشك، فلا مجال له مع القطع بالخلاف كما في مورد القطع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أمر النبي صلّى اللّٰه عليه و آله و سلم كان في مقام التعليم ليعلم به عند الحاجة كما أنّ أمر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بتعليمها ذلك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دلالة باحتمال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من باب التفعّل، أو كون مادة القضاء هنا بمعنى الأداء أو 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بكون الأوّل في غاية البرودة و الثاني خلاف الظاهر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أوجب الخدشة الثانية في نظره سراية الخلل في أصالة عدم الغفلة و الخطأ في حق الراوي، و قال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دار الأمر بين نسبة الكذب إلى النبيّ صلّى اللّٰه عليه و آله و سلم أو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نسبة الغفلة و الخطأ إلى الراوي فالثاني 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صدر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الحائض، فاشتبه الراوي و نقله في حقّ المستحاضة، و منشأ اشتباهه إسقاطه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القيد المبين لذلك عن درج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كلّما ازدادت موهنات الرواية فعمل الأصحاب يزيدها قوة و صحّة كما أنّه كلّما ازدادت الرواية صحّة و قوّة فإعراض الأصحاب يزيدها و هنا و ضعفا، فالإنصاف تمامية الاستدلال بالرواية و هل الموقوف عليه صحّة الصوم خصوص الأغسال النهارية أو هي مع الليلة السابقة خاصة أو هي مع الليلة اللاحقة كذلك أو هي مع الليلتين أو خصوص غسل الفجر؟</w:t>
      </w:r>
    </w:p>
    <w:p>
      <w:pPr>
        <w:pStyle w:val="BookText"/>
        <w:rPr/>
      </w:pPr>
      <w:r>
        <w:rPr>
          <w:rFonts w:ascii="Amiri" w:hAnsi="Amiri" w:eastAsia="Amiri" w:cs="Amiri"/>
          <w:color w:val="111111"/>
          <w:sz w:val="28"/>
          <w:sz w:val="28"/>
          <w:szCs w:val="28"/>
          <w:rtl w:val="true"/>
          <w:lang w:bidi="ar-SA"/>
        </w:rPr>
        <w:t>مستند الأخير تشبيه المقام بحدث الجنابة حيث لا يضر فيه الاحتلام في النهار بالصوم و وجه ما قبله ترك التفصيل في النص بين أغسالها الليلية و النهارية و في الأولى بين الماضية و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الثالث ظهور الأغسال إذا أضيفت إلى الكثيرة كما هو ظاهر النص في أغسالها الثلاثة الّتي هي على حسب ما يستفاد من سائر النصوص غسلها للغداة و غسلها للظهرين و غسلها للعشاءين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الثاني كون المنع من جهة الحدثية مع البناء على بقاء أثر غسل العشاءين إلى أن يتضيّق وقت غسل الغداة و هو أن يبقى من طلوع الشمس مقدار الطهارة و الصلاة، و كذلك أثر غسل الغداة إلى أن يتضيق وقت غسل الظهرين و أثر غسل الظهرين إلى أن يتضيق وقت غسل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القدر المتيقّن بعد إجمال الرواية و تردد الأمر بين الاحتمالات مع كون الاحتمال الأخير في غاية الضعف لانحصار مستنده في مجرد الاستحسان خصوصا مع التصريح في الرواية بالغسل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الأحوط تقديم غسل الغداة على الفجر ثمّ مراعاة معاقبة صلاة الغداة له و مع عدم مراعاتها إعادة الغسل لها ثانيا</w:t>
      </w:r>
      <w:r>
        <w:rPr>
          <w:rFonts w:eastAsia="Amiri" w:cs="Amiri" w:ascii="Amiri" w:hAnsi="Amiri"/>
          <w:color w:val="111111"/>
          <w:sz w:val="28"/>
          <w:szCs w:val="28"/>
          <w:rtl w:val="true"/>
          <w:lang w:bidi="ar-SA"/>
        </w:rPr>
        <w:t>.</w:t>
      </w:r>
      <w:bookmarkStart w:id="159" w:name="pg1803_21855"/>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Heading2"/>
        <w:numPr>
          <w:ilvl w:val="1"/>
          <w:numId w:val="1"/>
        </w:numPr>
        <w:rPr/>
      </w:pPr>
      <w:bookmarkStart w:id="160" w:name="__RefHeading___Toc2491915_3650668749"/>
      <w:bookmarkStart w:id="161" w:name="_Toc58"/>
      <w:bookmarkEnd w:id="160"/>
      <w:r>
        <w:rPr>
          <w:rtl w:val="true"/>
        </w:rPr>
        <w:t>المبحث الثالث</w:t>
      </w:r>
      <w:r>
        <w:rPr>
          <w:rtl w:val="true"/>
        </w:rPr>
        <w:t xml:space="preserve">: </w:t>
      </w:r>
      <w:r>
        <w:rPr>
          <w:rtl w:val="true"/>
        </w:rPr>
        <w:t>في النفاس</w:t>
      </w:r>
      <w:bookmarkEnd w:id="161"/>
    </w:p>
    <w:p>
      <w:pPr>
        <w:pStyle w:val="Heading3"/>
        <w:numPr>
          <w:ilvl w:val="2"/>
          <w:numId w:val="1"/>
        </w:numPr>
        <w:rPr/>
      </w:pPr>
      <w:bookmarkStart w:id="162" w:name="__RefHeading___Toc2491917_3650668749"/>
      <w:bookmarkStart w:id="163" w:name="_Toc59"/>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 الكلام فيه أيضا يتم في طيّ مسائل</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491919_3650668749"/>
      <w:bookmarkStart w:id="165" w:name="_Toc60"/>
      <w:bookmarkEnd w:id="164"/>
      <w:r>
        <w:rPr>
          <w:rtl w:val="true"/>
        </w:rPr>
        <w:t xml:space="preserve">مسألة </w:t>
      </w:r>
      <w:r>
        <w:rPr>
          <w:rtl w:val="true"/>
        </w:rPr>
        <w:t>[</w:t>
      </w:r>
      <w:r>
        <w:rPr>
          <w:rtl w:val="true"/>
        </w:rPr>
        <w:t>النفاس لغة و شرعا</w:t>
      </w:r>
      <w:r>
        <w:rPr>
          <w:rtl w:val="true"/>
        </w:rPr>
        <w:t>]</w:t>
      </w:r>
      <w:bookmarkEnd w:id="165"/>
    </w:p>
    <w:p>
      <w:pPr>
        <w:pStyle w:val="BookText"/>
        <w:rPr/>
      </w:pPr>
      <w:r>
        <w:rPr>
          <w:rFonts w:ascii="Amiri" w:hAnsi="Amiri" w:eastAsia="Amiri" w:cs="Amiri"/>
          <w:color w:val="111111"/>
          <w:sz w:val="28"/>
          <w:sz w:val="28"/>
          <w:szCs w:val="28"/>
          <w:rtl w:val="true"/>
          <w:lang w:bidi="ar-SA"/>
        </w:rPr>
        <w:t>النفاس و إن كان في اللغة عبارة عن نفس الولادة و لو لم يكن دم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المرأة إذا ولدت فهي 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 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 منفوس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غلب في لسان الشارع و المتشرعة إطلاقه على دمها فلو ولدت بلا دم فلا موضوع للأحكام المقررة كما انعقد عليه الإجماع و دلّت عليه النصوص، فيكون إمّا مجازا شرعيا من باب إطلاق اسم السبب و إرادة ما هو المسبب منه غالبا، و إمّا حقيقة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حدّ لأقله، فيكفي في ترتب أحكامه من انتقاض الصوم و الطهارة وجود مسمّاه و لو بمقدار اللحظة للإجماع و لصدق الاسم،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الولادة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ليث المرادي عن النفساء كم حد نفاسها حتى تجب عليها الصلاة و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حدّ</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66" w:name="pg1803_21858"/>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و بصحيحة ابن يقطين في النفساء كم يجب عليها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ما دامت ترى الدم العبيط إلى ثلاثين يوما، فإذا رقّ و كانت صفرة اغتسلت</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الاستدلال بهما نظر نبّه عليه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فلأنّ حملها على حدّ الأقل ينافيه السؤال حيث وقع عن الحدّ الّذي يتعقّبه وجوب الصلاة و لا ينطبق إلّا على حدّ الأكثر، كما أنّ حملها على حدّ الأكثر ينافيه الجواب حيث إنّ لأكثره حدّا أمّا عند الإمامية فلأنّه الثمانية عشر أو العشر، و أمّا عند العامة فلأنّه الأربعون إلى الخمسين، و أمّا حملها على حدّ واحد للأقل و الأكثر كما عن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فلأنّ إطلاقها وارد مورد حكم آخر و هو بيان حدّ الكثرة مضافا إلى عدم كونها معمولا بها بين الأصحاب</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491921_3650668749"/>
      <w:bookmarkStart w:id="168" w:name="_Toc61"/>
      <w:bookmarkEnd w:id="167"/>
      <w:r>
        <w:rPr>
          <w:rtl w:val="true"/>
        </w:rPr>
        <w:t>مسألة</w:t>
      </w:r>
      <w:r>
        <w:rPr>
          <w:rtl w:val="true"/>
        </w:rPr>
        <w:t xml:space="preserve">: </w:t>
      </w:r>
      <w:r>
        <w:rPr>
          <w:rtl w:val="true"/>
        </w:rPr>
        <w:t>لا إشكال في نفاسية الدم إذا كان بعد الولادة و قبل أقصى النفاس</w:t>
      </w:r>
      <w:bookmarkEnd w:id="16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إشكال في نفاسيته إذا كان مقارنا معها لصريح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حتى يخرج رأس الصبي، فإذا خرج رأسه لم يجب عليها الصلاة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 قوله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خروج بعض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دم النفاس، و لا يعارضه قوله 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ما لم تلد</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فإنّه قابل للحمل على معنى ما لم تشرع في الولادة لا ما لم تفرغ منها، فلا بدّ من حمله عليه جمعا و تحكيما للنص على الظاهر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الدم الّذي تراه قبل الولادة مع جامعيته لشرائط الحيض سوى الفصل بأقل الطهر بينه و بين النفاس و لا إشكال في عدم نفاسيته و إنّما الإشكال في كونه استحاضة أو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الاتفاق على اعتبار تخلل أقل الطهر بين النفاس و الحيض المتأخر وقع الخلاف في اعتباره بينه و بين الحيض المتقدّم، و منشأ الخلاف اختلاف الأنظار في الاستفادة من الأدلّة، فذهب المشهور إلى الاشتراط مطلقا و بعضهم كصاحبي المدارك و الذخيرة إلى عدمه كذلك و قوّاه في العروة و قرّره بعض المحشّين، و فصل ثالث بين ما إذا أمكن اجتماع حيضيّة الدم المذكور مع نفاسية ما بعده بأن لا يزيد مجموعهما و لو مع النقاء المتخلّل بينهما عن العشرة و بين ما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بين ما إذا أمكن ذلك في بعضه دون بعض و ما إذا لم يمكن مطلقا فحكم بالحيضية في مورد الإمكان و بالاستحاضية في مورد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المشهور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الطهر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المراد أنّ الحالة الّتي لا تمنع المرأة فيها عن الدخول في الصلاة و الصوم و نحوهما و لو مع الاحتياج إلى الغسل و شبهه إذا تخلّلت بين الحالتين اللّتين تمنعان عن ذلك و لو مع الغسل و نحوه فلا تكون تلك الحالة المتخللة بأقل من عشرة أيّام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خصوص الطهر الواقع بين الحيضتين، و الشاهد على هذا الاختصاص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فصل أقل الطهر بين النفاسين إجماعا،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الحيض مرّة ثانية بعد خروجه مرّة سابقة حيث يحتاج إلى الجمع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في الرحم فيحتاج إلى مضي زمان فقدّر الشارع ذلك الزمان بعشرة، و لازم ذلك اعتبار تخلّله بين النفاس و الحيض المتأخّر و أمّا بينه و بين المتقدم فلا، لأنّ النّفاس محبوس و مجموع من السابق فلا يحتاج إلى جمع آخر حتى يحتاج إلى مضي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اعتباره بين النفاسين، فلأجل الإلجاء و الضرورة، و ذلك لعدم إمكان الحكم بعدم نفاسية شي‌ء من الدمين بعد كون كل منهما دم الولادة و كذا عدم إمكان مجاوزة النفاس عن الحد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استحسان عقلي لا يصلح رفع اليد بسببه عن إطلاق الكلام و من أين علمنا أنّ ملاك الحكم المذكور احتياج الدم إلى الجمع، فلعلّه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ما استند إليه صاحب الحدائق حيث ذهب إلى اعتبار فصل أقلّ الطهر بين الحيضتين المستقلتين دون أجزاء الحيضة الواحدة و قد فرض أنّكم رددتم عليه هذا الكلام في ذاك المقام فلا وجه لتسليمه هاهنا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حيض محتبس، الذي هو مصطاد من مواضع ثلاثة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في بعض أخبار حيض الحامل من ادّخار الحيض في الرحم حال الحمل لأجل ارتزاق الولد و اغتذائه، و أنّه إذا فضل منه شي‌ء يقذفه الرحم، فذلك المقذوف حيض و يترتب عليه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رجوع النفساء المعتادة في الحيض إلى عادتها في الحيض عند مجاوزة دمها العشرة، و الثالث ما دلّ على مساواتهما في الأحكام، فإنّه يستفاد من ذلك اشتراك الدمين في الأحكام الّتي من جملتها لزوم فصل أقل الطهر بينه و بين الحيض من غير فرق بين سبق الحيض على النفاس و لحوقه، و الاعتراض السابق جار هنا أيضا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مع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رواية زريق و موثقة عمار الحاكمتين بعدم حيضية دم الطلق و المخاض، فإنّه شامل لما إذا كان الدم المذكور جامعا لشرائط الحيضية غير الفصل بأقل الطهر الّذي هو غالب الانفكاك في الدم المذكور فليس الحكم بعدم الحيضية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عدم الحيضية إنّما هو لعدم جريان قاعدة الإمكان في مثل المقام ممّا يكون في البين سبب آخر مظنة لخروج الدم، فإنّ شدة المخاض مظنّة لفتق بعض العروق في الرحم الّذي هو منشأ لخروج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فيما أريد الحكم بحيضيته من جهة القاعدة، و أمّا ما أريد الحكم بحيضيته من جهة مصادفة العادة فلا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الواقع في صحيحة ابن المغيرة في امرأة نفست فتركت الصلاة ثلاثين يوما ثمّ طهرت ثمّ رأت الدم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 لأنّ أيّامها أيّام الطهر قد جازت مع أيّام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أنّه بعد الحكم بنفاسية ثمانية عشر من أيّام المرأة المفروضة و استحاضية عشرة أخرى بعد تلك الثمانية عشر لا مانع من الحكم بالحيضية في الدم الذي تراه بعد ذلك، و التعبير و إن وقع بلفظ الجواز و المضي، و لكن المفهوم منه عرفا اعتبار مطلق الفصل بأقلّ الطهر بين النفاس و الحيض سواء كان بنحو المضي أو بنحو الاستقبال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القول بعدم الفصل بين الحيض المتأخّر عن النفاس و المتقدّم</w:t>
      </w:r>
      <w:r>
        <w:rPr>
          <w:rFonts w:eastAsia="Amiri" w:cs="Amiri" w:ascii="Amiri" w:hAnsi="Amiri"/>
          <w:color w:val="111111"/>
          <w:sz w:val="28"/>
          <w:szCs w:val="28"/>
          <w:rtl w:val="true"/>
          <w:lang w:bidi="ar-SA"/>
        </w:rPr>
        <w:t>.</w:t>
      </w:r>
      <w:bookmarkStart w:id="169" w:name="pg1803_21869"/>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وارد على التقريب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القول بعدم الاشتراط هو الأخذ بقاعدة الإمكان في مورد عدم مصادفة العادة و بأمارية العادة في مورد مصادفتها مع الخدشة في الأدلّة السابقة بما عرفت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النفاس حيض محتبس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المستفاد منه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اعتبار عدم مجاوزة النفاس عن العشرة فإنّه من أحكام الحيض أيضا، و الثاني ملاحظة الشارع هذين الدمين شيئا واحدا فلا بد من اعتبار عدم المجاوزة المذكورة في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بمنع استفادة اعتبار عدم المجاوزة لإمكان احتياج خروج الدم المحبوس إلى زمان أزيد من الدم الغير المحبوس لغزارة مادّة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مجرّد استحسان و استبعاد لا يصلح رفع اليد بسببه عن إطلاق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يجاب بمنع استفادة ملاحظة الشارع الحيض المحتبس و الغير المحتبس شيئا واحدا كيف و هما متغايران لمغايرة بعض أحكامهما كعدم اعتبار تخلل الطهر بين النفاسين و كون أقل النفاس لحظة، و إن أبيت فلا أقلّ من إطلاق الروايتين المتقدمتين فالأولى الحكم باعتبار تخلّل أقل الطهر بين النفاس و الحيض المتقدّم و لو في مثل الفرض الّذي فرضه المفصّل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491923_3650668749"/>
      <w:bookmarkStart w:id="171" w:name="_Toc62"/>
      <w:bookmarkEnd w:id="170"/>
      <w:r>
        <w:rPr>
          <w:rtl w:val="true"/>
        </w:rPr>
        <w:t>مسألة</w:t>
      </w:r>
      <w:r>
        <w:rPr>
          <w:rtl w:val="true"/>
        </w:rPr>
        <w:t xml:space="preserve">: </w:t>
      </w:r>
      <w:r>
        <w:rPr>
          <w:rtl w:val="true"/>
        </w:rPr>
        <w:t>اختلفت الأقوال في تحديد أكثر النفاس</w:t>
      </w:r>
      <w:bookmarkEnd w:id="1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عشرة أيّام مطلقا كأكثر الحيض و هو مذهب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ثمانية عشر يوما مطلقا و هو مذهب المفيد و المرتضى و بعض آخر و إن عدل الأوّلان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ذات العادة في الحيض و غيرها باختيار القول الأوّل في الأولى و الثاني في الثانية، و اختاره العلّامة في المختلف و الفاضل المقداد في التنقيح، و قوّاه شيخنا المرتضى في طهارته و إن أفتى في رسالته العملية على طبق المشهور، و منشأ اختلاف الأقوال اختلاف الأخبار و اختلاف الأنظار في فهمها فإنّها بين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إرجاع ذات العادة في الحيض إلى عادتها أو على أنّ أكثر النفاس أكثر الحيض بدون الاشتمال على الردع عن التمسك بقصّة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موثقة يونس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ولدت فرأت الدم أكثر ممّا كانت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فلتقعد أيّام قرئها التي كانت تجلس ثمّ تستظهر بعشرة أيّام فإن رأت دما صبيبا فلتغتسل عند وقت كل صلاة، و إن رأت صفرة فلتتوضأ ثمّ لتصل</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 بمضمونها أخبار مستفيضة أمّا بدون ذكر الاستظهار أو مع ذكره بيوم كما في بعضها أو بيومين كما في آخر، و بمثل ثلثي أيامها كما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مرسلة </w:t>
      </w:r>
      <w:r>
        <w:rPr>
          <w:rStyle w:val="FootnoteAnchor"/>
          <w:rtl w:val="true"/>
        </w:rPr>
        <w:footnoteReference w:id="87"/>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دم نفاس لزمان أكثر من زمان حيض</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اشتملت على الردع المذكور إمّا مع الإرجاع إلى العادة أو بدونه كموثقة الجوهري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محمد بن مسلم و كانت 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أبا جعفر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أقعد في نفاسي أربعين يوما و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أصحابنا ضيّقوا عليّ فجعلوها ثمانية عشر يوما؟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أفتاها بثمانية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الّتي رووها في أسماء بنت عميس أنّها نفست بمحمد بن أبي بكر بذي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لستة أميال من المدينة فيها مسجد الشجرة و هو ميقات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كيف أصنع؟ فقال صلّى اللّٰه عليه و آله و سلم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غسل الإحرام فإنّه مشروع في حالتي الحيض و النفاس كما تقدم التنبيه عليه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احتشي و أهلّي بالحج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أنّ عمرة التمتّع تتبدل في هذه الحالة إلى حج الإفراد فلا بدّ من عدول النية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فاغتسلت و احتشت و دخلت مكّة و لم تطف و لم تسع حتى تقضي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مناسك عرفات و المشعر و منى و الرجوع إلى مكّة لأداء الطوافين و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مكّة فأتت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أحرمت و لم أطف و لم أسع؟ فقال لها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يوما،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الآن فاخرجي فاغتسلي و احتشي و طوفي واسعي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 طافت وسعت و 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لو سألت رسول اللّٰه صلّى اللّٰه عليه و آله و سلم قبل ذلك و أخبرته لأمرها بما أمرها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النفساء؟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أيّامها الّتي كانت تطمث فيهنّ أيّام قرئها فإن هي طهرت و إلّا استظهرت بيومين أو ثلاثة أيّام ثمّ اغتسلت و احتشت، فإن كان انقطع الدم فقد طهرت و إن لم ينقطع الدم فهي بمنزلة المستحاضة تغتسل لكل صلاتين و تصلي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بمضمونها مرفوعة </w:t>
      </w:r>
      <w:r>
        <w:rPr>
          <w:rStyle w:val="FootnoteAnchor"/>
          <w:rtl w:val="true"/>
        </w:rPr>
        <w:footnoteReference w:id="89"/>
      </w:r>
      <w:r>
        <w:rPr>
          <w:rFonts w:ascii="Amiri" w:hAnsi="Amiri" w:eastAsia="Amiri" w:cs="Amiri"/>
          <w:color w:val="111111"/>
          <w:sz w:val="28"/>
          <w:sz w:val="28"/>
          <w:szCs w:val="28"/>
          <w:rtl w:val="true"/>
          <w:lang w:bidi="ar-SA"/>
        </w:rPr>
        <w:t>علي بن إبراهيم بدون ذكر التفصيل و الإرجاع إلى العادة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التحديد بثمانية عشر مع الاشتمال على التمسك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بالقصّة المذكورة كصحيحة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كم تقعد؟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بنت عميس أمرها رسول اللّٰه صلّى اللّٰه عليه و آله و سلم أن تغتسل لثمانية عشر و لا بأس أن تستظهر بيوم أو يومين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صحيحة زرارة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بنت عميس نفست بمحمد بن أبي بكر فأمرها رسول اللّٰه صلّى اللّٰه عليه و آله و سلم حين أرادت الإحرام بذي الحليفة أن تحتشي بالكرسف و الخرق و تهل بالحج، فلما قدموا مكّة و قد نسكوا المناسك و قد أتى بها ثمانية عشرة يوما فأمرها رسول اللّٰه صلّى اللّٰه عليه و آله و سلم أن تطوف بالبيت و تصلّي و لم ينقطع عنها الدم ففعلت ذلك</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 بمضمون الأخيرة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التحديد المذكور بدون الاشتمال المذكور و هي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العلل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أعطيت النفساء ثمانية عشر يوما و لم تعط الأقل و لا أكثر؟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الحيض أقلّه ثلاثة أيّام و أوسطه خمسة و أكثره عشرة، فأعطيت أقلّه و أوسطه و أكثره</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العيون في ما كتبه مولانا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النفساء لا تقعد عن الصلاة أكثر من ثمانية عشر يوما فإن طهرت قبل ذلك صلّت و إن لم تطهر حتى تجاوز ثمانية عشر يوما اغتسلت و صلّت و عملت بما تعمل المستحاضة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إذا عرفت ذلك فهل الجمع العرفي بين هذه الطوائف الأربع موجود أم لا؟</w:t>
      </w:r>
    </w:p>
    <w:p>
      <w:pPr>
        <w:pStyle w:val="BookText"/>
        <w:rPr/>
      </w:pPr>
      <w:r>
        <w:rPr>
          <w:rFonts w:ascii="Amiri" w:hAnsi="Amiri" w:eastAsia="Amiri" w:cs="Amiri"/>
          <w:color w:val="111111"/>
          <w:sz w:val="28"/>
          <w:sz w:val="28"/>
          <w:szCs w:val="28"/>
          <w:rtl w:val="true"/>
          <w:lang w:bidi="ar-SA"/>
        </w:rPr>
        <w:t>و على الأوّل فالجمع المذكور ما ذا؟ ربما يقال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بدعوى أنّها من قبيل النص و الظاهر فإنّ الطائفة الثانية شارحة للمراد من الثالثة و أنّه إثبات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ما يقوله العامة من الأربعين و الخمسين و الستين بواسطة أمر النبيّ صلّى اللّٰه عليه و آله و سلم لأسماء عند مضي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الرابعة فالطائفة الثانية بواسطة اشتمال سؤالها على وجود المفتين بثمانية عشر في ذلك الزمان قرينة على حمل الطائفة الرابعة على التقية من هؤلاء المفتين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بالنسبة إلى الطائفة الثانية و إن كان صحيحا في الخبر الأخير منها، و لكنّه غير صحيح في الخبر الأوّل و كيف يصح إرجاع الاستظهار إلى ما لا يزيد عن العشرة مع عدم ذكر العشرة في الكلام، و أمّا ما ذكره بالنسبة إلى الطائفة الرابعة فخلط بين الجمع العرفي و علاج المتعارضين بالمرجح الخارجي، و ما ذكره من قبيل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بدعوى أنّ الطائفة الأولى مخصوصة بذات العادة إمّا لكونها موردا لها كما في الأخبار الدالة على الإرجاع إلى العادة حيث لا دلالة لها بالنسبة إلى غير ذات العادة أصلا، و ليس في البين إلّا استبعاد الفرق بين ذات العادة و غيرها بكون أكثر النفاس في الأولى عشرة، و في الثانية ثمانية عشر، و لكنّه غير بالغ حد دلالة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للحمل عليها بحكم الغلبة كما في 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فتكون الطائفتان الأخيرتان محمولتين على غير ذات العادة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حمل إطلاقهما على الفرد النادر و أيضا إن كانت أسماء معتادة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فكيف يصح الاستشهاد في الطائفة الثالثة بقصّتها لغير المعتادة و إن كانت غير معتادة لم يصح الردع عن التمسك بها في الطائفة الثانية؟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لهما إطلاق حتى يلزم ذلك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النفاس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الحيض عشرة، يكفي في صحته وجود فرد ما و لا يلزمه استيعاب الأفراد كما أنّه الحال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تقعد النفساء أكثر من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على التمسك بقصة أسماء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كونها معتادة و التمسك بقصتها لغير المعتادة إنّما هو لتخيّل الناس و زعمهم إطلاق حكمها حتى للمعتادة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أراد وقع هذا الحكم في غير المعتادة في أذهان الناس تمسك له بشي‌ء كان مسلّما عندهم و إن كان فاسدا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روايتي العلل و العيون مخدوشتان بضعف السند مع عدم الانجبار لعدم معلومية الاستناد و عدم كفاية مجرد مطابقة الفتوى في الانجبار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الروايات المشتملة على قصة أسماء فقد عرفت التنافي بين أنفسها بواسطة الاستشهاد بها في بعضها و الردع عنه في آخر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التنافي، فالإنصاف أنّه ليس بجمع عرفي و غير موجب لخروج الكلامين في نظر العرف عن حدّ التكاذب و التعارض، و من المعلوم أنّ المرجح مع ما دلّ على الردع لمخالفته مع العامة و موافقته مع عمومات الكتاب و السنة المثبتة للعبادات، و غاية الأمر خرج منها المرأة حال خروج دم النفاس للعشرة فما دون و بقي الباقي</w:t>
      </w:r>
      <w:r>
        <w:rPr>
          <w:rFonts w:eastAsia="Amiri" w:cs="Amiri" w:ascii="Amiri" w:hAnsi="Amiri"/>
          <w:color w:val="111111"/>
          <w:sz w:val="28"/>
          <w:szCs w:val="28"/>
          <w:rtl w:val="true"/>
          <w:lang w:bidi="ar-SA"/>
        </w:rPr>
        <w:t>.</w:t>
      </w:r>
      <w:bookmarkStart w:id="172" w:name="pg1803_21887"/>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و من هنا يعلم أنّ مقتضى القاعدة أيضا هو التحديد بالعشرة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القاعدة استصحاب موضوع النفاس بعد العشرة و أحكامها التي منها بقاء الحدث المسبب منه، مضافا إلى أنّه لو فرض الخدشة في الاستصحاب، فالمرجع عموم ما دلّ على ترك العبادات مرتبا له على دم النفاس أو المرأة النفساء لصدق العنوانين بعد العشرة لغة و عدم ثبوت حقيقة لهما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دلّ على ترك العبادات مرتبا له على العنوانين فلا عموم له و لا إطلاق لكونه واردا مورد حكم آخر مثل إثبات النفاسية لما رأته عند خروج رأس الصبي في قبال نفيها عمّا رأته قبل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موضوع النفاس بعد العشرة و قبل الثمانية عشر فيرد عليه ما استشكله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على استصحاب عدم الغروب بعد استتار القرص قبل ذهاب الحمرة كما هو المقرر في محله، و أمّا استصحاب الأحكام فمحكوم للعمومات المثبتة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ما دلّ على الإرجاع إلى العادة على حكم غير ذات العادة، بل المتحقّق مجرد استبعاد عدم الفرق أنّ الظاهر عند العرف من وحدة السياق و كمال المشابهة بين أخبار بابي النفاس و الحيض هو عدم الفرق كما يقال نظيره في أخبار لا تنقض</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491925_3650668749"/>
      <w:bookmarkStart w:id="174" w:name="_Toc63"/>
      <w:bookmarkEnd w:id="173"/>
      <w:r>
        <w:rPr>
          <w:rtl w:val="true"/>
        </w:rPr>
        <w:t xml:space="preserve">مسألة </w:t>
      </w:r>
      <w:r>
        <w:rPr>
          <w:rtl w:val="true"/>
        </w:rPr>
        <w:t>[</w:t>
      </w:r>
      <w:r>
        <w:rPr>
          <w:rtl w:val="true"/>
        </w:rPr>
        <w:t>يجب على النفساء الاستظهار</w:t>
      </w:r>
      <w:r>
        <w:rPr>
          <w:rtl w:val="true"/>
        </w:rPr>
        <w:t xml:space="preserve">] </w:t>
      </w:r>
      <w:r>
        <w:rPr>
          <w:rtl w:val="true"/>
        </w:rPr>
        <w:t>كما يجب على الحائض</w:t>
      </w:r>
      <w:bookmarkEnd w:id="174"/>
    </w:p>
    <w:p>
      <w:pPr>
        <w:pStyle w:val="BookText"/>
        <w:rPr/>
      </w:pPr>
      <w:r>
        <w:rPr>
          <w:rFonts w:ascii="Amiri" w:hAnsi="Amiri" w:eastAsia="Amiri" w:cs="Amiri"/>
          <w:color w:val="111111"/>
          <w:sz w:val="28"/>
          <w:sz w:val="28"/>
          <w:szCs w:val="28"/>
          <w:rtl w:val="true"/>
          <w:lang w:bidi="ar-SA"/>
        </w:rPr>
        <w:t>عند تجاوز الدم عادتها مع عدم مضي العشرة الاستظهار بيوم أو يومين أو ثلاثة أو إلى العشرة، كذلك يجب ذلك على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الحيض حرفا بحرف لمشابهة أخبار البابين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انقطع الدم على العشرة فما دون فالكل نفاس سواء في المعتادة أم</w:t>
      </w:r>
      <w:bookmarkStart w:id="175" w:name="pg1803_21890"/>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غيرها من المبتدئة و المضطربة، لقاعدة الإمكان المجمع عليها هنا كما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تجاوز عن العشرة فالمعتادة ترجع إلى عادتها للأخبار المستفيضة المتقدّم إليها الإشارة في المسألة المتقدمة، و غيرها تجعل العشرة نفاسا و لا ترجع إلى التميز، و لا إلى الروايات و لا إلى عادة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الحيض ترجع إلى أحد هذه و الفرق أنّ قاعدة الإمكان كانت هناك معارضة بالمثل، و المفروض عدم العادة فلا جرم كان مرجعها أحد الأمور الثلاثة التي هي المرجع عند عدم الأمارة على الخلاف، فإنّ الروايات حكمها حكم الأصل كما يظهر من دليلها و عادة الأهل لا إطلاق لدليلها بالنسبة إلى صورة وجود قاعدة الإمكان، و صفات الاستحاضة كالرقة و الصفرة إنّما يحكم بالاستحاضة عندها من باب عدم الغلظة و الحمرة لا من باب أمارية أنفسها و هذا بخلاف الحال في المقام، فإنّ قاعدة الإمكان سليمة عن المعارضة، فلا سبيل إلى شي‌ء من الأمور الثلاثة، و لعلّه منشأ ذهاب الكل إلّا من شذّ إلى ذلك</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491927_3650668749"/>
      <w:bookmarkStart w:id="177" w:name="_Toc64"/>
      <w:bookmarkEnd w:id="176"/>
      <w:r>
        <w:rPr>
          <w:rtl w:val="true"/>
        </w:rPr>
        <w:t xml:space="preserve">مسألة </w:t>
      </w:r>
      <w:r>
        <w:rPr>
          <w:rtl w:val="true"/>
        </w:rPr>
        <w:t>[</w:t>
      </w:r>
      <w:r>
        <w:rPr>
          <w:rtl w:val="true"/>
        </w:rPr>
        <w:t>في نفاس المرأة الحامل بتوأمين</w:t>
      </w:r>
      <w:r>
        <w:rPr>
          <w:rtl w:val="true"/>
        </w:rPr>
        <w:t>]</w:t>
      </w:r>
      <w:bookmarkEnd w:id="177"/>
    </w:p>
    <w:p>
      <w:pPr>
        <w:pStyle w:val="BookText"/>
        <w:rPr/>
      </w:pPr>
      <w:r>
        <w:rPr>
          <w:rFonts w:ascii="Amiri" w:hAnsi="Amiri" w:eastAsia="Amiri" w:cs="Amiri"/>
          <w:color w:val="111111"/>
          <w:sz w:val="28"/>
          <w:sz w:val="28"/>
          <w:szCs w:val="28"/>
          <w:rtl w:val="true"/>
          <w:lang w:bidi="ar-SA"/>
        </w:rPr>
        <w:t>المرأة الحاملة بتوأمين إذا تأخرت ولادة أحدهما عن الآخر فلا إشكال في أنّ لها بحسب كل من الولادتين نفاسا، فإن رأت بعد الولادة الأولى عشرة أيّام دما من دون تخلل نقاء بين تلك العشرة و بين الولادة الثانية أصلا، أو معه و لكن لم يكن النقاء أقل من عشرة،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تخلل و كان أقلّ فحينئذ يقع التعارض بين عمومات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أنّ الطهر لا يكون أقلّ من عشرة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أنّ كل دم ولادة 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دم النفاس الواحد لا يزيد على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و إن كان تساقط الجميع و الرجوع إلى قاعدة العلم الإجمالي دون الاستصحاب لعدم جريانه في مثل المقام لكون الشبهة مفهومية كما تقدمت الإشارة إليه و لكن قام الإجماع على ورود التخصيص هنا على العموم الأوّل، و حينئذ فيحكم على النقاء المذكور الواقع بين النفاسين بكونه طهرا و إن كان أقل من عشرة بواسطة الإجماع المذكور، هذا كلّه إذا رأت الدم بعد الولادة الأولى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أقل من عشرة و اتّصل بالولادة الثانية، فلا كلام، و أمّا لو لم يتصل بأن تخلل بينه و بين الولادة الثانية نقاء كما لو ولدت الثاني في الخامس من ولادة الأوّل و رأت الدم بعد الولادة الأولى ثلاثة أيّام و لم تر في اليومين بعدها، فهل النقاء المذكور محكوم بكونه طهرا كما في الفرض الأوّل أو بكونه نفاسا؟ وجهان مبنيان على أنّ الخمسة الأيّام المتأخّرة عن الولادة الثانية هل هي محسوبة لكل من الولادتين أو من الولادة الثانية خاصة؟</w:t>
      </w:r>
    </w:p>
    <w:p>
      <w:pPr>
        <w:pStyle w:val="BookText"/>
        <w:rPr/>
      </w:pPr>
      <w:r>
        <w:rPr>
          <w:rFonts w:ascii="Amiri" w:hAnsi="Amiri" w:eastAsia="Amiri" w:cs="Amiri"/>
          <w:color w:val="111111"/>
          <w:sz w:val="28"/>
          <w:sz w:val="28"/>
          <w:szCs w:val="28"/>
          <w:rtl w:val="true"/>
          <w:lang w:bidi="ar-SA"/>
        </w:rPr>
        <w:t>فعلى الثاني يحكم بكونه طهرا لأنّه نقاء بين نفاسين فيدخل تحت الإجماع المتقدم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 يحكم بكونه نفاسا لأنّه نقاء متخلّل بين أجزاء نفاس واحد و هو نفاس كما يأتي إن شاء اللّٰه، و لا يبعد ترجيح الثاني الحكم العرف بعد انقطاع الدم قبل الولادة الثانية و خروجه حينها بكونه مسببا عنها خاصة و مضافا إليها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فحكمهم بكون الدم مضافا إلى السبب الأوّل معلّق في صورة الانقطاع على</w:t>
      </w:r>
      <w:bookmarkStart w:id="178" w:name="pg1803_21896"/>
    </w:p>
    <w:p>
      <w:pPr>
        <w:pStyle w:val="BookText"/>
        <w:rPr/>
      </w:pPr>
      <w:bookmarkEnd w:id="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عدم وجود سبب آخر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الولد الواحد المنقطع أجزاؤه بحكم التوأمين، فيحكم على النقاء المتخلل بكونه طهرا و إن كان أقلّ من عشرة و على الدم المتخلل بين الجزءين إذا كان أزيد من العشرة، بكون زيادته استحاضة، أو أنّه بحكم الولد الواحد المتصل المستطيل الولادة، فيحكم على النقاء الأقل بكونه نفاسا و على الدماء المتخللة و إن كانت أزيد من عشرة بالنفاسية، الظاهر الثاني لحكم العرف بكونها ولادة واحدة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491929_3650668749"/>
      <w:bookmarkStart w:id="180" w:name="_Toc65"/>
      <w:bookmarkEnd w:id="179"/>
      <w:r>
        <w:rPr>
          <w:rtl w:val="true"/>
        </w:rPr>
        <w:t xml:space="preserve">مسألة </w:t>
      </w:r>
      <w:r>
        <w:rPr>
          <w:rtl w:val="true"/>
        </w:rPr>
        <w:t>[</w:t>
      </w:r>
      <w:r>
        <w:rPr>
          <w:rtl w:val="true"/>
        </w:rPr>
        <w:t>في مبدأ العشرة التي هي أكثر النفاس</w:t>
      </w:r>
      <w:r>
        <w:rPr>
          <w:rtl w:val="true"/>
        </w:rPr>
        <w:t>]</w:t>
      </w:r>
      <w:bookmarkEnd w:id="180"/>
    </w:p>
    <w:p>
      <w:pPr>
        <w:pStyle w:val="BookText"/>
        <w:rPr/>
      </w:pPr>
      <w:r>
        <w:rPr>
          <w:rFonts w:ascii="Amiri" w:hAnsi="Amiri" w:eastAsia="Amiri" w:cs="Amiri"/>
          <w:color w:val="111111"/>
          <w:sz w:val="28"/>
          <w:sz w:val="28"/>
          <w:szCs w:val="28"/>
          <w:rtl w:val="true"/>
          <w:lang w:bidi="ar-SA"/>
        </w:rPr>
        <w:t>اعلم أنّ في مبدأ العشرة التي هي أكثر النفاس مطلبين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كونه من حين الفراغ من الولادة لا من حين ظهور أوّل جزء من الولد و إن كان النفاس من هذا الحين كما هو المنصوص، فلو فرض الفصل بين ظهور أوّل جزء و بين تمام الولادة بأيّام لم تحسب تلك الأيّام من العشرة، و الدليل عليه الإجماع، و الثاني أنّه من حين الفراغ و لو لم تر الدم لا من حين الرؤية و لو تأخر بأيّام ما دام الصدق العرفي باقيا، و الظاهر أنّه أيضا إجماعي و إن أفتى بخلافه المرحوم الحاج ميرزا حسين الخليلي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نجاة العباد، و لكنّه مضافا إلى مخالفته للإجماع مخالف لظاهر قول النبيّ صلّى اللّٰه عليه و آله و سلم في قصّة أسماء حين سألته عن غسلها منذ كم ولدت،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مالك بن أعين منذ يوم وضعت إلخ فإن جعل الولادة و الوضع معرّفين لرؤية الدم بملاحظة الملازمة الغالبية خلاف الظاهر من كونهما مأخوذين على وجه الموضوعية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491931_3650668749"/>
      <w:bookmarkStart w:id="182" w:name="_Toc66"/>
      <w:bookmarkEnd w:id="181"/>
      <w:r>
        <w:rPr>
          <w:rtl w:val="true"/>
        </w:rPr>
        <w:t>مسألة</w:t>
      </w:r>
      <w:r>
        <w:rPr>
          <w:rtl w:val="true"/>
        </w:rPr>
        <w:t xml:space="preserve">: </w:t>
      </w:r>
      <w:r>
        <w:rPr>
          <w:rtl w:val="true"/>
        </w:rPr>
        <w:t>لو لم تر بعد الولادة إلّا اليوم العاشر فلا إشكال في نفاسيته مع الانقطاع</w:t>
      </w:r>
      <w:bookmarkEnd w:id="1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كونها غير ذات عادة أو ذات عادة عشرة، لأنّه مقتضى قاعدة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الإمكان، و أمّا مع التجاوز و كونها ذات عادة أقلّ من عشرة ففي كونه نفاسا كما هو مقتضى إطلاق العبائر أو عدم النفاس لها رأسا كما أفتى به في نجاة العباد و العروة الوثقى، وجهان مبنيان على أنّ مبدأ العادة المأمور بالرجوع إليها هل هو من حين الولادة أو من حين رؤية الدم في ضمن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 أنّه لا إشكال في أنّ مبدأ العشرة التي هي أكثر النفاس من حين الولادة كما تقدّم في المسألة السابقة، فإذا أمر بالرجوع إلى العادة مع الاستظهار بعدها إلى العشرة كان ذكر العشرة قرينة على كون مبدإ العادة أيضا من حين الولادة فحينئذ يحكم في مفروض المسألة بعدم النفاس لها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في العشرة و إن كان كذلك، و لكن الأمر بترك الصلاة و القعود و الجلوس بمقدار عادتها لا تتمشى إلّا مع رؤية الدم و لا معنى له بدونها فلا بدّ من جعل مبدإ العادة من حين الرؤية في ضمن العشرة، و حينئذ فإمّا يقال بأنّ الحكم بنفاسية اليوم العاشر في مفروض المسألة مفهوم من الأخبار المذكورة، و إمّا يقال بأنّه خارج عن مدلولها، و لكنّه مقتضى قاعدة الإمكان، و على هذا فمن كانت عادتها خمسة و لم تر الدم إلّا رابع الولادة و استمر إلى العشرة و تجاوز عنها جعلت الرابع نفاسا و أكملته بما بعده و جعلت ما بعد الخمسة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رأت بعد الولادة يوما ثم انقطع و رأت اليوم العاشر، فلا إشكال في نفاسيّة الدمين و ما بينهما مع الانقطاع أو كونها غير ذات عادة أو ذات عادة عشرة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الدمان فلقاعدة الإمكان و أمّا ما تخلّل بينهما من النقاء فلئلّا يلزم كون الطهر أقل من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و أمّا مع التجاوز و كونها ذات عادة أقل من عشرة فلو حكم بنفاسية الدّمين و ما بينهما يلزم جعل عدد تنفّسها و قعودها أكثر من عدد عادتها و هو خلاف ما يستفاد من الأخبار و إذن فلا محيص عن جعل الدم الأوّل نفاسا و الثاني استحاضة و اللّٰه العالم بحقائق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 و باطنا و ظاهرا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وفّقنا اللّٰه تعالى لتحريره من مسائل الدماء الثلاثة و كان الفراغ من تحريره بيد مؤلفه الآثم الجاني محمد علي بن أحمد الفراهاني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السابعة و العشرين من ذي القعدة الحرام من سنة </w:t>
      </w:r>
      <w:r>
        <w:rPr>
          <w:rFonts w:eastAsia="Amiri" w:cs="Amiri" w:ascii="Amiri" w:hAnsi="Amiri"/>
          <w:color w:val="111111"/>
          <w:sz w:val="28"/>
          <w:szCs w:val="28"/>
          <w:lang w:bidi="ar-SA"/>
        </w:rPr>
        <w:t>1366</w:t>
      </w:r>
      <w:bookmarkStart w:id="183" w:name="pg1803_21902"/>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Heading2"/>
        <w:numPr>
          <w:ilvl w:val="1"/>
          <w:numId w:val="1"/>
        </w:numPr>
        <w:rPr/>
      </w:pPr>
      <w:bookmarkStart w:id="184" w:name="__RefHeading___Toc2491933_3650668749"/>
      <w:bookmarkStart w:id="185" w:name="_Toc67"/>
      <w:bookmarkEnd w:id="184"/>
      <w:r>
        <w:rPr>
          <w:rtl w:val="true"/>
        </w:rPr>
        <w:t>المبحث الرابع</w:t>
      </w:r>
      <w:r>
        <w:rPr>
          <w:rtl w:val="true"/>
        </w:rPr>
        <w:t xml:space="preserve">: </w:t>
      </w:r>
      <w:r>
        <w:rPr>
          <w:rtl w:val="true"/>
        </w:rPr>
        <w:t xml:space="preserve">في أحكام الأموات و بعض ما يتعلّق بما قبل الموت </w:t>
      </w:r>
      <w:r>
        <w:rPr>
          <w:rtl w:val="true"/>
        </w:rPr>
        <w:t>«</w:t>
      </w:r>
      <w:r>
        <w:rPr/>
        <w:t>1</w:t>
      </w:r>
      <w:r>
        <w:rPr>
          <w:rtl w:val="true"/>
        </w:rPr>
        <w:t>»</w:t>
      </w:r>
      <w:bookmarkEnd w:id="185"/>
    </w:p>
    <w:p>
      <w:pPr>
        <w:pStyle w:val="Heading3"/>
        <w:numPr>
          <w:ilvl w:val="2"/>
          <w:numId w:val="1"/>
        </w:numPr>
        <w:rPr/>
      </w:pPr>
      <w:bookmarkStart w:id="186" w:name="__RefHeading___Toc2491935_3650668749"/>
      <w:bookmarkStart w:id="187" w:name="_Toc68"/>
      <w:bookmarkEnd w:id="186"/>
      <w:r>
        <w:rPr>
          <w:rtl w:val="true"/>
        </w:rPr>
        <w:t>[</w:t>
      </w:r>
      <w:r>
        <w:rPr>
          <w:rtl w:val="true"/>
        </w:rPr>
        <w:t>الأول في أحكام الاحتضار</w:t>
      </w:r>
      <w:r>
        <w:rPr>
          <w:rtl w:val="true"/>
        </w:rPr>
        <w:t>]</w:t>
      </w:r>
      <w:bookmarkEnd w:id="187"/>
    </w:p>
    <w:p>
      <w:pPr>
        <w:pStyle w:val="Heading4"/>
        <w:numPr>
          <w:ilvl w:val="3"/>
          <w:numId w:val="1"/>
        </w:numPr>
        <w:rPr/>
      </w:pPr>
      <w:bookmarkStart w:id="188" w:name="__RefHeading___Toc2491937_3650668749"/>
      <w:bookmarkStart w:id="189" w:name="_Toc69"/>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491939_3650668749"/>
      <w:bookmarkStart w:id="191" w:name="_Toc70"/>
      <w:bookmarkEnd w:id="190"/>
      <w:r>
        <w:rPr>
          <w:rtl w:val="true"/>
        </w:rPr>
        <w:t>مسألة</w:t>
      </w:r>
      <w:r>
        <w:rPr>
          <w:rtl w:val="true"/>
        </w:rPr>
        <w:t xml:space="preserve">: </w:t>
      </w:r>
      <w:r>
        <w:rPr>
          <w:rtl w:val="true"/>
        </w:rPr>
        <w:t>يجب عند ظهور أمارات الموت أداء ما في الذمة من الحقوق الواجبة</w:t>
      </w:r>
      <w:bookmarkEnd w:id="1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الإلهية أو الخلقيّة، و ردّ الأمانات و الودائع إلى أهلها مع الإمكان، و مع عدمه يجب الوصية بذلك و لا ينافي ذلك مع اشتراط التكليف بالقدرة و لا قدرة بعد الموت، فإنّ القدرة بالواسطة أيضا قدرة على الشي‌ء، و لو فرض الوثوق بإقدام الورثة أو غيرهم على الأداء و الردّ، بحيث لم تعد ترك الوصية مخالفة للتكليف بهما فلا دليل على وجوب الوصية من حيث نفسها و لا دلالة في قوله تعالى كُتِبَ عَلَيْكُمْ إِذٰا حَضَرَ أَحَدَكُمُ الْمَوْتُ إِنْ تَرَكَ خَيْراً الْوَصِيَّةُ </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بعد الإجماع على عدم</w:t>
      </w:r>
      <w:bookmarkStart w:id="192" w:name="pg1803_21904"/>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وجوب الوصية بشي‌ء للوالدين و الأقربين، كما لا شهادة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بعد شهادة سياقه على الاستحباب مضافا إلى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خبر آخر</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491941_3650668749"/>
      <w:bookmarkStart w:id="194" w:name="_Toc71"/>
      <w:bookmarkEnd w:id="193"/>
      <w:r>
        <w:rPr>
          <w:rtl w:val="true"/>
        </w:rPr>
        <w:t>مسألة</w:t>
      </w:r>
      <w:r>
        <w:rPr>
          <w:rtl w:val="true"/>
        </w:rPr>
        <w:t xml:space="preserve">: </w:t>
      </w:r>
      <w:r>
        <w:rPr>
          <w:rtl w:val="true"/>
        </w:rPr>
        <w:t>المشهور كما قيل</w:t>
      </w:r>
      <w:r>
        <w:rPr>
          <w:rtl w:val="true"/>
        </w:rPr>
        <w:t xml:space="preserve">: </w:t>
      </w:r>
      <w:r>
        <w:rPr>
          <w:rtl w:val="true"/>
        </w:rPr>
        <w:t>إنّه يجب توجيه المحتضر نحو القبلة و قيل</w:t>
      </w:r>
      <w:r>
        <w:rPr>
          <w:rtl w:val="true"/>
        </w:rPr>
        <w:t xml:space="preserve">: </w:t>
      </w:r>
      <w:r>
        <w:rPr>
          <w:rtl w:val="true"/>
        </w:rPr>
        <w:t>بل المشهور أنّه يستحب</w:t>
      </w:r>
      <w:r>
        <w:rPr>
          <w:rtl w:val="true"/>
        </w:rPr>
        <w:t>.</w:t>
      </w:r>
      <w:bookmarkEnd w:id="194"/>
    </w:p>
    <w:p>
      <w:pPr>
        <w:pStyle w:val="BookText"/>
        <w:rPr/>
      </w:pPr>
      <w:r>
        <w:rPr>
          <w:rFonts w:ascii="Amiri" w:hAnsi="Amiri" w:eastAsia="Amiri" w:cs="Amiri"/>
          <w:color w:val="111111"/>
          <w:sz w:val="28"/>
          <w:sz w:val="28"/>
          <w:szCs w:val="28"/>
          <w:rtl w:val="true"/>
          <w:lang w:bidi="ar-SA"/>
        </w:rPr>
        <w:t>و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في الفقيه مرسلا و في العلل مسندا عن أبي عبد اللّٰه،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صلّى اللّٰه عليه و آله و سلم على رجل من ولد عبد المطلب و هو في السوق و قد وجّه لغير القبلة،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إلى القبلة فإنّكم إذا فعلتم ذلك أقبلت عليه الملائكة و أقبل اللّٰه عزّ و جلّ عليه بوجهه، فلم يزل كذلك حتى يقبض</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بمصححة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لأحدكم ميّت فسجّوه تجاه القبلة، و كذلك إذا غسّل يحفر له موضع المغتسل تجاه القبلة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بموثقة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بباطن قدميه القبلة </w:t>
      </w:r>
      <w:r>
        <w:rPr>
          <w:rStyle w:val="FootnoteAnchor"/>
          <w:rtl w:val="true"/>
        </w:rPr>
        <w:footnoteReference w:id="98"/>
      </w:r>
      <w:r>
        <w:rPr>
          <w:rFonts w:ascii="Amiri" w:hAnsi="Amiri" w:eastAsia="Amiri" w:cs="Amiri"/>
          <w:color w:val="111111"/>
          <w:sz w:val="28"/>
          <w:sz w:val="28"/>
          <w:szCs w:val="28"/>
          <w:rtl w:val="true"/>
          <w:lang w:bidi="ar-SA"/>
        </w:rPr>
        <w:t>و بالأخبار الواردة في بيان كيفية الاستقبال، لكن الأخبار الأخيرة واردة في مقام بيان الكيفية بعد الفراغ عن حكم أصله، و أمّا إنّه الوجوب أو الاستحباب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فليست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نوقش فيها بأنّها ظاهرة في الاستحباب بقرينة التعليل، فإنّ تعليل الأمر بمصلحة دنيوية أو أخروية راجعة إلى نفس المكلّف أو إلى غيره يوجب حمل الأمر إمّا على الإرشاد، أو على المولوية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يستشكل في استفادة الاستحباب أيضا لو فرض كون المرشد إليه دنيويا محضا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الحمام غبّا فإنّه يكثر اللحم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الفرق بين المصلحة الراجعة إلى المكلف أو إلى غيره و أنّ ظهور الأمر في المولوية في القسم الثاني محفوظ، غاية الأمر تردّده بين الوجوب و الاستحباب لكن حكم العقل في مثله الاشتغال، فإنّ الأمر بعد إحراز مولويته حجّة على الامتثال إلى أن يعلم الترخيص في المخالفة، فعدم العلم بالترخيص كاف في الحجة العقلية و لا حاجة إلى العلم بالعدم، مدفوعة بأنّا لا نرى فرقا بين القسمين المذكورين في كونهما قرينة على الإرشاد أو الاستحباب،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التعليل بإقبال اللّٰه و إقبال الملائكة في مثل هذه الحال الّتي هي من أشدّ الحالات على المؤمن 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غاية القوّة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سرقة الشيطان و الهلاك الدائم لا ينافي إرادة الوجوب، بل يؤكده لأنّه في قوّة التعليل بدفع الهلاك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التسجية و هي التغطية، شاهد قوي على إرادة ما بعد الموت لعدم كون التغطية قبل الموت راجحا لو لم يكن مرجوحا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دائر بين التصرف في المادة بحمل الميّت على إرادة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المشرف بالموت، و بين التصرّف في الهيئة بحملها على الاستحباب مع إبقاء لفظة الميت على معناها الحقيقي، و لو لم يكن الثاني أرجح فلا أقل من المساواة مضافا إلى احتمال رجوع السؤال فيها إلى كيفية الاستقبال لا إلى أصله و معه يسقط عن الاستدلال رأسا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إثبات دلالة الأخبار على الوجوب لا يخلو عن تعسف، ثمّ على تقدير القول به فالظاهر بمقتضى التعليل الواقع في المرسلة سقوط الوجوب بتحقق الموت فلا يجب إبقاؤه بعد الموت لو كان و لا احداثه لو لم يكن، نعم لا ريب في رجحانه بعده بمقتضى مصححة سليمان بن خالد المتقدمة، فإنّها ظاهرة في ما بعد الموت و محمولة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حملها على الاستحباب فللإجماع، و أمّا ظهورها في ما بعد الموت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اشتمالها على ذكر التسجية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لأحدكم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بدّ من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المشرف بالموت،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 الحقيقي، لفساد المعنى على تقدير حمل كليهما على الإشراف أو كليهما على الموت الحقيقي أو بالاختلاف على عكس ما ذكرنا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مقتضى عموم التعليل عدم الفرق بين الذكور و الإناث و هو واضح، و لا بين الصغير و الكبير بناء على أنّ الصغير أيضا له قابلية شمول الرحمة الّذي يكون إقبال اللّٰه و إقبال الملائكة كناية عنه، كما أنّ مقتضاه اختصاص الحكم بمن اعتقد المذهب الحق دون ما خالفه، و مقتضى عمومه عموم الحكم لنفس المحتضر لأولويته من غيره في استيفاء المصلحة المذكورة لنفسه</w:t>
      </w:r>
      <w:r>
        <w:rPr>
          <w:rFonts w:eastAsia="Amiri" w:cs="Amiri" w:ascii="Amiri" w:hAnsi="Amiri"/>
          <w:color w:val="111111"/>
          <w:sz w:val="28"/>
          <w:szCs w:val="28"/>
          <w:rtl w:val="true"/>
          <w:lang w:bidi="ar-SA"/>
        </w:rPr>
        <w:t>.</w:t>
      </w:r>
      <w:bookmarkStart w:id="195" w:name="pg1803_21910"/>
    </w:p>
    <w:p>
      <w:pPr>
        <w:pStyle w:val="BookText"/>
        <w:rPr/>
      </w:pPr>
      <w:bookmarkEnd w:id="1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Heading4"/>
        <w:numPr>
          <w:ilvl w:val="3"/>
          <w:numId w:val="1"/>
        </w:numPr>
        <w:rPr/>
      </w:pPr>
      <w:bookmarkStart w:id="196" w:name="__RefHeading___Toc2491943_3650668749"/>
      <w:bookmarkStart w:id="197" w:name="_Toc72"/>
      <w:bookmarkEnd w:id="196"/>
      <w:r>
        <w:rPr>
          <w:rtl w:val="true"/>
        </w:rPr>
        <w:t>مسألة</w:t>
      </w:r>
      <w:r>
        <w:rPr>
          <w:rtl w:val="true"/>
        </w:rPr>
        <w:t xml:space="preserve">: </w:t>
      </w:r>
      <w:r>
        <w:rPr>
          <w:rtl w:val="true"/>
        </w:rPr>
        <w:t>يستحب التعجيل في تجهيز الموتى</w:t>
      </w:r>
      <w:bookmarkEnd w:id="197"/>
    </w:p>
    <w:p>
      <w:pPr>
        <w:pStyle w:val="BookText"/>
        <w:rPr/>
      </w:pPr>
      <w:r>
        <w:rPr>
          <w:rFonts w:ascii="Amiri" w:hAnsi="Amiri" w:eastAsia="Amiri" w:cs="Amiri"/>
          <w:color w:val="111111"/>
          <w:sz w:val="28"/>
          <w:sz w:val="28"/>
          <w:szCs w:val="28"/>
          <w:rtl w:val="true"/>
          <w:lang w:bidi="ar-SA"/>
        </w:rPr>
        <w:t>لتظافر الأخبار بذلك، و أنّه لو مات في الليل فلا يؤخّر إلى النهار، و لو مات في النهار فلا يؤخر إلى الليل، بل لو مات في أوّل النهار فلتكن قيلولته في القبر، و لكن هذا مع معلومية الحال و أمّا مع الاشتباه و عدم تحقّق الموت فلا بدّ من الصبر حتى يعلم لدوران الأمر بين فعل المستحب أو ترك الحرام، و من المعلوم 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الأخبار من الصبر ثلاثة أيّام أو حتى يتغير ريحه محمول على كون ذلك سببا عاديا للعلم كانخساف الصدغين و انفصال الكفين و تقلّص الأنثيين، و نحوها ممّا هو معروف لدى الأطباء لا على الأمارية التعبدية، فلو فرض نادرا عدم تحقّق العلم من الأمرين فلا يجوز المبادرة إلى الدفن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491945_3650668749"/>
      <w:bookmarkStart w:id="199" w:name="_Toc73"/>
      <w:bookmarkEnd w:id="198"/>
      <w:r>
        <w:rPr>
          <w:rtl w:val="true"/>
        </w:rPr>
        <w:t>[</w:t>
      </w:r>
      <w:r>
        <w:rPr>
          <w:rtl w:val="true"/>
        </w:rPr>
        <w:t>الثاني في أحكام الغسل</w:t>
      </w:r>
      <w:r>
        <w:rPr>
          <w:rtl w:val="true"/>
        </w:rPr>
        <w:t>]</w:t>
      </w:r>
      <w:bookmarkEnd w:id="199"/>
    </w:p>
    <w:p>
      <w:pPr>
        <w:pStyle w:val="Heading4"/>
        <w:numPr>
          <w:ilvl w:val="3"/>
          <w:numId w:val="1"/>
        </w:numPr>
        <w:rPr/>
      </w:pPr>
      <w:bookmarkStart w:id="200" w:name="__RefHeading___Toc2491947_3650668749"/>
      <w:bookmarkStart w:id="201" w:name="_Toc74"/>
      <w:bookmarkEnd w:id="200"/>
      <w:r>
        <w:rPr>
          <w:rtl w:val="true"/>
        </w:rPr>
        <w:t>مسألة</w:t>
      </w:r>
      <w:r>
        <w:rPr>
          <w:rtl w:val="true"/>
        </w:rPr>
        <w:t xml:space="preserve">: </w:t>
      </w:r>
      <w:r>
        <w:rPr>
          <w:rtl w:val="true"/>
        </w:rPr>
        <w:t>المشهور بل المجمع عليه كما في كلام بعض</w:t>
      </w:r>
      <w:r>
        <w:rPr>
          <w:rtl w:val="true"/>
        </w:rPr>
        <w:t xml:space="preserve">: </w:t>
      </w:r>
      <w:r>
        <w:rPr>
          <w:rtl w:val="true"/>
        </w:rPr>
        <w:t>وجوب تغسيل الميت و تكفينه و الصلاة عليه و دفنه وجوبا كفائيا</w:t>
      </w:r>
      <w:bookmarkEnd w:id="201"/>
    </w:p>
    <w:p>
      <w:pPr>
        <w:pStyle w:val="BookText"/>
        <w:rPr/>
      </w:pPr>
      <w:r>
        <w:rPr>
          <w:rFonts w:ascii="Amiri" w:hAnsi="Amiri" w:eastAsia="Amiri" w:cs="Amiri"/>
          <w:color w:val="111111"/>
          <w:sz w:val="28"/>
          <w:sz w:val="28"/>
          <w:szCs w:val="28"/>
          <w:rtl w:val="true"/>
          <w:lang w:bidi="ar-SA"/>
        </w:rPr>
        <w:t>مع ثبوت حقّ الأولوية لأوليائه، بمعنى عدم جواز التصدي لغيرهم لو أرادوا المبادرة و اشتراط ذلك بإذنهم، خلافا لصاحب الحدائق فإنّه أوجب ذلك على الأولياء تعيينا و بعد امتناعهم أو عدمهم أو قصورهم على العامة كفاية، و لبعض آخر فإنّه جعل الأولياء كغيرهم في الوجوب الكفائي مع إثبات حقّ لهم بنحو الفضل و الاستحباب لا بنحو اللزوم 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أدلّة المسألة ينبغي تقديم أمرين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بعضهم في عداد الأدلّة على الوجوب الكفائي أنّا نعلم أنّ مقصود الشارع وجود هذه الأفعال في الخارج من دون مدخلية لخصوص بعض المباشرين دون آخر، فاعترض على هذا الاستدلال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بإمكان كون المصلحة المقصودة قائمة بالفعل من أيّ مباشر صدر، و مع ذلك اقتضت المصلحة تخصيص الخطاب الإيجابي ببعض و عدمه رأسا في حقّ آخرين، أو ثبوته بنحو الاستحباب كما هو الحال في تغسيل الميت، حيث إنّه لو صدر من الصبي المميّز كان صحيحا و مع ذلك اختص الخطاب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اعترض على كلام شيخنا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إحراز كون الفائدة مقصودة للشارع على وجه لا يرضى بتركها كيف لا يستكشف كون الفعل فرضا على الكفاية، و هل هو إلّا مثل ما لو نادى المولى أحد عبيده باسمه الخاص به مع إحراز عدم خصوصية له إلّا من باب الموردية مع عدم حضوره و حضور عبد آخر غير مسمى بذلك الاسم، فإنّه لا يشك أحد في أنّه يجب على ذلك الآخر إجابة المولى، هذا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غفل عن أنّه كثيرا ما يكون للإنسان فائدة لازمة الاستيفاء في شي‌ء من الأشياء، و لكنّه مع ذلك يأبى عن تحميله على الغير المفسدة في نفس التحميل كما هو قضية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لأمرتهم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ذهب غير المشهور من العدلية إلى كون الأحكام تابعة لمصالح في المتعلّقات ما لم يزاحمها المفاسد في نفس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من المثال فهو من باب الخلط بين إحراز عمومية الفائدة و عمومية التحميل و المثال من الثاني و مقامنا من الأوّل كما هو واضح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حقّ الأولوية اللزومية للأولياء غير ملازم مع تخصيص الخطاب بهم ضرورة أنّ امتيازهم من سائر المكلفين إنّما هو في الإرفاق بهم بجعل الولاية و السلطنة لهم، و هو مناف مع جعل الكلفة و المضيقة عليهم، و على هذا فحالهم حال سائر المكلفين في كونهم طرفا للوجوب الكفائي، و إنّما الفرق حصول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المكلّف به منهم بلا شرط و توقف حصوله من غيرهم على إذنهم و رضاهم لو كان عبادة من غير أن يحدث من ناحية هذا تكليف زائد بالنسبة إليهم حتى في إذنهم لمن عداهم، فيجوز لهم الامتناع منه بأن يقول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حال المكلّفين، غاية الأمر إنّه يجب حينئذ على غيره بواسطة الأهميّة الاقدام بغير اذنه كما لو توقّف إنقاذ المؤمن على التصرف في ملك الغير فلا يوجب ذلك تخصيص الخطاب بالمالك و لا إيجاب الإذن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على غيره الاستئذان منه أوّلا فإن امتنع وجب عليهم الإقدام بدون إذنه، و من هنا يعلم أنّه لا وجه لإجبار الحاكم له على الاذن و لا للاستئذان من الحاكم بعد تعذر الإجبار، إذ هذا فرع وجوب الاذن عليه و قد عرفت عدمه، نعم يأتي هذا على قول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مطلقا دالّة على وجوب غسل الميّت و أخواته من غير تخصيص بأحد و مقيدات تخصها بالأولياء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الثانية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سلطان من سلطان اللّٰه جنازة فهو أحق بالصلاة عليها إن قدمه ولي الميت و إلّا فهو غاصب</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خبر أبي بصير عن المرأة تموت من أحق أن يصلّي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و موثقة غياث بن إبراهيم عن جعفر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مرسلة الفقيه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 أو من يأمره الولي بذلك</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مضافا إلى إمكان التمسك بآية أولى الأرحام لعدم اختصاصها بالإرث لدلالة حذف المتعلق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الطائفتين بحمل المطلقات على المقيدات بالتصرف في مادة المطلقات كما هو الحال في عامة الأبواب، و بعض آخر جمع بينهما بحمل المقيدات على المطلقات بالتصرف في هيئة المقيدات و المشهور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قرائن تدل على عدم إرادة الحكم التكليفي من المقيدات حتّى يدور الأمر بين الجمع بأحد النحوين بل المراد صرف إثبات الحق و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في الأمر الثاني عدم استلزام ذلك لتخصيص الخطاب الكفائي أصلا و لا لإحداث خطاب زائد في حقّ الأولياء، فمن جملة تلك القرائن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غير واحد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بالغصب الذي سمعته في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بالأمر في الخبر الأخير فإنّ المناسب على تقدير إرادة التكليف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يلتمس منه الولي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يدّعى أنّ المراد من الأولى بالإنسان من هو أشدّ علاقة و ارتباطا به، و إرادة خصوص الوارث منه في باب قضاء الصوم و الصلاة لأجل قرينة هناك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لا تدل على إرادته هنا مع فقد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ذكر لفظ مع القرينة و إرادة معنى خاص و ذكره على نحو الإطلاق و إرادة ذلك المعنى و ما ذكره إنّما يصح في القسم الأوّل و ما نحن فيه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 أنّ المراد بالأولويّة أيضا هي الفرضيّة لا الفضلية، بقرينة إرادة الأولى في باب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هذا الحق قائم بأشخاص الورثة نظير حق الاضطجاع القائم بشخص الزوجة فلا يقبل نيابة الغير، ألا ترى أنّ تجهيز الغير لميّت الإنسان يعد عارا على الإنسان عند العرف و لا ترتفع العاريّة بقيام الحاكم بذلك الأمر، و الظاهر أنّ جعل الشارع الحق المزبور يكون على هذا السبك و النمط، و على هذا فلو كان الوارث الفعلي غائبا أو قاصرا لصغير أو جنون أو رقّية فمقتضى القاعدة انتقال الولاية و الحق المزبور إلى الطبقة المتأخرة لا إلى الحاكم لما ذكر و لا سقوط الولاية رأسا لعموم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الحق حق واحد منبسط على جميع الورثة ممن يكون في طبقة واحدة بحيث لا بدّ من اجتماع الجميع على الإذن و الرضا، أو يكون لكل واحد واحد منهم على الاستقلال؟ الظاهر هو الثاني و إن قلنا في حقّ الخيار الموروث بكونه من الأوّل و ذلك لأنّه المفهوم من المناسبة المقامية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هذا الحكم موارد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المتقرب بالأبوين فإنّه مقدّم على المتقرب بأحدهما في جميع الطبقات، كما أنّ المتقرب بالأب فقط مقدّم على المتقرب بالأم كذلك، و إن خالف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الإرث في المقامين لصحيحة الكناسي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فإنّه مقدّم على سائر من في طبقته، خلافا للإسكافي حيث قدّم الجدّ عليه و كفى بانحصار المخالف في الإسكافي تأييدا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من الورثة فإنّهم مقدمون على الإناث ممن في طبقتهم، و الظاهر أنّه أيضا إجماعي مضافا إلى إمكان دعوى الانصراف فيهم و في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فإنّه أحقّ بالزوجة من سائر الورثة و إن كان مشاركا معهم في باب الإرث، لموثقة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الولد مضافا إلى دعوى الاتّفاق المحكي في جملة من العبائر، و لا يعارضهما ما ورد في خبرين آخرين من أحقية الأخ من الزوج لإعراض الأصحاب عنهما، و أمّا الزوجة فحالها حال سائر الورثة من غير تقدّم لها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دليل ولاية مطلق الوارث في موردها سليمة عن المخصص و إن نقل القول بالاختصاص في حقّها أيضا عن بعض،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ولاية الزوج على الزوجة بين الدائمة و المنقطعة لإطلاق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إطلاقها لما إذا كانت أمة أو كان الزوج عبدا إشكال، بل منع لعدم أهلية العبد للوارثية و عدم الولاية على المملوك إلّا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الحكم شامل للمطلّقة الرجعية؟ الظاهر ذلك لعدم قصور دليل تنزيلها منزلة الزوجة في شمول المقام كعدم قصوره في إثبات التوارث بينهما و في تحريم الخامسة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أوصى لأجنبي بتجهيزه فهل الوصية باطلة لكونه جنفا و تضييعا لحق</w:t>
      </w:r>
      <w:bookmarkStart w:id="202" w:name="pg1803_21922"/>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الورثة أو صحيحة بملاحظة أنّ جعل الولاية للورثة إنّما هو لمراعاة حقّ الميت لا لحقهم فإذا جعل هو ذلك لغيرهم كان أحق؟ وجهان لا يبعد الذهاب إلى الثاني لانصراف دليل الولاية عن صورة الوصية</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491949_3650668749"/>
      <w:bookmarkStart w:id="204" w:name="_Toc75"/>
      <w:bookmarkEnd w:id="203"/>
      <w:r>
        <w:rPr>
          <w:rtl w:val="true"/>
        </w:rPr>
        <w:t xml:space="preserve">مسألة </w:t>
      </w:r>
      <w:r>
        <w:rPr>
          <w:rtl w:val="true"/>
        </w:rPr>
        <w:t>[</w:t>
      </w:r>
      <w:r>
        <w:rPr>
          <w:rtl w:val="true"/>
        </w:rPr>
        <w:t>في موضوع الزوج و الزوجة و تجهيز أحدهما الآخر</w:t>
      </w:r>
      <w:r>
        <w:rPr>
          <w:rtl w:val="true"/>
        </w:rPr>
        <w:t>]</w:t>
      </w:r>
      <w:bookmarkEnd w:id="204"/>
    </w:p>
    <w:p>
      <w:pPr>
        <w:pStyle w:val="BookText"/>
        <w:rPr/>
      </w:pPr>
      <w:r>
        <w:rPr>
          <w:rFonts w:ascii="Amiri" w:hAnsi="Amiri" w:eastAsia="Amiri" w:cs="Amiri"/>
          <w:color w:val="111111"/>
          <w:sz w:val="28"/>
          <w:sz w:val="28"/>
          <w:szCs w:val="28"/>
          <w:rtl w:val="true"/>
          <w:lang w:bidi="ar-SA"/>
        </w:rPr>
        <w:t>اعلم أنّ في موضوع الزوج و الزوجة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لأحدهما في أمور تجهيز الآخر من الغسل و أخواته، و قد عرفت وجود الدليل و دعوى الاتفاق في حقّ الزوج و عدمهما في طرف الزوجة و إن كان فيه قول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تصدّي كل منهما لمباشرة خصوص تغسيل الآخر مع إمكان المماثل و هذه مسألة أخرى لإمكان ثبوت الولاية بالأعم من المباشرة و التسبيب و عدم جواز خصوص المباشرة كما في بنت العم بالنسبة إلى ابن العم و إمكان جواز المباشرة مع عدم الولاية كما في الأجنبي المماثل، و الدليل في هذه المسألة الثانية في طرف الزوجة أظهر منه في طرف الزوج و القول به كذلك أشهر على عكس الحال 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 تنبّهه بهذا في ما تقدّم في ردّ من خصص الولاية بالمحارم من الورثة مستدلا بأنّ جواز المباشرة و لو في بعض التقادير إنّما يثبت في حقّهم دون غيرهم، فأجاب بما يرجع إلى أنّ المسألتين ليستا من واد واحد غفل عن حقيقة الحال في هذا المقام فاستدلّ على جواز تصدي الزوج لتغسيل الزوجة بدليل ولايته كالموثقة المتقدمة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تغسيل كل منهما صاحبه في حال الاضطرار و عدم وجود المماثل و القول بعدم الجواز رأسا حتى في الحال المذكور مفقود القائل بين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حال الاختيار و وجود المماثل،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ففي الجواز و 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بالجواز إمّا مطلقا أو في خصوص الاضطرار، فهل يشترط كونه من وراء الثياب في الطرفين أو لا يشترط كذلك أو يشترط في خصوص تغسيل الزوج زوجته دون العكس، أو يشترط في كلّ منهما في خصوص العورة دون غيرها؟ أقوال، منشأها اختلاف الأخبار فإنّها بين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بظاهره على الجواز في الطرفين حتّى في حال الاختيار مع التجرّد و لو في العورة،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 يصلح أن ينظر إلى امرأته حين تموت أو يغسّلها إن لم يكن عندها من يغسّلها، و عن المرأة هل تنظر إلى مثل ذلك من زوجها حين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إنّما يفعل ذلك أهل المرأة كراهة أن ينظر زوجها إلى شي‌ء يكرهونه منها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يمنعها أهلها تعصّبا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في طرف الزوجة و المنع من طرف الزوج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زرارة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 ليس معه إلّا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امرأته لأنّها منه في عدة و إذا ماتت لم يغسّلها لأنّه ليس منها في عدة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تقييد الجواز بحال الاضطرار، مثل رواية أبي حمزة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 أن لا توجد امرأة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مثل رواية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الزوج امرأته في السفر و المرأة زوجها في السفر إذا لم يكن معهم رجل</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تقييد الجواز في خصوص الزوج دون الزوجة بكونه من وراء الثياب معلّلا بانقضاء عدتها في موتها دون موته، مثل صحيحة الحلبي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وراء الثوب لا ينظر إلى شعرها و لا إلى شي‌ء منها و المرأة تغسل زوجها لأنّه إذا مات كانت في عدة منه و إذا ماتت هي فقد انقضت عدّتها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في بعض الروايات تبديل الثوب بالقميص، و في بعضها تبديله بالدرع، و في بعضها تبديل التعليل بانقضاء العدّة بكون المرأة أسوأ منظرا من الرجل حين تموت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التقييد المزبور في كلا الطرفين مثل رواية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ماتت و هي في موضع ليس معهم امرأة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فيهم لها زوج و لا ذو رحم دفنوها بثيابها و لا يغسّلونها، و إن كان معهم زوجها أو ذو رحم لها فليغسّلها من غير أن ينظر إلى عورتها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مات في السفر مع نساء ليس معهنّ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فيهنّ امرأة فليدفن في ثيابه و لا يغسّل، و إن كان له فيهنّ امرأة فليغسل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قميص من غير أن تنظر إلى عورته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التقييد المزبور في خصوص العورة مثل صحيحة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السفر و معه امرأته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 و أخته و نحوهما يلقي على عورتها خرقة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ملخص الكلام في جمعها أنّ المستفاد من صحيحة ابن سنان جواز الغسل من الطرفين و حلّية النظر لهما حتّى حال الغسل، و إطلاقها يشمل العورة أيضا و أنّه لا مانع من ذلك من طرف الشرع و أنّ المانع منحصر في أمر عادي هو كراهة أهل المرأة من أن ينظر الزوج إلى شي‌ء يكرهونه و ممانعتهم عنها تعصبا، ألا ترى أنّه لو قيل لا بدّ أن لا يأكل الشخص الرئيس الزمان في السوق لأنّ الناس يرونه عيبا، يفهم أنّ المنع المذكور ليس إلّا لأمر أخلاقي، و لذا لا يناسب مثله في النهي عن شرب الخمر، فكذا لو قيل لو اجتمع الزوج مع أهل المرأة فإنّما لا يفعل الغسل الزوج، لأنّ أهلها و نساءها يرونه عيبا و يكرهونه غيرة و تعصّبا يفهم منه أنّه ليس في البين منع شرعي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فلا بدّ من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الدالة على المنع في طرف الزوج على الكراهة جمعا بينها و بين الصحيحة المزبورة مضافا إلى أنّ ظاهرها المنع التحريمي مطلقا حتى اضطرارا، و هو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الوجه في ما دلّ على التقييد بحال الاضطرار فإنّه أيضا لأجل الفرار عن الكراهة لأظهرية الصحيحة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و المستفاد من صحيحة الحلبي و إن كان حرمة النظر و انّ الأمر بالتستر مقدّمة له لا ملحوظا على وجه الموضوعية و الشرطية في صحة الغسل تعبّدا كما هو المستفاد من التعليل بانقضاء العدّة، لكن يجب رفع اليد عنه بحمله على الكراهة لصراحة صحيحة ابن سنان في حلّية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بالحليّة و الجواز في العورة أيضا و ذلك لبقاء علقة الزوجية بعد الموت أيضا، و كما كانت قبل الموت مجوزة للنظر إلى العورة فكذلك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لو قيل يحلّ نظر كل منهما إلى صاحبه يتبادر إلى الذهن بقاء الحلّية الّتي كانت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التعليل بانقضاء العدّة في صحيحة الحلبي، إذ ليس المراد به الانقطاع الرأسي قطعا و إلّا لما جاز أصل الغسل، بل المراد ضعف مرتبتها مع بقاء سنخها، فغاية الأمر حدوث الكراهة من جهة الضعف المذكور لا التفكيك بين العورة و غيرها،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الرخصة أظهر في شمول العورة من دليل الأمر بالتستر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من القول باستحباب كون الغسل من وراء الثوب يسهل الأمر في اختلاف الأخبار، حيث إنّ في بعضها ذكر الثوب و في آخر القميص و في ثالث الدرع و في رابع الاقتصار على إلقاء خرقة على العورة، فيحمل ذلك على اختلاف مراتب الفضل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بالوجوب فالأمر في غاية الإشكال، فإنّ مقتضى روايات القميص و الدرع و ما ذكر فيه الثوب مطلقا جواز كشف الوجه و الكفين و القدمين لأنّ الثوب محمول على المتعارف و مقتضى ما ذكر فيه الثوب مقيدا بالنهي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النظر إلى شعرها و إلى شي‌ء منها لزوم ستر جميع البدن إلّا أن يحمل الثوب على المتعارف، و يقال بحرمة النظر إلى الأمور الثلاثة من دون وجوب سترها، و يقال أيضا بأغلظيّة الوجوب في العورة بملاحظة ما اقتصر فيه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القولين المذكورين من الاستحباب أو الوجوب هل يكفي صبّ الماء في طهارة الثوب أو لا بدّ من عصره في خلال الأغسال الثلاثة؟</w:t>
      </w:r>
    </w:p>
    <w:p>
      <w:pPr>
        <w:pStyle w:val="BookText"/>
        <w:rPr/>
      </w:pPr>
      <w:r>
        <w:rPr>
          <w:rFonts w:ascii="Amiri" w:hAnsi="Amiri" w:eastAsia="Amiri" w:cs="Amiri"/>
          <w:color w:val="111111"/>
          <w:sz w:val="28"/>
          <w:sz w:val="28"/>
          <w:szCs w:val="28"/>
          <w:rtl w:val="true"/>
          <w:lang w:bidi="ar-SA"/>
        </w:rPr>
        <w:t>قد يقال بالأوّل نظرا إلى كونه ممّا لا يقبل العصر ما دام ملاصقا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لم يمكن عصره بأجمعه ما دام الملاصقة و لكن يمكن عصره جزءا فجزءا على التدريج، و قد يقال بالأوّل أيضا أخذا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فرع كونه ناظرا إلى هذه الجهة و هو ممنوع، فإذا بيّن في موضع آخر اختلاف ما يقبل العصر و ما لا يقبله في كيفية التطهير فالإطلاق في المقام مبني على الإحالة إلى ذلك الموضع و أيّ فرق بين اعتبار العصر في ما يقبله و بين اعتبار كون الغسل بالماء المطلق دون المضاف، فكما أنّ الإطلاق غير ناظر إلى الجهة الثانية فكذلك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بشمول الإطلاق للجهة المذكورة أمكن القول بسقوط العصر، بل بعدم تنجس الثوب بملاقاة الميت رأسا لعدم الترجيح في رفع اليد عن دليل العصر على دليل تنجس الملاقي للنجس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مقتضى لزوم العصر بطلان الأغسال بدونه، و ذلك لاعتبار طهارة بدن الميت من النجاسة العرضية الّتي منها ما حصل بملاقاة الثوب، فما في كلام بعض الأعلام من المفروغية عن صحّة الأغسال و حصول الطهارة للميت بدون العصر ممّا لا يعلم له وجه، و ليعلم أنّ إجراء التبعية هنا كما في الإناء الذي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يغسل فيه الثوب مرتين و لو قلنا بوجوب التثليث فيه في مقام آخر خلاف الأصل، فلا يصار إليه إلّا بدليل قاطع و إذ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الزوجة بين الدائمة و المنقطعة و هل يشمل الحكم للمعتدّة الرجعية في العدّة؟ وجهان تقدما في مسألة الولاية، فإنّ الكلام هنا هو الكلام هناك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يجري الحكم في الزوجة بعد انقضاء عدة الوفاة كما لو اتفق عدم حصول الغسل عصيانا أو لعذر مع عدم تلاشي البدن في طول تلك المدّة فيجوز للزوجة غسله و أشد إشكالا ما إذا صارت مزوجة للغير، قد يقال بعدم الجواز نظرا إلى صيرورتها حينئذ أجنبيّة و انقطاع علقتها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كان محقّقا من الأوّل و العدة أمر تعبّدي، و لهذا جاز للزوج في صورة موتها تزويج الخامسة من ابتداء الأمر بلا مهلة، فالذي هو المناط للجواز هو التلبس بالزوجية حين الموت و إن انقضت بسببه، و هذا لا فرق في تحقّقه بين ما قبل العدّة و ما بعدها، و ما قبل المنكوحيّة و ما بعدها، و قد يقال أيضا بالعدم نظرا إلى كون الفرض من الفروض النادرة الّتي ينصرف عنها الإطلاق فلا يعمّه دليل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انصراف بدوي يزول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القطع بهذا الانصراف أو الشك فيه كان المرجع حينئذ عموم ما دلّ على اعتبار المماثلة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المرجع حينئذ استصحاب حكم الخاص دون عموم العام، بل لو فرض عدم جريان الاستصحاب إمّا للخدشة في أصله أو في موضوعه، لكان المرجع أصالة الإباحة نظرا إلى أنّ المرأة لا تصير باعتبار ما قبل العدّة و ما بعدها فردين للعام المذكور،</w:t>
      </w:r>
      <w:bookmarkStart w:id="205" w:name="pg1803_21937"/>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فلا يلزم من خروجها في ما بعد العدّة تخصيص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هذا الكلام على تقدير تماميته و سلامته عن إشكال في أصله مقرر في محلّه إنّما يتم في ما إذا فرض خروج الفرد في الزمان الأوّل باعتبار ذاته من دون وجود عنوان في البين و لو بحسب القدر المتيقن، و إلّا كان من باب التقييد، و يرجع في ما زاد على القدر المتيقن إلى الإطلاق و العموم الأحوالي لا الأفرادي، و ما نحن فيه من هذا القبيل فإنّ الخارج ليست المرأة باعتبار ذاتها، بل إمّا باعتبار كونها معتدة أو الأعم،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زوجيتها الحاصلة حين الموت، فاللازم الرجوع في ما زاد على المتيقن و هو ما بعد العدّة إلى إطلاق دليل اعتبار المماثلة، فالمقام من قبيل ما إذا خرج من عموم أكرم العلماء الفاسق و تردّد أمره بين خصوص مرتكب الكبيرة، أو الأعم منها و من الصغيرة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491951_3650668749"/>
      <w:bookmarkStart w:id="207" w:name="_Toc76"/>
      <w:bookmarkEnd w:id="206"/>
      <w:r>
        <w:rPr>
          <w:rtl w:val="true"/>
        </w:rPr>
        <w:t xml:space="preserve">مسألة </w:t>
      </w:r>
      <w:r>
        <w:rPr>
          <w:rtl w:val="true"/>
        </w:rPr>
        <w:t>[</w:t>
      </w:r>
      <w:r>
        <w:rPr>
          <w:rtl w:val="true"/>
        </w:rPr>
        <w:t>في اعتبار المماثلة بين الغاسل و الميت و ما يستثنى منه</w:t>
      </w:r>
      <w:r>
        <w:rPr>
          <w:rtl w:val="true"/>
        </w:rPr>
        <w:t>]</w:t>
      </w:r>
      <w:bookmarkEnd w:id="207"/>
    </w:p>
    <w:p>
      <w:pPr>
        <w:pStyle w:val="BookText"/>
        <w:rPr/>
      </w:pPr>
      <w:r>
        <w:rPr>
          <w:rFonts w:ascii="Amiri" w:hAnsi="Amiri" w:eastAsia="Amiri" w:cs="Amiri"/>
          <w:color w:val="111111"/>
          <w:sz w:val="28"/>
          <w:sz w:val="28"/>
          <w:szCs w:val="28"/>
          <w:rtl w:val="true"/>
          <w:lang w:bidi="ar-SA"/>
        </w:rPr>
        <w:t>يستثنى من اعتبار المماثلة بين الغاسل و الميت تغسيل المولى أمته بشرط عدم كونها مزوّجة و لا معتدة و لا مبعضة و لا مكاتبة، و في بعض الكلمات حكاية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تغسيل الأمة مولاها بالشرط المذكور ففيه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المنع كذلك، و التفصيل بين أمّ الولد فالجواز و غيرها فالمنع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علقة الملكية لخروج أحد الطرفين عن الأهلية بعروض الموت لا يوجب زوال المحرمية من حيث جواز النظر و اللمس، و ذلك لصدق المولى و الأمة بعد الموت كصدقهما قبله بلا فرق كعدم الفرق في صدق الأبوّة و البنوّة بين حالتي حياة الأب و الابن و موتهما، و أمّا جواز تغسيل كل منهما صاحبه، فإن صحّ دعوى انصراف دليل اعتبار المماثلة عنهما فهو، و إلّا أمكن رفع اليد عن</w:t>
      </w:r>
      <w:bookmarkStart w:id="208" w:name="pg1803_21939"/>
    </w:p>
    <w:p>
      <w:pPr>
        <w:pStyle w:val="BookText"/>
        <w:rPr/>
      </w:pPr>
      <w:bookmarkEnd w:id="2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عمومه في تغسيل المولى أمته بواسطة عدم الخلاف و في عكسه في خصوص أمّ الولد لرواية إسحاق بن عمّار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تغسّله أم ولد له فغسّلته، و ما عن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قال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أكره أن أنظر إلى عورتك في حياتك، فما أنا بالذي أنظر إليها بعد موتك فأدخل يده و غسّل جسده، ثم دعا أم ولد له فأدخلت يدها فغسّلت عورته، و كذلك فعلت أنا 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الرواية عن مولانا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مولانا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واحد من أجلّة الفقهاء و على كل تقدير يفيد المدّعى</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491953_3650668749"/>
      <w:bookmarkStart w:id="210" w:name="_Toc77"/>
      <w:bookmarkEnd w:id="209"/>
      <w:r>
        <w:rPr>
          <w:rtl w:val="true"/>
        </w:rPr>
        <w:t>مسألة</w:t>
      </w:r>
      <w:r>
        <w:rPr>
          <w:rtl w:val="true"/>
        </w:rPr>
        <w:t xml:space="preserve">: </w:t>
      </w:r>
      <w:r>
        <w:rPr>
          <w:rtl w:val="true"/>
        </w:rPr>
        <w:t>مع فقد المماثل المسلم و المحارم يجوز تغسيل المماثل الكتابي</w:t>
      </w:r>
      <w:bookmarkEnd w:id="210"/>
    </w:p>
    <w:p>
      <w:pPr>
        <w:pStyle w:val="BookText"/>
        <w:rPr/>
      </w:pPr>
      <w:r>
        <w:rPr>
          <w:rFonts w:ascii="Amiri" w:hAnsi="Amiri" w:eastAsia="Amiri" w:cs="Amiri"/>
          <w:color w:val="111111"/>
          <w:sz w:val="28"/>
          <w:sz w:val="28"/>
          <w:szCs w:val="28"/>
          <w:rtl w:val="true"/>
          <w:lang w:bidi="ar-SA"/>
        </w:rPr>
        <w:t>لموثقة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رجل مسلم و ليس معه رجل مسلم و لا امرأة مسلمة من ذوي قرابته و معه رجال نصارى و نساء مسلمات ليس بينه و بينهن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النصارى ثمّ يغسّلونه فقد اضطر، و عن المرأة المسلمة تموت و ليس معها امرأة مسلمة و رجل مسلم من ذوي قرابتها و معها نصرانية و رجال مسلمون و ليس بينها و بينهم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مثلها رواية عمرو بن خالد، و ما عن الفقه الرضوي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يعتبر كون الغسل بالماء الكثير أو كونه على وجه لا تسري النجاسة إلى الماء و بدن الميت أو لا يعتبر؟ الظاهر الثاني لبعد حمل الرواية على الصورة المذكورة فيقال بالعفو عن النجاسة في هذا المقام أو بعدم انفعال الملاقي كما قيل به في ماء الاستنجاء، و هل يسقط اعتبار نيّة القربة هاهنا لعدم تمشّيها من الكافر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المعتقد بعدم الحقية أو يعتبر تحقّقها من المسلم الآمر للكافر؟ لا يبعد الثاني فإنّه و إن لم يقع في الرواية تصريح بالأمر المذكور، و لكنّه ممّا لا ينفك غالبا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التجأ إلى إنكار اعتبار قصد القربة في غسل الميت رأسا و أنّ المعتبر إنّما هو قصد العنوان، و الظاهر تفرّده بهذا القول و تصحيح أخذ الأجرة على الغسل كما هو المتداول في عصرنا غير متوقف على اختيار هذا القول فإنّ حاله حال سائر العبادات الاستيجارية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اعتبار قصد القربة في هذا المقام فانّ المفروض عدم تمشيه من المباشر بعد اعتقاده بعدم مقربية العمل و القول باعتباره في حقّ السبب ليس إلّا كالقول باعتبار المسح على رأس الغير في ما إذا تعذّر المسح على رأس نفسه في باب الوضوء؟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المثال و ما نحن فيه أنّ الغير هناك أجنبي عن الخطاب بهذا الوضوء رأسا بخلاف المقام، فإنّ التكليف بالغسل لا محالة متوجّه إلى المسلم، غاية الأمر بآلية الكتابي لوضوح لغوية توجّهه إلى الكافر مع وصف كفره كما هو المفروض، فاعتباره في حقّ السبب نظير اعتبار المسح على المرارة الموضوعة على بشرة الممسوح، حيث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و أشباهه من كتاب اللّٰه، فما نحن فيه داخل في أشباهه مضافا إلى كونه مقتضى الاستصحاب، و إلى كون المقام من قبيل الشك في المحصل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يجب بمقتضى النص اغتسال الكتابي أوّلا بمعنى غسل يديه من النجاسات العرضية لئلّا يتلوث بدن الميت بها لعدم حصول الاضطرار بالنسبة إليها</w:t>
      </w:r>
      <w:r>
        <w:rPr>
          <w:rFonts w:eastAsia="Amiri" w:cs="Amiri" w:ascii="Amiri" w:hAnsi="Amiri"/>
          <w:color w:val="111111"/>
          <w:sz w:val="28"/>
          <w:szCs w:val="28"/>
          <w:rtl w:val="true"/>
          <w:lang w:bidi="ar-SA"/>
        </w:rPr>
        <w:t>.</w:t>
      </w:r>
      <w:bookmarkStart w:id="211" w:name="pg1803_21943"/>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كما أنّه يجب الاقتصار في هذا الحكم على الكتابي لعدم قيام الدليل في غيره من الكفّار، فيجب الاقتصار في الحكم المخالف للأصل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يجزي هذا الغسل بعد تحقّقه لو وجد المماثل المسلم أو غير المماثل المحرم بعد ذلك أو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كل منهما قائل و لا يبعد الثاني، نظرا إلى إطلاق مادة الخطاب بالغسل التام، فإنّ مقتضاه بقاء مقدار لازم الاستيفاء من مصلحة المأمور به عند تعذّر الخصوصية المذكورة، غاية الأمر سقوط التكليف باستيفائه ما دام التعذّر، فإذا ارتفع عاد التكليف بالاستيفاء في ضمن الفعل التام و لا ينافي هذا مع كون الغسل الصادر من الكتابي من عين تلك الطبيعة الصادرة من المسلم كما يظهر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أنّ لازم القول بعدم الاجزاء كون ما صدر من الكتابي غسلا صوريا لا حقيقيا و هو خلاف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المنافاة أنّه و إن كان من أفراد تلك الطبيعة و مفيدا لآثارها من سقوط الغسل بالمس بعده و طهارة بدن الميّت بسببه و نحو ذلك، لكن الطبيعة المذكورة من قبيل الطبائع المشككة</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491955_3650668749"/>
      <w:bookmarkStart w:id="213" w:name="_Toc78"/>
      <w:bookmarkEnd w:id="212"/>
      <w:r>
        <w:rPr>
          <w:rtl w:val="true"/>
        </w:rPr>
        <w:t>مسألة</w:t>
      </w:r>
      <w:r>
        <w:rPr>
          <w:rtl w:val="true"/>
        </w:rPr>
        <w:t xml:space="preserve">: </w:t>
      </w:r>
      <w:r>
        <w:rPr>
          <w:rtl w:val="true"/>
        </w:rPr>
        <w:t>تغسيل الرجل محارمه</w:t>
      </w:r>
      <w:bookmarkEnd w:id="2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يحرم عليه نكاحها مؤبّدا بنسب أو رضاع أو مصاهرة، و كذا تغسيل المرأة محارمها ممّا لا إشكال في جوازه في الجملة، بمعنى عدم السلب الكلي حتى في حال الاضطرار و عدم المماثل بحيث يدفن الميت بلا غسل، بل و لا إشكال أيضا في تقدّمه على تغسيل الكتابي المماثل، كما أنّ عنوان المحرم أعم ممّن يكون محرميته بسبب المصاهرة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مقامين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ستر جميع البدن أو يجوز التجرد في ما عدا العورة؟</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الجواز بحال الاضطرار و عدم المماثل المسلم أو يعمّ حال الاختيار أيضا؟</w:t>
      </w:r>
    </w:p>
    <w:p>
      <w:pPr>
        <w:pStyle w:val="BookText"/>
        <w:rPr/>
      </w:pPr>
      <w:r>
        <w:rPr>
          <w:rFonts w:ascii="Amiri" w:hAnsi="Amiri" w:eastAsia="Amiri" w:cs="Amiri"/>
          <w:color w:val="111111"/>
          <w:sz w:val="28"/>
          <w:sz w:val="28"/>
          <w:szCs w:val="28"/>
          <w:rtl w:val="true"/>
          <w:lang w:bidi="ar-SA"/>
        </w:rPr>
        <w:t>مقتضى الاستصحاب في المقام الأوّل جواز التجرد في ما عدا العورة و حرمته فيها، و هو أيضا مقتضى الجمع بين الأخبار، فإنّها بين ما ذكر فيه كون الغسل من وراء الثوب، و ما ذكر فيه كونه من وراء القميص، و ما ذكر فيه كونه من فوق الدرع و ما اقتصر فيه على إلقاء شي‌ء على العورة، أو جعل مئزر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الطائفة الأخيرة جواز الاكتفاء بستر العورة و أنّ ذكر الثوب و نحوه في الطائفة الأولى، إنّما هو للمحافظة على حفظها، أو للاستحباب أو لعدم وقوع نظر الأجانب، حيث فرض في بعضها معاونتهم في صبّ الماء، و هكذا الكلام في المس، فانّ مقتضى الاستصحاب جوازه في ما عدا العورة و حرمته فيها و هو أيضا مقتضى الجمع بين المنع منه في بعض الأخبار و التصريح بجوازه في ما عدا العورة في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في المقام الثاني الاقتصار على حال الاضطرار لاختصاص مورد الأخبار كلا بمورد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يتوهم فيه الإطلاق خصوص صحيحة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السفر و معه امرأته يغسّلها؟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أمّه و أخته و نحوهما يلقي على عورتها خرقة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القول فيها أيضا بعدم الإطلاق بدعوى أنّ الاضطرار غير منحصر</w:t>
      </w:r>
      <w:bookmarkStart w:id="214" w:name="pg1803_21947"/>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بعدم وجود المماثل، بل أعم منه و من امتناعه و عدم حضوره على الإقدام مع وجوده، و الأوّل و إن كان نادرا، و لكن الثاني ممّا لا ندرة فيه في السفر على ما هو الغالب فيه من عدم المرأة الغسالة و امتناع من سواها من النسوة، و على هذا فيبقى ما دلّ على التقييد مثل قول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 أن لا توجد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مع النساء غسّلته امرأته، فإن لم تكن امرأته معه غسّلته أولاهنّ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الخلاف في إجزاء هذا الغسل و عدم لزوم إعادته لو فرض التمكّن بعده من المماثل الغير الممتنع، و لولاه لكان مقتضى القاعدة عدمه كما مرّ في تغسيل الكتابي، مضافا إلى أنّ تغسيل الكتابي مخالف للقاعدة من جهات كما مرّ و تغسيل المحارم ليس فيه مخالفة قاعدة إلّا فقد خصوصية المماثلة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491957_3650668749"/>
      <w:bookmarkStart w:id="216" w:name="_Toc79"/>
      <w:bookmarkEnd w:id="215"/>
      <w:r>
        <w:rPr>
          <w:rtl w:val="true"/>
        </w:rPr>
        <w:t>مسألة</w:t>
      </w:r>
      <w:r>
        <w:rPr>
          <w:rtl w:val="true"/>
        </w:rPr>
        <w:t xml:space="preserve">: </w:t>
      </w:r>
      <w:r>
        <w:rPr>
          <w:rtl w:val="true"/>
        </w:rPr>
        <w:t>لا يجوز تغسيل الأجنبي للأجنبيّة و لا الأجنبيّة للأجنبي</w:t>
      </w:r>
      <w:bookmarkEnd w:id="216"/>
    </w:p>
    <w:p>
      <w:pPr>
        <w:pStyle w:val="BookText"/>
        <w:rPr/>
      </w:pPr>
      <w:r>
        <w:rPr>
          <w:rFonts w:ascii="Amiri" w:hAnsi="Amiri" w:eastAsia="Amiri" w:cs="Amiri"/>
          <w:color w:val="111111"/>
          <w:sz w:val="28"/>
          <w:sz w:val="28"/>
          <w:szCs w:val="28"/>
          <w:rtl w:val="true"/>
          <w:lang w:bidi="ar-SA"/>
        </w:rPr>
        <w:t>و لو مع فقد المماثل مسلما أو كتابيا و فقد المحارم، بل يدفن الرجل كما هو في ثيابه، و المرأة كما هي بثيابها، و عن المعتبر و التذكرة دعوى الإجماع عليه، و عن الجواهر أنّه المشهور شهرة كادت تكون إجماعا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عليه صحيحة الحلبي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المرأة تموت في السفر و ليس معها ذو محرم و 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تدفن كما هي بثيابها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يموت و ليس معه إلّا النساء ليس معهنّ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بمضمونها عدّة روايات أخر</w:t>
      </w:r>
      <w:r>
        <w:rPr>
          <w:rFonts w:eastAsia="Amiri" w:cs="Amiri" w:ascii="Amiri" w:hAnsi="Amiri"/>
          <w:color w:val="111111"/>
          <w:sz w:val="28"/>
          <w:szCs w:val="28"/>
          <w:rtl w:val="true"/>
          <w:lang w:bidi="ar-SA"/>
        </w:rPr>
        <w:t xml:space="preserve">. </w:t>
      </w:r>
      <w:r>
        <w:rPr>
          <w:rStyle w:val="FootnoteAnchor"/>
          <w:rtl w:val="true"/>
        </w:rPr>
        <w:footnoteReference w:id="114"/>
      </w:r>
      <w:bookmarkStart w:id="217" w:name="pg1803_21949"/>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خلافا للشيخين و الحلبي و ابن زهرة و المحدّث الكاشاني في المفاتيح فأوجبوا تغسيل الأجنبي و الأجنبيّة في الصورة المذكورة من وراء الثياب استنادا إلى أخبار بعضها ممّا لا إطلاق 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 أن لا توجد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في مقام إثبات الحكم المنفي في المستثنى منه في جانب المستثنى إلّا بنحو الإهمال و الموجبة الجزئية كما في نظائره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مطلقات قابلة للتقييد بصورة المحرمية بقرينة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و إن كان نصّا في الجواز مع فرض فقد المماثل و المحارم و لكنّه بواسطة إعراض المشهور 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الجمع العرفي بينه و بين أخبار المنع بحمله على استحباب الفعل و حمل المنع لكونه في مقام توهّم الوجوب على الرخصة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للاستناد لسقوطه بذلك عن الحجية و لو مع عدم المعارض فإنّ السند كلّما ازداد قوّة ازداد بواسطة الإعراض و هنا فضلا عمّا لم يكن له بحسب الذات أيضا قوّة كما هو الحال في الأخبار المذكورة فراجع، و اذن فالأقوى ما عليه المشهور</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491959_3650668749"/>
      <w:bookmarkStart w:id="219" w:name="_Toc80"/>
      <w:bookmarkEnd w:id="218"/>
      <w:r>
        <w:rPr>
          <w:rtl w:val="true"/>
        </w:rPr>
        <w:t xml:space="preserve">مسألة </w:t>
      </w:r>
      <w:r>
        <w:rPr>
          <w:rtl w:val="true"/>
        </w:rPr>
        <w:t>[</w:t>
      </w:r>
      <w:r>
        <w:rPr>
          <w:rtl w:val="true"/>
        </w:rPr>
        <w:t>في مستثنيات تغسيل الأجنبي للأجنبية و بالعكس</w:t>
      </w:r>
      <w:r>
        <w:rPr>
          <w:rtl w:val="true"/>
        </w:rPr>
        <w:t>]</w:t>
      </w:r>
      <w:bookmarkEnd w:id="219"/>
    </w:p>
    <w:p>
      <w:pPr>
        <w:pStyle w:val="BookText"/>
        <w:rPr/>
      </w:pPr>
      <w:r>
        <w:rPr>
          <w:rFonts w:ascii="Amiri" w:hAnsi="Amiri" w:eastAsia="Amiri" w:cs="Amiri"/>
          <w:color w:val="111111"/>
          <w:sz w:val="28"/>
          <w:sz w:val="28"/>
          <w:szCs w:val="28"/>
          <w:rtl w:val="true"/>
          <w:lang w:bidi="ar-SA"/>
        </w:rPr>
        <w:t>يستثنى من عموم المنع في تغسيل الأجنبي للأجنبية و بالعكس تغسيل المرأة لابن ثلاث سنين فما دون و لو مع التجرّد حتى في العورة و مع إمكان المماثل، و تغسيل الرجل لبنت ثلاث سنين فما دون كذلك، و عن النهاية و التذكرة دعوى الإجماع على الحكمين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أصل الحكم في جانب الابن موثقة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الصبي تغسّله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يغسل الصبيان النساء، و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الصبية تموت فلا تصاب امرأة تغسّلها؟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يغسلها رجل أولى الناس بها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على تحديده بالثلاث رواية أبي النمير مولى الحارث بن المغيرة التي ضعفها مجبور بالعمل، قال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الصبي إلى كم تغسّله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 سنين </w:t>
      </w:r>
      <w:r>
        <w:rPr>
          <w:rStyle w:val="FootnoteAnchor"/>
          <w:rtl w:val="true"/>
        </w:rPr>
        <w:footnoteReference w:id="116"/>
      </w:r>
      <w:r>
        <w:rPr>
          <w:rFonts w:ascii="Amiri" w:hAnsi="Amiri" w:eastAsia="Amiri" w:cs="Amiri"/>
          <w:color w:val="111111"/>
          <w:sz w:val="28"/>
          <w:sz w:val="28"/>
          <w:szCs w:val="28"/>
          <w:rtl w:val="true"/>
          <w:lang w:bidi="ar-SA"/>
        </w:rPr>
        <w:t>، و إطلاق الرواية الأولى شامل لحالتي الاختيار و التجرّد و لو في العورة مضافا إلى عدم الدليل على حرمة النظر إلى العورة مع عدم التميّز كما هو الغالب في الأطفال في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جانب البنت فيكفينا في إثبات أصل الحكم العمومات مع عدم اندراج البنت في أدلّة المنع عن تغسيل غير المماثل لاختصاصه بالمرأة مع وضوح عدم صدقها على البنت، و بضميمة عدم الدليل على حرمة النظر إلى العورة في هذا السن، و وجود النص الصحيح على جواز النظر إلى البنت ما لم تبلغ يتم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الدلالة على المنع في جانب البنت من موثقة عمّار المتقدمة بدعوى أنّ المراد بالأولى هو المحرم و إلّا فلا وجه لإرادة الولي بالمعنى الأعم لعدم القائل بالاختصاص به بذاك المعنى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الممكن أنّ الوجه في تغيير الأسلوب استنكار هذا المعنى في البنت و عدمه في الابن كما هو المشاهد عند العرف، و هو الوجه أيضا في التقييد في السؤال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تصاب امرأة</w:t>
      </w:r>
      <w:r>
        <w:rPr>
          <w:rFonts w:eastAsia="Amiri" w:cs="Amiri" w:ascii="Amiri" w:hAnsi="Amiri"/>
          <w:color w:val="111111"/>
          <w:sz w:val="28"/>
          <w:szCs w:val="28"/>
          <w:rtl w:val="true"/>
          <w:lang w:bidi="ar-SA"/>
        </w:rPr>
        <w:t>.</w:t>
      </w:r>
      <w:bookmarkStart w:id="220" w:name="pg1803_21953"/>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و أمّا التحديد بالثلاث فلا مستند له في البنت إلّا دعوى أنّه إذا كان الحدّ في الابن مع عدم الاستنكار هو الثلاث فلا بدّ أن يكون هو الحدّ في البنت التي عرفت الاستنكار فيها و إلّا يلزم كون الابن أسوأ حالا منها و لعلّه بضميمة الشهرة المحقّقة و الإجماعات المنقولة كاف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رواية بالتحديد بالخمس و لكنّها بواسطة إعراض الأصحاب إلّا من شذّ غير قابل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بالثلاث ما كان مبدؤه حين الولادة و منتهاه حين الموت، لا حين الغسل كما هو واضح، و إن صدر خلافه عن جامع المقاصد</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491961_3650668749"/>
      <w:bookmarkStart w:id="222" w:name="_Toc81"/>
      <w:bookmarkEnd w:id="221"/>
      <w:r>
        <w:rPr>
          <w:rtl w:val="true"/>
        </w:rPr>
        <w:t>مسألة</w:t>
      </w:r>
      <w:r>
        <w:rPr>
          <w:rtl w:val="true"/>
        </w:rPr>
        <w:t xml:space="preserve">: </w:t>
      </w:r>
      <w:r>
        <w:rPr>
          <w:rtl w:val="true"/>
        </w:rPr>
        <w:t>الخنثى المشكل لو كان له ثلاث سنين فأقل جاز لكل من الطائفتين غسله</w:t>
      </w:r>
      <w:bookmarkEnd w:id="222"/>
    </w:p>
    <w:p>
      <w:pPr>
        <w:pStyle w:val="BookText"/>
        <w:rPr/>
      </w:pPr>
      <w:r>
        <w:rPr>
          <w:rFonts w:ascii="Amiri" w:hAnsi="Amiri" w:eastAsia="Amiri" w:cs="Amiri"/>
          <w:color w:val="111111"/>
          <w:sz w:val="28"/>
          <w:sz w:val="28"/>
          <w:szCs w:val="28"/>
          <w:rtl w:val="true"/>
          <w:lang w:bidi="ar-SA"/>
        </w:rPr>
        <w:t>بلا إشكال، كما أنّه لو كان له أمّة و قلنا بجواز غسل الأمة مولاها اختيارا، غسّلته أمته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ما إذا لم يكن له أمة و كان له أكثر من ثلاث سنين فإن كان له محرم فقد يقال بجواز تغسيل المحرم إياه، نظرا إلى أنّ هذا من مواقع الضرورة المبيحة لغسل المحرم لعدم الفرق في تحقّقها بين عدم وجود المماثل و بين عدم إمكان الوقوف عليه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واضح لإمكان تحصيل القيد بتكرار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فقد يقال في هذه الصورة كما في صورة عدم المحرم بارتفاع التكليف ظاهرا نظرا إلى أنّ كلا من الطائفتين شاك في حصول الشرط في حقّ نفسه، و الشك في الشرط شك في المشروط، فالمقام من قبيل واجدي المني في الثوب المشترك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المذكور ليس شرطا للوجوب بل إنّما هو شرط للوجود،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و الواجب تحصيل المقيد أعني غسل المماثل بالأعم من المباشرة و التسبيب، و على هذا فيجب الاحتياط بإيجاد الغسل من كل من الطائفتين تحصيلا للفراغ القطعي عن الشغل اليقيني بالواجب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استلزم الاحتياط وقوع المكلّف في النظر و اللمس المحرّمين كما لو لم يمكن الغسل إلّا مع التجرد و مع عدم تغميض العينين، كان المقام حينئذ من قبيل واجدي المني فإنّ التسبيب إلى غسل كل منهما مستلزم للمحذور و إلى غسل أحدهما مشكوك الشرط، و على هذا فيجب مع عدم الاستلزام المذكور كما هو الغالب الاحتياط بتحصيل التكرار مع كونه من وراء الثياب فرارا عن الوقوع في المحذور المذكور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في صورة عدم الاستلزام بعدم وجوب الاحتياط و سقوط التكليف بغسل إحدى الطائفتين بدعوى أنّ قيد المماثلة أو المحرمية ليس مأخوذا في ماهية الغسل كإطلاق الماء و طهارته، بل هو كإباحة الماء منتزع من تكليف خارجي و هو التكليف بترك النظر و اللمس بالنسبة إلى الأجنبي الغير المماثل، فالغسل الصادر عن الأجنبي الغير المماثل تام الانطباق على الطبيعة المأمور بها كالصلاة في الدار المغصوبة، و لكن إيجادها مع الحرام أو استلزامها له مانع عن حصول القرب ما دام النهي منجّزا، فإذا سقط عن التنجّز بواسطة الجهل لا مانع من حصول القرب أيضا، فإنّ الأمر و إن لم يتعلّق بالفعل لمكان مناقضته مع النهي الموجود واقعا في حال الجهل أيضا، لكن لو أتى به بداعي المصلحة و الحسن الذاتي أو بداعي الأمر التخيّلي كفى في العباديّة لوفاء الفعل بتمام مصلحة المأمور به مع عدم تأثير النهي الواقعي في بعد الفاعل و قبحه</w:t>
      </w:r>
      <w:r>
        <w:rPr>
          <w:rFonts w:eastAsia="Amiri" w:cs="Amiri" w:ascii="Amiri" w:hAnsi="Amiri"/>
          <w:color w:val="111111"/>
          <w:sz w:val="28"/>
          <w:szCs w:val="28"/>
          <w:rtl w:val="true"/>
          <w:lang w:bidi="ar-SA"/>
        </w:rPr>
        <w:t>.</w:t>
      </w:r>
      <w:bookmarkStart w:id="223" w:name="pg1803_21957"/>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ظواهر الأدلّة كون القيد المذكور معتبرا في حصول الماهية كسائر القيود المعتبرة فيها، و مجرد كون الحكمة في الاعتبار ملاحظة الشارع عدم وقوع المكلّف في النظر و اللمس المحرّمين على فرض التسليم لا يصير قرينة صارفة عن الظهور المذكور، و اللّٰه العالم بحقائق الأمور</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491963_3650668749"/>
      <w:bookmarkStart w:id="225" w:name="_Toc82"/>
      <w:bookmarkEnd w:id="224"/>
      <w:r>
        <w:rPr>
          <w:rtl w:val="true"/>
        </w:rPr>
        <w:t>مسألة</w:t>
      </w:r>
      <w:r>
        <w:rPr>
          <w:rtl w:val="true"/>
        </w:rPr>
        <w:t xml:space="preserve">: </w:t>
      </w:r>
      <w:r>
        <w:rPr>
          <w:rtl w:val="true"/>
        </w:rPr>
        <w:t>يجب تغسيل كل مظهر للشهادتين</w:t>
      </w:r>
      <w:bookmarkEnd w:id="225"/>
    </w:p>
    <w:p>
      <w:pPr>
        <w:pStyle w:val="BookText"/>
        <w:rPr/>
      </w:pPr>
      <w:r>
        <w:rPr>
          <w:rFonts w:ascii="Amiri" w:hAnsi="Amiri" w:eastAsia="Amiri" w:cs="Amiri"/>
          <w:color w:val="111111"/>
          <w:sz w:val="28"/>
          <w:sz w:val="28"/>
          <w:szCs w:val="28"/>
          <w:rtl w:val="true"/>
          <w:lang w:bidi="ar-SA"/>
        </w:rPr>
        <w:t>عدا المحكومين بالكفر منهم كالغلاة و النواصب و منكر الضروري فلا يشرع غسلهم بل غسل مطلق الكفّار، و 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 و إلى أصالة عدم المشروعية لكون الغسل عبادة محتاجة إلى التوظيف، و بدونه يكون إتيانه لا بعنوان الرجاء و الاحتياط تشريعا محرّما بعد ظهور أدلّة الغسل في غير الكافر خصوصا مع التعليل في بعضها بكونه لأجل التنظيف من الخبث و ارتفاع حدث الجنابة الحادثة بالموت، و صيرورته أقرب إلى رحمة اللّٰه و أليق بشفاعة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النصراني يموت مع المسلمين لا تغسّله و لا كرامة و لا تدفنه و لا تقم على قبره و إن كان أبا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فلا إشكال في الحرمة التشريعية في الكافر بجميع أقسامه كما لا إشكال في الوجوب في المؤمن القائل بإمامة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الوجوب في ما عداه من سائر فوق المسلمين و أقصى ما يستدل به على الوجوب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الموتى الغريق و أكيل السبع و كل شي‌ء إلّا ما قتل بين الصفين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و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ما دلّ على وجوب الصلاة على كل مسلم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كلّ من مات من أهل القبلة و حسابه على اللّٰه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بضميمة القول بعدم الفصل بين الصلاة و الغسل و اشتراط الصلاة بتقدّم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الأمر بمعاشرتهم و مواصلتهم و مداراتهم مع معلومية كون المعاملة مع موتاهم معاملة الكلاب مخالفا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الأوّل إنّما هو بالنسبة إلى أسباب الموت لا أحوال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 لكونه قضية مهملة واردة في مقام تشريع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وارد في مقام توهم الحظر خصوصا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أزيد من الجواز، فلا يدل على الوجوب الذي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في غير مورد المعاشرة كما لو وجد ميّت منهم في مفازة لا يطّلع عليه أحد إلّا اللّٰه و لا يترتب على ترك تغسيله محذور ترك المداراة أصلا هذا، و لكن الظاهر أطباق كلمتهم على الوجوب فالعمدة في المسألة هو الإجماع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فهل يجب تغسيله غسل أهل الخلاف أو غسل أهل الحقّ الّذي ربما ينسب إلى ظاهر الأصحاب هو الأوّل و الذي قوّاه في الجواهر و أفتى به في العروة و قرّره المحشّون لها هو الثاني و هو الأقوى لعدم تعقل أمر الشارع بالغسل الفاسد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إلّا في مقام التقيّة و معه يغسل أموات الشيعة أيضا غسل أهل الخلاف فضلا عن موتاهم و يترتب عليه أثر الغسل الصحيح كسائر مواضع التقيّة، و ربما يتوهّم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بما ألزموا به أنفسهم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بالغسل إنّما هو متوجه إلى المغسّل دون الميّت و لا مساس للكلام المذكور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يستثنى من الكلية المذكورة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فإنّه بعد الصلاة عليه يدفن مرمّلا بثيابه و دمائه من دون غسل و لا كفن، و يدل عليه حسنة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يقتل في سبيل اللّٰه يدفن في ثيابه و لا يغسّل إلّا أن يدركه المسلمون و به رمق ثمّ يموت بعد فإنّه يغسّل و يكفن و يحنّط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كفّن حمزة في ثيابه و لم يغسّله و لكنّه صلّى عليه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مضمر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كل الموتى الغريق و أكيل السبع و كل شي‌ء إلّا ما قتل بين الصفّين فإن كان به رمق غسل و إلّا فلا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رواية أبي مريم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إذا كان به رمق غسّل و كفّن و حنّط و صلّي عليه، و إن لم يكن به رمق كفّن في أثوابه </w:t>
      </w:r>
      <w:r>
        <w:rPr>
          <w:rStyle w:val="FootnoteAnchor"/>
          <w:rtl w:val="true"/>
        </w:rPr>
        <w:footnoteReference w:id="12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اختصاص الحكم بالمقتول في معركة القتال فلا يعم كل من قتل على وجه المعصية و لو لم يكن في البين انعقاد معركة و اصطفاف صف و تجنيد جند، و يدل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عليه مضافا إلى ظهور و الأدلّة المذكورة في الاختصاص رواية العلاء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عن رجل قتل و قطع رأسه في معصية اللّٰه أ يغسّل أم يفعل به ما يفعل بالشهيد؟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في معصية اللّٰه يغسل أوّلا منه الدم ثمّ يصب عليه الماء صبا </w:t>
      </w:r>
      <w:r>
        <w:rPr>
          <w:rStyle w:val="FootnoteAnchor"/>
          <w:rtl w:val="true"/>
        </w:rPr>
        <w:footnoteReference w:id="1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الاختصاص بما إذا كان القتال بإذن النبيّ أو الإمام أو نائبهما الخاص، بل يعم ما يجب منه في زمان الغيبة كما لو دهم المسلمين عدو يخاف منه على بيضة الإسلام كما أنّ الظاهر تقييده بما إذا اتفق الموت في المعركة ما دام الحرب قائمة، فلو مات بعد انقضاء الحرب أو قبله و بعد نقله إلى خارج المعركة فلا يعمّه الحكم و لا فرق بعد اتفاق الموت في المعركة بين إدراك المسلمين إيّاه و به رمق و عدمه، و لا ينافيه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يدركه المسلمون و به رمق فانّ المراد بإدراك المسلمين له نقلهم إيّاه إلى معسكرهم أو بعد تقضّي الحرب لا مجرد حضورهم لديه في المعركة و موته بمحضرهم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الحكم المذكور بين الصغير و الكبير و الرجل و المرأة و لو كان قتال الشخص لمجرّد إظهار الشجاعة أو تحصيل الغنيمة و نحو ذلك لا لنصرة الإسلام و المسلمين فالظاهر عدم شمول الحكم له و إن جزم بعض الأعاظم بالشمول و ذلك لإمكان دعوى انصراف عنوان من قتل بين الصفين فضلا عن الشهيد و المقتول في سبيل اللّٰه عن مثله، و لا ينافي ذلك شمول الحكم للصغير و المجنون لجريان التبعية فيهما دون المقام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 في المعركة ميّت من المسلمين و لم يعلم أنّه مات بالقتل أو بسبب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آخر فإن كان فيه أثر القتل فلا إشكال في إجراء حكم الشهيد عملا بالأمارة المفيدة للاطمئنان و ان لم يكن فيه الأثر المذكور فهل يجري عليه حكم الشهيد نظرا إلى أصالة البراءة بعد كون المقام شبهة مصداقية للعمومات أو لا نظرا إلى أصالة عدم الشهادة، الظاهر الثاني و إن جزم بعض الأعاظم بالأوّل و لا يرد على الأصل المذكور عدم الحالة السابقة لتردد الأمر من ابتداء زهوق الروح بين كونه على وجه الشهادة أو غيرها و ذلك لأنّ المستفاد من الأدلة كون الشهادة موضوعا على نحو مفاد كان التامة فما أشبه الأصل المذكور بأصالة عدم التذكية في الحيوان المردّد بين كونه مذكّى أو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في حدّ الرجم أو القصاص فإنّه يغتسل أوّلا غسل الميت ثمّ يتحنّط و يلبس الكفن ثمّ يقتل فيصلّى عليه من دون إعادة الغسل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ما رواه الكليني عن مسمع كردين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المرجوم و المرجومة يغسلان و يحنّطان و يلبسان قبل ذلك ثمّ يرجمان و يصلّى عليهما، و المقتصّ منه بمنزلة ذلك يغسل و يحنط و يلبس الكفن ثمّ يقاد و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اختصاص الحكم بالرجم و القصاص اقتصارا فيما يخالف العمومات على مورد النص و الظاهر بقرينة التعقب بالتحنيط و لبس الكفن كون هذا الغسل غسل الميت فيعتبر فيه التثليث و الخلط بالسدر و الكافور في الأوّلين منه و العجب من بعض الأعاظم حيث احتمل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غسلا آخر،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غسل الميت و لكنّه استظهر على هذا التقدير وحدته و كونه بالماء القراح، و قد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التفريط، كما وقع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الإفراط، حيث جعله غسل الميت و جعل المخاطب به سائر الناس، غاية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الأمر أنّه لما علم عدم إرادة المباشرة تعيّن إرادة التسبيب بالبعث و الأمر، فيعتبر تولّي النّية من الآمر لا المغتسل بل احتمل كون صدور الأمر من الغير بمنزلة تغسيله، فيعتبر فيه كونه بإذن الولي و صادرا من المماثل أو المحرم، و إن قوّى بعد إبداء هذا الاحتمال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ما ذكره كل من هذين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مفاد النص، فإنّ مفاده كون الغسل المذكور غسل الميّت بما له من الخصوصيات التي منها التثليث و الخلط المذكوران، و توجه الخطاب إلى الغير مع رعاية إذن الأولياء، و اعتبار المماثلة أو المحرمية في المغسّل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ما إذا كان المغسّل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إذ حينئذ يكون المخاطب بالتغسيل هو الاحياء، فلا مساس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أحدث بالأكبر كالجنابة و نحوها،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الاجتزاء بغسل الميّت عن سائر الأغسال، فهل يجب اعادة الغسل على الأحياء، الظاهر العدم، لعدم الدليل على لزوم رفع سائر الأحداث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نظير هذا في الشهيد أيضا، و لو تخلّل الحدث المذكور بين الغسل و القتل، فهل ينتقض الغسل فيجب إعادته أو لا؟ لا يبعد القول بالانتقاض، و إن أفتى في العروة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صحّة هذا الغسل صدور الأمر من الإمام، أو نائبه، أو مطلقا، أو لا يعتبر أصلا؟ الظاهر الأخير لعدم الإشارة إليه في النص المتقدّم، و قد عرفت كلام الجواهر مع ما فيه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التقديم على وجه العزيمة و الوجوب، يجب أمر الجاهل</w:t>
      </w:r>
      <w:bookmarkStart w:id="226" w:name="pg1803_21973"/>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من باب الإرشاد، و العالم من باب الأمر بالمعروف، و لكنّه غير شرطيته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التقديم من باب العزيمة و الوجوب أو على نحو الرخصة و الجواز؟ ظاهر النص هو الأوّل و لكن مع ذلك تأمّل فيه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جهة ورود الأمر مورد توهّم الحظر بل مع سبق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حتف أنفه بعد الغسل و قبل القتل، فلا إشكال في لزوم تغسيل الأحياء إيّاه و عدم اجتزائهم بغسله المقدّم، و لو قتل بسبب آخر غير ما اغتسل له، سواء اختلف معه نوعا كما لو اغتسل لأجل الرجم فقتل للقصاص، أو بالعكس أم اتحد، كما لو اغتسل لقصاص شخص فعفى عنه وليّه، و قتل لقصاص شخص آخر، فالظاهر الاجتزاء في كلتا الصورتين</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2491965_3650668749"/>
      <w:bookmarkStart w:id="228" w:name="_Toc83"/>
      <w:bookmarkEnd w:id="227"/>
      <w:r>
        <w:rPr>
          <w:rtl w:val="true"/>
        </w:rPr>
        <w:t xml:space="preserve">مسألة </w:t>
      </w:r>
      <w:r>
        <w:rPr>
          <w:rtl w:val="true"/>
        </w:rPr>
        <w:t>[</w:t>
      </w:r>
      <w:r>
        <w:rPr>
          <w:rtl w:val="true"/>
        </w:rPr>
        <w:t>في حكم أجزاء بدن الميت</w:t>
      </w:r>
      <w:r>
        <w:rPr>
          <w:rtl w:val="true"/>
        </w:rPr>
        <w:t>]</w:t>
      </w:r>
      <w:bookmarkEnd w:id="228"/>
    </w:p>
    <w:p>
      <w:pPr>
        <w:pStyle w:val="BookText"/>
        <w:rPr/>
      </w:pPr>
      <w:r>
        <w:rPr>
          <w:rFonts w:ascii="Amiri" w:hAnsi="Amiri" w:eastAsia="Amiri" w:cs="Amiri"/>
          <w:color w:val="111111"/>
          <w:sz w:val="28"/>
          <w:sz w:val="28"/>
          <w:szCs w:val="28"/>
          <w:rtl w:val="true"/>
          <w:lang w:bidi="ar-SA"/>
        </w:rPr>
        <w:t>كما يجب تغسيل الميّت إذا وجد بدنه بتمامه و لو مسامحة كما لو نقص منه إصبع أو نحوه، و كذا سائر تجهيزاته من الحنوط، و الكفن، و الصلاة، و الدفن، كذلك يجب جميع ذلك، في ما إذا وجد بعض معيّن من قطعات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تعيين ذلك البعض، فذهب المشهور إلى أنّه الصدر معينا و لو لم يكن معه غيره من القلب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الجواهر إلى أنّه الصدر، و لو لم يكن معه القلب، أو ما فيه القلب و لو لم يصدق معه الصدر، و أفتى على طبقه في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الصدر مع اضافة القلب، و اليدين أو البدن الناقص الأطراف أو معظم عظام تمام البدن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عبارة عمّا دون الترقوة إلى ما فوق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الرجلين، و لا يضر نقص جزء يسير من هذا المحدود أيضا، و منشأ هذا الاختلاف اختلاف الأخبار فإنّها بين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الصدر، و هو خبر الفضل بن عثمان الأعور،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يقتل، فيوجد رأسه في قبيلة، و وسطه، و صدره، و يداه في قبيلة و الباقي منه في 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وجد في قبيلته صدره و يداه و الصلاة عليه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عنوان ما فيه القلب، و هو مرفوعة البزنطي المروية في المعتبر،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المقطوع إذا قطع بعض أعضائه يصلّى على العضو الّذي فيه القلب</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 مثله مرسلة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البدن الناقص الأطراف، و هو رواية طلحة بن زيد،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عضو رجل من رجل أو يد أو رأس منفردا فإذا كان البدن فصلّ عليه، و إن كان ناقصا من الرأس و اليد و الرجل</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معظم العظام، و هو صحيحة علي بن جعفر أنّه سأل أخاه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يأكله السبع أو الطير فتبقى عظامه بغير لحم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 مثله رواية القلانسي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العضو التام، و هو صحيحة أحمد بن محمّد بن خالد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الرجل قتيلا فإن وجد له عضو تام صلّى عليه و دفن، و إن لم يوجد له عضو تام لم يصل عليه، و دفن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 نحوها روايتان أخريان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الخبر الأخير بقرينة الخبر الثالث على الاستحباب، يدور الأمر بين حمل الأخبار الأربعة الأخر على تعدّد المناط، إمّا بوجه التثنية كما اختاره في الجواهر، أو بنحو التثليث كما اختاره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حملها على وحدة المناط، إمّا بإرجاع ما عدا البدن الناقص الأطراف إليه كما اختاره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بإرجاع ما عدا الصدر إليه كما اختاره المشهور، و الظاهر تعيّن الأخير، و ذلك لظهور الأخبار في كون المناط أمرا واحدا، و انّ الاختلاف إنّما وقع في مجرّد التعبير و ذلك الأمر الواحد هو الصدر، و إضافة اليدين إليه في الخبر الأوّل إنّما هو لمطابقة الجواب مع السؤال بقرينة الخبر الثالث، كما أنّ ترتّب الحكم على البدن الناقص في الخبر الثالث، إنّما هو لاشتماله على الصدر بقرينة الخبر الأوّل، و عنوان ما فيه القلب المذكور في الخبر الثاني، و إن كان ظاهرا في اعتبار فعلية وجود القلب، و لكنّه محمول على إرادة ما هو مركز القلب و لو مع فقده، فيتحد مع الصدر بقرينة خبر العظام، فإنّ المفروض فيه تجرّد العظام عن مطلق اللحم الذي منه القلب، كما أنّ ترتّب الحكم على معظم العظام في ذلك الخبر إنّما هو لاشتمالها على عظام الصدر، بقرينة الإجماع ظاهرا على عدم ترتّب الحكم على عظام ما عدا الصدر فقط</w:t>
      </w:r>
      <w:r>
        <w:rPr>
          <w:rFonts w:eastAsia="Amiri" w:cs="Amiri" w:ascii="Amiri" w:hAnsi="Amiri"/>
          <w:color w:val="111111"/>
          <w:sz w:val="28"/>
          <w:szCs w:val="28"/>
          <w:rtl w:val="true"/>
          <w:lang w:bidi="ar-SA"/>
        </w:rPr>
        <w:t>.</w:t>
      </w:r>
      <w:bookmarkStart w:id="229" w:name="pg1803_21982"/>
    </w:p>
    <w:p>
      <w:pPr>
        <w:pStyle w:val="BookText"/>
        <w:rPr/>
      </w:pPr>
      <w:bookmarkEnd w:id="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فيكون المتحصّل من المجموع كون مناط الحكم عظام الصدر فقط، و هو عين ما ذكره المشهور، 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أصر على تطبيق مدعاه المتقدّم على الأخبار و على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حمل الصدر على ما ذكره من المعنى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في مقام الجمع أولى منه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منه تحصيل الإجماع من كلمات الأصحاب، إذ من المحتمل كون اختيار كل طائفة، منهم مبنيّا على ما ذكر في كلامه من المناط و عدم اتّفاقهم على قدر جامع، و معه كيف يمكن تحصيل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 إن لم يصرّح في ما عدا الخبر الرابع بأزيد من الصلاة، و لكن يكفي وجوبها في وجوب الغسل و سائر التجهيزات حتى التحنيط، مع فرض بقاء المحمل له و حتى المئزر من القطعات الثلاث للكفن مع فرض بقاء المحل له، و ذلك للملازمة الشرعية بين الأمرين، و القطع الحاصل من مذاق الشرع بعدم الانفكاك، مضافا إلى اشتراط صحّة الصلاة بتقدّم الغسل</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491967_3650668749"/>
      <w:bookmarkStart w:id="231" w:name="_Toc84"/>
      <w:bookmarkEnd w:id="230"/>
      <w:r>
        <w:rPr>
          <w:rtl w:val="true"/>
        </w:rPr>
        <w:t xml:space="preserve">مسألة </w:t>
      </w:r>
      <w:r>
        <w:rPr>
          <w:rtl w:val="true"/>
        </w:rPr>
        <w:t>[</w:t>
      </w:r>
      <w:r>
        <w:rPr>
          <w:rtl w:val="true"/>
        </w:rPr>
        <w:t>في حكم القطعة ذات العظم من الميت</w:t>
      </w:r>
      <w:r>
        <w:rPr>
          <w:rtl w:val="true"/>
        </w:rPr>
        <w:t>]</w:t>
      </w:r>
      <w:bookmarkEnd w:id="231"/>
    </w:p>
    <w:p>
      <w:pPr>
        <w:pStyle w:val="BookText"/>
        <w:rPr/>
      </w:pPr>
      <w:r>
        <w:rPr>
          <w:rFonts w:ascii="Amiri" w:hAnsi="Amiri" w:eastAsia="Amiri" w:cs="Amiri"/>
          <w:color w:val="111111"/>
          <w:sz w:val="28"/>
          <w:sz w:val="28"/>
          <w:szCs w:val="28"/>
          <w:rtl w:val="true"/>
          <w:lang w:bidi="ar-SA"/>
        </w:rPr>
        <w:t>قد عرفت الحال في القطعة المشتملة على الصدر، أو الصدر وحده، و أمّا غيرها فاعلم أنّ المشهور حكموا بوجوب الغسل، دون الصلاة في القطعة المشتملة على العظم و لو لم يكن عضوا تامّا كعقد من إصبع، بل عن المنتهى عدم الخلاف، و عن بعض دعوى الإجماع، و عن جامع المقاصد نسبته إلى الأصحاب، و في الجواهر لم أعثر فيه على مخالف، و مع ذلك تأمّل في هذا الحكم جمع من متأخّري المتأخّرين، نظرا إلى عدم قيام دليل صالح عليه، عدا أمور كلّها قابلة للخدشة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و قد قرّر في الأصول عدم حجيّته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قاعدة الميسور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المذكور كان حين اتصاله بالكل واجب الغسل بتبعية الكل و في ضمنه، و الآن سقط وجوب غسلة بذلك الوصف، و لكن يحتمل بقاؤه بوصف الأصالة و الاستقلال، فمقتضى الاستصحاب و القاعدة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استصحاب شخص الوجوب فالموضوع غير محرز عرفا، و كيف يعد عقد الإصبع مثلا مع تمام البدن شيئا واحدا عرفا أو ميسورا له كذلك، و إن أريد استصحاب سنخه فهو من قبيل القسم الثالث من استصحاب الكلّي، و صحته محل كلام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طائرا ألقت بمكّة أو يمامة يدا فعرفت بالخاتم، و كانت يد عبد الرحمن بن عتاب بن أسد فغسّلها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لعمل أهل مكّة، مضافا إلى عدم معلومية كونه بوجه الوجوب، فلعلّه كان على وجه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وجوب الصلاة على القطعة المشتملة على الصدر أو الصدر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الصلاة إنّما يدلّ بالفحوى على وجوب الغسل و سائر أخواته، في ذلك الموضوع الذي حكم فيه بوجوب الصلاة لا في غيره كما هو محل الكلام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أيّوب بن نوح في الصحيح عن بعض أصحابنا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 إنسان فكل ما كان فيه عظم فقد وجوب على من يمسّه الغسل، فإن لم يكن فيه عظم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فلا غسل عليه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إمّا بتقريب أنّ تنزيل القطعة المبانة منزلة ميتة الإنسان دون الحيوان، كما يدل عليه تفريع غسل المس، يدل على ترتّب جميع أحكام الميت، خرج منها وجوب الصلاة لقيام الإجماع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بتقريب أنّه متى ثبت وجوب الغسل بالمس، ثبت وجوب غسل الممسوس للملازمة الشرعية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منزلة ميّت الإنسان مسلم، و لكن كونه بلحاظ جميع الآثار لا دليل عليه، كما أنّه لا دليل على الملازمة المذكورة، بل الدليل قائم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مس ميّت الكافر موجب للغسل قطعا، مع أنّ غسل الممسوس غير واجب كذلك، و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مادة النّقض صورة اتصال الجزء الممسوس بسائر الأجزاء، مع فقد الماء إلّا بمقدار الجزء الممسوس، و كذا صورة انفصاله مع وجود بقية الأجزاء و فقد الماء إلّا بمقدار الممسوس، على إشكال في هذه الصورة، و لعل منشأه احتمال أن يقول القائل بوجوب الغسل في هذه الصورة، و لكن لا يحتمل ذلك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ما ذكرناه في مقام النقض أولى، فإنّ القائل بالملازمة إنّما يقول بها بالنسبة إلى الأعم من الغسل و بدله الذي هو التيمّم، و من المعلوم أنّه لا نقض بالنسبة إلى هذا المعنى في المثالين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الاستدلال للمشهور بأنّه قد يجعل الموضوع للطهارة الحدثية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و الخبيثة بدن الميّت من حيث المجموع، كما هو الموضوع له للفظة البدن، و على هذا لا يبقى مجال للاستصحاب و قاعدة الميسور لما أشرنا سابقا من كمال المغايرة، بين هذا المعنى و بين عقد الإصبع مثلا، و قد يجعل كل بعض من أبعاض البدن مستقلا، و لكن يشترط في حصول طهارة كل بعض طهارة سائر الأبعاض، و على هذا فلا مانع من جريان الاستصحاب و القاعدة كما هو واضح، و لا يبعد ترجيح الثاني نظرا إلى أنّ ملاحظة الارتباط بين الأبعاض في جانب الحكم أولى من ملاحظته في جانب الموضوع، فإنّ الأوّل مضافا إلى ألصقيته بمناسبة الحكم و الموضوع و بالحكمة المذكورة في بعض الأخبار لغسل الميّت، من دفع الأذى و الآفة الحاصلين في حال المرض، حيث إنّ موضوعهما كل بعض مستقلا لا يزيد عن سائر الشروط التعبدية، كاعتبار نيّة القربة و إطلاق الماء و نحو ذلك، و إن أبيت عن قرينيّة ما ذكر فلا أقل من كشف إجماعاتهم المنقولة، و الشهرة المحقّقة مع تمسّكهم بالقاعدة عن وجود قرينة على ملاحظة الارتباط المذكور بالنحو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بالقطعة المبانة من الميّت، المبانة من الحيّ أو لا؟ الظاهر الثاني، لعدم جريان الدليل المذكور فيه، و هو معنى ما استدلّ به المحقّق و غيره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من جملة لم يتعلّق الأمر بغسل مجموعها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استشكل فيه بعض بما يرجع إلى عدم تحصيل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مرسلة أيّوب المتقدّمة فقد عرفت عدم صلاحيتها للاستدلال لضعفها سندا و دلالة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القاعدة وجوب ملاحظة الترتيب عند تعدّد القطعات، لو كانت مرتبة حال الاتصال، كما أنّه لا بدّ من مماثلة الغاسل أو محرميته مع معلومية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الحال من حيث الذكورة، و الأنوثة، و مع الاشتباه يجري فيه ما تقدّم في الخنثى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العظم المجرّد، و إن لم يمكن الاستدلال على وجوب غسله بخبر العظام، لغلبة عدم انفكاك العظام الباقية من أكيل السبع و الطير عن وجود مقدار من اللحم و لو يسيرا، و لكن بعد ما وجب غسل العظم المشتمل على مقدار يسير من اللحم بذلك الخبر، يجب في العظم المجرّد بمقتضى قاعدة الميسور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اجراء قاعدة الميسور و الاستصحاب في القطعة ذات العظم، و في العظم المجرد بالنسبة إلى التكفين و الدفن أولى منه بالنسبة إلى التغسيل، و ذلك لاشتراطه ببعض الشروط التعبّدية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وجوب القطعات الثلاث من الكفن بقاء موضوعها، كما لو وجد شق متّصل من تمام البدن، و إلّا فاسراء الحكم إلى غير موضوعه كشد المئزر على الرأس أو العمامة على الرجل، خارج عن مقتضى القاعدة و الاستصحاب، و من هنا يعلم حكم ما لو رضّ البدن بحيث اختلط جميع أجزائه، فإنّ الواجب ليس إلّا مطلق اللف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يلحق بالقطعة ذات العظم في وجوب الغسل و التحنيط و الكفن و الدفن السقط، إذا تمّ له أربعة أشهر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رواية زرارة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و مرفوعة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السقط أربعة أشهر غسل،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له ستّة أشهر فهو تام، و ذلك انّ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هو ابن ستّة أشهر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موثقة سماعة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السقط إذا استوت خلقته يجب عليه الغسل و اللحد و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يجب عليه إذا استوى</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باستواء خلقته تمامية صورتها و تشكيلها الملازمة غالبا لنفخ الروح، و وجه اعتباره أنّه بدونه لا يتحقّق عنوان الموت، فلا تترتّب الأحكام المترتّبة على هذا العنوان، و جعل الشارع لهذا المعنى، 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الموت حدّا و هو بلوغ أربعة أشهر، فيرتفع التنافي بين الشرطيتين، و ليس المقام من قبيل إذا خفي الأذان فقصّر، و إذا خفي الجدران فقصّر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إشكال التنافي بأنّ إحدى الشرطيتين مذكورة في كلام السائل، و ليس لها حينئذ ظهور في التحديد و إرادة المفهوم، ففرق بين قول المولى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جاءك،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قول السائل، هل يجب إكرام زيد إن جاءني، مضافا إلى كون الشرطية المذكورة مسوقة لتحقّق الموضوع، حيث لا يتحقّق بدون الاستواء موضوع الغسل المعهود المركّب من الغسلات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و الرقبة و غسل الشقّين الأيمن و الأيسر فالحد الحقيقي هو البلوغ إلى أربعة أشهر، غاية الأمر توقّف الغسل المعهود على</w:t>
      </w:r>
      <w:bookmarkStart w:id="232" w:name="pg1803_22001"/>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استواء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نرى فرقا في ظهور الشرطية في التحديد بين وقوعها في السؤال و غيره، و ذكر الاستواء إنّما هو لأجل عدم تحقّق الموت غالبا بدونه و هو المعيار الحقيقي، و الحكم يدور مداره نفيا و إثباتا، و العجب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تفطّن لهذا في آخر كلامه، و مع ذلك جمع بين الروايات بما عرفت</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491969_3650668749"/>
      <w:bookmarkStart w:id="234" w:name="_Toc85"/>
      <w:bookmarkEnd w:id="233"/>
      <w:r>
        <w:rPr>
          <w:rtl w:val="true"/>
        </w:rPr>
        <w:t xml:space="preserve">مسألة </w:t>
      </w:r>
      <w:r>
        <w:rPr>
          <w:rtl w:val="true"/>
        </w:rPr>
        <w:t>[</w:t>
      </w:r>
      <w:r>
        <w:rPr>
          <w:rtl w:val="true"/>
        </w:rPr>
        <w:t>في حكم اللحم المجرد من الميت</w:t>
      </w:r>
      <w:r>
        <w:rPr>
          <w:rtl w:val="true"/>
        </w:rPr>
        <w:t>]</w:t>
      </w:r>
      <w:bookmarkEnd w:id="234"/>
    </w:p>
    <w:p>
      <w:pPr>
        <w:pStyle w:val="BookText"/>
        <w:rPr/>
      </w:pPr>
      <w:r>
        <w:rPr>
          <w:rFonts w:ascii="Amiri" w:hAnsi="Amiri" w:eastAsia="Amiri" w:cs="Amiri"/>
          <w:color w:val="111111"/>
          <w:sz w:val="28"/>
          <w:sz w:val="28"/>
          <w:szCs w:val="28"/>
          <w:rtl w:val="true"/>
          <w:lang w:bidi="ar-SA"/>
        </w:rPr>
        <w:t>قد عرفت حكم القطعة ذات العظم، و العظم المجرّد، و بقي حكم اللحم المجرّد، و الظاهر تحقّق الإجماع على عدم وجوب غسله و وجوب لفّه في خرقة و دفنه، و هو الفارق بينه و بين العظم المجرّد، و إلّا فليس مشمولية الثاني لقاعدة الميسور و الاستصحاب، بالتقريب المتقدّم أوضح من مشمولية الأوّل لو لم يكن الأمر بالعكس، و لكن القاعدة لما كان العمل بظاهرها مستلزما لفقه جديد احتاج إلى مجبوريتها بالعمل، إذ به يستكشف كون المورد مصداقا للقرينة التي كانت متّصلة بالكلام و غابت عنّا و بدونه يشك في مصداقيته لها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 اللحم المجرّد بعدم التغسيل و وجوب اللف في خرقة و الدفن للفارق المذكور، و يلحق به في ذلك، السقط إذا كان لدون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وجوب غسله فللروايات المتقدّمة الدالّة على تحديده بأربعة أشهر مضافا إلى موافقته للأصل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دفنه فلرواية محمّد بن 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السقط كيف يصنع به؟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يدفن بدمه في موضعه</w:t>
      </w:r>
      <w:r>
        <w:rPr>
          <w:rFonts w:eastAsia="Amiri" w:cs="Amiri" w:ascii="Amiri" w:hAnsi="Amiri"/>
          <w:color w:val="111111"/>
          <w:sz w:val="28"/>
          <w:szCs w:val="28"/>
          <w:rtl w:val="true"/>
          <w:lang w:bidi="ar-SA"/>
        </w:rPr>
        <w:t xml:space="preserve">». </w:t>
      </w:r>
      <w:r>
        <w:rPr>
          <w:rStyle w:val="FootnoteAnchor"/>
          <w:rtl w:val="true"/>
        </w:rPr>
        <w:footnoteReference w:id="134"/>
      </w:r>
      <w:bookmarkStart w:id="235" w:name="pg1803_22004"/>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و أمّا وجوب اللف فلم نعثر على رواية دالّة عليه و لكن يظهر من بعضهم دعوى الإجماع على ثبوته أيضا</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491971_3650668749"/>
      <w:bookmarkStart w:id="237" w:name="_Toc86"/>
      <w:bookmarkEnd w:id="236"/>
      <w:r>
        <w:rPr>
          <w:rtl w:val="true"/>
        </w:rPr>
        <w:t>مسألة</w:t>
      </w:r>
      <w:r>
        <w:rPr>
          <w:rtl w:val="true"/>
        </w:rPr>
        <w:t xml:space="preserve">: </w:t>
      </w:r>
      <w:r>
        <w:rPr>
          <w:rtl w:val="true"/>
        </w:rPr>
        <w:t>يجب مقدّمة للغسل تنظيف بدن الميّت من النجاسات العرضية</w:t>
      </w:r>
      <w:bookmarkEnd w:id="237"/>
    </w:p>
    <w:p>
      <w:pPr>
        <w:pStyle w:val="BookText"/>
        <w:rPr/>
      </w:pPr>
      <w:r>
        <w:rPr>
          <w:rFonts w:ascii="Amiri" w:hAnsi="Amiri" w:eastAsia="Amiri" w:cs="Amiri"/>
          <w:color w:val="111111"/>
          <w:sz w:val="28"/>
          <w:sz w:val="28"/>
          <w:szCs w:val="28"/>
          <w:rtl w:val="true"/>
          <w:lang w:bidi="ar-SA"/>
        </w:rPr>
        <w:t>مع رعاية الشرائط المعتبرة في تطهير المتنجسات، و يدل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يونس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يديه ثلاث مرّات كما يغسل الإنسان من الجنابة إلى نصف الذراع، ثمّ اغسل فرجه و نقّه، ثمّ اغسل رأسه بالرغوة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كيفية غسله بماء الكافور،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افعل به كما فعلت في المرأة الأولى، ابدأ بيديه، ثمّ بفرجه و امسح بطنه مسحا رفيقا، فإن خرج منه شي‌ء فأنقه، ثمّ اغسل رأسه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الفضل بن عبد الملك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أقعده و اغمز بطنه غمزا رفيقا، ثمّ طهّره من غمز البطن ثمّ تضجعه ثمّ تغسّله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أعصر بطنه، ثمّ أوضّيه بالأشنان، ثمّ أغسل رأسه بالسدر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علاء بن سيابة الوارد في من قتل في معصية اللّٰه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في معصية اللّٰه يغسل أوّلا منه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يصب عليه الماء صبا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و الكلام هنا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وقوع هذا التنظيف مع الغسل في زمان واحد و بغسلة واحدة، و لا يضر ذلك بشرطيته لوقوع نظيره في العقليات كحركتي اليد و المفتاح، و الشرعيات كبيع ذي الخيار لما انتقل عنه، غاية الأمر وجود الشرط متقدّما على المشروط، رتبة، و هذه الشبهة يمكن رفعها بالأخبار المتقدمة، فإنّ ظهورها في اعتبار التقدّم الزماني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في خصوص ما إذا وقع الغسل بالماء القليل بقاعدة لزوم طهارة الماء المستعمل في التطهير سواء كان مطهّرا للخبث أم للحدث، و لا يحصل ذلك إلّا بالتقديم، و إلّا يتنجّس ماء الغسل بملاقاة النجاسة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المعتبر إنّما هو طهارة الماء من غير ناحية هذا الاستعمال، و أمّا من ناحيته فلا، كما هو المشاهد في تنظيف الجسم من الأوساخ الظاهرية، حيث إنّ الماء يصير متوسّخا بنفسه و مذهبا للأوساخ عن المحل المغسول، مضافا إلى عدم إمكان حفظ طهارة الماء في مقامنا، إذ لا أقلّ من ملاقاته لبدن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الماء المستعمل في رفع الحدث بالخبث، و لو في ضمن هذا الاستعمال غير مربوط باستعماله في رفع الحدث، فحاله حال النجاسة الخارجية الواصلة إليه حال الاستعمال، و لا يقاس ذلك ببدن الميّت الذي علم العفو و الاغتفار فيه ضرورة، و إلّا كان اللازم التغسيل في الماء العاصم و هو بديهي البطلان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أيضا بأصالة عدم التداخل في الأسباب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المتقدّمة أنّ الموت سبب لإيجاب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الحدث الحاصل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الخبث الحاصل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المذكور عدم الاكتفاء بوجود واحد، و لزوم الإتيان بهما في ضمن 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توصّلي قهري الحصول بالغسلة الأولى، فلا بدّ من غسلة أخرى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عدم قيام الدليل على اشتراط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 بأنّ المرجع في مثله البراءة، فكما أنّ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قهري الحصول فكذلك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روعي فيه شرائطه، و لا يقتضي أصالة عدم التداخل تعدّد الوجود بعد تصادق الطبيعتين على وجود واحد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اعتبار التقدّم الزماني هل المعتبر تقدّمه على الغسل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يكفي تنظيف كل عضو مقدما على غسل ذلك العضو، و إن كان مؤخّرا عن غسل العضو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رفع هذه الشبهة أيضا بالأخبار المتقدّمة، فإنّ ظاهرها الأولى و إن كان اعتبار التقديم بالنحو الأوّل، لكن بواسطة المناسبة المقامية، و بعد مدخليّة تنظيف العضو المتأخّر في صحة غسل العضو المتقدّم، يفهم أنّ المراد هو التقدّم بالنحو الثاني، مضافا إلى الأخبار الدالّة على اتحاد غسل الميّت مع غسل الجنابة، بضميمة ما ورد في غسل الجنابة ممّا يكون ظاهرا في اعتبار التقديم بالوجه الثاني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هذا التنظيف، الشرائط المعتبرة في تطهير المتنجّسات من كونه بالماء المطلق و غيره ممّا يعتبر في التطهير بالماء القليل، أو يكفي مطلق الإزالة و لو كان بغير الماء فضلا عن فقد سائر الشرائط، ظاهر كلمات</w:t>
      </w:r>
      <w:bookmarkStart w:id="238" w:name="pg1803_22013"/>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المشهور هو الأوّل، و الذي قوّاه كاشف اللثام و اختاره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نظرا إلى أنّ تطهير النجس الذاتي عن النجاسة العرضية غير معهود شرعا، فلو ورد في الشرع ما يدلّ بظاهره على ذلك لا بدّ من صرفه إلى إرادة مطلق الإزالة، و يشهد لذلك التعبير في بعض الأخبار المتقدمة بالإنقاء، و إن وقع في بعض آخر بالغسل، و في ثالث بالتطهير لكن يعلم بواسطة عدم المعهودية المذكورة أنّ المراد بالثانيين أيضا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المعهودية، ألا ترى أنّ بدن الكافر لو لاقى شيئا مع رطوبة البول يجب غسل ذلك الشي‌ء مرّتين، و لو غسل بدن الكافر من رطوبة البول أوّلا مرّتين مع ملاحظة شرائط التطهير، ثمّ لاقى ذلك الشي‌ء لا يجب غسل ذلك الشي‌ء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داعي لصرف الأدلّة عن ظواهرها، و أمّا التعبير بالإنقاء فإنّما وقع في خصوص تطهير موضع النجو، و السرّ فيه كفاية الأحجار فيه عن الماء لعدم الفرق في كفايتها بين الحياة و الموت</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491973_3650668749"/>
      <w:bookmarkStart w:id="240" w:name="_Toc87"/>
      <w:bookmarkEnd w:id="239"/>
      <w:r>
        <w:rPr>
          <w:rtl w:val="true"/>
        </w:rPr>
        <w:t>مسألة</w:t>
      </w:r>
      <w:r>
        <w:rPr>
          <w:rtl w:val="true"/>
        </w:rPr>
        <w:t xml:space="preserve">: </w:t>
      </w:r>
      <w:r>
        <w:rPr>
          <w:rtl w:val="true"/>
        </w:rPr>
        <w:t xml:space="preserve">هل يعتبر في هذا الغسل </w:t>
      </w:r>
      <w:r>
        <w:rPr>
          <w:rtl w:val="true"/>
        </w:rPr>
        <w:t>[</w:t>
      </w:r>
      <w:r>
        <w:rPr>
          <w:rtl w:val="true"/>
        </w:rPr>
        <w:t>قصد القربة</w:t>
      </w:r>
      <w:r>
        <w:rPr>
          <w:rtl w:val="true"/>
        </w:rPr>
        <w:t xml:space="preserve">] </w:t>
      </w:r>
      <w:r>
        <w:rPr>
          <w:rtl w:val="true"/>
        </w:rPr>
        <w:t>مضافا إلى قصد العنوان</w:t>
      </w:r>
      <w:bookmarkEnd w:id="24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كونه غسل الميّت، ليمتاز عن مطلق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سائر أنواع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و يكون من العبادات كما هو ظاهر كلمات المشهور بل صريحها، أو لا يعتبر شي‌ء من الأمرين كما هو ظاهر كلام السيّد في المصريات، و العلّامة في المنتهى، و بعض متأخّري المتأخّرين، و أو يعتبر الأوّل، دون الثاني، كما اختاره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الأقوى الأوّل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أنّ الظاهر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يعتبر فيه جميع ما يعتبر في غسل الجنابة حتى قصد القربة، غاية الأمر إنّ المتولي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للقصد هناك هو المغتسل، و هنا هو المغسّل، فكما أنّ الظاهر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 الميّت صلاته، و صم عنه صيامه، أنّه لا بد من نيّة القربة مضافا إلى قصد عنواني الصلاة و الصوم، و لا يكفي الثاني فقط، فكذلك الحال في المقام بلا فرق، 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 تفطّنه بهذا المعنى اختار أوّلا أنّ المعتبر في الطهارات قصد العنوان فقط، و ثانيا سلّمنا أنّ المعتبر قصد القربة لكن القربة المعتبرة في المقام إنّما هو قرب الميّت لا قرب الغاسل، فلا ينافيه قصد الأجرة و سائر الأمور الدنيوية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اعتبار القربة و الإخلاص، فلا فرق في منافاة قصد الأجرة مع الإخلاص المعتبر في القربة، بين كون المنوي قرب الفاعل أو غيره، فإن رفعنا المنافاة بطولية أحد الداعيين للآخر جاء في كلا المقامين، و إن قلنا كما هو الحق بعدم الفائدة في ذلك في رفع المنافاة، حيث إنّ الداعي الأوّلي الذي هو الأجرة بالفرض، لا يخلو لا محالة عن المدخلية في حصول ذات العمل، فيتحقق في ذات العمل الشركة بين الداعيين، و يرتفع الإخلاص من البين جاء هذا المعنى أيضا في كلا المقامين، فلم يعلم لما ذكره من الفرق وجه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كلا من الأغسال الثلاثة غسل حقيقي مستقلا، لا أنّ الأوّلين مقدمة و الأخير غسل حقيقي، أو أنّ المجموع غسل واحد حقيقي، و لذا لو تعذّر البعض و أمكن الباقي وجب الإتيان بالممكن، و على هذا فيجب مصاحبة كل منها مع النيّة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اتّحد الصاب و المقلّب فلا كلام، و لو تعددا فإن كان أحدهما آلة و الآخر مستقلا اعتبر النيّة من الثاني، لأنّه الذي يستند إليه الفعل، كما أنّه لو كان كلّ</w:t>
      </w:r>
      <w:bookmarkStart w:id="241" w:name="pg1803_22019"/>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منهما مستقلا يكفي نيّة أحدهما، و لو اشتركا اعتبر نيتهما معا، و لو كان أحدهما صبيّا فإن قلنا بشرعية عباداته كان بحكم الكبير و إلّا فلا</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491975_3650668749"/>
      <w:bookmarkStart w:id="243" w:name="_Toc88"/>
      <w:bookmarkEnd w:id="242"/>
      <w:r>
        <w:rPr>
          <w:rtl w:val="true"/>
        </w:rPr>
        <w:t xml:space="preserve">مسألة </w:t>
      </w:r>
      <w:r>
        <w:rPr>
          <w:rtl w:val="true"/>
        </w:rPr>
        <w:t>[</w:t>
      </w:r>
      <w:r>
        <w:rPr>
          <w:rtl w:val="true"/>
        </w:rPr>
        <w:t>في وجوب الغسل بماء السدر و الكافور و القراح على التوالي</w:t>
      </w:r>
      <w:r>
        <w:rPr>
          <w:rtl w:val="true"/>
        </w:rPr>
        <w:t>]</w:t>
      </w:r>
      <w:bookmarkEnd w:id="243"/>
    </w:p>
    <w:p>
      <w:pPr>
        <w:pStyle w:val="BookText"/>
        <w:rPr/>
      </w:pPr>
      <w:r>
        <w:rPr>
          <w:rFonts w:ascii="Amiri" w:hAnsi="Amiri" w:eastAsia="Amiri" w:cs="Amiri"/>
          <w:color w:val="111111"/>
          <w:sz w:val="28"/>
          <w:sz w:val="28"/>
          <w:szCs w:val="28"/>
          <w:rtl w:val="true"/>
          <w:lang w:bidi="ar-SA"/>
        </w:rPr>
        <w:t>يجب نصّا و فتوى البدأة أوّلا بالغسل بماء السدر، أي الماء الممتزج بشي‌ء من السدر على وجه لا يوجب السدر اضافة الماء، و لا الماء استهلاك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ثانيا الغسل بماء الكافور بالوصف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ثالثا الغسل بماء القراح مبتدئا في كل منها بالرأس و الرقبة أوّلا، ثمّ بالشق الأيمن، ثمّ بالشق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هذا التفصيل مرسلة إبراهيم بن هاشم عن رجاله عن يونس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غسل الميّت فضعه على المغتسل مستقبل القبلة، فإن كان عليه قميص فأخرج يده من القميص، و اجمع قميصه على عورته، و ارفعه عن رجليه إلى فوق الركبة، و إن لم يكن عليه قميص فألق على عورته خرقة، و اعمد إلى السدر فصيّره في طشت و صب عليه الماء، و اضربه بيدك حتى ترتفع رغوته، و اعزل الرغوة في شي‌ء، و صب الآخر في الإجابة الّتي فيها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اغسل يديه ثلاث مرّات كما يغسل الإنسان من الجنابة إلى نصف الذراع، ثمّ اغسل فرجه و نقّه، ثمّ اغسل رأسه بالرغوة و بالغ في ذلك، و اجتهد أن لا يدخل الماء منخريه و مسامعه، ثمّ أضجعه على جانبه الأيسر و صب الماء من نصف رأسه إلى قدميه ثلاث مرات، و ادلك بدنه دلكا رفيقا، و كذلك ظهره و بطنه، ثمّ أضجعه على جانبه الأيمن و افعل به مثل ذلك، ثمّ صب ذلك الماء من الإجانة و اغسل الإجانة بماء قراح، و اغسل يديك إلى المرفقين، ثمّ صب الماء في الآنية و ألق فيه حبّات كافور، و افعل به كما فعلت في المرّة الأولى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ابدأ بيديه، ثمّ بفرجه و امسح بطنه مسحا رفيقا، فإن خرج منه شي‌ء فأنقه،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ثمّ اغسل رأسه، ثمّ أضجعه على جنبه الأيسر، و اغسل جنبه الأيمن و ظهره و بطنه، ثمّ أضجعه على جنبه الأيمن و اغسل جنبه الأيسر كما فعلت أوّل مرّة، ثمّ اغسل يديك إلى المرفقين، و الآنية، و صب فيه ماء القراح، و اغسله بماء القراح كما غسلت في المرّتين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نشّفه بثوب طاهر، و اعمد إلى قطن فذر عليه شيئا من حنوط و ضعه على فرجه قبله و دبره، و احش القطن في دبره لئلا يخرج منه شي‌ء، و خذ خرقة طويلة عرضها شبر فشدّ بها من حقويه، و ضمّ فخذيه ضمّا شديدا و لفّها في فخذيه، ثمّ اخرج رأسها من تحت رجليه إلى الجانب الأيمن و أغرزها في الموضع الذي لففت فيه الخرقة، و تكون الخرقة طويلة تلف فخذيه من حقويه إلى ركبتيه لفّا شديدا</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اختلفت الأنظار في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رأسه بالرغوة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فحمله المشهور على غسل الرأس بالرغوة الخالصة من باب المقدمة المستحبة، و الواجب إنّما هو ما يتعقبه من الغسل بماء السدر الّذي في الإجانة، كما يشهد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أن لا يدخل الماء منخريه و مسامعه، و أمّا إدخال نصف الرأس في الشق الأيمن و نصفه في الأيسر فهو من باب المقدمة العلمية، و المراد نصفه عرضا و هو الرقبة، و إنّما أطلق الرأس على الرقبة تغليبا، و أنكر عليهم صاحب الحدائق بأنّ المراد صورة مزج الرغوة بالماء ثمّ استعماله في الغسل الواجب، فيبقى ما ذكروه من المقدمة المستحبّة بلا دليل، و احتمل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تنصيف الرأس طولا و إدخال كل نصف في أحد الشقين، فيكون الغسل مركّبا من جزءين لا ثلاثة، و يكون غسل الرأس بالرغوة على هذا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باب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بأنّ هذا الاحتمال و إن كان موافقا لظهور الأمر بتنصيف الرأس في الأصلية، دون التبعية و المقدمية، لكنّه بعد توافق النص و الفتوى على خلافه ممّا لا يعتنى به، فيدور الأمر بين ما ذكره المشهور و صاحب الحدائق، و لا يبعد ترجيح ما ذكره المشهور بقرينة تفريق الرغوة و ماء السدر في ظرفين، فإنّ الظاهر أنّ الحكمة فيه استعمال الرغوة أوّلا ثمّ تعقيبه بالماء فيكون محمولا على الاستحباب بشهادة خلوّ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استحباب تقديم غسل الرأس بالسدر بصحيحة يعقوب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أ فيه وضوء الصلاة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تبدأ بمرافقه فيغسل بالحرض، ثمّ يغسل وجهه و رأسه بالسدر، ثمّ يفاض عليه الماء ثلاث مرّات، و لا يغسل إلّا في قميص يدخل رجل يده و يصب عليه من فوقه، و يجعل في الماء شي‌ء من السدر و شي‌ء من الكافور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يغسل وجهه و رأسه 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الأمر المستحب لا الواجب المعدود من أجزاء الغسل، بقرينة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بيان الأغسال الثلاثة، إلّا بطريق الإجمال الذي أراده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يفاض عليه الماء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البيان التفصيلي ممحض في نفي وجوب الوضوء الذي توهمه السائل، و إثبات استحباب غسل المرافق بالحرض و الرأس بالسدر مكانه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استفادة وجوب الأغسال الثلاثة من أخبار المقام، و وجوب الترتيب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بينها بأن يكون الغسل بالسدر أوّلا، و بالكافور ثانيا، و بالقراح ثالثا، و وجوب الخليطين على وجه لا يكونان في القلّة بحدّ يوجب استهلاكهما، و لا في الكثرة بحدّ يوجب سلب وصف الإطلاق عن الماء ممّا لا اشكال فيه، مضافا إلى تطابق الفتاوى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بعدم وجوب الثلاثة، و كفاية الغسل الواحد، أو عدم وجوب الترتيب بينها، و كفاية وقوعها كيف ما اتفق، أو عدم وجوب الخليطين، ضعيف لا يعبأ به لشذوذه و عدم مساعدة دليل عليه، بل قيام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استفادة استحباب ما عدا ذلك ممّا اختلف الأخبار فيه، من حيث التعرّض، و العدم، مثل غسل اليدين، و الفرج، و تثليث الغسلات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إثبات استحباب هذه الأمور بنفس الاختلاف المذكور، مع قطع النظر عن تسلّمه بين الفقهاء كما ادّعاه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يمكن؟ الظاهر الثاني فإنّ مقتضى قاعدة حمل المطلق على المقيّد هو القول بالوجوب لو لا التسلّم المذكور، كما هو الشأن في نظائر المقام، فما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له وجه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تحديد أقل السدر بكونه بمقدار سبع ورقات كما عن بعض، أو بكونه بمقدار رطل كما عن آخر، أو بمقدار رطل و نصف كما عن ثالث، أو أقل الكافور بكونه بمقدار نصف مثقال كما عن رابع، أو اعتبار كونه من الجلال أي خاما غير مطبوخ كما عن خامس، لا وجه له أيضا و لا دليل عليه، بل مقتضى القاعدة كفاية أقل ما يتحقّق به المسمّى، أي ما يصدق به أنّ هذا ماء و سدر، أو ماء و كافور بالشرط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نعم يعتبر كونهما مطحونين ممروسين أي مدلوكين في الماء ليتحلل أجزاؤهما، لتوقّف صدق الخلط و الامتزاج و الخروج عن القراحية على ذلك كما هو واضح، كما أنّ المعتبر في القراح بقرينة المقابلة إنّما هو خلوصه عن خصوص الخليطين لا عن جميع الأشياء حتى الطين و نحوه، فما عن بعض من اعتبار الخلوص المطلق، و فرّع عليه عدم جواز التغسيل بماء السيل ممّا لا وجه له، و الظاهر أنّ اعتبار الخلوص من الخليطين في القراح يكون من باب العزيمة لا الرخصة، كما يكون اعتبارهما في مائي السدر و الكافور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قاعدة إطلاق المادة كون الترتيب في نفس الأغسال الثلاثة، و في أجزاء كل منها شرطا واقعيّا لا ذكريّا، فمع الإخلال به سهوا أو نسيانا يجب الإعادة على ما يحصل به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الارتماس مجز عن الترتيب هنا أو لا؟ ذهب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و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و مستند الأوّل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جنب يغسل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ورد في غسل الجنابة من أجزاء الارتماس عن الترتيب، فيحمل الأمر الوارد بالترتيب على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الثاني انّا لا نعلم عمومية الحكم المذكور حتى بالنسبة إلى هذا الفرد من الجنب، كما لا نقطع بإلغاء الخصوصية، فلعلّ للمقام اختصاصا بشرطية الترتيب لأجل منافاة الارتماس لاحترام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ندّعي عمومية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الارتماس مجز عن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عليه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جنب يغسل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الدليل المذكور و معمّم له، ثمّ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بضميمة الحاكم و المحكوم جميعا يحمل الأوامر الواردة بالترتيب على الأفضلية، و لا منافاة فيه مع الاحترام بعد كونه لأجل مصلحته، كيف و ليس هو بأسوأ حالا من حشو فرجه بالقطن الذي ورد التنصيص عليه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يوضّأ الميّت قبل الغسل وضوء الصلاة وجوبا، كما عن بعض، أو استحبابا كما عن مشهور المتأخّرين، الظاهر الثاني، لأنّه مقتضى الجمع بين الأمر الوارد به في جملة من الأخبار، و التنصيص على جواز الترك المستفاد من صحيحة يعقوب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أ فيه وضوء الصلاة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تبدأ بمرافقه، فتغسل بالحرض، ثمّ يغسل وجهه و رأسه بالسدر، ثمّ يفاض عليه الماء ثلاث مرّات، و لا يغسل إلّا في قميص يدخل رجل يده و يصب عليه من فوقه، و يجعل في الماء شي‌ء من السدر و شي‌ء من الكافور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عدم التعرّض في الجواب عن الوضوء، و التعرّض لغيره مع وقوع السؤال عنه، صريح في عدم وجوبه، و انّ المتحتّم بالرعاية هو ذلك الأمر المذكور في الجواب، نظير ما لو سأل السائل عن جنس المال الذي ينفق في الخيرات، فأجيب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الإنفاق فعليك بحسن النيّة و خلوصها، و من هذا القبيل، قوله تعالى يَسْئَلُونَكَ مٰا ذٰا يُنْفِقُونَ قُلْ مٰا أَنْفَقْتُمْ مِنْ خَيْرٍ فَلِلْوٰالِدَيْنِ وَ الْأَقْرَبِينَ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قوله تعالى يَسْئَلُونَكَ عَنِ الْأَهِلَّةِ قُلْ هِيَ مَوٰاقِيتُ لِلنّٰاسِ وَ الْحَجِّ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سؤالهم كان عن سبب زيادتها و نقصانها، فعدل في الجواب عن ذكر السبب إلى بيان الحكمة</w:t>
      </w:r>
      <w:r>
        <w:rPr>
          <w:rFonts w:eastAsia="Amiri" w:cs="Amiri" w:ascii="Amiri" w:hAnsi="Amiri"/>
          <w:color w:val="111111"/>
          <w:sz w:val="28"/>
          <w:szCs w:val="28"/>
          <w:rtl w:val="true"/>
          <w:lang w:bidi="ar-SA"/>
        </w:rPr>
        <w:t>.</w:t>
      </w:r>
      <w:bookmarkStart w:id="244" w:name="pg1803_22037"/>
    </w:p>
    <w:p>
      <w:pPr>
        <w:pStyle w:val="BookText"/>
        <w:rPr/>
      </w:pPr>
      <w:bookmarkEnd w:id="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Heading4"/>
        <w:numPr>
          <w:ilvl w:val="3"/>
          <w:numId w:val="1"/>
        </w:numPr>
        <w:rPr/>
      </w:pPr>
      <w:bookmarkStart w:id="245" w:name="__RefHeading___Toc2491977_3650668749"/>
      <w:bookmarkStart w:id="246" w:name="_Toc89"/>
      <w:bookmarkEnd w:id="245"/>
      <w:r>
        <w:rPr>
          <w:rtl w:val="true"/>
        </w:rPr>
        <w:t>مسألة</w:t>
      </w:r>
      <w:r>
        <w:rPr>
          <w:rtl w:val="true"/>
        </w:rPr>
        <w:t xml:space="preserve">: </w:t>
      </w:r>
      <w:r>
        <w:rPr>
          <w:rtl w:val="true"/>
        </w:rPr>
        <w:t>لو لم يجد الماء إلّا بمقدار غسل واحد، فمقتضى قاعدة الميسور و الاستصحاب وجوب الإتيان بالممكن</w:t>
      </w:r>
      <w:bookmarkEnd w:id="246"/>
    </w:p>
    <w:p>
      <w:pPr>
        <w:pStyle w:val="BookText"/>
        <w:rPr/>
      </w:pPr>
      <w:r>
        <w:rPr>
          <w:rFonts w:ascii="Amiri" w:hAnsi="Amiri" w:eastAsia="Amiri" w:cs="Amiri"/>
          <w:color w:val="111111"/>
          <w:sz w:val="28"/>
          <w:sz w:val="28"/>
          <w:szCs w:val="28"/>
          <w:rtl w:val="true"/>
          <w:lang w:bidi="ar-SA"/>
        </w:rPr>
        <w:t>و توهّم أنّ الأغسال الثلاثة بمجموعها فعل واحد و كل منها بمنزلة غسلة واحدة من غسلات الغسل الواحد مدفوع بمنافاته مع التعبير عن كل منها بالغسل، كما وقع ذلك في الأخبار و في كلمات الأصحاب، كما أنّ المستصحب هو الوجوب الثابت في ضمن الكل و إن تبدل وصف ضمنيّته بالاستقلال، لكنّه غير معدد للموضوع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يتعيّن صرفه في الغسل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بماء السدر، أو يتخيّر في صرفه في أيّها شاء؟ وجهان، من أنّ العجز لا يتحقّق في حقّه إلّا بعد صرفه في الغسل الأوّل فلا عذر له في ترك الأوّل، و من أنّ الحق كونه من أوّل الأمر عاجزا بالنسبة إلى أحد الأغسال على البدل، و قادرا بالنسبة إلى أحدهما كذلك، و لا مرجح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اشتراط سبق الغسلين الأخيرين بالأوّل و عدم اشتراط الأوّل بلحوقهما يدور الأمر بين إدراك غسل تام أو إدراك غسل ناقص فاقد الشرط، فالمتعيّن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استواء صدق القدرة و العجز بين الغسل الأوّل و كل واحد من الأخيرين، فعموم دليل البدليّة شامل لكل منها في عرض واحد و جاعل له بمنزلة الفعل التام، إلّا أن يعلم من الخارج أهميّة أحدها أو تكون القدرة في ظرف أحد الأخيرين شرطا شرعيّا، بحيث جاز للمكلّف تفويته اختيارا، فإنّ المتعيّن اختيار الأهم في الأوّل، و اختيار الأوّل في الثاني كما هو واضح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المذكور إنّما يفيد تنزيل فقدان الشرط في</w:t>
      </w:r>
      <w:bookmarkStart w:id="247" w:name="pg1803_22040"/>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الفعل المتأخّر منزلة وجدانه إذا تعلّق العجز بخصوص الفعل المتقدم، و أمّا إذا تعلّق بالقدر الجامع بينه و بين المتأخّر فلا يستفاد منه التنزيل المذكور، و قد يقال بتعيّن الصرف في الغسل الأخير نظرا إلى أقوائيّته في تأثير التطهير من الأوّلين لعدم اشتماله على الخليط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الخليط كما مرّ كونه بحيث لا يوجب سلب وصف الإطلاق عن الماء، فالقوّه المذكورة في محل المنع، فالأقوى هو اختيار الأوّل مضافا إلى كونه أحوط، و منه يظهر الكلام فيما لو لم يجد الماء إلّا بمقدار الغسلين حيث إنّ الأقوى فيه الصرف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الإتيان بالتيمّم مكان الغسلين في الفرض الأوّل و مكان الغسل الواحد في الفرض الثاني، و هل يكتفى في الفرض الأوّل بتيمّم واحد أو يأتي بتيمّمين؟ الكلام فيه هو الكلام فيما إذا لم يجد الماء بمقدار شي‌ء من الأغسال رأسا، و يأتي تفصيل الحال فيه فيما بعد إن شاء اللّٰه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2491979_3650668749"/>
      <w:bookmarkStart w:id="249" w:name="_Toc90"/>
      <w:bookmarkEnd w:id="248"/>
      <w:r>
        <w:rPr>
          <w:rtl w:val="true"/>
        </w:rPr>
        <w:t>مسألة</w:t>
      </w:r>
      <w:r>
        <w:rPr>
          <w:rtl w:val="true"/>
        </w:rPr>
        <w:t xml:space="preserve">: </w:t>
      </w:r>
      <w:r>
        <w:rPr>
          <w:rtl w:val="true"/>
        </w:rPr>
        <w:t>لو وجد الماء و لم يجد الخليطين فمقتضى قاعدة الميسور و الاستصحاب وجوب ثلاثة أغسال بالقراح</w:t>
      </w:r>
      <w:bookmarkEnd w:id="249"/>
    </w:p>
    <w:p>
      <w:pPr>
        <w:pStyle w:val="BookText"/>
        <w:rPr/>
      </w:pPr>
      <w:r>
        <w:rPr>
          <w:rFonts w:ascii="Amiri" w:hAnsi="Amiri" w:eastAsia="Amiri" w:cs="Amiri"/>
          <w:color w:val="111111"/>
          <w:sz w:val="28"/>
          <w:sz w:val="28"/>
          <w:szCs w:val="28"/>
          <w:rtl w:val="true"/>
          <w:lang w:bidi="ar-SA"/>
        </w:rPr>
        <w:t>و قد يقال بكفاية غسل واحد نظرا إلى أنّ المتأصّل بالمطلوبية في الغسلين الأوّلين إنّما هو استعمال السدر و الكافور، و استعمال الماء إنّما هو لمحض المقدمية و التوصل إلى ذلك، فمع تعذرهما يكون استعمال القراح أجنبيا عمّا هو المطلوب لا ميسورا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 ذلك أنّه لو لم يجد من الماء إلّا مقدارا يسيرا يكفي لجعل السدر و الكافور عجينا بخلطه كان ذلك واجبا و لا يلتزمون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بابتناء المسألة على كون المدرك في إيجاب الغسل بالسدر و الكافور،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بماء و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بماء و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كونهما تكليفين مستقلّين،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 عمرا، أو كون المدرك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بماء السدر أو اغسله بماء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بد من ثلاثة أغسال لأنّ تعذّر أحد التكليفين،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بالسدر أو الكافور لا يوجب سقوط التكليف الآخر أعني الغسل بالماء، و على الثاني لا يجب إلّا غسل واحد، لأنّ الغسل بالقراح لا يعدّ ميسورا لمائي السدر و الكافور، كما لا يعد الإتيان به ميسورا لإتيان ماء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العطف في هذا المقام غير موجب لتعدّد الفعل كما يوجب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 عمرا، و إنّما يوجب تعدّد متعلّقه مع وحدة نفسه، كما أنّ له أمثلة كثيرة في العرف، فلا فرق بين العبارتين بحسب المؤدّى، و أمّا قياس المقام بماء الرمان فقد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لوجوب التثليث بما ورد في المحرم من أنّه كالمحل في الغسل و غيره إلّا أنّه لا يقربه الكافور، فإنّ الظاهر أنّ الوجه فيه إنّما هو تعذر استعمال الكافور من دون خصوصية للمورد، و لازمة عدم الفرق بين التعذّر العقلي 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ظاهر دليل البدلية الجاعل للبدل بمنزلة المبدل و قائما مقامه، ترتّب جميع آثار المبدل على البدل، فيحكم بارتفاع نجاسة البدن و بعدم إيجاب المس بعده للغسل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مقتضاه الاجتزاء بالبدل و عدم وجوب الإتيان بالمبدل بعد ارتفاع العذر، سواء كان قبل الدفن أم بعده، و إن كان الأحوط الإتيان به قبل الدفن، بل</w:t>
      </w:r>
      <w:bookmarkStart w:id="250" w:name="pg1803_22046"/>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بعده أيضا بناء على عدم الدليل على حرمة النبش في مثل المقام</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491981_3650668749"/>
      <w:bookmarkStart w:id="252" w:name="_Toc91"/>
      <w:bookmarkEnd w:id="251"/>
      <w:r>
        <w:rPr>
          <w:rtl w:val="true"/>
        </w:rPr>
        <w:t>مسألة</w:t>
      </w:r>
      <w:r>
        <w:rPr>
          <w:rtl w:val="true"/>
        </w:rPr>
        <w:t xml:space="preserve">: </w:t>
      </w:r>
      <w:r>
        <w:rPr>
          <w:rtl w:val="true"/>
        </w:rPr>
        <w:t>لو لم يوجد الماء رأسا، أو خيف من استعماله و لو على وجه الصب من غير ذلك تناثر جلده لكونه محترقا أو مجدورا، وجب التيمّم</w:t>
      </w:r>
      <w:bookmarkEnd w:id="252"/>
    </w:p>
    <w:p>
      <w:pPr>
        <w:pStyle w:val="BookText"/>
        <w:rPr/>
      </w:pPr>
      <w:r>
        <w:rPr>
          <w:rFonts w:ascii="Amiri" w:hAnsi="Amiri" w:eastAsia="Amiri" w:cs="Amiri"/>
          <w:color w:val="111111"/>
          <w:sz w:val="28"/>
          <w:sz w:val="28"/>
          <w:szCs w:val="28"/>
          <w:rtl w:val="true"/>
          <w:lang w:bidi="ar-SA"/>
        </w:rPr>
        <w:t>و يدل عليه مضافا إلى ظهور عدم الخلاف، و دعوى الإجماع عن غير واحد، رواية عمرو بن خالد عن زيد بن علي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أتوا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مات صاحب لنا و هو مجدور فإن غسلناه انسلخ،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المنجبر ضعفها بظهور استناد المشهور إليها من جهة تعبيرهم بمتنها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تعارضها رواية عبد الرحمن بن أبي نجران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 و المحدث و الميّت إذا حضرت الصلاة و لم يكن معهم من الماء إلّا بقدر ما يكفي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الجنب، و يدفن الميّت، و يتيمّم الّذي هو على غير وضوء، لأنّ غسل الجنابة فريضة، و غسل الميّت سنّة، و التيمّم الآخر جائز</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بعد ظهور وقوع السقط فيها فإنّها برواية التهذيب كما نقلناه مع ضعف السند، و برواية الفقيه مع زيادة كلمة بتيمّم بعد قوله و يدفن الميّت مع صحّة السند، فهي من الشواهد على المدّعى لا على الخلاف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عموم بدلية التراب و كونه أحد الطهورين، فإنّه بعد بيان الشارع كون الموت سببا للجنابة و غسل الميت طهورا لها يكون التراب بمقتضى العموم المذكور بدلا عن هذا الطهور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و هل يكفي تيمّم واحد، أو لا بد من ثلاث تيمّمات بدل ثلاثة أغسال؟</w:t>
      </w:r>
    </w:p>
    <w:p>
      <w:pPr>
        <w:pStyle w:val="BookText"/>
        <w:rPr/>
      </w:pPr>
      <w:r>
        <w:rPr>
          <w:rFonts w:ascii="Amiri" w:hAnsi="Amiri" w:eastAsia="Amiri" w:cs="Amiri"/>
          <w:color w:val="111111"/>
          <w:sz w:val="28"/>
          <w:sz w:val="28"/>
          <w:szCs w:val="28"/>
          <w:rtl w:val="true"/>
          <w:lang w:bidi="ar-SA"/>
        </w:rPr>
        <w:t>الظاهر الثاني و إن قوّى بعض الأعاظم تبعا لشيخنا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فإنّ الظاهر كون كل من الأغسال طهورا مستقلا و مفيدا لمرتبة من الطهارة، و إن كانت الطهارة المطلقة للميّت حاصلة من المجموع كما يؤيّد ذلك التشبيه بغسل الجنابة فكأنّه قيل غسل الميّت مثل غسل الجنابة إلّا أنّه يكرّر ثلاث مرّات، و يمزج في المرة الأولى السدر، و في الثانية الكافور، و لا ينافي ذلك تشريك غير الماء معه بعد معلومية عدم مدخلية الغير في قوام ماهية الغسل و كون قوامها بالماء فقط، و إنّما اعتبر الغير لأجل غرض خارجي أمّا رفع أوساخ الجسد كما في السدر، و إمّا دفع هوام الأرض عنه بسبب رائحته كما في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انتقاض هذا التيمّم و وجوب الإتيان بمبدله بعد ارتفاع الضرورة و العذر المسوغ، كسائر مواضع مشروعيته، لكن هذا إذا لم يستلزم محذورا بأن كان ارتفاع العذر قبل الدفن أو بعده، و لكن كان بروز الجسد على سبيل الاتفاق، و أمّا إذا كان بعد الدفن و استلزم النّبش ففيه اشكال، و هل يكون التيمّم بيدي الميّت مع الإمكان أم بيدي الحيّ مقتضى القاعدة هو الأوّل لكن المنسوب إلى المعروف هو الثاني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المتعلّقة بتجهيز الميّت تكفينه، و هو كتغسيله و غيره واجب كفاية على عامة المكلّفين، من غير فرق بين الأولياء و غيرهم، و خلاف صاحب الحدائق الذي تقدّم في التغسيل جار هنا مع جوابه فراجع، لكن الواجب إنّما هو سترة بالكفن لا بذله، فلو كان للميّت مال يفي بالكفن أو كان هناك باذل وجب ستره، و إلّا لم يجب على أحد بذله، كما يشهد بذلك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مؤمنا كان كمن ضمن كسوته إلى يوم القيامة، فإنّ اللسان لسان الاستحباب مضافا إلى أنّه الموافق للأصل بعد عدم الإطلاق في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جملة الأغراض المقصودة من التكفين رفع العار عن أهل الميّت، حيث إنّ دفنه بلا كفن و عاريا عار على أهله، مضافا إلى ما دلّ عليه بعض الأخبار من أنّ المقصود منه مواراة الجسد، فتوهم كونه تعبديّا محتاجا إلى قصد القربة، بملاحظة عدم معلومية ترتّب الغرض المقصود منه على مجرد الوجود الخارجي، و ما هذا شأنه تعبّدي ضعيف مضافا إلى أنّ قضية الأصل عند الشك هو التوصلية، كما قرّر في الأصول، و ما أبعد ما بينه و بين من قال بحصول الثواب و لو مع عدم القصد، بل و لو مع قصد الخلاف، أو كونه مرائيا، و لعل المراد أنّ من الآثار الوضعية المترتبة قهرا على ذات العمل حصول صفة كمالية نفسانية للفاعل، و بسبب ذلك الكمال المسبب يمتاز الفاعل عن التارك، و إن كانا مساويين بملاحظة نفس الفعل الذي هو السبب، هذا بحسب مقام التصوير، و أمّا بحسب الإثبات فيحتاج إلى دليل و لم نعثر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الواجب في الكفن ثلاث قطعات لا أقل خلافا لسلار فاكتفى بقطعة واحدة ساترة لجميع البدن، لنا أخبار كثيرة منها رواية عبد اللّٰه 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يكفّن في ثلاثة أثواب سوى العمامة و الخرقة يشد بها وركيه لكي لا يبدو منه شي‌ء، و العمامة و الخرقة لا بدّ منهما و ليستا من الكفن</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و بمضمونها أخبار أخر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سلار بصحيحة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للميّت من الكفن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الكفن المفروض ثلاثة أثواب أو ثوب تام لا أقل منه يواري فيه جسده كلّه، فما زاد فهو سنّة إلى أن يبلغ خمسة، فما زاد فمبتدع و العمامة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إن تصوّرنا التخيير بين الأقل و الأكثر التدريجيين بأن قلنا بكونه من باب تبديل الامتثال بالفرد الغير الأفضل و هو الأقل، بالامتثال بالفرد الأفضل و هو الأكثر، و لكنّ نسخة الرواية مضطربة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ثوب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الهمزة،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حرف العطف، 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كلمة ثوب و حرف العطف، و مع هذا كيف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الإقطاع الثلاث للكفن على ما عليه جلّ الأصحاب لو لا كلّهم عدا صاحب المدارك و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 حدّة أن يستر ما بين السرّة إلى ما دون الركبة، و الظاهر عدم الصدق بأقل من ذلك بحيث كانت الركبة 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 حدّه أن يصل طرفه من جانبي القدّام و الخلف إلى الفخذين، و لا عبرة تعارف في بعض الأمكنة من الاكتفاء بجانب القدّام و إسقاط الخلف، و إن أطلق عليه القميص مع الإضافة في بعض الأحيان لكنّه من قبيل إطلاق الماء المضاف كماء الرمان و نحوه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 هو اللفافة الشاملة لجميع البدن، و الظاهر جواز زيادته طولا بحيث أمكن عقد طرفيه، و عرضا بحيث أمكن تطبيق أحد الجانبين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الآخر، فإنّه المفهوم من ستر تمام البدن بعد كراهة الخياطة شرعا و عدم تعارف الوصل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الإزار على هذا المعنى هو الشائع في كلمات الفقهاء، و أمّا في الأخبار فالشائع إنّما هو استعماله في معنى المئزر كما وقع في أبواب الإحرام، و الحمام، و الحائض حيث ورد جواز الاستمتاع بها من فوق الإزار، خلافا لصاحب المدارك و تلميذه الأمين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توهّما استعماله في أخبار الباب في معنى اللفافة كما في كلمات الفقهاء، و من أجل ذلك ذهبا إلى أنّ المعتبر في الكفن إمّا ثلاث لفافات و إمّا لفّافتان و قميص مخيّرا بين الأمرين، و نظرهما في جواز ثلاث لفافات إلى التعبير في بعض الأخبار بثلاثة أثواب حيث توهّما أنّ المتبادر من الثوب كونه ساترا لجميع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التبادر المذكور في لفظة الثوب، و لهذا يصدق على القميص و المئزر مع عدم شمولهما، أنّ حمل الإزار في أخبار الباب على إرادة اللفافة استنادا إلى إطلاق الفقهاء، و نقل بعض أهل اللغة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كون لفظ الإزار حقيقة في معنى المئزر مسلّم، و كونه حقيقة في اللفافة لم يثبت، و مجرّد الاستعمال أعمّ من الحقيقة و لا حجيّة في نقل اللغوي لعدم كونه خبرة لتشخيص الحقائق عن المجازات، و إن كان كذلك لتشخيص موارد الاستعمال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سلّمنا كونه مشتركا بين المعنيين لكن القرائن على إرادة المئزر منه في هذه الأخبار، مضافا إلى شيوع استعماله فيه في الأبواب المتقدّم إليها الإشارة موجودة في نفس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بالكفن؟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 خرقة فيشدّ بها على مقعدته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فالإزار؟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إنّها لا تعد شيئا إنّما تصنع لتضمّ ما هناك لئلّا يخرج منه شي‌ء، و ما يصنع من القطن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حيث إنّ الإمام لمّا حكم بشد الخرقة عن الرجلين، توهّم السائل أنّها إمّا عين الإزار، أو مغنية عنه،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أنّ الإزار هذه الخرقة أو بمعنى أنّ الإزار لغو لا فائدة فيه مع وجود هذه الخرقة، 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معدودة من أجزاء الكفن و غير مغنية عن الإزار، و لا يخفى أنّ هذه قرينة على أنّ الإزار المعهود المعدود من أجزاء الكفن عبارة عن المئزر، لا اللفافة، و إلّا لم يصح التوهّم المذكور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معاوية بن وهب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الميّت في خمسة أثواب، قميص لا يزرّ عليه، و إزار و خرقة يعصب بها وسطه، و برد يلفّ فيه، و عمامة يعتمّ بها و يلقى فضلها على صدره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 في نسخة على ما عن الوسائل على وجهه، فإنّ جعل الإزار قسيما لبرد يلف فيه يدلّ على عدم كون الإزار شاملا للبدن و ممّا يلف فيه الميّت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الرجل في ثلاثة أثواب، و 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منطق و خمار و لفافتين</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فإنّ المراد بالمنطق على ما في مجمع البحرين ثوب يختص بالمرأة و أشبه شي‌ء بالمئزر، فإنّه قال في عداد معاني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المنطق أيضا شقة تلبسها المرأة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و تشدّ وسطها ثمّ ترسل أعلاها إلى الركبة و الأسفل إلى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 يكفّن المرأة في درع و منطق،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تحنيط الميّت و تكفينه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الحبرة بسطا، ثمّ ابسط عليه الإزار، ثمّ ابسط القميص عليه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الإتيان بكلمة ثمّ في ما بين الحبرة و الإزار يدلّ على عدم كون الإزار كالحبرة شاملا لجميع البدن،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ابسطهما ثمّ ابسط القميص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عمّار بن موسى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الميّت فذكر حديثا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تبدأ فتبسط اللفافة طولا، ثمّ تذرّ عليها من الذريرة، ثمّ الإزار طولا حتى يغطّى الصدر و الرجلين، الحديث</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فإنّها صريحة في اختصاص مقدار تغطية الإزار بالصدر و الرجلين و عدم كونه شاملا لجميع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بن يعقوب عن 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كفّنت أبي في ثوبين شطويين كان يحرم فيهما، و في قميص من قمصه، و في عمامة كانت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معاوية بن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ثوبا رسول اللّٰه صلّى اللّٰه عليه و آله و سلم اللذان أحرم فيهما يمانيين عبريّ و أظفار، و فيهما كفّن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فإنّهما بعد معلومية كون الإزار الذي هو أحد ثوبي الإحرام بمعنى المئزر شاهدان على ارادة هذا المعنى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منه في أخبار المقام، و إن كان يمكن استعماله في الكفن لكونه كبيرا بكيفية اللفافة لا بكيفية المئزر، لكن الأخبار المتقدّمة كافية لإثبات كونه بكيفية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فملاحظة هذه الأخبار و فهم الأصحاب جلا بل كلا عدا من عرفت، و استمرار سيرة المتشرّعة خلفا عن سلف، تورث الاطمئنان التام بإرادة معنى المئزر من الإزار في هذا الباب، مضافا إلى أنّ مقتضى الأصل أيضا عدم وجوب ستر أزيد ممّا يستره المئزر بساتر الإزار، و إن كان لا يمكن إثبات خصوصية المئزر بهذا الأصل بحيث لا يكتفى بالثوب الشامل لتمام البدن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استند أو يصح أن يستند إليه صاحب المدارك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الأخبار بدعوى ظهورها في شمول كل واحد من الأثواب، غاية الأمر خرجنا عن هذا الظاهر في مورد القميص للأخبار الخاصة، و قلنا لأجلها بالتخيير، و بقي الظهور المذكور في مورد الإزار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الظهور المذكور أشد المنع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حسنة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تعد العمامة من الكفن إنّما يعد ما يلف به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ظهوره في انحصار أجزاء الكفن في ما يتّصف بصفة لف الجسد و هو أيضا ظاهر في الشمول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إن سلّمنا هذا الظهور من جهة مقدّمات الإطلاق عند عدم العهد، كما لو قيل لف جسدك بالثوب الفلاني، لكن لا نسلّمه في ما كان في البين عهد خارجي كما في ما نحن فيه، حيث إنّه في مقام نفي جزئية العمامة التي هي ممّا يلف به الرأس، قيل إنّما يعد من الكفن ما يلف به الجسد مشيرا إلى المعهودات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بناء على بعض نسخها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أثواب تام لا أقل منه يوارى فيه جسده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ظاهر في لزوم اتصاف كل منها بصفة التمامية و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تشويش النسخة المانع عن الاستدلال و احتمال كون التمامية صفة لمجموع الثلاثة، كون العبارة بحسب هذه النسخة ملحونة لعدم مطابقة الصفة مع الموصوف في التذكير و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حمران بن أعين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يكفّن بقميص و لفافة و برد يجمع فيه الكفن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حيث إنّ الظاهر أنّ المراد باللفافة هو الإزار و ظاهره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الإطلاق و عدم العهد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التي يصلّي فيها الرجل و يصوم أ يكفّن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ذلك الكفن يعني قميصا،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 القميص أحبّ إليّ</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حيث إنّه ظاهر في اتصاف كل من الثلاثة بالظرفيّة لإدراج الميت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من الإدراج هنا ما يرادف الشمول و الاستيعاب، و إنّما أريد به ما يقابل لبس القميص الحقيقي الواجد للكمّ و سائر الخصوصيات، فإنّ الّذي يعد من أجزاء الكفن يصحّ سلب اسم القميص عنه حقيقة، و قد علم من جميع ما ذكرنا، أنّ المئزر و القميص معتبران في الكفن على وجه العزيمة لا الرخصة، للأخبار</w:t>
      </w:r>
      <w:bookmarkStart w:id="253" w:name="pg1803_22072"/>
    </w:p>
    <w:p>
      <w:pPr>
        <w:pStyle w:val="BookText"/>
        <w:rPr/>
      </w:pPr>
      <w:bookmarkEnd w:id="2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الخاصّة الظاهرة في اعتبارهما من حيث الخصوص، ثمّ إنّ اعتبار الإقطاع الثلاث إنّما هو في حال الاختيار، و أمّا في حال الاضطرار فلا إشكال في أنّ الميسور لا يسقط بالمعسور و لو كان قطعة واحدة، بل و لو كان بمقدار ستر العورة و مع الدوران يقدم الأشمل فالأشمل فاللفافة مقدّمة على القميص و هو مقدّم على المئزر</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491983_3650668749"/>
      <w:bookmarkStart w:id="255" w:name="_Toc92"/>
      <w:bookmarkEnd w:id="254"/>
      <w:r>
        <w:rPr>
          <w:rtl w:val="true"/>
        </w:rPr>
        <w:t>[</w:t>
      </w:r>
      <w:r>
        <w:rPr>
          <w:rtl w:val="true"/>
        </w:rPr>
        <w:t>الثالث في أحكام التكفين</w:t>
      </w:r>
      <w:r>
        <w:rPr>
          <w:rtl w:val="true"/>
        </w:rPr>
        <w:t>]</w:t>
      </w:r>
      <w:bookmarkEnd w:id="255"/>
    </w:p>
    <w:p>
      <w:pPr>
        <w:pStyle w:val="Heading4"/>
        <w:numPr>
          <w:ilvl w:val="3"/>
          <w:numId w:val="1"/>
        </w:numPr>
        <w:rPr/>
      </w:pPr>
      <w:bookmarkStart w:id="256" w:name="__RefHeading___Toc2491985_3650668749"/>
      <w:bookmarkStart w:id="257" w:name="_Toc93"/>
      <w:bookmarkEnd w:id="256"/>
      <w:r>
        <w:rPr>
          <w:rtl w:val="true"/>
        </w:rPr>
        <w:t>مسألة</w:t>
      </w:r>
      <w:r>
        <w:rPr>
          <w:rtl w:val="true"/>
        </w:rPr>
        <w:t xml:space="preserve">: </w:t>
      </w:r>
      <w:r>
        <w:rPr>
          <w:rtl w:val="true"/>
        </w:rPr>
        <w:t>يعتبر في جنس الكفن كونه متوسّطا لائقا بحال الميّت من حيث الشرف و الضعة</w:t>
      </w:r>
      <w:bookmarkEnd w:id="257"/>
    </w:p>
    <w:p>
      <w:pPr>
        <w:pStyle w:val="BookText"/>
        <w:rPr/>
      </w:pPr>
      <w:r>
        <w:rPr>
          <w:rFonts w:ascii="Amiri" w:hAnsi="Amiri" w:eastAsia="Amiri" w:cs="Amiri"/>
          <w:color w:val="111111"/>
          <w:sz w:val="28"/>
          <w:sz w:val="28"/>
          <w:szCs w:val="28"/>
          <w:rtl w:val="true"/>
          <w:lang w:bidi="ar-SA"/>
        </w:rPr>
        <w:t>فلا يجوز بالأدون الموجب لمهانته و حقارته، كما لا يجوز بالأعلى من زيّه و شأنه مع عدم اجازة الوارث أو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المراتب المتوسطة لا يجب الاقتصار على الأقل، بل يجوز للولي اختيار الأعلى و لو مع عدم رضا الوارث أو صغارته، و يعتبر أيضا أن لا يكون حاكيا لما وراءه، لمنافاته مع الحكاية لما هو مقصود الشارع من مواراة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الستر و المواراة من مجموع الثلاثة لا بكل واحد فالظاهر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أيضا أن لا يكون مغصوبا، و لو دفن بالكفن الغصبي جاز للمالك نبش قبره مقدّمة لانتزاع ماله، فإنّ دليل حرمة النبش ليس له إطلاق يشمل المقام، و ربّما يقال إنّه مع الإطلاق أيضا تقدّم عليه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حكومة للقاعدة على سائر الأدلّة، بل من المقرّر في محلّه أنّ القاعدة ليست بمشرعة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أيضا أن لا يكون نجسا و يدلّ عليه مضافا إلى ظهور عدم الخلاف، و دعوى الإجماع عن المعتبر، و الذكرى، فحوى ما دلّ على وجوب إزالة النجاسة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الخارجة منه عن الكفن، و مقتضى إطلاقه وجوب الإزالة حتى لو كان تنجّسه بالدم الأقل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أيضا أن لا يكون حريرا محضا، و استدل عليه بعد ظهور الإجماع المحكي عن جملة من العبائر، كالمعتبر، و التذكرة، و الذكرى، بمضمرة 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ثياب تعمل بالبصرة على عمل الصعب اليماني من قزّ و قطن، هل يصلح أن يكفّن فيها الموتي؟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فإنّ الموضوع في كلام السائل و إن كان القزّ المختلط، لكن يستفاد أن المنع في القزّ الخالص كان مفروغا عنه عند السائل،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قرّره على ذلك،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البأس المستفاد من المفهوم محمول على الكراهة قطعا، إذا بمجرد عدم أكثرية الخليط لا يصدق على القزّ عنوان المحوضة، بل لا بد أن يكون الخليط في القلّة بحدّ الاستهلاك، و لا يبعد كفاية كونه بمقدار العشر، فمع عدم الاستهلال لا يتحقّق البأس التحريمي، و حينئذ فلا تبقى دلالة على أنّ المنع الذي كان مفروغا عنه عند السائل كان تحريميّا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التمسّك باستصحاب المنع الثابت في حال الحياة في حقّ الرجال، فانّ موضوعه مطلق اللبس لا خصوص التزيّن، و على هذا فمقتضاه القول بالجواز في حقّ النساء، اللّٰهمّ إلّا أن يتشبّث في إثبات المنع في حقهنّ بذيل الكلية التي يستظهر من الشهيدين و المحقّق الثاني كونها من المسلّمات، و من المحقّق الأردبيلي كونها مظنّة الإجماع، بل عن الغنية دعوى الإجماع عليها صريحا، و هي أنّ كلّ ما لا يجوز فيه صلاة الرجل لا يجوز فيه التكفين و لو في حقّ النساء، و على هذا فلا يجوز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التكفين في أجزاء مالا يؤكل لحمه أيضا، و لا في الذهب و لو للنساء، و لا في الميتة، و لو كانت ظاهرة كميتة ما لا نفس له، بل يزيد المقام على باب الصلاة فيضاف هنا على ما ذكر المنع من التكفين في الجلد، و لو كان ممّا يؤكل، و ذلك لانصراف لفظ الثوب عنه، هذا و لو نوقش في أصل الكلّية المذكورة، كما يلوح من بعضهم حيث اقتصر في باب الكفن الممنوع على ذكر الحرير، أو نوقش في كونها بالكيفية التي ذكرنا، و أنّ المتيقّن، أنّ المناط في جواز التكفين و عدمه بالنسبة إلى كل أحد جواز صلاة نفسه و عدمه، لا أنّ المناط في حقّ كل أحد جواز صلاة خصوص الرجل و عدمه، كان مقتضى القاعدة جواز الحرير و الذهب في حقّ النساء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تمسّك به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الكلّية المذكورة، رواية محمّد بن مسلم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تجمّروا الأكفان، و لا تمسحوا موتاكم بالطيب إلّا بالكافور، فإنّ الميت بمنزلة المحرم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بضميمة ما ورد في باب الإحرام، من أنّ كلّ ما لا يجوز الصلاة فيه لا يجوز الإحرام فيه، بتقريب أنّ ما هو الملحوظ في هذا التنزيل على وجه الركنية إنّما هو ثوب الإحرام، و خصوصياته، من أجزائه، و شرائطه، دون تروك الإحرام و أفعاله، إذ هي ليست متمشّية من الميّت حقيقة، و إن كانت متحقّقة صورة، فكأنّه قيل حيث إنّ الميّت بمنزلة المحرم من جهة الثوب و خصوصياته يكره إمساس الطيب إيّاه، لأنّه كتعرّض نفس الميّت للطيب صورة و إن كان ليس به حقيقة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معارضة بصحيحة محمد بن مسلم الواردة في حكم من مات محرما يغطى وجهه و يصنع به ما يصنع بالمحل، غير أنّه لا يقرّبه طيبا، و جعل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التنزيل منزلة المحل في هذه الصحيحة بملاحظة الأفعال و التروك، و التنزيل بمنزلة المحرم في الرواية الأولى بملاحظة الثوب و خصوصياته تحكّم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كون المسألة مظنّة الإجماع ثمّ هذا كلّه مع الاختيار، و أمّا مع الاضطرار و الانحصار في الكفن الممنوع، فلا إشكال في عدم التكفين في المغصوب، بل يدفن الميّت عاريا، و أمّا في الممنوعات الأخر غير الجلد فالقدر المتيقّن من دليلها الذي هو الإجماع، إنّما هو حال الاختيار، فيبقى حال الاضطرار باقية تحت الإطلاقات، و أمّا الجلد فلا إشكال أيضا في أنّ المواراة به تعدّ ميسورا للمواراة بالثوب، هذا مع الانحصار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الانحصار في اثنين أو أزيد فلو دار بين النجس و غيره، فالمحكي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 عن غيره، معلّلا بأنّ المنع فيه عرضي و في غيره ذاتي، و اعترض عليه بعض بأنّ الترجيح المذكور اعتباري صرف لا يعبأ به، إذ ربّ منع عرضي يرجّح على منع ذاتي، و أمثلته العرفية غير عزيزة، و وجّه شيخنا المرتضى مقالة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سائر الخصوصيات في رتبة الموضوع بالنسبة إلى اعتبار وصف الطهارة، مثلا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بزيد القائم فاعتبار خصوصية الزيدية في رتبة الموضوع بالنسبة إلى اعتبار القيام، فلو دار الأمر بين المجي‌ء بزيد الجالس أو عمرو القائم، فلا إشكال في أنّ الثاني خارج عن موضوع المطلوبية رأسا، فكذا في مقامنا اعتبار كون الكفن غير حرير و عدم كونه من أجزاء ما لا يؤكل، في رتبة الموضوع بالنسبة إلى اعتبار وصف الطهارة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دار الأمر بين الجلد و غيره فالكلام فيه ما تقدّم في النجس حرفا بحرف، فإنّ الحرير و ما لا يؤكل داخلان في موضوع الثوب، و الجلد خارج عنه وضعا أو</w:t>
      </w:r>
      <w:bookmarkStart w:id="258" w:name="pg1803_22085"/>
    </w:p>
    <w:p>
      <w:pPr>
        <w:pStyle w:val="BookText"/>
        <w:rPr/>
      </w:pPr>
      <w:bookmarkEnd w:id="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انصرافا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دار بين الحرير و ما لا يؤكل، فيحتمل التخيير، و يحتمل تقدّم الحرير لكون المنع فيه وضعيا و تكليفيا، و في ما لا يؤكل وضعيا فقط، و يحتمل تقديم الحرير في حقّ النساء و تقديم ما لا يؤكل في حقّ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ممّا وقع في عبارة العروة الوثقى في هذا المقام، فإنّه بعد ما حكم بتقديم الحرير على ما لا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عن إشكال في صورة الدوران بين الحرير و جلد غير المأكول،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تأتّي الإشكال في غير الجلد من غير المأكول أولى منه في الجلد منه لكون الجلد واجدا لحيثيتين من المنع، و غيره لحيثية واحدة، و من المحتمل، بل المقطوع أنّ في العبارة تصحيفا من النسّاخ أو سهوا من قلمه الشريف</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491987_3650668749"/>
      <w:bookmarkStart w:id="260" w:name="_Toc94"/>
      <w:bookmarkEnd w:id="259"/>
      <w:r>
        <w:rPr>
          <w:rtl w:val="true"/>
        </w:rPr>
        <w:t>مسألة</w:t>
      </w:r>
      <w:r>
        <w:rPr>
          <w:rtl w:val="true"/>
        </w:rPr>
        <w:t xml:space="preserve">: </w:t>
      </w:r>
      <w:r>
        <w:rPr>
          <w:rtl w:val="true"/>
        </w:rPr>
        <w:t xml:space="preserve">يجب </w:t>
      </w:r>
      <w:r>
        <w:rPr>
          <w:rtl w:val="true"/>
        </w:rPr>
        <w:t>[</w:t>
      </w:r>
      <w:r>
        <w:rPr>
          <w:rtl w:val="true"/>
        </w:rPr>
        <w:t>تحنيط الميّت بعد تغسيله</w:t>
      </w:r>
      <w:r>
        <w:rPr>
          <w:rtl w:val="true"/>
        </w:rPr>
        <w:t>]</w:t>
      </w:r>
      <w:bookmarkEnd w:id="260"/>
    </w:p>
    <w:p>
      <w:pPr>
        <w:pStyle w:val="BookText"/>
        <w:rPr/>
      </w:pPr>
      <w:r>
        <w:rPr>
          <w:rFonts w:ascii="Amiri" w:hAnsi="Amiri" w:eastAsia="Amiri" w:cs="Amiri"/>
          <w:color w:val="111111"/>
          <w:sz w:val="28"/>
          <w:sz w:val="28"/>
          <w:szCs w:val="28"/>
          <w:rtl w:val="true"/>
          <w:lang w:bidi="ar-SA"/>
        </w:rPr>
        <w:t>على المعروف من مذهب الأصحاب، كما عن المدارك، بل إجماعا، كما عن الخلاف، و الغنية، و المنتهى، و التذكرة، و الروض تحنيط الميّت بعد تغسيله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أن يكون قبل التكفين، أو بعد التأزير، أو بعده و بعد التقميص، أو بعد التكفين، أو هو مخير؟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جفّفت الميّت عمدت إلى كافور مسحوق، فمسحت به آثار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لظهوره في البعديّة المتصلة بالنسبة إلى التغسيل المستلزمة للقبلية بالنسبة إلى التكفين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أن يكون بطريق المسح كما عبّر به في بعض الأخبار، أم يكفي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كونه على وجه الوضع و الجعل، كما عبّر به في آخر؟ الظاهر الأوّل، لتقييد البعض الثاني من الأخبار بالبعض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أن يكون المسح على وجه يؤثّر في المحل الممسوح أثر الكافور، لأنّه المتبادر من المسح على الموضع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يجب أن يكون الكافور مسحوقا لعدم التأثير في غير المسحوق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المسح المذكور على المساجد السبعة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باطن الكفّين، و الركبتين، و إبهامي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الأنف، فالظاهر عدم القول فيه بالوجوب، بناء على ما هو الحقّ من عدم وجوب إرغامه في السجود، و أمّا سائر المواضع المذكورة في الأخبار، فهي بين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النهي فقط و هو البصر و المنخران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الأمر كذلك و هو الفم و المفاصل كلّها من القرن إلى القدم، و الرأس، و اللحية، و الصدر، و الفرج، و ظهر الكفّين، و اللبّة، و باطن القدمين، و موضع الشراك من القدمين، و العنق، و المنكبان، و المرافق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الأمر و النهي معا و هو المسامع، أما ما ورد فيه النهي فظاهر النهي هو التحريم، إلّا أن يوهن الظهور بوقوعه في رديف المستحبّات، و أمّا ما ورد فيه الأمر فقط، فالأمر المذكور لكونه خاصّا ببعض الأخبار و خلو البعض الآخر عنه، مع كونه في مقام البيان و التعداد محمول على الاستحباب، و ليس هنا محل حمل المطلق على المقيّد، لأنّ ما لم يشتمل على الأمر المذكور مع كونه بصدد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التعداد، ظهوره في عدم الوجوب أزيد من ظهور الإطلاق المسبب عن المقدمات، و من هنا لا وجه للتأمّل في الوجوب بالنسبة إلى ما اتّفق على الأمر به جميع أخبار الباب، و هو المساجد السبعة، و إن صدر عن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حكي عن بعض الجزم بالاستحباب، لكن فيه أنّه رفع اليد عن ظهور الأمر بلا وجه ملزم، و مجرّد اختلاف الأخبار لا يصير قرينة على الاستحباب بالنسبة إلى القدر المشترك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تقول بمثله في منزوحات البئر، و هل القرينة على الاستحباب هناك إلّا اختلاف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تلك المسألة صحيحة إسماعيل 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تجعل اختلاف أخبار النزح في التحديد مؤيّدا لذلك، و هذا بخلاف المقام، حيث لم يرد فيه خبر دال على عدم الوجوب بالنسبة إلى القدر المشترك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فيه الأمر و النهي، فالتخيير الواقعي بين الفعل و الترك لا معنى له، و الظاهري فرع المكافئة و عدم الجمع الدلالي، و يمكن حمل الأمر على مورد الابتلاء بالتقية من المخالفين، و النهي على المرجوحية الذاتية، فيحكم في غير المورد المذكور بالمرجوحية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الحرمة فمحل اشكال بعد وقوع النهي المذكور في تلو المستحبّات، ثمّ إنّ الظاهر كفاية مسمّى الكافور في الحنوط، و عدم التقدير له شرعا، فإنّه مضافا إلى أصالة البراءة عن الزائد يكون مقتضى الإطلاقات أيضا،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جففت الميّت عمدت إلى الكافور فمسحت به آثار السجود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تحنّط الميّت فاعمد إلى الكافور،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فامسح به آثار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منهما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شيئا من الحنوط على مسامعه و مساجده و شيئا على ظهر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ذهب إلى أنّه لا إطلاق لأدلّة المقام لكون ما عدا الرواية الأخيرة واردا في مقام بيان موضع الحنوط بعد الفراغ عن سائر خصوصياته، و أمّا الرواية الأخيرة ففي مقام بيان عدم وجوب التعديل و التسوية بين المواضع، و كفاية الزيادة و النقيصة بينها فلا ينافي كون الكافور المصروف في مجموع المواضع مقدّرا بمقدار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و لا سيما ما ذكره في الرواية الأخيرة فإنّه مجرّد إبداء احتمال عقلي في مقابل الظهور العرفي، بل يمكن أن يقال في الموثقة 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الحنوط للميّت؟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 السائل هو السؤال عن الحنوط بجميع خصوصياته، فاقتصار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المواضع يدلّ على أنّ المهتم به إنّما هو ذلك، و أمّا المقدار فيكفيه المسمّى، نظير قوله تعالى يَسْئَلُونَكَ مٰا ذٰا يُنْفِقُونَ قُلْ مٰا أَنْفَقْتُمْ مِنْ خَيْرٍ فَلِلْوٰالِدَيْنِ الآية </w:t>
      </w:r>
      <w:r>
        <w:rPr>
          <w:rStyle w:val="FootnoteAnchor"/>
          <w:rtl w:val="true"/>
        </w:rPr>
        <w:footnoteReference w:id="158"/>
      </w:r>
      <w:r>
        <w:rPr>
          <w:rFonts w:ascii="Amiri" w:hAnsi="Amiri" w:eastAsia="Amiri" w:cs="Amiri"/>
          <w:color w:val="111111"/>
          <w:sz w:val="28"/>
          <w:sz w:val="28"/>
          <w:szCs w:val="28"/>
          <w:rtl w:val="true"/>
          <w:lang w:bidi="ar-SA"/>
        </w:rPr>
        <w:t>حيث إنّ العدول في الجواب عن ذكر الجنس مع كون السؤال عنه إلى بيان المصرف، يدل على أنّ المهم إنّما هو أمر المصرف، و أمّا الجنس فيكفيه أي شي‌ء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مرسلة ابن أبي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يجزي من الكافور للميّت مثقال</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أخرى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و نصف، و لعلّهما رواية سقط النصف عن نقل الراوي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في الأولى، كما يشهد باتحادهما وحدة الراوي و المروي عنه، ففيها مضافا إلى ضعف السند قصور الدلالة، إذ لا دلالة فيها على أنّ هذا المقدار لأجل الحنوط فقط، فلعلّ المراد أنّه لمجموع الحنوط و الغسل، و لا يخفى انطباقه حينئذ على المسمّى بعد ملاحظة أنّه لا بدّ في كافور الغسل أن لا يكون في القلّة بحدّ يصير مستهلكا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يستثنى من هذا الحكم،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تحنيط الميّت، ما إذا كان الميّت محرما فإنّه يسقط عنه التحنيط، و لا يستعمل الكافور في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ظهور عدم الخلاف، و إجماع الخلاف، و الغنية صحيحة محمّد بن مسلم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إذا مات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يغطى وجهه و يصنع به كما يصنع بالمحل، غير أنّه لا يقرّبه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سألته عن المحرم يموت؟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 يكفّن بالثياب كلّها و يغطّى وجهه و يصنع به كما يصنع بالمحل، غير أنّه لا يمس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بعضهم، حيث توهّم اختصاص الروايتين بباب الحنوط و عدم دلالتهما على عدم استعمال الكافور في غسله، بدعوى انصراف تقريب الطيب و مسّه إلى صورة كونهما على وجه المباشرة، دون ما لو كانا بتوسّط الماء، و فيه ما لا يخفى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عرفت عدم التقدير الشرعي للمقدار الواجب من كافور الحنوط، لكن ذكر غير واحد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للمقدار المستحب منه أدناها مقدار الدرهم الذي هو نصف مثقال صيرفي و ربع عشر، و لم يعلم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مستند، و أوسطها مقدار أربعة دراهم و مستنده منحصر في الرضوي، و أعلاها مقدار ثلاثة عشر درهما و ثلث درهم و مستنده 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الحنوط ثلاثة عشر درهما و ثلث أكثره،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نزل على رسول اللّٰه صلّى اللّٰه عليه و آله و سلم بحنوط و كان وزنه أربعين درهما، فقسّمها رسول اللّٰه صلّى اللّٰه عليه و آله و سلم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له صلى اللّٰه عليه و آله و سلم، و جزءا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جزءا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بمضمونها عدّة أخبار أخر 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كفنه حنّطه بوزن ثلاثة عشر درهما و ثلث من الكافور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يخدش في دلالة ما عدا الرضوي باستبعاد كون ما نزل به جبرئيل مقصورا على كافور حنوطهم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كافور غسلهم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لكن الخدشة المذكورة ضعيفة بعد ملاحظة الرضوي و فهم العلماء من الروايات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يكره بل قيل يحرم تطييب الميّت بغير الكافور من سائر أنواع الطيب، سواء كان بإلقائه في ماء غسله، أو بمزجه في كافور حنوطه على وجه لا يخرجه عن اسم الكافور، أو كان بإلقائه على البدن مستقلا، أو على الكفن، و يستثنى من ذلك الذريرة فإنّ التطييب به غير مكروه بل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الحكم الأوّل خبر محمّد بن مسلم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 و لا تمسحوا موتاكم الطيب إلّا بالكافور، فانّ الميّت بمنزلة المحرم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القرينة على كون النهي للكراهة، مرسلة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يقرب إلى الميّت المسك أو البخور؟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شهادة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التعليل في الرواية الأولى فإنّ كون الميّت بمنزلة المحرم ليس على سبيل اللزوم، بل على وجه الاستحباب، بقرينة ما ورد في خصوص من مات في حال الإحرام من كونه بمنزلة المحل و يصنع به ما يصنع بالمحل، غير أنّه لا يقربه الطيب حتى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 الرواية المذكورة رواية مغيرة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بدء بالسدر، و بالثانية بثلاثة مثاقيل من كافور، و مثقال من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تكفين النبيّ صلّى اللّٰه عليه و آله و سلم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حنّطه صلّى اللّٰه عليه و آله و سلم بمثقال من 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 هاتين الروايتين على الإخبار عن خلاف الواقع تقيّة، بعيد، كالحمل على كون ذلك من خصائص النبيّ صلّى اللّٰه عليه و آله و سلم أو عروض الجهة المقبّحة بعد اتّخاذ العامة ذلك شعارا لهم، فالمتعيّن طرح الروايتين لعدم تكافئهما للرواية الأولى المعتضدة بعدّة روايات أخر، و منه يظهر ضعف ما حكي عن ظاهر الصدوق من الالتزام بالاستحباب استنادا إلى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الثاني فيكفي فيه الأمر الوارد به في موثقتي عمار و سماعة، 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على مقعدته شيئا من القطن و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اللفافة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على وجهه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يطرح على كفيه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كفّنت الميت فذر على كل ثوب شيئا من ذريرة و كافور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الذريرة فالظاهر أنّه نوع خاص من الطيب، و هو على ما ذكره بعضهم فتاة قصب الطيب يجاء به من الهند، و على ما نقله في مجمع البحرين عن بعضهم</w:t>
      </w:r>
      <w:bookmarkStart w:id="261" w:name="pg1803_22106"/>
    </w:p>
    <w:p>
      <w:pPr>
        <w:pStyle w:val="BookText"/>
        <w:rPr/>
      </w:pPr>
      <w:bookmarkEnd w:id="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يجاء به من بعض نواحي نهاوند، و ذكر له شرحا غريبا من أراد فليراجع، و كيف كان فالظاهر أنّه ليس عبارة عن مطلق الطيب المسحوق، و ما يوجد في بعض العبارات محمول على التفسير بالأعم،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491989_3650668749"/>
      <w:bookmarkStart w:id="263" w:name="_Toc95"/>
      <w:bookmarkEnd w:id="262"/>
      <w:r>
        <w:rPr>
          <w:rtl w:val="true"/>
        </w:rPr>
        <w:t xml:space="preserve">مسألة </w:t>
      </w:r>
      <w:r>
        <w:rPr>
          <w:rtl w:val="true"/>
        </w:rPr>
        <w:t>[</w:t>
      </w:r>
      <w:r>
        <w:rPr>
          <w:rtl w:val="true"/>
        </w:rPr>
        <w:t>في استحباب إضافة الحبرة على الإقطاع الثلاث للكفن</w:t>
      </w:r>
      <w:r>
        <w:rPr>
          <w:rtl w:val="true"/>
        </w:rPr>
        <w:t>]</w:t>
      </w:r>
      <w:bookmarkEnd w:id="263"/>
    </w:p>
    <w:p>
      <w:pPr>
        <w:pStyle w:val="BookText"/>
        <w:rPr/>
      </w:pP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التذكرة نسبته إلى علمائنا، و عن جامع المقاصد نسبته إلى جميع علمائنا، و عن الخلاف، و الغنية، و ظاهر البيان أو صريحه الإجماع عليه، انّه يستحب أن يزاد على الإقطاع الثلاث للكفن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فتح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برد يمنيّة خلافا لصاحب المدارك و من تبعه فنفوا استحبابه، و جعلوا المستحب وصف كون اللفافة الواجبة حبرة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مستند المشهور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بن يعقوب عن 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كفّنت أبي في ثوبين شطويين، كان يحرم فيهما، و في قميص من قمصه، و عمامة كانت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برد اشتريته بأربعين دينارا، لو كان اليوم لساوى أربعمائة دينار</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فانّ المراد من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بثوبي الإحرام، كما في أخبار تكفين النبي صلّى اللّٰه عليه و آله و سلم بثوبي إحرامه، جعل أحدهما مئزرا، و الآخر لفافة، و القميص مذكور في الرواية صريحا، فيبقى البرد المذكور زائدا على الإقطاع الثلاث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 لا يلف به و لكن يطرح عليه طرحا فإذا أدخل القبر وضع تحت خده و تحت جنبيه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إذ لا يخفى أنّ الكيفية المذكورة،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البرد على الميت ما لم يدفن، و وضع مقدار من أحد طرفيه عرضا مفروشا تحت جنبيه، و مقدار منه مجموعا تحت خده، و إلقاء الجانب الآخر فوقه منافية مع وضع اللفافة من عقد طرفيه طولا، و إلقاء أحد طرفيه عرضا على الآخر، و قرينة واضحة على أنّ البرد المذكور من تشريفات الميت و تجليلاته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العمامة للميت من الكفن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الكفن المفروض ثلاثة أثواب أو ثوب تام لا أقل منه يوارى فيه جسده كلّه، فما زاد فهو سنة إلى أن يبلغ خمسة، فما زاد فمبتدع، و العمامة سنة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القرينة في نفس الرواية قائمة على خروج العمامة من الخمسة، كما أنّ الإقطاع الثلاث داخلة قطعا، فإنّ قلنا بخروج الخرقة عنها، كما تشهد به رواية ابن سنان النافية كونها من الكفن، و أنّها إنّما تصنع لتضم ما هناك، لئلّا يخرج شي‌ء كانت الصحيحة دليلا على استحباب زيادة لفافتين أخريين على الإقطاع الثلاث، كما نسب ذلك أيضا إلى المشهور، و إن قلنا بدخول الخرقة فيها كانت دليلا على استحباب زيادة اللفافة الواحدة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 صاحب المدارك أيضا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الصحيحة الأخيرة بدعوى دخول العمامة و الخرقة في الخمسة، فتبقى الحبرة خارجة عن الخمسة، و قد حكمت الصحيحة بأنّ الخارج عن الخمسة مبتدع، و الدليل على دخول العمامة و الخرقة،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الميت في خمسة أثواب، قميص لا يزرّ عليه، و إزار، و خرقة يعصب بها وسطه، و برد يلف فيه، و عمامة يعتم بها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ننكر صحّة إطلاق الخمسة على ما يشمل العمامة و الخرقة، و لكنّا ندّعي قيام القرينة في نفس الصحيحة المتقدمة، و غيرها على خروجهما أو خروج العمامة من إطلاق اللّفظ المذكور في تلك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الحاكية لاقتصار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تكفين النبي صلّى اللّٰه عليه و آله و سلم على الإقطاع الثلاث، و لو كانت الحبرة الزائدة مستحبة، لما كان لهذا الاقتصار وجه، خصوصا في تكفين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لا يزاحم ظهور القول، فلعلّه كان بملاحظة شدة استيلاء الفقر في ذلك الزمان على المؤمنين، فروعي في هذا الاقتصار ترميم قلوبهم و تسلية خاطرهم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الحلبي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في وصيته أن أكفّنه في ثلاثة أثواب، أحدها رداء له حبرة كان يصلّي فيه يوم الجمعة، و ثوب آخر، و قميص، فقلت لأبي لم تكتب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 فإن قالوا كفّنه في أربعة أثواب أو خمسة، فلا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عمّمته بعمامة و ليس تعدّ العمامة من الكفن إنّما يعد ما خلف به الجسد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بناء على أنّ المراد من الناس هم المخالفون، فتدلّ الرواية على أنّ استحباب الزيادة كان من بدعهم، و لهذا احتيج إلى هذه المبالغة و الإصرار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من البدع لكان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محترزا عنه، من غير احتياج إلى الوصية فضلا عن التأكيد بالكتابة، فهذا أقوى شاهد على أنّ المراد بالناس عوام الشيعة الغير المراعين لحكمة التقية، و أنّ الاستحباب كان القول به</w:t>
      </w:r>
      <w:bookmarkStart w:id="264" w:name="pg1803_22115"/>
    </w:p>
    <w:p>
      <w:pPr>
        <w:pStyle w:val="BookText"/>
        <w:rPr/>
      </w:pPr>
      <w:bookmarkEnd w:id="2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من مختصات الشيعة و مخالفا لما عليه عامّة العامة، فأراد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هذا المعنى لئلّا يصير ذلك شعارا تعرف به الشيعة عند الأعداء، و يكفي شاهدا على ذلك نقل 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اتّفاق العامة على القول بعدم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فالإنصاف أنّ استفادة الاستحباب من مجموع أخبار الباب صافية عن شوب الارتياب، و اللّٰه تعالى هو العالم بالصواب</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2491991_3650668749"/>
      <w:bookmarkStart w:id="266" w:name="_Toc96"/>
      <w:bookmarkEnd w:id="265"/>
      <w:r>
        <w:rPr>
          <w:rtl w:val="true"/>
        </w:rPr>
        <w:t>مسألة</w:t>
      </w:r>
      <w:r>
        <w:rPr>
          <w:rtl w:val="true"/>
        </w:rPr>
        <w:t xml:space="preserve">: </w:t>
      </w:r>
      <w:r>
        <w:rPr>
          <w:rtl w:val="true"/>
        </w:rPr>
        <w:t>لو تنجّس البدن أو الكفن بنجاسة خارجة، أو بالخروج من الميت، وجب الإزالة عن كل منهما</w:t>
      </w:r>
      <w:bookmarkEnd w:id="266"/>
    </w:p>
    <w:p>
      <w:pPr>
        <w:pStyle w:val="BookText"/>
        <w:rPr/>
      </w:pPr>
      <w:r>
        <w:rPr>
          <w:rFonts w:ascii="Amiri" w:hAnsi="Amiri" w:eastAsia="Amiri" w:cs="Amiri"/>
          <w:color w:val="111111"/>
          <w:sz w:val="28"/>
          <w:sz w:val="28"/>
          <w:szCs w:val="28"/>
          <w:rtl w:val="true"/>
          <w:lang w:bidi="ar-SA"/>
        </w:rPr>
        <w:t>و لو كان بعد الوضع في القبر، ما لم يكن مشقة أو هتك، و لم يجب إعادة الغسل و لو كان الخارج بولا أو منيا، و كان الخروج في أثنائه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وجوب إعادة الغسل حتى في الصورة المذكورة فللإطلاقات، و لا يزاحمها ما دل على أنّ غسل الميت مثل غسل الجنابة للشك في اندراج ذلك تحت عموم التمثيل، و قوّة احتمال كونه من جهة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الإزالة عن البدن و لو بعد الوضع في القبر، فيدل عليه موثقة روح بن عبد الرحيم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بدا من الميت شي‌ء بعد غسله، فاغسل الّذي بدا منه، و لا تعد الغسل</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و بهذا المضمون خبران آخران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الإزالة عن الكفن حتى بعد الوضع، فيدل عليه مرسلة ابن أبي عمير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الميّت شي‌ء بعد ما يكفن فأصاب</w:t>
      </w:r>
      <w:bookmarkStart w:id="267" w:name="pg1803_22118"/>
    </w:p>
    <w:p>
      <w:pPr>
        <w:pStyle w:val="BookText"/>
        <w:rPr/>
      </w:pPr>
      <w:bookmarkEnd w:id="2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الكفن قرض من الكفن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 نحوها رواية الكاهلي </w:t>
      </w:r>
      <w:r>
        <w:rPr>
          <w:rStyle w:val="FootnoteAnchor"/>
          <w:rtl w:val="true"/>
        </w:rPr>
        <w:footnoteReference w:id="169"/>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المعارضة بين هذه الرواية مع الرواية الأولى، من جهة ظهورها من حيث عدم التعرض للبدن في اغتفار هذه النجاسة بالنسبة إليه، حتى قبل الوضع في القبر، فيخصص بها إطلاق الرواية الأولى و يحكم باختصاصها بما قبل التكفين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مخالفته ظاهرا للإجماع أنّ النظر في الرواية الثانية ممحض في إثبات الإزالة من الكفن، مع السكوت من جهة البدن نفيا و إثباتا، و لا أقل من كون ذلك مقتضى الجمع بين الروايتين هذا، و لعل تعيين القرض محمول على صورة عدم تيسّر الغسل، أو كونه مستلزما للهتك، و حينئذ يكون عدم الإزالة عن البدن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استلزم القرض فساد الكفن أمكن أن يقال بوجوب التبديل على الولي، لأنّ الواجب إخراج الكفن الطاهر من التركة، فإذا عرض في الأثناء انتفاء القيد وجب تحصيله ثانيا</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491993_3650668749"/>
      <w:bookmarkStart w:id="269" w:name="_Toc97"/>
      <w:bookmarkEnd w:id="268"/>
      <w:r>
        <w:rPr>
          <w:rtl w:val="true"/>
        </w:rPr>
        <w:t>مسألة</w:t>
      </w:r>
      <w:r>
        <w:rPr>
          <w:rtl w:val="true"/>
        </w:rPr>
        <w:t xml:space="preserve">: </w:t>
      </w:r>
      <w:r>
        <w:rPr>
          <w:rtl w:val="true"/>
        </w:rPr>
        <w:t>كفن المرأة على زوجها</w:t>
      </w:r>
      <w:bookmarkEnd w:id="269"/>
    </w:p>
    <w:p>
      <w:pPr>
        <w:pStyle w:val="Heading5"/>
        <w:numPr>
          <w:ilvl w:val="4"/>
          <w:numId w:val="1"/>
        </w:numPr>
        <w:rPr/>
      </w:pPr>
      <w:bookmarkStart w:id="270" w:name="__RefHeading___Toc2491995_3650668749"/>
      <w:bookmarkStart w:id="271" w:name="_Toc98"/>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 يدل عليه بعد ظهور عدم الخلاف فيه في الجملة و دعوى الإجماع عن غير واحد، رواية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الزوج كفن امرأته إذا ماتت</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المرأة على زوجها إذا ماتت</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جبر ضعفهما بالاستناد، و قد يستدل باستصحاب بقاء حكم الكسوة الثابت في حال الحياة لبقاء الموضوع عرفا، و إن اختلفت هيئة الكسوة في 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الحياة معها في حال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كون مدرك المسألة الاستصحاب، أو الروايتين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الاستصحاب يجي‌ء الحكم في من عدا الزوجة من سائر واجبي النفقة في صورة إعساره، إلّا أن ينعقد إجماع على خلافه كما يظهر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الاستصحاب لا يجي‌ء الحكم في المتمتّع بها، و النّاشزة كما هو واضح بخلاف الحال على الروايتين لاندراجهما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الاستصحاب يعم الحكم الموسر و المعسر الذي لا يملك ما زاد عن مستثنيات الدين، فيجب على المعسر أيضا بذل الكفن، إلّا أن يزاحمه ما هو الأهم من ضروريات المعاش، بخلاف الحال بناء على الروايتين، فإنّ الواجب عليهما أيضا و إن كان هو الإمتاع دون التمليك، بحيث ينتفي بفوات الموضوع، فلو دفنت عارية لا يجب بذل الثمن إلى الورثة، و لكنّه أيضا حق مالي فيجي‌ء فيه ما في سائر الديون المالية من تأخّره عن مستثنيات الدين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ضعف ما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الحكم بناء على الأخذ بالروايتين للمعسر أيضا، و أضعف منه ما احتمله صاحب الجواهر لو لا عدم معروفية الخلاف من دفنها عارية و لو كانت موسرة، ضرورة عدم الوجه في تخصيص الأدلّة القاضية بأنّ كفن الميت من صلب ماله بالنسبة إلى الزوجة، في صورة عدم بذل الزوج سواء قلنا بانّ مفاد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الزوجة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حق فعلي، و لازمة الاختصاص بالموسر و عدم إثباته في حقّ المعسر شيئا، أم قلنا بأنّ مفاده إثبات حقّ شأني في حقّ المعسر مزاحم بالحق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و ذكر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تعليل الحكم المزبور بالاستصحاب، استقرار ثمن الكفن في ذمة الزوج لورثة الزوجة لو ترك تكفين زوجته و لو لأجل الإعسار، و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دفنها عارية، أو تكفينها من مالها أو مال الغير، و حيث إنّ الظاهر عدم التزامهم بهذا اللازم يكشف عن أنّ تعويلهم في هذا الباب ليس على الاستصحاب رأسا، بل تمام التعويل على ما عداه، و على هذا فيحكم بتأخّره من المستثنيات، و لو كان من باب النفقة لكان الأمر بالعكس و وجب بيع الدار و العقار لأجل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صورة دفنها عارية، فأنكر استحقاق الورثة ثمن الكفن على الزوج، و بين تكفينها من مالها أو من ما لهم لا بقصد التبرّع، فالتزم حينئذ بجواز رجوعهم على الزوج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النفقة على ما ذكره الفقهاء في بابها، إمّا أن يكون من باب التكليف الصرف، أو الحق المتعلّق بالمواساة و سد الخلّة كما في نفقة الأقارب، و هذا القسم لا يقضى بعد فوات وقته، و إمّا أن يكون من باب الملك، سواء كان متعلّقه الإمتاع كما في كسوة الزوجة و سكناها، أو التمليك، كما في نفقة أكلها و شربها، و هذا القسم بكلا قسميه يقضى بعد فوات وقته و يستقرّ في الذمة، و على كل تقدير لا يبقى وجه للفرق بين الصورتين المذكورتين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انّ الكفن ليس من باب النفقة، كما ذكره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التزامهم بلوازمه، و على هذا فيحكم بتأخّره عن المستثنيات</w:t>
      </w:r>
      <w:r>
        <w:rPr>
          <w:rFonts w:eastAsia="Amiri" w:cs="Amiri" w:ascii="Amiri" w:hAnsi="Amiri"/>
          <w:color w:val="111111"/>
          <w:sz w:val="28"/>
          <w:szCs w:val="28"/>
          <w:rtl w:val="true"/>
          <w:lang w:bidi="ar-SA"/>
        </w:rPr>
        <w:t>.</w:t>
      </w:r>
      <w:bookmarkStart w:id="272" w:name="pg1803_22128"/>
    </w:p>
    <w:p>
      <w:pPr>
        <w:pStyle w:val="BookText"/>
        <w:rPr/>
      </w:pPr>
      <w:bookmarkEnd w:id="2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Heading5"/>
        <w:numPr>
          <w:ilvl w:val="4"/>
          <w:numId w:val="1"/>
        </w:numPr>
        <w:rPr/>
      </w:pPr>
      <w:bookmarkStart w:id="273" w:name="__RefHeading___Toc2491997_3650668749"/>
      <w:bookmarkStart w:id="274" w:name="_Toc99"/>
      <w:bookmarkEnd w:id="273"/>
      <w:r>
        <w:rPr>
          <w:rtl w:val="true"/>
        </w:rPr>
        <w:t>و هاهنا فروع</w:t>
      </w:r>
      <w:r>
        <w:rPr>
          <w:rtl w:val="true"/>
        </w:rPr>
        <w:t>:</w:t>
      </w:r>
      <w:bookmarkEnd w:id="274"/>
    </w:p>
    <w:p>
      <w:pPr>
        <w:pStyle w:val="Heading6"/>
        <w:numPr>
          <w:ilvl w:val="5"/>
          <w:numId w:val="1"/>
        </w:numPr>
        <w:rPr/>
      </w:pPr>
      <w:bookmarkStart w:id="275" w:name="__RefHeading___Toc2491999_3650668749"/>
      <w:bookmarkStart w:id="276" w:name="_Toc100"/>
      <w:bookmarkEnd w:id="275"/>
      <w:r>
        <w:rPr>
          <w:rtl w:val="true"/>
        </w:rPr>
        <w:t>الأوّل</w:t>
      </w:r>
      <w:r>
        <w:rPr>
          <w:rtl w:val="true"/>
        </w:rPr>
        <w:t xml:space="preserve">: </w:t>
      </w:r>
      <w:r>
        <w:rPr>
          <w:rtl w:val="true"/>
        </w:rPr>
        <w:t>لو لم يملك الزوج سوى المستثنيات و ماتت الزوجة و لم تخلف إلّا كفنا واحدا، حكم في الظاهر بانتقاله إلى الزوج</w:t>
      </w:r>
      <w:bookmarkEnd w:id="276"/>
    </w:p>
    <w:p>
      <w:pPr>
        <w:pStyle w:val="BookText"/>
        <w:rPr/>
      </w:pPr>
      <w:r>
        <w:rPr>
          <w:rFonts w:ascii="Amiri" w:hAnsi="Amiri" w:eastAsia="Amiri" w:cs="Amiri"/>
          <w:color w:val="111111"/>
          <w:sz w:val="28"/>
          <w:sz w:val="28"/>
          <w:szCs w:val="28"/>
          <w:rtl w:val="true"/>
          <w:lang w:bidi="ar-SA"/>
        </w:rPr>
        <w:t>و يحصل له اليسار بذلك فيكفن به زوجته، فإن استمرّ حياته إلى ما بعد دفنها فلا كلام، و إن مات هو بعد موتها قبل دفنها و لو بعد تكفينها، فقد يتوهّم أنّه بناء على كون الكفن من باب الإمتاع، كما هو مقتضى أصالة بقاء ملك الزوج، و عدم اقتضاء الدليل أزيد من حقّ الإمتاع، أنّه ينزع الكفن من الزوجة و يجعل كفنا للزوج، و لكنّه مدفوع بأنّ موته حينئذ يكشف عن عدم إرثه من أوّل الأمر، و عدم انتقال الكفن من الزوجة إليه، لأنّ الإرث متأخّر عن الكفن، فحكمنا بالانتقال من الابتداء حكم ظاهري انكشف خلافه</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2492001_3650668749"/>
      <w:bookmarkStart w:id="278" w:name="_Toc101"/>
      <w:bookmarkEnd w:id="277"/>
      <w:r>
        <w:rPr>
          <w:rtl w:val="true"/>
        </w:rPr>
        <w:t>الثاني</w:t>
      </w:r>
      <w:r>
        <w:rPr>
          <w:rtl w:val="true"/>
        </w:rPr>
        <w:t xml:space="preserve">: </w:t>
      </w:r>
      <w:r>
        <w:rPr>
          <w:rtl w:val="true"/>
        </w:rPr>
        <w:t>لو ماتت الزوجة و خلّفت كفنين</w:t>
      </w:r>
      <w:bookmarkEnd w:id="278"/>
    </w:p>
    <w:p>
      <w:pPr>
        <w:pStyle w:val="BookText"/>
        <w:rPr/>
      </w:pPr>
      <w:r>
        <w:rPr>
          <w:rFonts w:ascii="Amiri" w:hAnsi="Amiri" w:eastAsia="Amiri" w:cs="Amiri"/>
          <w:color w:val="111111"/>
          <w:sz w:val="28"/>
          <w:sz w:val="28"/>
          <w:szCs w:val="28"/>
          <w:rtl w:val="true"/>
          <w:lang w:bidi="ar-SA"/>
        </w:rPr>
        <w:t>و لم يملك الزوج سوى المستثنيات أو لم يملك شيئا، و لكن مات هو بعد زوجته ففي الصورتين ينتقل إليه الكفنان و يجب عليه تكفين زوجته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 فلأنّ الميزان إنّما هو اليسار حال التكفين لا حال الموت و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الموت قائم مقام اليسار فلا يلاحظ معه ملك الزائد عن المستثنيات كما قرر في بابه</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2492003_3650668749"/>
      <w:bookmarkStart w:id="280" w:name="_Toc102"/>
      <w:bookmarkEnd w:id="279"/>
      <w:r>
        <w:rPr>
          <w:rtl w:val="true"/>
        </w:rPr>
        <w:t>الثالث</w:t>
      </w:r>
      <w:r>
        <w:rPr>
          <w:rtl w:val="true"/>
        </w:rPr>
        <w:t xml:space="preserve">: </w:t>
      </w:r>
      <w:r>
        <w:rPr>
          <w:rtl w:val="true"/>
        </w:rPr>
        <w:t>لو ماتت الزوجة و مات الزوج بعدها و لم يكن في البين إلّا كفن واحد من ماله اختص به</w:t>
      </w:r>
      <w:bookmarkEnd w:id="28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الكفن مقدّم على سائر الحقوق التي منها كفن الزوجة</w:t>
      </w:r>
      <w:r>
        <w:rPr>
          <w:rFonts w:eastAsia="Amiri" w:cs="Amiri" w:ascii="Amiri" w:hAnsi="Amiri"/>
          <w:color w:val="111111"/>
          <w:sz w:val="28"/>
          <w:szCs w:val="28"/>
          <w:rtl w:val="true"/>
          <w:lang w:bidi="ar-SA"/>
        </w:rPr>
        <w:t>.</w:t>
      </w:r>
      <w:bookmarkStart w:id="281" w:name="pg1803_22132"/>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Heading6"/>
        <w:numPr>
          <w:ilvl w:val="5"/>
          <w:numId w:val="1"/>
        </w:numPr>
        <w:rPr/>
      </w:pPr>
      <w:bookmarkStart w:id="282" w:name="__RefHeading___Toc2492005_3650668749"/>
      <w:bookmarkStart w:id="283" w:name="_Toc103"/>
      <w:bookmarkEnd w:id="282"/>
      <w:r>
        <w:rPr>
          <w:rtl w:val="true"/>
        </w:rPr>
        <w:t xml:space="preserve">الرابع </w:t>
      </w:r>
      <w:r>
        <w:rPr>
          <w:rtl w:val="true"/>
        </w:rPr>
        <w:t>[</w:t>
      </w:r>
      <w:r>
        <w:rPr>
          <w:rtl w:val="true"/>
        </w:rPr>
        <w:t>حكم ما لو تقارن موت السيد و العبد</w:t>
      </w:r>
      <w:r>
        <w:rPr>
          <w:rtl w:val="true"/>
        </w:rPr>
        <w:t>]</w:t>
      </w:r>
      <w:bookmarkEnd w:id="283"/>
    </w:p>
    <w:p>
      <w:pPr>
        <w:pStyle w:val="BookText"/>
        <w:rPr/>
      </w:pPr>
      <w:r>
        <w:rPr>
          <w:rFonts w:ascii="Amiri" w:hAnsi="Amiri" w:eastAsia="Amiri" w:cs="Amiri"/>
          <w:color w:val="111111"/>
          <w:sz w:val="28"/>
          <w:sz w:val="28"/>
          <w:szCs w:val="28"/>
          <w:rtl w:val="true"/>
          <w:lang w:bidi="ar-SA"/>
        </w:rPr>
        <w:t>لو تقارن موتهما فالظاهر انصراف النص عن هذه الصورة</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2492007_3650668749"/>
      <w:bookmarkStart w:id="285" w:name="_Toc104"/>
      <w:bookmarkEnd w:id="284"/>
      <w:r>
        <w:rPr>
          <w:rtl w:val="true"/>
        </w:rPr>
        <w:t>الخامس</w:t>
      </w:r>
      <w:r>
        <w:rPr>
          <w:rtl w:val="true"/>
        </w:rPr>
        <w:t xml:space="preserve">: </w:t>
      </w:r>
      <w:r>
        <w:rPr>
          <w:rtl w:val="true"/>
        </w:rPr>
        <w:t>كفن المملوك على سيّده</w:t>
      </w:r>
      <w:bookmarkEnd w:id="285"/>
    </w:p>
    <w:p>
      <w:pPr>
        <w:pStyle w:val="BookText"/>
        <w:rPr/>
      </w:pPr>
      <w:r>
        <w:rPr>
          <w:rFonts w:ascii="Amiri" w:hAnsi="Amiri" w:eastAsia="Amiri" w:cs="Amiri"/>
          <w:color w:val="111111"/>
          <w:sz w:val="28"/>
          <w:sz w:val="28"/>
          <w:szCs w:val="28"/>
          <w:rtl w:val="true"/>
          <w:lang w:bidi="ar-SA"/>
        </w:rPr>
        <w:t>إلّا إذا كانت أمة مزوّجة، فإنّ كفنها على زوجها بمقتضى إطلاق النص المتقدّم، و أمّا ما عداها فيدل على ثبوت كفنه على السيد مضافا إلى ظهور الإجماع حكم العقل القطعي، بأنّ من تملك جميع منافع المملوك كان عليه نفقته حيّا و ميّتا، و لهذا يحكم بثبوت سائر مؤن التجهيز غير الكفن، كثمن السدر و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سائر مؤن الزوجة أيضا على الزوج أو لا؟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المرأة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الكفن من باب المثال،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فلان طعام العرس، حيث يستفاد منه أنّ ذكر الطعام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المقصود إثباته مع الإدام، هذا مضافا إلى ظهور عدم الخلاف بينهم في المسألة</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492009_3650668749"/>
      <w:bookmarkStart w:id="287" w:name="_Toc105"/>
      <w:bookmarkEnd w:id="286"/>
      <w:r>
        <w:rPr>
          <w:rtl w:val="true"/>
        </w:rPr>
        <w:t>مسألة</w:t>
      </w:r>
      <w:r>
        <w:rPr>
          <w:rtl w:val="true"/>
        </w:rPr>
        <w:t xml:space="preserve">: </w:t>
      </w:r>
      <w:r>
        <w:rPr>
          <w:rtl w:val="true"/>
        </w:rPr>
        <w:t>لا إشكال في إخراج الكفن من أصل التركة مقدّما على الديون و الوصايا، و الميراث</w:t>
      </w:r>
      <w:bookmarkEnd w:id="287"/>
    </w:p>
    <w:p>
      <w:pPr>
        <w:pStyle w:val="BookText"/>
        <w:rPr/>
      </w:pPr>
      <w:r>
        <w:rPr>
          <w:rFonts w:ascii="Amiri" w:hAnsi="Amiri" w:eastAsia="Amiri" w:cs="Amiri"/>
          <w:color w:val="111111"/>
          <w:sz w:val="28"/>
          <w:sz w:val="28"/>
          <w:szCs w:val="28"/>
          <w:rtl w:val="true"/>
          <w:lang w:bidi="ar-SA"/>
        </w:rPr>
        <w:t xml:space="preserve">و يدل عليه مضافا إلى الإجماع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الكفن من جميع المال</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 رواية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 عليه دين و خلف قدر ثمن كفنه؟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ما ترك في ثمن كفنه، إلّا أن يتّجر عليه </w:t>
      </w:r>
      <w:r>
        <w:rPr>
          <w:rStyle w:val="FootnoteAnchor"/>
          <w:rtl w:val="true"/>
        </w:rPr>
        <w:footnoteReference w:id="174"/>
      </w:r>
      <w:r>
        <w:rPr>
          <w:rFonts w:ascii="Amiri" w:hAnsi="Amiri" w:eastAsia="Amiri" w:cs="Amiri"/>
          <w:color w:val="111111"/>
          <w:sz w:val="28"/>
          <w:sz w:val="28"/>
          <w:szCs w:val="28"/>
          <w:rtl w:val="true"/>
          <w:lang w:bidi="ar-SA"/>
        </w:rPr>
        <w:t>بعض الناس فيكفّنونه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و يقضي ما عليه ممّا ترك</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كما لا إشكال أيضا في تقدّمه على حقي المرتهن و غرماء المفلس، فإنّهما متفرعان على الدين و مجعولان بتبعه، فإذا فرض تقدّم الكفن على الأصل كان متقدّما على الفرع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تقدّمه على حقّ المجنيّ عليه في الجناية العمدية أو الخطائية، إذ ليس هو من باب الدين، و لا متفرعا عليه، و مجرد السبق الزماني لا يوجب الترجيح، 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الدين من باب المثال، و المقصود تقدّمه على جميع الحقوق المحفوظ معها عنوان المالية للميت، و يشهد به أيضا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الكفن 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المقصود ليس مقصورا على نفي كونه خارجا من الثلث فقط، بل المقصود بقرينة حذف المتعلّق هو مع ملاحظة تقدّمه على سائر الحقوق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التقدّم المذكور ملحوظ بالنسبة إلى المقدار الواجب من الكفن، فيصرف الزائد في المصارف المتأخّرة أو يعمّه و المقدار المستحب، سواء كان استحبابه بحسب الكمّية كالعمامة و الخرقة و اللفافة الثانية، أم بحسب الكيفية كوصف كون اللفافة الواجبة بردا و جنسا غاليا،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مقدّم على غيره محمول على ما بيّنوه في سائر الأخبار، فإذا اشتمل على المقدار الواجب و المستحب بكلا قسميه، فالاقتصار على خصوص القدر الواجب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 على كل حال</w:t>
      </w:r>
      <w:r>
        <w:rPr>
          <w:rFonts w:eastAsia="Amiri" w:cs="Amiri" w:ascii="Amiri" w:hAnsi="Amiri"/>
          <w:color w:val="111111"/>
          <w:sz w:val="28"/>
          <w:szCs w:val="28"/>
          <w:rtl w:val="true"/>
          <w:lang w:bidi="ar-SA"/>
        </w:rPr>
        <w:t>.</w:t>
      </w:r>
      <w:bookmarkStart w:id="288" w:name="pg1803_22137"/>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Heading4"/>
        <w:numPr>
          <w:ilvl w:val="3"/>
          <w:numId w:val="1"/>
        </w:numPr>
        <w:rPr/>
      </w:pPr>
      <w:bookmarkStart w:id="289" w:name="__RefHeading___Toc2492011_3650668749"/>
      <w:bookmarkStart w:id="290" w:name="_Toc106"/>
      <w:bookmarkEnd w:id="289"/>
      <w:r>
        <w:rPr>
          <w:rtl w:val="true"/>
        </w:rPr>
        <w:t>مسألة</w:t>
      </w:r>
      <w:r>
        <w:rPr>
          <w:rtl w:val="true"/>
        </w:rPr>
        <w:t xml:space="preserve">: </w:t>
      </w:r>
      <w:r>
        <w:rPr>
          <w:rtl w:val="true"/>
        </w:rPr>
        <w:t>لا يجب بذل الكفن على أحد من المسلمين لو لم يكن للميت تركة</w:t>
      </w:r>
      <w:bookmarkEnd w:id="290"/>
    </w:p>
    <w:p>
      <w:pPr>
        <w:pStyle w:val="BookText"/>
        <w:rPr/>
      </w:pPr>
      <w:r>
        <w:rPr>
          <w:rFonts w:ascii="Amiri" w:hAnsi="Amiri" w:eastAsia="Amiri" w:cs="Amiri"/>
          <w:color w:val="111111"/>
          <w:sz w:val="28"/>
          <w:sz w:val="28"/>
          <w:szCs w:val="28"/>
          <w:rtl w:val="true"/>
          <w:lang w:bidi="ar-SA"/>
        </w:rPr>
        <w:t>و يدل عليه بعد ظهور عدم الخلاف، و دعوى الإجماع عن غير واحد، أصالة البراءة بعد عدم الإطلاق في أدلّة الوجوب، فإن أظهرها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فريضة للرجال ثلاثة أقطاع</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 من المعلوم كونه بصدد بيان وجوب كونه بثلاثة أقطاع، لا بصدد بيانه وجوبه، فضلا عن كونه بنحو الإطلاق أو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وجود الإطلاق، بأنّ أدلّة تعيين المأخذ للكفن من التركة، أو مالي الزوج و السيّد مقيّدة لذلك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إنّما يتم لو كان لتلك الأدلّة إطلاق يشمل صورة فقد التركة، و فقد المال للزوج و السيد و هو غير معلوم، فإطلاق أدلّة الوجوب محفوظ بالنسبة إلى هذه الصورة، كما أنّ التمسك بدليل نفي الضرر أيضا في غير المحل، بعد كون هذا الحكم ضرريا إمّا على الزوج و السيد، و إمّا على الوارث، بناء على ما هو التحقيق من انتقال التركة بمجرّد الموت إلى الورثة، غاية الأمر محجوريّتهم عن التصرف و قصور السلطنة لهم، قبل أداء الكفن، و الدين، و الوصية، فالعمدة في المسألة إنّما هو عدم الإطلاق مضافا إلى ما هو 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ضمن كسوته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الكاتب،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من أصحابنا يموت و لم يترك ما يكفّن به أشتري له كفنه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عياله من الزكاة قدر ما يجهّزونه، فيكونون هم الذين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يجهّزونه،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 لا أحد يقوم بأمره، فأجهزه أنا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بدن المؤمن ميّتا كحرمته حيّا، فوار بدنه و عورته، و جهّزه، و كفّنه، و حنّطه، و احتسب بذلك من الزكاة، و شيّع جنازته،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اتجر عليه بعض إخوانه بكفن آخر و كان عليه دين، أ يكفن بواحد و يقضى دينه بالآخر؟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ميراثا تركه، إنّما هو شي‌ء صار إليه بعد وفاته، فليكفّنوه بالذي اتجر عليه، و يكون الآخر لهم يصلحون به شأنهم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فانّ احتساب بذلك الكفن من باب الزكاة و إن كان لا ينافي وجوبه، كما في احتساب بذل المال الموقوف عليه حفظ النفس المحترمة من باب الزكاة، و لكن مقتضى تشبيهه ببذل الكسوة في حال الحياة، مع معلومية انّه لو كان في البين مصرف آخر للزكاة، لا يجب صرفها في إعطاء الكسوة المذكورة، عدم وجوب الصرف في بذل الكفن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سائر مؤن التجهيز، من السدر، و الكافور، و ماء الغسل، لو احتاج إلى بذل المال و أجرة المدفن، و أجرة الحمّال، و الغسّال، و الحفّار حتى ما يأخذه الظالم عوضا عن الدفن في الأرض المباحة، هو الكلام في الكفن من حيث الثبوت في التركة لو كانت، و عدم الثبوت على أحد لو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استشكل لو لا الإجماع في إخراج مقدّمات الأفعال، دون الأعيان المصروفة، كالماء، و الخليطين، و الكفن، و أجرة المدفن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بعدم الفرق، و يدل عليه بعد ظهور الإجماع،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91" w:name="pg1803_22144"/>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ظهوره في إرادة مطلق ما يتوقف عليه التجهيز من دون خصوصية للكفن بواسطة المناسبة المقامية</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492013_3650668749"/>
      <w:bookmarkStart w:id="293" w:name="_Toc107"/>
      <w:bookmarkEnd w:id="292"/>
      <w:r>
        <w:rPr>
          <w:rtl w:val="true"/>
        </w:rPr>
        <w:t>مسألة</w:t>
      </w:r>
      <w:r>
        <w:rPr>
          <w:rtl w:val="true"/>
        </w:rPr>
        <w:t xml:space="preserve">: </w:t>
      </w:r>
      <w:r>
        <w:rPr>
          <w:rtl w:val="true"/>
        </w:rPr>
        <w:t>لو سقط من الميت شي‌ء من شعر، أو ظفر، أو غيرهما وجب طرحه معه في الكفن</w:t>
      </w:r>
      <w:bookmarkEnd w:id="293"/>
    </w:p>
    <w:p>
      <w:pPr>
        <w:pStyle w:val="BookText"/>
        <w:rPr/>
      </w:pPr>
      <w:r>
        <w:rPr>
          <w:rFonts w:ascii="Amiri" w:hAnsi="Amiri" w:eastAsia="Amiri" w:cs="Amiri"/>
          <w:color w:val="111111"/>
          <w:sz w:val="28"/>
          <w:sz w:val="28"/>
          <w:szCs w:val="28"/>
          <w:rtl w:val="true"/>
          <w:lang w:bidi="ar-SA"/>
        </w:rPr>
        <w:t>و يدل عليه مرسلة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من الميت شعر و لا ظفر و إن سقط منه شي‌ء فاجعله في كفنه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تغسيله سواء كان مستقلا أو بضمّه إلى الميت حين الغسل، فلا دليل عليه ما لم يندرج تحت الضابط المتقدّم في القطعة المبانة من الميت، خصوصا في الشعر الذي لا يجب إيصال الماء إليه في باب الغسل في حال اتصاله فيكف بحال انفصاله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492015_3650668749"/>
      <w:bookmarkStart w:id="295" w:name="_Toc108"/>
      <w:bookmarkEnd w:id="294"/>
      <w:r>
        <w:rPr>
          <w:rtl w:val="true"/>
        </w:rPr>
        <w:t>الرابع</w:t>
      </w:r>
      <w:r>
        <w:rPr>
          <w:rtl w:val="true"/>
        </w:rPr>
        <w:t xml:space="preserve">: </w:t>
      </w:r>
      <w:r>
        <w:rPr>
          <w:rtl w:val="true"/>
        </w:rPr>
        <w:t>من أحكام التجهيز</w:t>
      </w:r>
      <w:r>
        <w:rPr>
          <w:rtl w:val="true"/>
        </w:rPr>
        <w:t xml:space="preserve">: </w:t>
      </w:r>
      <w:r>
        <w:rPr>
          <w:rtl w:val="true"/>
        </w:rPr>
        <w:t>الدفن</w:t>
      </w:r>
      <w:bookmarkEnd w:id="295"/>
    </w:p>
    <w:p>
      <w:pPr>
        <w:pStyle w:val="Heading4"/>
        <w:numPr>
          <w:ilvl w:val="3"/>
          <w:numId w:val="1"/>
        </w:numPr>
        <w:rPr/>
      </w:pPr>
      <w:bookmarkStart w:id="296" w:name="__RefHeading___Toc2492017_3650668749"/>
      <w:bookmarkStart w:id="297" w:name="_Toc109"/>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و فيه أيضا مسائل</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2492019_3650668749"/>
      <w:bookmarkStart w:id="299" w:name="_Toc110"/>
      <w:bookmarkEnd w:id="298"/>
      <w:r>
        <w:rPr>
          <w:rtl w:val="true"/>
        </w:rPr>
        <w:t>مسألة</w:t>
      </w:r>
      <w:r>
        <w:rPr>
          <w:rtl w:val="true"/>
        </w:rPr>
        <w:t xml:space="preserve">: </w:t>
      </w:r>
      <w:r>
        <w:rPr>
          <w:rtl w:val="true"/>
        </w:rPr>
        <w:t>الظاهر أنّه لم يثبت للدفن حقيقة شرعية و لا عرفية، بل هو باق على معناه اللغوي</w:t>
      </w:r>
      <w:bookmarkEnd w:id="299"/>
    </w:p>
    <w:p>
      <w:pPr>
        <w:pStyle w:val="BookText"/>
        <w:rPr/>
      </w:pPr>
      <w:r>
        <w:rPr>
          <w:rFonts w:ascii="Amiri" w:hAnsi="Amiri" w:eastAsia="Amiri" w:cs="Amiri"/>
          <w:color w:val="111111"/>
          <w:sz w:val="28"/>
          <w:sz w:val="28"/>
          <w:szCs w:val="28"/>
          <w:rtl w:val="true"/>
          <w:lang w:bidi="ar-SA"/>
        </w:rPr>
        <w:t>و هو عبارة عن مطلق المواراة في الأرض، و لكن بقرينة المناسبة المقامية و العهد الخارجي في دفن الموتى، سواء كان من المسلمين أم من غيرهم، يعتبر فيه أن يكون جامعا 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بحيث يؤمن جسده من تعرّض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بحيث يؤمن الإنس من التأذّي بريحه بواسطة الانتشار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اعتبار الثاني مضافا إلى ما ذكر، رواية الفضل بن شاذان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بدفن الميّت لئلّا يظهر الناس على فساد جسده، و قبح منظره، و تغير رائحته، و لا يتأذّى الأحياء بريحه، و ما يدخل عليه من الآفة و الفساد، و ليكون مستورا عن الأولياء، و الأعداء فلا يشمت عدوّ و لا يحزن صديق</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نعم لو فرض في موضع الأمن من كلتا الجهتين بواسطة عدم الانس و السباع هناك كفى مجرّد المواراة في الأرض، و لو مع الانتشار و عدم المبالغة في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عموم التعليل و إن كان جواز الاكتفاء بالوضع في صندوق من حديد، أو من حجر، أو بالوضع في وسط الجدار، أو بالوضع على وجه الأرض مع البناء عليه، لكنّه خارج عن صدق مسمّى الدفن الذي عرفت أنّه المواراة في الأرض، الذي لا خلاف ظاهرا في لزوم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لزوم ما ذكر عند تعذّر الدفن لقاعدة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هو الكلام في البرّ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البحر لو اتفق الموت في السفينة، فالظاهر التخيير بين التثقيل بشدّ الحجر على رجله و الإلقاء في البحر، و بين الوضع في خابية و نحوها و اتكاء رأسها و الإلقاء في البحر، و التخيير المذكور و إن لم يرد في خبر و لكن ورد طائفتان من الأخبار في كل منهما تعيين أحد الشقين المذكورين، و مقتضى الجمع العرفي برفع اليد عن ظاهر كلّ بنص الآخر هو التخيير بين الأمرين، و قد يقال باختصاص هذا الحكم بصورة تعذّر الدفن في الأرض أو تعسّره، بدعوى ظهور الأخبار في أنّ التنويع إلى من مات في البر، أو البحر ليس من قبيل التنويع إلى المسافر و الحاضر،</w:t>
      </w:r>
      <w:bookmarkStart w:id="300" w:name="pg1803_22149"/>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بل من قبيل التنويع إلى المختار و المضطر، و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العروة تعدية هذا الحكم إلى من مات في البر، و لكن خيف على تقدير دفنه في الأرض من نبش العدو قبره و التمثيل به، و هو مبنيّ على فهم أنّه حكم مطلق المضطر لا خصوص راكب السفينة، أو على إجراء قاعدة الميسور، بناء على أنّه بعد تعذّر المواراة في الأرض، لا يرفع اليد عن مطلق المواراة و لو كان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اختصاص الحكم بصورة الاضطرار، احتمل وجوب الصبر مع الأمن من الفساد، لو شك في حصول الاضطرار و عدمه، عملا بعموم ما دلّ على الدفن في الأرض، و لكنّك خبير بأنّه من العمل بالعموم في الشبهة المصداقية، فالمتعيّن هو الرجوع إلى استصحاب الحالة السابقة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2492021_3650668749"/>
      <w:bookmarkStart w:id="302" w:name="_Toc111"/>
      <w:bookmarkEnd w:id="301"/>
      <w:r>
        <w:rPr>
          <w:rtl w:val="true"/>
        </w:rPr>
        <w:t>مسألة</w:t>
      </w:r>
      <w:r>
        <w:rPr>
          <w:rtl w:val="true"/>
        </w:rPr>
        <w:t xml:space="preserve">: </w:t>
      </w:r>
      <w:r>
        <w:rPr>
          <w:rtl w:val="true"/>
        </w:rPr>
        <w:t>يعتبر في الدفن أن يكون الميت مستقبلا للقبلة على جنبه الأيمن</w:t>
      </w:r>
      <w:bookmarkEnd w:id="302"/>
    </w:p>
    <w:p>
      <w:pPr>
        <w:pStyle w:val="BookText"/>
        <w:rPr/>
      </w:pPr>
      <w:r>
        <w:rPr>
          <w:rFonts w:ascii="Amiri" w:hAnsi="Amiri" w:eastAsia="Amiri" w:cs="Amiri"/>
          <w:color w:val="111111"/>
          <w:sz w:val="28"/>
          <w:sz w:val="28"/>
          <w:szCs w:val="28"/>
          <w:rtl w:val="true"/>
          <w:lang w:bidi="ar-SA"/>
        </w:rPr>
        <w:t>و يدل على وجوب الاستقبال مضافا إلى سيرة المسلمين في دفن موتاهم بذلك على وجه الالتزام، صحيحة معاوية بن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المعرور الأنصاري بالمدينة، و كان رسول اللّٰه صلّى اللّٰه عليه و آله و سلم بمكة، و انّه حضره الموت، و كان رسول اللّٰه صلّى اللّٰه عليه و آله و سلم و المسلمون يصلّون إلى بيت المقدس، فأوصى البراء أن يجعل وجهه إلى تلقاء النبيّ صلّى اللّٰه عليه و آله و سلم إلى القبلة أنّه أوصى بثلث ماله، فجرت به السنّة</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المتبادر من السنّة في هذا المقام هي الطريقة الثابتة</w:t>
      </w:r>
      <w:r>
        <w:rPr>
          <w:rFonts w:eastAsia="Amiri" w:cs="Amiri" w:ascii="Amiri" w:hAnsi="Amiri"/>
          <w:color w:val="111111"/>
          <w:sz w:val="28"/>
          <w:szCs w:val="28"/>
          <w:rtl w:val="true"/>
          <w:lang w:bidi="ar-SA"/>
        </w:rPr>
        <w:t>.</w:t>
      </w:r>
      <w:bookmarkStart w:id="303" w:name="pg1803_22152"/>
    </w:p>
    <w:p>
      <w:pPr>
        <w:pStyle w:val="BookText"/>
        <w:rPr/>
      </w:pPr>
      <w:bookmarkEnd w:id="3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و يدل على وجوب إضجاعه على جنبه الأيمن، بعد السيرة المذكورة، خبر الدعائم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شهد رسول اللّٰه صلّى اللّٰه عليه و آله و سلم جنازة رجل من بني عبد المطلب، فلما أنزلوه في قبره،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أضجعوه في لحده على جنبه الأيمن، مستقبل القبلة و لا تكبّوه لوجهه و لا تلقوه لقفاه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هذا الحكم المرأة الغير المسلمة الحامل من المسلم، فإنّها تدفن في مقابر المسلمين مستدبرة القبلة، ليكون الولد في بطنها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الاستقبال بالولد في بطنها، فعلى طبق القاعدة إذا مات بعد ولوج الروج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دفنها في مقابر المسلمين، بل وجوب ذلك و عدم جواز إخراج الولد بشق بطنها، فيدل عليه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اليهودية، أو النصرانية فيواقعها فتحمل، ثمّ يدعوها إلى أن تسلم، فتأبى عليه، فدنا ولادتها فماتت، و هي تطلق و الولد في بطنها، و مات الولد أ يدفن معها على النصرانية، أو يخرج منها و يدفن على فطرة الإسلام؟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معها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2492023_3650668749"/>
      <w:bookmarkStart w:id="305" w:name="_Toc112"/>
      <w:bookmarkEnd w:id="304"/>
      <w:r>
        <w:rPr>
          <w:rtl w:val="true"/>
        </w:rPr>
        <w:t>مسألة</w:t>
      </w:r>
      <w:r>
        <w:rPr>
          <w:rtl w:val="true"/>
        </w:rPr>
        <w:t xml:space="preserve">: </w:t>
      </w:r>
      <w:r>
        <w:rPr>
          <w:rtl w:val="true"/>
        </w:rPr>
        <w:t>يكره نقل الميت من بلد مات فيه إلى بلد آخر، مع الأمن من طرو الفساد و إلّا فيحرم</w:t>
      </w:r>
      <w:r>
        <w:rPr>
          <w:rtl w:val="true"/>
        </w:rPr>
        <w:t>.</w:t>
      </w:r>
      <w:bookmarkEnd w:id="30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التحريم مع عدم الأمن فواضح، و أما الكراهة مع الأمن فقد حكي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عليها الإجماع، عن المعتبر، و التذكرة، و الذكرى، و جامع المقاصد و استدل عليها بالمروي عن دعائم الإسلام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مات بالرستاق فحملوه إلى الكوفة فأنهكهم عقوبة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الأجساد في مصارعها، و لا تفعلوا فعل اليهود بنقل موتاهم إلى بيت المقدس،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كان يوم أحد أقبلت الأنصار لتحمل قتلاهم إلى دورها، فأمر رسول اللّٰه صلّى اللّٰه عليه و آله و سلم مناديا ينادي، فنادى ادفنوا الأجساد في مصارعها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الأمر و النهي في هذه الرواية و إن كان هو الوجوب و التحريم خصوصا مع تشديده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عقوبتهم، و بيان أنّه من فعل اليهود، و لكنّها لقصور السند قاصرة عن إثبات الحكم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بإثبات الكراهة بواسطتها مسامحة، بناء على أنّ أخبار من بلغ، كما تشمل بلوغ الثواب على عمل، كذلك تشمل بلوغ العقاب عليه، فيثبت بالقسم الثاني كراهة الفعل كما يثبت بالأوّل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بأخبار استحباب التعجيل في تجهيز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التعجيل غير كراهة النقل المستلزم للتأخير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ننقل الكلام في النقل الغير المفوّت للتعجيل، كما لو كان بتوسط الآلات السريعة السير المستحدثة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هذا الحكم، النقل إلى المشاهد المشرفة، فإنّه غير مكروه، بل مستحب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المعتبر انّه مذهب علمائنا خاصة، و عليه عمل الأصحاب من زمن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و هو مشهور بينهم لا يتناكرونه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و يشهد له خبر علي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أسأله عن الميت يموت بعرفات، يدفن بعرفات أو ينقل إلى الحرم، فأيّهما أفضل؟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إلى الحرم و يدفن فهو أفضل</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و يظهر منه مفروغية الجواز لطلب المكان الأفضل عند السائل، و إنّما وقع السؤال عن تشخيص مصداقه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المروي عن إرشاد الديلمي و فرحة الغري للسيد عبد الكريم بن أحمد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اليماني الّذي قدم بأبيه على ناقة إلى الغري، قال في الخبر على ما حكاه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الخلوة بنفسه ذهب إلى طرف الغري، فبينما هو ذات يوم هناك مشرف على النجف، فإذا رجل قد أقبل من اليمن راكبا على ناقة قدّامه جنازة، فحين رأى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حتى وصل إليه و سلّم عليه فردّ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الجنازة التي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لأدفنه في هذه الأرض،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دفنته في أرضكم،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بذلك، و قال إنّه يدفن هناك رجل يدخل في شفاعته مثل ربيعة و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ذلك الرجل ثلاثا فادفن، فقام فدفنه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للنقل من البلاد النائية توسّلا بمن له أهلية الشفاعة، و لا ينافي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دفنته في أرضكم، فإنّه ليس على وجه الاعتراض، بل سؤال عن السبب لكونه خارجا عن مجرى الطبيعة، كما لا يضر اختصاص مورده بصورة الوصية، إذ لو لم يكن نفس العمل جائزا لما كان الوصية مجوّزة له، كما في الوصية بإحراق جئته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ثمّ إنّه لو لم يؤد النقل إلى فساد الميت، من جهة تغير ريحه أو تلاشي أجزائه،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الجواز لو توقف على التقطيع بمباشرة المكلّف، فإنّه محرم ذاتا موجب للدية، و إن حكي عن بعض الأساطين القول بالجواز في هذه الصورة أيضا، لكن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اشكال لو منع من انتشار رائحته على فرض تغيّره، بالوضع في صندوق من حديد و نحوه، و من تلاشي أجزائه باستعمال بعض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ما إذا أدّى إلى أحد الأمرين بدون التوسل إلى منعه بمانع، فالذي أفتى به في العروة و اختاره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و علّله بعض الأعاظم بأنّ ما يتوهّم كونه مانعا أحد أمور أربعة كلّها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انّه لا هتك فيه إذا كان بقصد جلب النفع و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نقض لحكمة الدفن من عدم ظهور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أنّه من باب الاقتضاء لا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إجماعهم على عدم جواز التأخير إلى هذا الحدّ، لأجل التجهيزات الواجبة، كتحصيل ماء الغسل، أو السدر، و الكافور، و الكفن، فكيف يجوز لأجل هذا الأمر المستحب؟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لعلّه من جهة تعبّدية، فيقتصر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الإجماع هناك على عدم الجواز، بل غايته الإجماع على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وجوب مستورية جثة الميت في أوّل أزمنة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مع اعتراف القائل المذكور بالجواز، مع عدم الأداء إلى أحد الأمرين المذكورين، هذا ما ذكره و لكن الإنصاف انّ الالتزام بالجواز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نبش قبر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بعد ظهور عدم الخلاف، بل دعوى إجماع المسلمين كما عن المعتبر و غيره، انّه هتك للمؤمن بل عقوبة و تنكيل بالنسبة إليه، و هو بعد موته حرام كحال حياته، لأنّ حرمة المؤمن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مجوزاته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دفن في أرض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دفن بكفن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دفن و معه مال الغير و لو مال نفسه الذي صار بعد الموت إلى وارثه، فإنّه يجوز في الصور الثلاث نبش القبر تفريغا لمال الغير، أو تخليصا له، و ليس فيه هتك إذا كان بهذا القصد، كما هو الحال لو اتفق مثله في الاحياء، و القول بالرجوع إلى القيمة إمّا في ثلث التركة، و إمّا في بيت المال، جمعا بين الحقين ضعيف، لعدم الحق للميت بعد قصور الدليل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توقف الحكم بضمانه لأجل جنايته على الغير، أو إتلافه مال الغير، أو الحكم بقسمة تركته، أو اعتداد زوجته على شهادة الشهود بأنّه الشخص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الفلاني، و توقف ذلك على رؤيته و معاينته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كلّما توقّف تخليص مال، أو استيفاء، حقّ على النبش، أمكن القول بجوازه، لأنّ دليل حرمته لبّي لا عموم له بالنسبة إلى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دفن بلا غسل أصلا و لا تيمم بدله، أو بلا كفن أصلا و لو بما هو ميسوره عند التعذر، فإنّه يجوز النبش لأجل التغسيل، أو التكفين، لأنّ دليلهما لفظي، و دليل حرمة النبش كما عرفت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دفنه المالك في أرضه، أو دفن فيها بإذنه لم يجز له الرجوع عن الإذن بعد دفنه، و قياسه بما لو أذن في الصلاة، حيث إنّ الأقوى جواز الرجوع بعد الشروع في الصلاة، قياس مع الفارق، لأنّ حرمة القطع هناك مختصة بالمصلّي و لا يعم المالك، مع أنّ المتحقّق في حقّ المصلّي بعد الرجوع إنّما هو الانقطاع لا القطع، و أمّا حرمة النبش فغير مختصّة بالوارث بل يعم المالك أيضا، و دليل سلطنته لا يشرع له فعل الحرام، و من هنا، لو انتقلت الأرض إلى غيره بشراء، أو إرث، فليس لذلك الغير أيضا النبش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ألقى المالك ماله في القبر عمدا جاز النبش لاستنقاذه، و ليس هذا إقداما منه على الضرر، إذا كان ملتفتا إلى حكم النبش، لأنّ معيار الإقدام الذي ينصرف عنه دليل نفي الضرر، إنّما هو ما يكون إقداما بحسب الطبع، لا ما يكون كذلك بحسب حكم الشرع، و لهذا لا نقول بوجوب الغسل في حقّ من أجنب نفسه عمدا في الهواء البارد، مع عدم إمكان تسخين الماء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دفن بلا غسل، أو بلا كفن، عصيانا،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غسل ناقصا أو كفّن كذلك، لأجل الاضطرار على حسب التكليف الاضطراري، كما لو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غسل بلا سدر و كافور لفقدهما، أو كفّن بالحرير لفقد غيره، أو تيمم لفقد الماء، فالظاهر الاجتزاء به و إن طرأ الاختيار و التمكن بعد الدفن، و أمّا لو دفن بلا غسل و لا تيمّم لفقد الطهورين، أو بلا كفن لفقد الكفن، ثمّ ارتفع العذر بعد الدفن، فالظاهر جواز النبش، إذ لم يحصل هنا ما يقوم مقام الواقع، بل غاية ما ثبت سقوط الواقع ما دام الاضطرار، فتبقى حالة الاختيار تحت إطلاق دليل إيجاب الغسل و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دفن في مكان غير مناسب بشأن الميت، يوجب توهينه و الطعن عليه، كالمزبلة، و قرب الكنيف، أو البالوعة، أو مقبرة الكفار 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أريد نقله بعد النبش إلى أحد المشاهد المشرفة، فإنّه يجوز النبش حينئذ لأجل الغاية المذكورة، و قد اختلفت كلمات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بعد الاتفاق ظاهرا على عدم الجواز للنقل إلى غير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 إلى الجواز مطلقا، و آخر إلى عدمه كذلك، و ثالث إلى التفصيل بين صورة الوصية، و غيرها، بالجواز في الأولى، و العدم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 انّا قد فرغنا عن جواز النقل إلى المشاهد، بل استحبابه من حيث هو، مع قطع النظر عن حرمة النبش، كما لو اتفق بروز الجسد لموجب خارجي، كسيل، أو سبع، أو نحوهما فالمانع منحصر في حرمة النبش، و قد عرفت انّ دليلها لا يقتضيها إلّا في صورة الهتك، و الانصاف عدم حصوله، إذا كان بقصد إيصال هذا النفع العظيم، بل هو كمال تعظيم له، و اعتناء بشأنه، بل على تقدير وقوع النبش على الوجه المحرّم، لا دليل على حرمة النقل بعده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المحافظة على عدم انتشار ريحه، و عدم تقطّع أعضائه و لو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بالتشبث بالاشنانة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لذلك، و أمّا احتمال كون النقل حيث وقع بعد النبش المحرّم، محرّما آخر من حيث هو، كما وقع في كلام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التفصيل بين صورة الوصية و عدمها، انّه لا هتك له مع إيصاء نفسه، فالوصية مغيرة لعنوان الموضوع، فلا يرد عليه انّه لو كان النبش محرّما في نفسه فلا تجوّزه الوصية، إذ هو نظير الوصية بالإحراق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أنّ الحقّ كما عرفت عدم حصول الهتك في غير صورة الوصية أيضا،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تبحّره، و مزيد تتبّعه، ادّعى إطلاق كلمات المجمعين على حرمة النبش، و النقل بعد الدفن بالنسبة إلى صورة حصول الهتك و عدمه، فوقوع اللفظ المذكور في معقد إجماعهم، بمنزلة وقوعه في النص المعتبر، فكما يؤخذ بإطلاقه في الثاني، فكذا في الأوّل، و لا ينافيه وقوع تعليل الحكم في بعض كلماتهم بقولهم لأنّه مثلة بالميت، و هتك له، فإنّه من باب النكات المذكورة بعد الوقوع، كما تداول نظيره في علم النحو، و على هذا فالأصل في المسألة هو المنع حتى يثبت الدليل على الرخصة و الجواز، و لا يفيد الوصية بذلك في جوازه لأنّه وصية بأمر غير مشروع، و ما يتوهم كونه دليلا على الرخصة أمور كلّها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وجود المصلحة العظيمة في النقل إلى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النبش معلّل بجهة تعبديّة لا نعلمها، و لعلّها أهم بنظر الشارع من المصلحة المذكورة بمراتب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المرسلة التي أرسلت على لسان الشيخ، و المفيد، من أنّه وردت رواية بالرخصة في النقل إلى مشاهد آل الرسول صلّى اللّٰه عليه و آله و سلم سمعت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أنّها بواسطة الإرسال، و عدم عمل الناقل لها بها، و مخالفتها للمشهور، غير صالحة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الأخبار من نقل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استخراجها في تابوت إلى أرض الغري، و نقل موسى عظام يوسف في صندوق مرمر، و استخراجه من شاطئ النيل إلى أرض الشام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فيه مضافا إلى ضعف السند، كون ذلك خارجا عن محلّ الكلام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ليس بنبش، إذ ليس مجرّد رفع بعض تراب القبر، مع مستورية الجسد ببعض آخر، أو بصندوق و نحوه نبشا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الخبر الأوّل هو الاستخراج من الماء، و لعلّه لم يكن بعد التابوت ساتر غير الماء، و محلّ الكلام هو المستورية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فلو حصل الوثوق بالإجماع المذكور، و لم يضر رؤية الخلاف في مسألة النقل إلى المشاهد، بناء على ما هو التحقيق من كون حجيته من باب الحدس لا اللطف فهو، و إلّا فالأصل في المسألة هو الجواز حتى يثبت الدليل على المنع كما هو واضح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شقّ الثوب على غير الأب و الأخ و يجوز فيهما، أمّا عدم الجواز في غيرهما، فيدل عليه أخبار كثيرة، في بعضها التوعيد بالنار، و بعضها مشتمل على اللعن، و في بعضها إثبات كفارة اليمين في شق الوالد على ولده،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الزوج على امرأته، و أمّا الجواز فيهما فيدل عليه فعل مولانا العسكري في مصيبة مولانا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فعل موسى في مصيبة أخيه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 آله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ذلك كلّه في أخبار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شق الثوب على غير الأب و الأخ، و يدل على الحكم في جانب المستثنى منه، مضافا إلى دعوى الإجماع عليه في خصوص الرجل عن مجمع البرهان، و كذا عن ظاهر غيره، و عدم العثور على المخالف في خصوصه، سوى ابن سعيد في كفارات الجامع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الدعائم،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عند ما احتضر،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يلطمنّ عليّ خدّ و لا يشقنّ عليّ جيب، فما من امرأة تشق جيبها إلّا صدع لها في جهنم صدع، كلّما زادت زيدت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مسكن الفؤاد عن ابن مسعود،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ضرب الخدود، و شق الجيوب</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عن أبي أمامة أنّ رسول اللّٰه صلّى اللّٰه عليه و آله و سلم لعن الخامشة وجهها، و الشاقّة جيبها، و الداعية بالويل و الثبور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كتاب المحاسن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يَعْصِينَكَ فِي مَعْرُوفٍ المعروف أن لا يشققن جيبا، و لا يلطمنّ وجها، و لا يدعون بالويل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و روي عن النبي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وصاياهم النهي عن شقّ الجيوب و خمش الوجوه، و ضعف سندها مجبور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ينافيها خبر خالد بن سدير 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شق ثوبه على أبيه، أو على أمّه، أو على أخيه، أو على قريب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بشق الجيوب، قد شق موسى بن عمران على أخيه هارون، و لا يشق الوالد على ولده، و لا زوج على امرأته، و تشق المرأة على زوجها، و إذا شق الرجل على امرأته أو والد، على ولده فكفارته حنث يمين، و لا صلاة لهما حتى يكفّرا أو يتوبا عن ذلك، و إذا خدشت المرأة وجهها، أو جزّت شعرها، أو نتفته ففي جزّ الشعر عتق رقبة، أو صيام شهرين متتابعين،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الخدش إذا أدمت و في النتف كفارة حنث يمين، و لا شي‌ء في اللطم على الخدود سوى الاستغفار و التوبة، و لقد شققن الجيوب و لطمن الخدود الفاطميات على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مثله تشق الجيوب، و تلطم الخدود</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حيث إنّها ناصّة بالجواز في الأم و في مطلق القريب، و في الزوجة على زوجها مضافا إلى ما في ذيلها، من حكاية فعل الفاطميات على سبيل الارتضاء المعلوم عدم انحصارهن في ذوات الأب و الأخ</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أجل هذه الرواية أشكل الأمر على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الحكم بالنسبة إلى جميع أفراد المستثنى منه، نظرا إلى أنّ الفقرة الأخيرة منها المشتملة على حكم الكفارة، مقبولة، معمول بها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مدركهم في تلك المسألة بهذه الرواية، كما يعلم بمراجعة باب الكفارة، فلو لم يعمل بها في سائر الفقرات يلزم التفكيك في الأخذ، مع كون الرواية واحدة،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و السند واحدا، و هو غير جائز بناء على مذهب الطريقية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أريد التفكيك بين فقرأتها من حيث السند، و أمّا لو أريد التفكيك من حيث جهة السند فلا محذور فيه، إذ لا استبعاد عادة في ابتلاء بعض الفقرات بما يمنع عن إظهار الواقع، كحضور من يتّقى منه حين التكلّم بتلك الفقرة، مع سلامة البقية عن ذلك، لخروجه عن المجلس عند التكلّم بالبقية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ذيلها من حكاية فعل الفاطميات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مختصات مولانا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الهّٰي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ربّما يستشعر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 تشق الجيوب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الحكم في جانب المستثنى، فعل مولانا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مصيبة أبيه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فعل موسى بن عمران عند مصيبة أخيه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بهما روايات مستفيضة، و احتمال اختصاص ذلك بالنبيّ و الوصي، مدفوع بقاعدة 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الشهيد،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في معركة القتال، مع زهوق روحه في المعركة و إن أدركه المسلمون قبل الزهوق، كما مرّ تفصيله في مبحث الغسل، يدفن مع ثيابه، و مرمّلا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بذلك مستفيضة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التأمّل في كون السراويل مندرجا تحت اسم الثوب، و هو من الغرابة بمكان، إذ السراويل جمع سروال و هو معرب شلوار، و لا شبهة في اندراجه تحت الثوب، كالقميص المسمّى بالسرابيل و إن كان نظره إلى رواية زيد عن آبائه،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 من الشهيد الفرو، و الخف،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و القلنسوة، و العمامة، و المنطقة، و السراويل، إلّا أن يكون أصابه دم، فإن أصابه دم ترك، و لا يترك عليه شي‌ء معقود إلّا حلّ</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فهو ضعيف السند، و غير مجبور بالعمل، كما أنّ العمامة و القلنسوة و المنطقة إذا لم يكن من الجلد، و لا ملبّدا، تكون داخلة تحت الثوب، و لا ينافي ذلك عدم دخول العمامة في الكسوة في بابي الكفّارة و النفقة الواجبة، لإمكان أن يكون حاله كالبئر حيث يعدّ عند وجودها من أجزاء الدار، مع أنّ عدمها لا يضر بصدق الدار على الفاقد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ما يكون من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كالخف، و الفرو، يكون خارجا كما مرّ في باب أوصاف الكفن، فينزع ذلك من الشهيد سواء أصابه دم أم لا، فلو لم يكن عليه إلّا فرو، فإن وجد ثوب من غير جلد ينزع عنه الفرو، و يكفّن بالثوب كسائر الموتى، و إلّا فيدفن في الفرو من باب كونه ميسور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الولد في بطن الأم مع حياة الأم، فإن أمكن إخراجه صحيحا مع الأمن من تضرّر الأم فهو المتعيّن، و إلّا يتوصل إلى إخراجه بالأرفق فالأرفق و إن كان بتقطيعه قطعة قطعة و إخراجه، و المتولّي لذلك أوّلا هو النساء، ثمّ الرجال المحارم، ثمّ الأجانب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مضافا إلى كونه طبق القاعدة، رواية وهب بن وهب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يموت في بطنها الولد فيتخوّف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يدخل الرجل يده فيقطّعه و يخرجه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 زاد في رواية الكافي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ترفق به النساء، و إطلاق الرواية الأولى محمول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الترتيب الذي ذكرنا لقاعدة أنّ الضرورات تتقدر بقدرها مضافا إلى استفادته من الزيادة في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الأمر بالعكس بأن ماتت المرأة و الولد في بطنها حيّ، فإن أمكن إخراجه بلا خوف عليه من دون شق، وجب، و إلّا يشق بطنها من الجانب الأيسر و يخرج الولد، ثمّ يخاط موضع الشق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أصل الحكم خبر علي بن يقطين، سألت العبد الصالح عن المرأة تموت، و ولدها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بطنها و يخرج ولدها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روايات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خصوصية كون الشق من الجانب الأيسر الفقه الرضوي </w:t>
      </w:r>
      <w:r>
        <w:rPr>
          <w:rStyle w:val="FootnoteAnchor"/>
          <w:rtl w:val="true"/>
        </w:rPr>
        <w:footnoteReference w:id="193"/>
      </w:r>
      <w:r>
        <w:rPr>
          <w:rFonts w:ascii="Amiri" w:hAnsi="Amiri" w:eastAsia="Amiri" w:cs="Amiri"/>
          <w:color w:val="111111"/>
          <w:sz w:val="28"/>
          <w:sz w:val="28"/>
          <w:szCs w:val="28"/>
          <w:rtl w:val="true"/>
          <w:lang w:bidi="ar-SA"/>
        </w:rPr>
        <w:t>و على خيط الموضع مرسلة ابن أبي عمير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306" w:name="pg1803_22194"/>
    </w:p>
    <w:p>
      <w:pPr>
        <w:pStyle w:val="BookText"/>
        <w:rPr/>
      </w:pPr>
      <w:bookmarkEnd w:id="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Heading2"/>
        <w:numPr>
          <w:ilvl w:val="1"/>
          <w:numId w:val="1"/>
        </w:numPr>
        <w:rPr/>
      </w:pPr>
      <w:bookmarkStart w:id="307" w:name="__RefHeading___Toc2492025_3650668749"/>
      <w:bookmarkStart w:id="308" w:name="_Toc113"/>
      <w:bookmarkEnd w:id="307"/>
      <w:r>
        <w:rPr>
          <w:rtl w:val="true"/>
        </w:rPr>
        <w:t>المبحث الخامس</w:t>
      </w:r>
      <w:r>
        <w:rPr>
          <w:rtl w:val="true"/>
        </w:rPr>
        <w:t xml:space="preserve">: </w:t>
      </w:r>
      <w:r>
        <w:rPr>
          <w:rtl w:val="true"/>
        </w:rPr>
        <w:t>في الطهارة الترابية</w:t>
      </w:r>
      <w:bookmarkEnd w:id="308"/>
    </w:p>
    <w:p>
      <w:pPr>
        <w:pStyle w:val="Heading3"/>
        <w:numPr>
          <w:ilvl w:val="2"/>
          <w:numId w:val="1"/>
        </w:numPr>
        <w:rPr/>
      </w:pPr>
      <w:bookmarkStart w:id="309" w:name="__RefHeading___Toc2492027_3650668749"/>
      <w:bookmarkStart w:id="310" w:name="_Toc114"/>
      <w:bookmarkEnd w:id="309"/>
      <w:r>
        <w:rPr>
          <w:rtl w:val="true"/>
        </w:rPr>
        <w:t>[</w:t>
      </w:r>
      <w:r>
        <w:rPr>
          <w:rtl w:val="true"/>
        </w:rPr>
        <w:t>التيمم في القرآن الكريم</w:t>
      </w:r>
      <w:r>
        <w:rPr>
          <w:rtl w:val="true"/>
        </w:rPr>
        <w:t>]</w:t>
      </w:r>
      <w:bookmarkEnd w:id="31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التيمم الذي قضت ضرورة الدين بثبوته في الجملة عند الضرورة قال اللّٰه تعالى في سورة النساء 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Style w:val="FootnoteAnchor"/>
          <w:rtl w:val="true"/>
        </w:rPr>
        <w:footnoteReference w:id="195"/>
      </w:r>
      <w:r>
        <w:rPr>
          <w:rFonts w:ascii="Amiri" w:hAnsi="Amiri" w:eastAsia="Amiri" w:cs="Amiri"/>
          <w:color w:val="111111"/>
          <w:sz w:val="28"/>
          <w:sz w:val="28"/>
          <w:szCs w:val="28"/>
          <w:rtl w:val="true"/>
          <w:lang w:bidi="ar-SA"/>
        </w:rPr>
        <w:t xml:space="preserve">و في سورة المائدة 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و ينبغي التكلّم في بعض ما يتعلّق بألفاظ الآيتين الشريفتين تيمّنا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عبارة عن المكان المنخفض في الأرض، و هو المراد هنا، و إنّما سميت العذرة بهذا الاسم من باب تسمية الحال باسم المحل، حيث إنّ الإنسان عند إرادة التخلية في البراري يطلب المكان المنخفض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مٰا يُرِيدُ اللّٰهُ لِيَجْعَلَ عَلَيْكُمْ مِنْ حَرَجٍ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المشقة الحاصلة في استعمال الماء في الوضوء و الغسل، و في استعمال التراب في التيمّم، حيث إنّه موجب لاغبرار الوجه و اليدين الموجب للتذلّل و الخشوع، و هو ممّا يتأنّف منه أكثر النفوس ليست مقصودة بالذات للباري تعالى، و إنّما المقصود الأصلي هو التطهير و إتمام النعمة، و الفعل الشاق الحرجي يسهل على الإنسان إذا كان له غاية عظيمة مهمة، و هذا المعنى هو الأنسب بسياق الجملة المذكورة، مع قوله تعالى وَ لٰكِنْ يُرِيدُ لِيُطَهِّرَكُمْ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بيانا لحكمة تشريع التيمّم، و يستفاد منه على هذا التقدير مشروعية التيمّم في مطلق موارد الحرج، فضلا عن موارد الضرورة البالغة حدّ التعذّر، بل على التقدير الأوّل أيضا يستفاد هذا المعنى، من سوق الآية في مقام الامتنان، فيستفاد أنّ ذكر المرض و السفر ليس لأجل موضوعيّتهما، بل لأجل كونهما مظنّة للتعذّر أو التعسّر غالبا فيدور الحكم مدار هذين الأمرين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تعلّق الأمر بالوضوء و الغسل على وجه الإطلاق، و بالتيمّم على نحو التعليق بعدم الوجدان، إطلاق مطلوبية الوضوء و الغسل بحسب المادة من غير مدخلية للقدرة و العجز في ذلك،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في منزلك الضيف الفلاني، فهيّئ له الطعام المقرون بالتشريف الفلاني، فإن لم يتيسّر</w:t>
      </w:r>
      <w:bookmarkStart w:id="311" w:name="pg1803_22200"/>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لك أسبابه فهيّئ له ما تيسّر، فليس المقام من باب التنويع، كتنويع المكلّف إلى المسافر و الحاضر في القصر و الإتمام، و يتفرّع على هذا وجوب تحصيل الماء بقدر الإمكان، و عدم جواز تحصيل الاضطرار اختيارا بإراقة الماء و نحوه، و عدم جواز البدار في أوّل الوقت مع رجاء الزوال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معنى قوله تعالى 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تعثروا عليه بعد الفحص و التفتيش، فالفحص مأخوذ في مفهوم هذا اللفظ، و لكن الظاهر أنّ المراد بالوجدان هو الواجدية في مقابل الفاقدية، و هو أمر واقعي و الفحص طريق إثباته لا مأخوذ في مفهومه ثبوتا، و يشهد له التعبير عنه بالجدة في بعض الأخبار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فالتكلّم في هذا المقصد يتم في طي مباحث أربع</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492029_3650668749"/>
      <w:bookmarkStart w:id="313" w:name="_Toc115"/>
      <w:bookmarkEnd w:id="312"/>
      <w:r>
        <w:rPr>
          <w:rtl w:val="true"/>
        </w:rPr>
        <w:t>المبحث الأوّل</w:t>
      </w:r>
      <w:r>
        <w:rPr>
          <w:rtl w:val="true"/>
        </w:rPr>
        <w:t xml:space="preserve">: </w:t>
      </w:r>
      <w:r>
        <w:rPr>
          <w:rtl w:val="true"/>
        </w:rPr>
        <w:t>في الأمور التي يشرع عندها التيمّم و فيها أسباب</w:t>
      </w:r>
      <w:bookmarkEnd w:id="313"/>
    </w:p>
    <w:p>
      <w:pPr>
        <w:pStyle w:val="Heading4"/>
        <w:numPr>
          <w:ilvl w:val="3"/>
          <w:numId w:val="1"/>
        </w:numPr>
        <w:rPr/>
      </w:pPr>
      <w:bookmarkStart w:id="314" w:name="__RefHeading___Toc2492031_3650668749"/>
      <w:bookmarkStart w:id="315" w:name="_Toc116"/>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و يجمعها العجز عن استعمال الماء، عقلا، أو شرعا، أو عرفا، و لمّا كان لبعض أفراده أحكام خاصّة لا بدّ من ذكرها على التفصيل</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492033_3650668749"/>
      <w:bookmarkStart w:id="317" w:name="_Toc117"/>
      <w:bookmarkEnd w:id="316"/>
      <w:r>
        <w:rPr>
          <w:rtl w:val="true"/>
        </w:rPr>
        <w:t>[</w:t>
      </w:r>
      <w:r>
        <w:rPr>
          <w:rtl w:val="true"/>
        </w:rPr>
        <w:t>السبب الأول عدم وجود الماء</w:t>
      </w:r>
      <w:r>
        <w:rPr>
          <w:rtl w:val="true"/>
        </w:rPr>
        <w:t>]</w:t>
      </w:r>
      <w:bookmarkEnd w:id="317"/>
    </w:p>
    <w:p>
      <w:pPr>
        <w:pStyle w:val="Heading5"/>
        <w:numPr>
          <w:ilvl w:val="4"/>
          <w:numId w:val="1"/>
        </w:numPr>
        <w:rPr/>
      </w:pPr>
      <w:bookmarkStart w:id="318" w:name="__RefHeading___Toc2492035_3650668749"/>
      <w:bookmarkStart w:id="319" w:name="_Toc118"/>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الماء و لا إشكال في مشروعية التيمّم عنده، كتابا، و سنّة، و إجماعا من غير فرق بين الحضر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أحكامه و هو موقوف على رسم مسائل</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2492037_3650668749"/>
      <w:bookmarkStart w:id="321" w:name="_Toc119"/>
      <w:bookmarkEnd w:id="320"/>
      <w:r>
        <w:rPr>
          <w:rtl w:val="true"/>
        </w:rPr>
        <w:t>مسألة</w:t>
      </w:r>
      <w:r>
        <w:rPr>
          <w:rtl w:val="true"/>
        </w:rPr>
        <w:t xml:space="preserve">: </w:t>
      </w:r>
      <w:r>
        <w:rPr>
          <w:rtl w:val="true"/>
        </w:rPr>
        <w:t>يجب الفحص عند عدم الماء و لا يجوز التيمّم قبله</w:t>
      </w:r>
      <w:r>
        <w:rPr>
          <w:rtl w:val="true"/>
        </w:rPr>
        <w:t>:</w:t>
      </w:r>
      <w:bookmarkEnd w:id="32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مضافا إلى الإجماعات المستفيضة، و خبر السكوني الآتي، القاعدة العقلية التي أشير إليها، فإنّ العقل بعد إحراز المطلوبية المطلقة لا يجوز إجراء أصالة البراءة بمحض الشك في القدرة، بل يوجب على المكلّف إعمال الوسع،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و بذل الجهد حتى يحصل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أصل موضوعي، كاستصحاب عدم القدرة، لو كان له حالة سابقة، فحاله حال استصحاب المرض في جريانه، و وروده على الأصل العقلي كما سيأتي التكلّم فيه، لكن بدونه لا محيص عن الاشتغال و لا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القاعدة العقلية في مقدار الفحص، أن يكون إلى حدّ تحصيل اليأس، أو خوف فوت الوقت، أو سائر الأعذار الرافعة للتكليف، هذا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الأخبار فالأولى بالتيمّن بنقلها أوّلا، ثمّ التكلّم في ما يستفاد منها، فنقول و على اللّٰه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بين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يتراءى منه عدم وجوب الفحص و الطلب، و هو رواية داود الرقي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فتحضر الصلاة و ليس معي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قريب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 الماء و أنا في وقت يمينا و 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و لكن تيمّم، فإنّي أخاف عليك التخلّف عن أصحابك فتضل و يأكلك السبع</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رواية علي بن سالم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 الماء يمينا 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يمينا و لا شمالا و لا في بئر إن وجدته على الطريق فتوضّأ منه و إن لم تجده فامض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الفحص و تحديده بالغلوة و الغلوتين،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حسب اختلاف الأراضي في الحزونة و السهولة، و هو خبر السكوني عن جعفر بن محمد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الماء في السفر إن كانت الحزونة فغلوة، و إن كانت سهولة فغلوتين لا يطلب أكثر من ذلك</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بظاهره على الوجوب و تحديده بتمام الوقت ما لم يتضيّق و هو حسنة 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 فإذا خاف أن يفوته الوقت فليتيمّم و ليصل في آخر الوقت فإذا وجد الماء فلا قضاء عليه و ليتوضّأ لما يستقبل</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باستحباب الطلب، و لعلّه لصرف الطائفتين الأخيرتين عن ظاهرهما من الوجوب، بقرينة الطائفة الأولى، و ما أبعد ما بينه و بين ما حكي عن تلميذه صاحب المدارك، تبعا للمحقّق في المعتبر من إيجاب الفحص في تمام الوقت، إلى أن يتضيّق و يخاف الفوت، و لعلّه استضعافا للطائفتين الأوليين من حيث السند، و أخذا بالأخيرة لقوّته، و 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الإفراط كما ذهب الأوّل إلى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الطائفة الأولى، فبين ما قيّد فيه عدم الوجوب بكون الفحص خطريا، و مظنّة لتغرير النفس، و بين ما هو مطلق، و لكنّه ضعيف السند غير معمول به بين الأصحاب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الطائفة الثانية، و هو خبر السكوني، فسنده و إن كان ضعيفا لكنّه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معمول به بينهم حتى عبّروا في فتاويهم بلفظة و عبارته، فإنّ التحديد المذكور هو المشهور بينهم، و عن الغنية و إرشاد الجعفرية الإجماع عليه، و عن التذكرة نسبته إلى علمائنا، هذا بحسب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المفاد فظاهره لزوم الفحص في مسافة دائرة يفرض مركزها مكان المصلّي، و يكون بين ذلك المركز و بين محيط الدائرة من جميع الجهات مقدار الغلوة، أو الغلوتين، فمفاد الرواية لزوم الفحص في جميع أجزاء هذه الدائرة إلى أن يحصل اليأس عن الظفر، و الوثوق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الفحص بهذا المقدار و لو من جانب واحد، لصدق الطبيعة بإتيان واحد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مفادها عرفا، لزوم العجز عن تحصيل الماء في هذا المقدار من المسافة، و لا يصدق العجز عن الطبيعة إلّا بعد العجز عن جميع أفرادها، و نظير ما ذكر في الضعف احتمال كفاية هذا المقدار، و لو بتوزيعه على الجهات الأربع، أو الجهتين، منها، أو الثلاث، فإنّه خلاف المتبادر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إنّ لزوم الفحص ليس لأجل الموضوعيّة، بل مقدمة للتوصّل إلى تحصيل الماء، فيكون مقصورا على صورة احتمال العثور، فلو قطع بعدم الماء في المسافة المذكورة كلا، أو بعضها، سقط وجوب الفحص أيضا كذلك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الخبر الثالث فإن أمكن جمعه مع الخبر المذكور، بالحمل على استحباب الزائد على المقدار المذكور، أو بحمله على أنّه بصدد بيان وقت الطلب، و تعيين كونه في السعة، لا في الضيق، لا بصدد بيان المقدار فهو، و إلّا فاللازم طرحه لعدم مقاومته مع الخبر الأوّل، لكونه معرضا عنه بين الأصحاب، مضافا إلى اضطرار متنه لإثبات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فيكون مربوطا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بمسألة عدم جواز البدار لذوي الأعذار، و أجنبيا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حاول الجمع بينهما بالحمل على تخيير المكلّف، بين أن يختار الصلاة في مكان معيّن من خط سيره في سفره، مع سعة الوقت فيجب عليه السعي في تحصيل الماء من الجوانب الأربع بالمقدار المذكور، و بين أن يختار السعي في تحصيله في جميع الوقت إلى أن يتضيّق و يخاف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تخيير بين الأقل و الأكثر،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يعترف بعدم معقوليته، إذ مرجعه إلى الوجوب التخييري بين هذا المقدار، و بين الزائد عنه، و لا يعقل بعد تعلّق الوجوب بالمقدار المذكور، تعلّقه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اتصافه بالحسن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مباشرة المكلّف بنفسه للفحص، أم يكفي مباشرة غيره مطلقا، أو فيما إذا كان نائبا عنه، و لو لم يحصل الوثوق من إخباره الذي قوّاه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الكفاية مطلقا ما لم يحصل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مقتضى تنزيل فعل النائب منزلة فعل المنوب و كونه أمينا، و جريان أصالة الصحة في عمله بعد إحراز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جواز الاعتماد على البيّنة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مقتضاه جواز الاتكال على الفحص الصادر منه قبل الوقت، أو في الوقت، لأجل الصلاة السابقة، فيكتفى به في الأوّل في الوقت، و في الثاني للصلاة اللاحقة استصحابا للحالة السابقة، سواء كان الشك من جهة احتمال وجود الماء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حال فحصة السابق و قد اختفى عن نظره، أو من جهة احتمال التجدّد، و سواء كان الاحتمال الثاني مقرونا بالأمارة الظنيّة الغير المعتبرة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المحقّق السيد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العروة حيث فرّق بين هذه الأقسام، فأوجب تجديد الفحص في صورة احتمال التجدّد مع الأمارة الظنية، و لم يوجبه فيما عداها، و هو خلاف ما قرّر في محلّه من حجية الاستصحاب، حتى مع الظن الغير المعتبر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علم بوجود الماء في خارج الحد، فلا إشكال في وجوب السعي إليه مع الأمن، لوضوح أنّ التحديد المذكور إنّما في مورد الشك في الوجود و العدم، لا مع العلم بأحدهما إمّا في داخل الحد،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الغلوة المتعارفة لا تزيد عن مقدار مائتي خطوة متعارفة تقريبا، كما ربما يشهد له ما روي في باب المواقيت من أنّ أصحاب النبي صلّى اللّٰه عليه و آله و سلم كانوا إذا صلّوا معه صلّى اللّٰه عليه و آله و سلم صلاة المغرب و خرجوا للرجوع إلى منازلهم يرون مواضع نبلهم، إذ من المستبعد جدا رؤية ما زاد عن المقدار المذكور، عند مضي نصف ساعة من المغرب في الليلة الغير المقمرة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تشكيك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الحدّ بعد أربعمائة ذراع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طريقية الفحص، و عدم موضوعيته أنّه لو خالف و صلّى بتيمّم قبل الفحص و تمشّى منه قصد القربة، و صادف عدم الماء صحّت صلاته، و لكن مع ذلك أفتى بالفساد، المحقّق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العروة و لم يعلم وجهه</w:t>
      </w:r>
      <w:r>
        <w:rPr>
          <w:rFonts w:eastAsia="Amiri" w:cs="Amiri" w:ascii="Amiri" w:hAnsi="Amiri"/>
          <w:color w:val="111111"/>
          <w:sz w:val="28"/>
          <w:szCs w:val="28"/>
          <w:rtl w:val="true"/>
          <w:lang w:bidi="ar-SA"/>
        </w:rPr>
        <w:t>.</w:t>
      </w:r>
      <w:bookmarkStart w:id="322" w:name="pg1803_22218"/>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Heading5"/>
        <w:numPr>
          <w:ilvl w:val="4"/>
          <w:numId w:val="1"/>
        </w:numPr>
        <w:rPr/>
      </w:pPr>
      <w:bookmarkStart w:id="323" w:name="__RefHeading___Toc2492039_3650668749"/>
      <w:bookmarkStart w:id="324" w:name="_Toc120"/>
      <w:bookmarkEnd w:id="323"/>
      <w:r>
        <w:rPr>
          <w:rtl w:val="true"/>
        </w:rPr>
        <w:t>مسألة</w:t>
      </w:r>
      <w:r>
        <w:rPr>
          <w:rtl w:val="true"/>
        </w:rPr>
        <w:t xml:space="preserve">: </w:t>
      </w:r>
      <w:r>
        <w:rPr>
          <w:rtl w:val="true"/>
        </w:rPr>
        <w:t>لو خالف و ترك الفحص في السعة و أخّر الصلاة</w:t>
      </w:r>
      <w:bookmarkEnd w:id="324"/>
    </w:p>
    <w:p>
      <w:pPr>
        <w:pStyle w:val="BookText"/>
        <w:rPr/>
      </w:pPr>
      <w:r>
        <w:rPr>
          <w:rFonts w:ascii="Amiri" w:hAnsi="Amiri" w:eastAsia="Amiri" w:cs="Amiri"/>
          <w:color w:val="111111"/>
          <w:sz w:val="28"/>
          <w:sz w:val="28"/>
          <w:szCs w:val="28"/>
          <w:rtl w:val="true"/>
          <w:lang w:bidi="ar-SA"/>
        </w:rPr>
        <w:t>حتى ضاق الوقت فصلّى في الضيق مع التيمّم أخطأ، سواء صادف وجود الماء في محل الطلب، أم عدمه، غاية الأمر بالعصيان في الأوّل، و التجرّي في الثاني، و صحّ صلاته في الصورتين، أمّا الخطأ فمن المسلّمات التي لم يخالف فيها أحد، سوى المحقّق في المعتبر، و بعض من عاصرناه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فهي المشهور كما عن المدارك، و عن الروض، أنّ عليه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لغير واحد، فحكموا بوجوب القضاء لو صادف وجوب الماء في محلّ الطلب، و عن الحدائق أنّه المشهور، و عن الرياض نسبته إلى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المادة في الغسل و الوضوء، عدم جواز تحصيل الاضطرار اختيارا، كما مرّت الإشارة إليه سابقا، و مقتضى شرعية التيمّم في حال الاضطرار، كون الصلاة المذكورة مطابقة لما هو الوظيفة الفعلية، و لا يعني بالصحة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مطابقتها، و ذلك لمنع الإطلاق في الأدلّة المعلّقة للتيمم على الاضطرار، بالنسبة إلى ما إذا كان حاصلا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ممنوع أشد المنع، ألا ترى أنّ من جعل نفسه عاجزا عن الصلاة قائما وجوب عليه الصلاة قاعدا، لإطلاق ما دلّ على مشروعيتها في حقّ العاجز عن القيام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مقتضى إطلاق المادة، وجود مقدار لازم الاستيفاء من المصلحة في خصوص الغسل و الوضوء، و قد فات هذا المقدار من المكلّف،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فالواجب القضاء خارج الوقت تداركا لهذا المقدار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منقوض بما إذا حصل الاضطرار بسبب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حلّه أنّ جعل الشارع التيمّم بدلا في حال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المبدل ساقطا و عدم وجوب الإعادة، أو القضاء، و إلّا كان خلفا في بدليته، و اللازم من ذلك أحد أمرين، إمّا كون التيمّم وافيا بتمام مصلحة الواقع الأولى، أو بالمقدار اللازم منها، و إنّما كونه مسقطا للمحل عن قابلية استيفاء الباقي، مع كونه بحد اللزوم و أهمية رعاية مصلحة الوقت، و الأوّل مناف لإطلاق المادة،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أيضا جواز الإتيان مع هذا التيمم بسائر الغايات الموسعة، كالصلاة القضائية، و صلاة الآيات، مع رجاء الزوال، بل و جواز اقتداء من وظيفته الغسل و الوضوء بالمتيمّم، و جواز إتيان الأجير بالصلاة المستأجر عليها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صغريات مسألة جواز البدار لأولي الأعذار، و مقتضى القاعدة فيه، و إن كان عدم الجواز كما ذكرت، لكن لو قام الدليل عليه كان كاشفا عن قيام مصلحة في نفس الحكم، يتدارك بها ما يفوت من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كلام لا بأس بنقله و التعرّض لما فيه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تفويت التكليف تارة يكون بتبديل عنوان موضوعه، كتبديل عنوان المسافر بالحاضر، أو بالعكس، و هذا لا إشكال في جوازه، إذ ليس في الحقيقة تفويتا و إنّما يطلق عليه هذا اللفظ مسامحة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و أخرى يكون بسلب القدرة و الاختيار، و تبديلهما بالعجز و الاضطرار حتى ترتفع فعلية الخطاب، مع بقاء المقتضي له، و هذا أيضا تارة يكون بعد تنجز التكليف، كإراقة الماء المنحصر للغسل أو الوضوء بعد حضور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قبل تنجّزه كالإراقة المذكورة قبل الوقت، و لا إشكال في عدم جواز القسم الأوّل و قبحه، كما لا شبهة في استحقاق العقوبة لو ترتّب عليه فوت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يترتب عليه الفوت، كما لو أصاب الماء اتّفاقا بعد إراقته مع الانحصار، فاستحقاقه مبني على القول باستحقاق المتجرّي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في كون حكم الشارع بتعيّن الغسل و الوضوء عند الاختيار، و ببدلية التيمّم عنهما عند الاضطرار من قبيل هذا القسم، و احتمل كونه من باب التنويع إلى المسافر و الحاضر، و منشأ الاشكال أنّا حيث رأينا جواز الإتيان بالغايات الموسعة، كالصلاة القضائية، و الآيات، في حال التيمم مع سعة أوقاتها و رجاء زوال العذر، كشف ذلك عن عدم حدوث اختلاف في مرتبة الصلاة كمالا، و نقصا، بحسب اختلاف وقوعها مع الطهارة المائية أو الترابية إمّا مطلقا، أو على وجه يبلغ حدّ اللزوم، ضرورة أنّه لو كان لها اختلاف بالغ هذا الحد، لما جاز الإتيان بالصلوات المذكورة و هو خلاف الضرورة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فالقول بتحريم تحصيل الاضطرار بإراقة الماء و نحوه، ينحصر وجهه في القول بالوجوب النفسي لنفس الطهارة المائية، مع قطع النظر عن غاياتها، و حيث إنّه أيضا على وجه الإطلاق لا يمكن الالتزام به، فإن أمكن الالتزام به مشروطا بتقدير إرادة الغايات فهو، و إلّا فالمتعيّن المصير إلى إنكار التحريم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المذكور رأسا، كما ذهب إليه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و ليس في وجوب الفحص أيضا دلالة على وجوب الحفظ، لإمكان وجوب تشخيص الحال عند الشك في كونه قادرا أو عاجزا، مع عدم وجوب حفظ القدرة بعد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الاضطرار قبل الوقت مع إحراز عموم المقتضي للتكليف، فمع العلم بتحقّق شرائط الوجوب في المستقبل، و بانحصار المقدّمة في شي‌ء معين بحيث لو فوّته المكلّف لا يقدر على فرد آخر في الوقت، فلا إشكال في استقلال العقل في تحريمه، فيجب عليه حفظ الماء و عدم إراقته، و كذا حفظ الطهارة و عدم إبطالها لو علم بعدم العثور على الماء بعد حضور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شرط القدرة الذي يعتبره العقل في الوجوب لا يلزم إحرازه في المستقبل، بل يكفي احتماله في إيجاب الحفظ، كما أنّ احتمال الانحصار غير مؤثّر في إيجابه، فلو احتمل العثور على الماء في ما بعد لا يجب عليه حفظ الماء، و لا حفظ الطهارة لكونه شبهة موضوعية لعنوان التفويت المحرّم، مع أنّ مقدمية الحفظ المذكور للصلاة على طهارة على تقدير مصادفة الماء في ما بعد ممنوعة، و المسلم مقدميته للطهارة الخاصة و هي بخصوصيتها غير متوقّف عليها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مواضع للنظر، أمّا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إطلاق مطلوبية الغسل و الوضوء، بالنسبة إلى حال العجز نظرا إلى ترخيص الشارع في إتيان صلاتي القضاء، و الآيات، في حال التيمّم مع سعة الوقت و رجاء الزوال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هذا الترخيص بعينه حال ترخيص الشارع في العمل بالطرق،</w:t>
      </w:r>
      <w:bookmarkStart w:id="325" w:name="pg1803_22231"/>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فكما أنّ الثاني لا يزاحم المصالح الواقعية لكونه ناشئا عن المصلحة في نفس الحكم لا المتعلّق، فلم لا يجوز أن يكون الترخيص في مقامنا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إيجاب حفظ الماء أو الطهارة، مع احتمال العثور على الماء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هذا الشك حال الشك في القدرة، و كلّ ما يجري في أحدهما من التقريب للبراءة أو الاحتياط جار في الآخر، فالفرق بينهما في غاية الغموض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أشدّ اشكالا من هذا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المقدمية عن الحفظ المذكور، على تقدير مصادفة الماء في ما بعد، ضرورة أنّه على هذا التقدير من أحد أفراد المقدّمة، غاية الأمر أنّها غير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تسليمه المقدمية في مثال خروج الرفقة للحج لو أخّر المسير، لاحتمال خروج رفقة أخرى في سعة الوقت و إنكارها في ما نحن فيه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492041_3650668749"/>
      <w:bookmarkStart w:id="327" w:name="_Toc121"/>
      <w:bookmarkEnd w:id="326"/>
      <w:r>
        <w:rPr>
          <w:rtl w:val="true"/>
        </w:rPr>
        <w:t>مسألة</w:t>
      </w:r>
      <w:r>
        <w:rPr>
          <w:rtl w:val="true"/>
        </w:rPr>
        <w:t xml:space="preserve">: </w:t>
      </w:r>
      <w:r>
        <w:rPr>
          <w:rtl w:val="true"/>
        </w:rPr>
        <w:t>لو تفحّص في مسافة الغلوة أو الغلوتين و لم يعثر على الماء فتيمّم و صلّى، ثمّ انكشف وجود الماء في تلك المسافة</w:t>
      </w:r>
      <w:bookmarkEnd w:id="3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زاغ عنه بصره، أو كان عالما بوجوده سابقا فنسيه فترك الفحص لأجله فتيمّم و صلّى، أو اعتقد عدم الماء بلا سابقة علم فتيمّم و صلّى، ثمّ تبيّن كونه جهلا مركبا، فالظاهر في الفروع الثلاثة بمقتضى القاعدة وجوب الإعادة في الوقت، و القضاء في خارجه، من غير فرق بينها، لا لأنّ المعتبر في صحّة التيمّم هو العجز المستوعب للوقت، نظرا إلى أنّ العجز عن طبيعة الصلاة بالطهارة المائية المحدودة بما بين الحدّين،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مبدإ الوقت و منتهاه لا يتحقّق إلّا بالعجز عن جميع أفرادها، و القدرة عليها تتحقّق</w:t>
      </w:r>
      <w:bookmarkStart w:id="328" w:name="pg1803_22232"/>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بالقدرة على بعض الأفراد و لو مع العجز عن الباقي، فإنّ ذلك مدفوع بالأدلّة المصرّحة بكفاية العجز حال الفعل، و عدم لزوم استيعابه لتمام الوقت، بل لأنّ المتحقّق في الفروع المذكورة إنّما هو تخيّل العجز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الأفعال الاختيارية مترتبة على الصور العلمية لموضوعاتها، بنحو تمام الموضوع من غير مدخلية لوجوداتها الواقعية أصلا، فلا اختيار بالنسبة إلى الطهارة المائية مع العلم بعدم الماء، و لو مع وجوده واقعا، مدفوع بأنّ عدم الاختيار أعم من العجز، و بعبارة أخرى الغفلة و النسيان مغايران مع العجز، و لهذا يجعلان مانعين من تنجّز التكاليف، و يجعل هو مانعا عن فعليتها، فالذي هو المناط لصحّة التيمّم هو العجز الواقعي، و هو غير متحقّق في هذه الفروع، و الفحص و إن كان متحقّقا في الأوّل منها و لكن لا موضوعية فيه، و إنّما شأنه الطريقية الصرفة، هذا مقتضى القاعدة إلى أن يثبت التعبّد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حاول الفرق بين الفروع المذكورة في مقتضى القاعدة، بدعوى تحقّق العجز المنصرف إليه الأدلّة في الأوّل منها دون الأخيرين، و قد عرفت ضعفه</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2492043_3650668749"/>
      <w:bookmarkStart w:id="330" w:name="_Toc122"/>
      <w:bookmarkEnd w:id="329"/>
      <w:r>
        <w:rPr>
          <w:rtl w:val="true"/>
        </w:rPr>
        <w:t>مسألة</w:t>
      </w:r>
      <w:r>
        <w:rPr>
          <w:rtl w:val="true"/>
        </w:rPr>
        <w:t xml:space="preserve">: </w:t>
      </w:r>
      <w:r>
        <w:rPr>
          <w:rtl w:val="true"/>
        </w:rPr>
        <w:t>لو كان عنده الماء و لم يكن كافيا للغسل أو الوضوء</w:t>
      </w:r>
      <w:bookmarkEnd w:id="33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عدم جريان قاعدة الميسور، و عدم تبعّض الوضوء أو الغسل، و قد ورد في بعض الأخبار حيث فرض السائل كون الجنب واجدا للماء بقدر الوضوء، دون الغسل في مقام إيجاب التيمّم، و نفي توهم وجوب الوضوء، التعبير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قد جعل عليه نصف الوضوء، و في بعضها نصف الطهور، و الظاهر أنّ المراد ابتناء أمر التيمّم على المساهلة و عدم المداقة، و لهذا لم يوجب فيه استيعاب تمام</w:t>
      </w:r>
      <w:bookmarkStart w:id="331" w:name="pg1803_22235"/>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مواضع الوضوء، بل اقتصر على نصفها، و كيف كان فلا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 لو كان عنده من المضاف بمقدار، لو خلطه مع الماء المذكور بحيث لا يسلبه وصف الإطلاق صار كافيا لطهوره، هل يجب عليه ذلك أو لا؟ و نظيره ما لو وجب عليه إعطاء منّ من الحنطة بنذر، أو صدقة، أو عقد معاوضة لغيره، و كان الموجود عنده ناقصا من المنّ بمقدار يسير، لو خلط معه هذا المقدار من التراب لا يسلبها وصف الإطلاق، هل يجب عليه ذلك أو لا؟ و الظاهر عدم مساعدة الوجدان في المثال الثاني على جواز ذلك، فضلا عن الوجوب، و إن كان لو فرض حصول الخلط المذكور لا من ناحيته كان مجزيا قطعا، و من هنا يسري الإشكال في وجوب ذلك في المثال الأوّل، نعم لا إشكال في كونه فيه أحوط</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492045_3650668749"/>
      <w:bookmarkStart w:id="333" w:name="_Toc123"/>
      <w:bookmarkEnd w:id="332"/>
      <w:r>
        <w:rPr>
          <w:rtl w:val="true"/>
        </w:rPr>
        <w:t>السبب الثاني</w:t>
      </w:r>
      <w:r>
        <w:rPr>
          <w:rtl w:val="true"/>
        </w:rPr>
        <w:t xml:space="preserve">: </w:t>
      </w:r>
      <w:r>
        <w:rPr>
          <w:rtl w:val="true"/>
        </w:rPr>
        <w:t>عدم إمكان الوصول إلى الماء مع وجوده</w:t>
      </w:r>
      <w:bookmarkEnd w:id="333"/>
    </w:p>
    <w:p>
      <w:pPr>
        <w:pStyle w:val="Heading5"/>
        <w:numPr>
          <w:ilvl w:val="4"/>
          <w:numId w:val="1"/>
        </w:numPr>
        <w:rPr/>
      </w:pPr>
      <w:bookmarkStart w:id="334" w:name="__RefHeading___Toc2492047_3650668749"/>
      <w:bookmarkStart w:id="335" w:name="_Toc124"/>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إمّا لكونه في مكان بعيد مع تعذّر أو تعسّر المسير إليه لكبر أو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في بئر أو مكان منخفض مع عدم آلة الاستقاء من دلو و نحوه، و صعوبة النزول إليه، أو كونه معرضا للمخاطرة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سهولته و عدم خطريته و لكن كان البئر متعلّقا لحق مشترك، أو ملكا مشتركا مع عدم إحراز رضا سائر الشركاء، لكون الوقوع فيه موجبا لاشمئزاز النفوس عن شرب مائه، بواسطة اشتمال البدن على العرق و سائر الكثافات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 الماء قليلا و محتاجا إلى الاغتراف مع كون يديه قذرتين، و عدم إمكان التوصّل إلى تطهيرهما، أو إحديهما و لو بوسيلة أخذ الماء بفمه، و عدم وجود آلة أخرى للاغتراف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لمانعية الازدحام في يوم عرفة لمن كان بعرفات، بحيث يخشى لو خرج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و للوضوء فوات الصلاة في مجموع وقتها، و عدم إدراكها قبل الغروب، أو في يوم الجمعة بحيث يخشى فوات صلاة الجمعة و عدم إدراكها رأسا لو خرج للوضوء، إذا اتّفق ذلك في عصر الحضور، أو الغيبة أيضا، لكن قلنا بالوجوب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بالتخييري فمورد إشكال لإمكان الانتقال إلى البدل، و هو الظهر مع الطهارة المائية و إن كانت الجمعة أفضل الفردين، أو لاحتياج الماء أو آلة الاستقاء، إلى بذل المال بشراء، أو استيجار، و لم يملك الثمن، و الأجرة، ففي جميع هذه الموارد يقوم التيمّم مقام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الإجماع، الأخبار الدالّة على عموم بدلية التراب، و كونه أحد الطهورين في كل مورد سقط التكليف بالوضوء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الحلبي أنّه سأل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بالركيّة و ليس معه دلو،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أن يدخل الركيّة، لأنّ رب الماء هو رب الأرض فليتيمّم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 مثله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أبي يعفور و عنبسة بن مصعب جميعا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البئر و أنت جنب فلم تجد دلوا و لا شيئا تغترف به فتيمّم بالصعيد، فإنّ ربّ الماء هو ربّ الصعيد، و لا تقع في البئر و لا تفسد على القوم ماءهم</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 إلخ الظاهر أنّ المراد به ما ذكرنا، من صورة كون البئر متعلّقا لحق مشترك أو ملكا كذلك، و على هذا فيكون داخلا في العذر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أدرجه في العذر العادي في قبال العقلي 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عن جعفر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يكون في وسط الزحام يوم الجمعة، أو يوم عرفة لا يستطيع الخروج من المسجد من كثرة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 يصلّي معهم و يعيد إذا انصرف</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الظاهر أنّ قوم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اتّفاق ذلك في عرفات، بقرينة عدم تعارف الازدحام في ذلك اليوم، في سائر الأمكنة، بحيث يخشى منه فوت الصلاة في مجموع وقتها، و الأمر بالإعادة إمّا للاستحباب، أو لعدم إجزاء صلاة الجمعة مع جماعة العامة تقية، كما هو المقرر في محلّه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توقف تحصيل الماء على شرائه و أمكن وجب، و لو كان المبذول أزيد من ثمن المثل بأضعاف، أمّا في صورة عدم الزيادة فواضح، و أمّا فيها فمقتضى قاعدة نفي الضرر و إن كان عدم الوجوب، لكنّها مخصّصة في خصوص المقام بأخبار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احتاج إلى الوضوء للصلاة و هو لا يقدر على الماء، فوجد بقدر ما يتوضّأ به بمائة درهم، أو بألف درهم، و هو واجد لها، أ يشتري و يتوضّأ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 قد أصابني مثل ذلك فاشتريت و توضّأت و ما يشتري بذلك مال كثير</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الحسين بن أبي طلحة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قدر وضوء بمائة ألف، أو</w:t>
      </w:r>
      <w:bookmarkStart w:id="336" w:name="pg1803_22244"/>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بألف و كم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نعم لو كان بذل الثمن مضرّا بحاله و لو من جهة الوجاهة و الاعتبار، فضلا عن كونه من جهة اختلال المعاش لم يجب و يتيمّم، لقاعدة نفي الحرج السالمة عن المخصص، و ربما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قدر جدته إشارة إلى ذلك أيضا، فإنّ المراد من الجدة بحسب الظاهر هو الاستطاعة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حال الآلة التي يستقى بها حال الماء في وجوب الشراء، و لو بأزيد من ثمن المثل مع عدم الإضرار بالحال، و عدم الوجوب مع الإضرار، و ذلك لكون حكمها مفهوما من الخبرين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توقّف تحصيل الماء، أو الآلة، على بذل مال للظالم، أو ضياعه، أو تلفه، فانّ القاعدتين قاضيتان بعدم الوجوب في هذه الصور مع سلامتها عن المخصص، و ذلك للشك في اندراج هذه الأمثلة تحت المخصص المذكور</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492049_3650668749"/>
      <w:bookmarkStart w:id="338" w:name="_Toc125"/>
      <w:bookmarkEnd w:id="337"/>
      <w:r>
        <w:rPr>
          <w:rtl w:val="true"/>
        </w:rPr>
        <w:t>مسألة</w:t>
      </w:r>
      <w:r>
        <w:rPr>
          <w:rtl w:val="true"/>
        </w:rPr>
        <w:t xml:space="preserve">: </w:t>
      </w:r>
      <w:r>
        <w:rPr>
          <w:rtl w:val="true"/>
        </w:rPr>
        <w:t>لو توقّف تحصيل الماء على الشراء وجب</w:t>
      </w:r>
      <w:bookmarkEnd w:id="3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بأضعاف ثمن المثل بالغا ما بلغ، ما لم يضر بحاله إمّا بسقوط اعتباره، أو اختلال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الحكم في جانبي المستثنى منه و المستثنى خبر الحسين بن أبي طلحة،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قدر وضوء بمائة ألف أو بألف و كم 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تقدير ذلك على مقدار تمكّنه الحالي، لا على مقدار المساواة للقيمة السوقية و ثمن المثل، و من عموم هذا الكلام الذي يكون في قوّة التعليل، و من التعليل الآخر المذكور في صحيحة</w:t>
      </w:r>
      <w:bookmarkStart w:id="339" w:name="pg1803_22247"/>
    </w:p>
    <w:p>
      <w:pPr>
        <w:pStyle w:val="BookText"/>
        <w:rPr/>
      </w:pPr>
      <w:bookmarkEnd w:id="3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صفوان،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يشتري بذلك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تعدية الحكم إلى آلة الاستقاء، من الدلو، و الطناب، و أجرة المستقي، و غير ذلك من المقدّمات المتعارفة لو احتاج شي‌ء منها إلى الشراء، بل ربّما يتوهّم شمول العمومين المذكورين لما إذا توقّف على بذل المال إلى الظالم، أو تحمّل المنّة بقبول الهبة، أو بالاستيهاب الابتدائي، و لكنّه مدفوع بالفرق الواضح بين ما ذكر، و الأمثلة المتقدّمة، إذ كثيرا ما تسمح النفوس ببذل المال الكثير و لو بلغ في الكثرة ما بلغ في مقام الشراء، و مع ذلك يشق عليها في الغاية بذل المال القليل في مقام تحمّل الظلم، كما لا يحضر لتحمل المنّة مع ما فيه من الهوان و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الشك في اندراج ما ذكر في الروايتين، كاف في اندراجه تحت قاعدتي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الفرق بين الشراء و سائر أنحاء الاكتساب، مثل الصلح، و الإجارة، و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توقف على تضييع المال من دون تحمّل ظلم، أو منّة، كما لو توقّف على جعل العمامة قطعا و شدّ بعضها ببعض و جعلها بمنزلة الحبل، أو على اصابة المطر للثوب النفيس الموجبة لسقوطه عن النفاسة و الجدادة، فدخوله تحت العمومين محلّ للتوقّف، و يمكن استفادة حكمه من رواية اللص الآتية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492051_3650668749"/>
      <w:bookmarkStart w:id="341" w:name="_Toc126"/>
      <w:bookmarkEnd w:id="340"/>
      <w:r>
        <w:rPr>
          <w:rtl w:val="true"/>
        </w:rPr>
        <w:t>السبب الثالث</w:t>
      </w:r>
      <w:r>
        <w:rPr>
          <w:rtl w:val="true"/>
        </w:rPr>
        <w:t xml:space="preserve">: </w:t>
      </w:r>
      <w:r>
        <w:rPr>
          <w:rtl w:val="true"/>
        </w:rPr>
        <w:t>الخوف من استعمال الماء على النفس، أو العرض، أو المال في الجملة</w:t>
      </w:r>
      <w:bookmarkEnd w:id="341"/>
    </w:p>
    <w:p>
      <w:pPr>
        <w:pStyle w:val="Heading5"/>
        <w:numPr>
          <w:ilvl w:val="4"/>
          <w:numId w:val="1"/>
        </w:numPr>
        <w:rPr/>
      </w:pPr>
      <w:bookmarkStart w:id="342" w:name="__RefHeading___Toc2492053_3650668749"/>
      <w:bookmarkStart w:id="343" w:name="_Toc127"/>
      <w:bookmarkEnd w:id="342"/>
      <w:r>
        <w:rPr>
          <w:rtl w:val="true"/>
        </w:rPr>
        <w:t>اشارة</w:t>
      </w:r>
      <w:bookmarkEnd w:id="3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تنتقل الوظيفة حينئذ إلى التيمّم إجماعا، و يدلّ عليه بعد الإجماع في خصوص الخطر النفسي، و المالي، خبر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يكون معه ماء، و الماء عن يمين الطريق و يساره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غلوتين أو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آمره أن يغرر بنفسه فيعرض له لص أو سبع</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تبعا لصاحب الحدائق إلى أنّ تفريع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فيعرض له 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مختصا بالخطر النفسي، و غير دال على المالي، فيكون المقصود به الخوف من جناية اللص، أو إذهابه لجميع زاد المسافر الّذي به قوام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المراد بالنفس في هذا المقام، ليس ما يقابل العرض و المال، بل ما يراد به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نفسك معرضا لسرقة المال، و هتك العرض و افتراس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الجناية من اللص من ابتداء الأمر غير متعارف، كما أنّ إذهابه لجميع الزاد، خلاف ما هو الغالب في مورد الرواية، من كون الزاد عند القافلة، و خروجه و حده إلى مسافة الغلوة و الغلوتين لطلب الماء، هذا و قد أفرط من ذهب إلى شمول هذه الرواية للمال اليسير أيضا، و القول الوسط اختصاصها بالمال المعتد به، هذا في ما إذا كان الخطر متوجّها إلى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متوجّها إلى مال الغير، فإن كان حفظه في عهدته شرعا، أمّا لولاية، أو لأمانه، فالظاهر مشموليته للرواية مضافا إلى دليل نفي الحرج في بعض أفراده، و لو لم يكن كذلك و لكن كان ضياعه موجبا لخجلته، أو تألم خاطره، لكونه متعلّقا ببعض أصدقائه، أو بعض أقربائه، فالظاهر أيضا مشموليته للرواية مضافا إلى حكومة دليل نفي الحرج أيضا في بعض موارده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مملوكا لبعض إخوانه المؤمنين من دون صداقة، أو قرابة، بحيث</w:t>
      </w:r>
      <w:bookmarkStart w:id="344" w:name="pg1803_22253"/>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لا يوجب تلفه خجلة، و لا تألّما، فلا موجب حينئذ للانتقال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الخطر المتوجّه إلى نفس الغير، فإن كان عالما بتوجّهه لو توضّأ، أو اغتسل، فلا إشكال في الانتقال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الاحتمال فكذلك أيضا، لأنّ اهتمام الشارع بحفظ نفس المؤمن بحدّ يكون احتماله أيضا أهم بالرعاية في نظره من حفظ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الخطر العرضي فإن كان متوجّها إلى نفس الشخص، فلا إشكال في الانتقال معه إلى التيمّم، سواء كان معلوما، أو محتملا إذا كان مثله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كان متوجّها إلى من له تعلّق بالإنسان، من جهة صداقة، أو قرابة، بحيث يكون هتكه علما أو احتمالا مورثا للخوف شاقا لا يتحمل، و أمّا مع عدم كونه ذا تعلّق به، فلا موجب للانتقال إلى التيمّم، ما لم ينته هتك عرض ذلك الغير إلى محرم شرعي يكون مطلق وجوده في الخارج مبغوضا شرعا، هذا مع معلوميته، و أمّا مع الاحتمال فتكون شبهة موضوعية و الأصل فيه البراءة، إلّا إذا علم كونه مهتمّا به لدى الشرع، بحد يكون احتماله أيضا منجّزا</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2492055_3650668749"/>
      <w:bookmarkStart w:id="346" w:name="_Toc128"/>
      <w:bookmarkEnd w:id="345"/>
      <w:r>
        <w:rPr>
          <w:rtl w:val="true"/>
        </w:rPr>
        <w:t xml:space="preserve">مسألة </w:t>
      </w:r>
      <w:r>
        <w:rPr>
          <w:rtl w:val="true"/>
        </w:rPr>
        <w:t>[</w:t>
      </w:r>
      <w:r>
        <w:rPr>
          <w:rtl w:val="true"/>
        </w:rPr>
        <w:t>في الضرر المالي</w:t>
      </w:r>
      <w:r>
        <w:rPr>
          <w:rtl w:val="true"/>
        </w:rPr>
        <w:t>]</w:t>
      </w:r>
      <w:bookmarkEnd w:id="346"/>
    </w:p>
    <w:p>
      <w:pPr>
        <w:pStyle w:val="BookText"/>
        <w:rPr/>
      </w:pPr>
      <w:r>
        <w:rPr>
          <w:rFonts w:ascii="Amiri" w:hAnsi="Amiri" w:eastAsia="Amiri" w:cs="Amiri"/>
          <w:color w:val="111111"/>
          <w:sz w:val="28"/>
          <w:sz w:val="28"/>
          <w:szCs w:val="28"/>
          <w:rtl w:val="true"/>
          <w:lang w:bidi="ar-SA"/>
        </w:rPr>
        <w:t>قد عرفت حال الاحتمال في الخطر النفسي، و العرض، و أنّه في الأوّل منشأ للانتقال إلى التيمّم، و لو بالنسبة إلى الغير الأجنبي إذا كان احتمالا عقلائيا، و في الثاني لا بد من كونه بالغا حدّ الخوف الذي لا يتحمّل مثله عادة، أو يكون في البين مزاحمة تكليف تحريمي، أو إيجابي أهم بالرعاية حتى مع الاحتمال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الضرر المالي، فلا إشكال في صورة معلوميته مع كونه معتدّا به، و أمّا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صورة الاحتمال مع الشرط المزبور، فإن بنينا على استفادة حكمه من رواية اللصّ المتقدمة كما مرّ تقويته، فالظاهر كفاية كونه احتمالا عقلائيا و لو لم يورث خوفا، فضلا عن كونه بالغا مرتبة لا يتحمّله العقلاء، بناء على ما هو الظاهر من صدق التغرير، بالاقدام على ما يكون الابتلاء بالمكروه، فيه محتملا احتمالا عقلائيا و إن لم يحصل فيه الخوف و التشويش في حقّ شخص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بنينا على استفادته من قاعدة لا ضرر، ففي غير صورة الظن في غاية الإشكال، و وجهه أنّ انسداد باب العلم بالضرر غالبا قبل وقوعه، و انحصاره في ما بعد الوقوع يورث القطع بحجية مطلق الظن لدى المتكلّم، لئلّا يصير الكلام كاللغو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الزائد على الظن، و هو مجرّد الاحتمال، فلا دليل على استفادته سواء كان منشأ للخوف، و الخطر الذي لا يتحمّل مثله، أو كان مجرّد احتمال عقلائي، فينحصر المدارك حينئذ في قاعدة لا حرج، و مقتضاها الفرق بين الصورتين المذكورتين، فلا دليل على مشروعية التيمّم بمجرّد احتمال الضرر المالي المعتدّ به، من دون خوف و خطر لا يتحمّل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الكلام في الخسارة المالية، يعرف الكلام في خطر حدوث المرض لمن كان صحيحا، فانّ الكلام في البابين واحد بحسب مقتضى قاعدتي نفي الضرر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خطر زيادة المرض، أو بطء علاجه، لمن كان مريضا يمكن الاكتفاء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بكونه معتدّا به، و لو لم يكن مورثا لخطر لا يتحمّل مثله، تمسّكا بالآية الشريفة، و بأخبار الكسير و 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بالآية، أنّه بعد القطع بعدم إرادة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مطلق المرض من قوله تعالى وَ إِنْ كُنْتُمْ مَرْضىٰ</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حتى ما يؤمن معه من الضرر، يكون المراد تخصيصا أو انصرافا خصوص ما كان الضرر معه محتملا عقلائيا، سواء كان مورثا للخوف، أم لا، و على الأوّل كان ممّا لا يتحمّله العقلاء في مقاصدهم، بل يصدهم عن الجري فيها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المراد من عدم الوجدان المذكور في ذيل الآية، عدم الاستطاعة العرفية، و عدم التمكّن الحالي الّذي هو عبارة أخرى عن الحرج، الذي لا يتحمل عادة يكون حال المرض، و سائر المسوغات على حدّ سواء، و يبطل الفرق الذي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 القيد المذكور إلى خصوص الجملتين الأخيرتين،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أَوْ جٰاءَ أَحَدٌ مِنْكُمْ مِنَ الْغٰائِطِ 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الجملة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إِنْ كُنْتُمْ مَرْضىٰ 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الآية الشريفة أسبابا ثلاثة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السفر، و عدم الوجدان، عند عروض أحد الحدثين، ففي سائر المسوغات غير المرض، و السفر، ندور مدار الحرج، و أمّا في المرض فندور مدار الاحتمال العقلائي، و في السفر مدار الغلوة و الغلوتين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الكلام في تقريب الاستدلال بالآية الشريفة، يعرف الكلام في تقريبه بأخبار الجريح و الكسير، فإنّهما من واد واحد و لا بأس بالتيمّن بذلك بعضها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سكين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 فلانا أصابته جنابة و هو مجدور فغسّلوه فمات؟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ألا سألوا ألا يمّموه انّ</w:t>
      </w:r>
      <w:bookmarkStart w:id="347" w:name="pg1803_22263"/>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شفاء العيّ السؤال</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الجعفري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ذكر له أنّ رجلا أصابته جنابة على جرح كان به، فأمر بالغسل فاغتسل فكزّ فمات،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قتلهم اللّٰه، إنّما كان دواء العيّ السؤال</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به القروح و الجراحات فيجنب،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يتيمّم و لا يغتسل</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مرسلة ابن أبي عمير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المجدور و الكسير إذا أصابتهما الجنابة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5"/>
        <w:numPr>
          <w:ilvl w:val="4"/>
          <w:numId w:val="1"/>
        </w:numPr>
        <w:rPr/>
      </w:pPr>
      <w:bookmarkStart w:id="348" w:name="__RefHeading___Toc2492057_3650668749"/>
      <w:bookmarkStart w:id="349" w:name="_Toc129"/>
      <w:bookmarkEnd w:id="348"/>
      <w:r>
        <w:rPr>
          <w:rtl w:val="true"/>
        </w:rPr>
        <w:t>مسألة</w:t>
      </w:r>
      <w:r>
        <w:rPr>
          <w:rtl w:val="true"/>
        </w:rPr>
        <w:t xml:space="preserve">: </w:t>
      </w:r>
      <w:r>
        <w:rPr>
          <w:rtl w:val="true"/>
        </w:rPr>
        <w:t>لا فرق في انتقال الوظيفة إلى التيمّم بين كون سببه باختيار المكلّف و عدمه</w:t>
      </w:r>
      <w:bookmarkEnd w:id="34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أجنب نفسه عمدا في الهواء البارد، مع كون الغسل فيه معرضا لتلف النفس، أو لحدوث المرض الشديد، أو لصرف مشقة شديدة لا تتحمل عادة، انتقل إلى التيمّم عند المشهور، خلافا للمفيد في المقنعة، و الصدوق في الهداية، و الشيخ في الخلاف، و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فأوجبوا الغسل و إن كان فيه خوف التلف، بل قطعه و لصاحب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فأوجبه ما لم ينته إلى خوف التلف، و إن انتهى إلى خوف المرض الشديد، بل قطعه، و لبعض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مستحبا ما لم ينته إلى خوف التلف، و لا إلى المرض الشديد، 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انتهى إلى المشقة الشديدة التي لا تتحمل عادة، و إلى المرض اليسير كالزكام و نحوه، و جعل هذا هو الغالب في الغسل المذكور في الأمزجة السليمة بشرط تعقبه بتجفيف البدن، و تسخينه بإكثار اللباس و نحوه، و بناه على أصله الّذي هو كون جواز التيمّم عند صرف المشقّة الشديدة، على نحو الرخصة لا العزيمة، و منشأ هذا الاختلاف اختلاف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بظاهره على وجوب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البزنطي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تصيبه الجنابة، و به جروح أو قروح، أو يكون يخاف على نفسه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و يتيمّم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نحوها صحيحة داود بن سرحان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كصحيحة ابن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تصيبه الجنابة في الليلة الباردة، و يخاف على نفسه التلف إن اغتسل؟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فإذا أمن البرد اغتسل و أعاد الصلاة</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بظاهره على وجوب الغسل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صحيحة عبد اللّٰه بن سليمان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كان في أرض باردة، يتخوّف إن هو اغتسل أن يصيبه عنت من الغسل،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و إن أصابه ما أصابه،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كان وجعا شديد الوجع، فأصابته جنابة و هو في مكان بارد، و كانت ليلة شديدة الريح باردة،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فاغسلوني،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عليك،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 فحملوني و وضعوني على خشبات، ثمّ صبّوا عليّ الماء فغسّلوني</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تصيبه الجنابة في أرض باردة و لا يجد الماء، و عسى أن يكون الماء جامدا؟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على ما كان، حدّثه رجل أنّه فعل ذلك فمرض شهرا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على ما كان، فإنّه لا بدّ من الغسل، و ذكر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اضطر إليه، و هو مريض فأتوه به مسخّنا فاغتسل،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الغسل</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التفصيل بين ما إذا كان السبب باختيار المكلّف و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كمرفوعة علي بن أحمد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أجنب هو فليغتسل، و إن كان احتلم فليتيمّم</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مرفوعة إبراهيم بن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أجنب فعليه أن يغتسل على ما كان منه، و إن احتلم تيمّم</w:t>
      </w:r>
      <w:r>
        <w:rPr>
          <w:rFonts w:eastAsia="Amiri" w:cs="Amiri" w:ascii="Amiri" w:hAnsi="Amiri"/>
          <w:color w:val="111111"/>
          <w:sz w:val="28"/>
          <w:szCs w:val="28"/>
          <w:rtl w:val="true"/>
          <w:lang w:bidi="ar-SA"/>
        </w:rPr>
        <w:t xml:space="preserve">». </w:t>
      </w:r>
      <w:r>
        <w:rPr>
          <w:rStyle w:val="FootnoteAnchor"/>
          <w:rtl w:val="true"/>
        </w:rPr>
        <w:footnoteReference w:id="216"/>
      </w:r>
      <w:bookmarkStart w:id="350" w:name="pg1803_22273"/>
    </w:p>
    <w:p>
      <w:pPr>
        <w:pStyle w:val="BookText"/>
        <w:rPr/>
      </w:pPr>
      <w:bookmarkEnd w:id="3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انّ رفع اليد عن عمومات الكتاب و السنّة المقتضية للانتقال إلى التيمّم، بمحض المشقّة و الحرج الشديد الذي لا يتحمّل في الفعل، فضلا عن الانتهاء إلى خوف التلف، أو المرض الشديد، أو قطعهما سيّما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بمثل هذه الأخبار التي أعرض مشهور الأصحاب عن العمل بها، في غاية الإشكال، بل المنع، سيّما و الاجناب المذكور جائز شرعا غير محرّم، و إن قلنا بحرمة إراقة الماء عند عدم التمكّن من ماء آخر، و قد حكي على عدم الحرمة فيه الإجماع عن المعتبر، و دلّ عليه خبر السكوني أنّ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هلكت جامعت على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 اللّٰه عليه و آله و سلم بمحمل فاستترنا به، و بماء فاغتسلت أنا و هي،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قريب منه خبر إسحاق بن عمار، و منه يظهر الكلام في التفصيل الذي اختاره صاحب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ما اختاره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إن صلحت الأخبار المذكورة للاستناد، و لم يضر إعراض المشهور في حجيّتها الذاتية، فالقول بظاهرها و هو الوجوب متعيّن، و إلّا فلا يصح الاعتماد عليها حتى للقول بالاستحباب، و أمّا الأصل الذي اعتمده من كون التيمّم عند الحرج الصرف رخصة لا عزيمة فسيجي‌ء الكلام فيه إن شاء اللّٰه</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2492059_3650668749"/>
      <w:bookmarkStart w:id="352" w:name="_Toc130"/>
      <w:bookmarkEnd w:id="351"/>
      <w:r>
        <w:rPr>
          <w:rtl w:val="true"/>
        </w:rPr>
        <w:t xml:space="preserve">مسألة </w:t>
      </w:r>
      <w:r>
        <w:rPr>
          <w:rtl w:val="true"/>
        </w:rPr>
        <w:t>[</w:t>
      </w:r>
      <w:r>
        <w:rPr>
          <w:rtl w:val="true"/>
        </w:rPr>
        <w:t>هل الشين داخل في عنوان الحرج</w:t>
      </w:r>
      <w:r>
        <w:rPr>
          <w:rtl w:val="true"/>
        </w:rPr>
        <w:t>]</w:t>
      </w:r>
      <w:bookmarkEnd w:id="35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الشين الذي هو عبارة عن الخشونة المشوهة للخلقة التي تعلو البشرة، و ربما ينتهي إلى تشقّق الجلد و خروج الدم، ليس له عنوان مستقل في عرض الحرج، بل هو داخل تحته و دائر مداره من غير فرق بين الخوف</w:t>
      </w:r>
      <w:bookmarkStart w:id="353" w:name="pg1803_22275"/>
    </w:p>
    <w:p>
      <w:pPr>
        <w:pStyle w:val="BookText"/>
        <w:rPr/>
      </w:pPr>
      <w:bookmarkEnd w:id="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على حدوثه، أو على ازدياده، أو بطء علاجه، أو شدّة تألّمه، و ذلك لعدم ورود نص بالخصوص فيه، و القدر المتيقّن من الإجماعات المنقولة فيه ما ذكرنا</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2492061_3650668749"/>
      <w:bookmarkStart w:id="355" w:name="_Toc131"/>
      <w:bookmarkEnd w:id="354"/>
      <w:r>
        <w:rPr>
          <w:rtl w:val="true"/>
        </w:rPr>
        <w:t>مسألة</w:t>
      </w:r>
      <w:r>
        <w:rPr>
          <w:rtl w:val="true"/>
        </w:rPr>
        <w:t xml:space="preserve">: </w:t>
      </w:r>
      <w:r>
        <w:rPr>
          <w:rtl w:val="true"/>
        </w:rPr>
        <w:t>و لو خاف العطش من جهة قلّة الماء لو استعمله في الطهارة المائية جاز التيمّم</w:t>
      </w:r>
      <w:bookmarkEnd w:id="355"/>
    </w:p>
    <w:p>
      <w:pPr>
        <w:pStyle w:val="BookText"/>
        <w:rPr/>
      </w:pPr>
      <w:r>
        <w:rPr>
          <w:rFonts w:ascii="Amiri" w:hAnsi="Amiri" w:eastAsia="Amiri" w:cs="Amiri"/>
          <w:color w:val="111111"/>
          <w:sz w:val="28"/>
          <w:sz w:val="28"/>
          <w:szCs w:val="28"/>
          <w:rtl w:val="true"/>
          <w:lang w:bidi="ar-SA"/>
        </w:rPr>
        <w:t>سواء خاف العطش على نفسه، أو على غيره الذي له مساس و تعلّق به، و لو كافرا غير حربي، أو حيوانا مملوكا له، أو للغير المذكور بحيث يكون حفظه عن العطش غرضا مهما له، و احتمال فوته موجبا لوقوعه في الخوف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كلّه صحيحة ابن سنان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أصابته جنابة في السفر و ليس معه إلّا ماء قليل، و يخاف إن هو اغتسل أن يعطش؟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عطشا فلا يهريق منه قطرة، و ليتيمّم بالصعيد فإنّ الصعيد أحب إليّ</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موثقة سماعة عن الرجل يكون معه الماء في السفر فيخاف قلّته؟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يتيمّم بالصعيد و يستبقي الماء، فإنّ اللّٰه عزّ و جلّ جعلهما طهورا الماء و الصعيد</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بل 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الروايتين لما إذا خاف العطش على نفس مسلم، و لو لم يكن بينهما مساس، و علاقة أصلا، من جهة كون حفظ نفسه من مقاصده المهتمة، و لا يحتاج إلى التمسّك بقضية المزاحمة بالأهم، حتى يستشكل بأنّ أهميّة حفظ النفس من الطهارة المائية، إنّما أحرزت مع العلم لا مع الاحتمال و الخوف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خاف العطش على حيوان مملوك للغير الذي لا تعلّق له به، أو غير</w:t>
      </w:r>
      <w:bookmarkStart w:id="356" w:name="pg1803_22277"/>
    </w:p>
    <w:p>
      <w:pPr>
        <w:pStyle w:val="BookText"/>
        <w:rPr/>
      </w:pPr>
      <w:bookmarkEnd w:id="3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مملوك أصلا كهرّة و نحوها، فهو خارج عن مدلول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حاول تعميمهما لذلك أيضا، نظرا إلى تنكير لفظة عطشا في الرواية الأولى، و حذف المتعلّق لقلّة الماء في الثانية، و ما ذكره بعيد جدا لإمكان دعوى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ما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إجراء الحكم في مثل الكلب العقور، و الخنزير، و الذئب، و نحوها من الحيوانات المؤذية، و في مقابله من خصّ الروايتين بخصوص عطش نفسه، و استند في عطش الغير المسلم إلى قضية المزاحمة بالأهم التي عرفت إشكالها، و في عطش الحيوان المملوك له إلى رواية اللص و الأحسن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بحسب عموم الروايتين بين خوف انجرار العطش إلى التلف، أو المرض أو المشقّة الشديدة</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2492063_3650668749"/>
      <w:bookmarkStart w:id="358" w:name="_Toc132"/>
      <w:bookmarkEnd w:id="357"/>
      <w:r>
        <w:rPr>
          <w:rtl w:val="true"/>
        </w:rPr>
        <w:t>مسألة</w:t>
      </w:r>
      <w:r>
        <w:rPr>
          <w:rtl w:val="true"/>
        </w:rPr>
        <w:t xml:space="preserve">: </w:t>
      </w:r>
      <w:r>
        <w:rPr>
          <w:rtl w:val="true"/>
        </w:rPr>
        <w:t>لو انحصر الماء في مضاف مخلوط بالطين فلا إشكال أنّه في ضيق الوقت ينتقل إلى التيمّم</w:t>
      </w:r>
      <w:bookmarkEnd w:id="358"/>
    </w:p>
    <w:p>
      <w:pPr>
        <w:pStyle w:val="BookText"/>
        <w:rPr/>
      </w:pPr>
      <w:r>
        <w:rPr>
          <w:rFonts w:ascii="Amiri" w:hAnsi="Amiri" w:eastAsia="Amiri" w:cs="Amiri"/>
          <w:color w:val="111111"/>
          <w:sz w:val="28"/>
          <w:sz w:val="28"/>
          <w:szCs w:val="28"/>
          <w:rtl w:val="true"/>
          <w:lang w:bidi="ar-SA"/>
        </w:rPr>
        <w:t>و أمّا في السعة فيبتني الكلام على أنّ غير الواجد في موضوع التيمّم، هل المراد الفاقد في تمام الوقت أو أنّه الفاقد مطلقا و لو في بعض من الوقت؟</w:t>
      </w:r>
    </w:p>
    <w:p>
      <w:pPr>
        <w:pStyle w:val="BookText"/>
        <w:rPr/>
      </w:pPr>
      <w:r>
        <w:rPr>
          <w:rFonts w:ascii="Amiri" w:hAnsi="Amiri" w:eastAsia="Amiri" w:cs="Amiri"/>
          <w:color w:val="111111"/>
          <w:sz w:val="28"/>
          <w:sz w:val="28"/>
          <w:szCs w:val="28"/>
          <w:rtl w:val="true"/>
          <w:lang w:bidi="ar-SA"/>
        </w:rPr>
        <w:t>فعلى الأوّل بأن يكون ظرف قوله 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الوقت لا ينتقل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صدق الفاقد و غير الواجد عليه بمجرد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تمكّن المكلّف من تحصيل الماء بمقدمات اختيارية سهلة، كما فيما يستقي من البئر أو يتوسل في تصفية الماء بآلة فهو عرفا واجد</w:t>
      </w:r>
      <w:r>
        <w:rPr>
          <w:rFonts w:eastAsia="Amiri" w:cs="Amiri" w:ascii="Amiri" w:hAnsi="Amiri"/>
          <w:color w:val="111111"/>
          <w:sz w:val="28"/>
          <w:szCs w:val="28"/>
          <w:rtl w:val="true"/>
          <w:lang w:bidi="ar-SA"/>
        </w:rPr>
        <w:t>.</w:t>
      </w:r>
      <w:bookmarkStart w:id="359" w:name="pg1803_22280"/>
    </w:p>
    <w:p>
      <w:pPr>
        <w:pStyle w:val="BookText"/>
        <w:rPr/>
      </w:pPr>
      <w:bookmarkEnd w:id="3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نعم لو تمكّن لكن بمقدمات عسرة صعبة أو لم يتمكّن بمقدمة اختيارية أصلا، بل يجد بمقدمة غير اختيارية كنزول مطر يعلم به فيما بعد ساعة، أو نزول قافلة يعلم به كذلك، أو صيرورة الطين في الأسفل بمقتضى طبعه، فهو قبل اعمال المشاق و قبل حصول المقدمة الغير الاختيارية داخل في موضوع الفاقد، و لو فرض اتحاد مقدار الزمان في هذا و سابقه كما كان زمان الاستقاء و زمان الاجتماع بالمطر مساويا، ألا ترى أنّ من يقدر على الكون على السطح في عشر دقائق بنفسه، و شخصا آخر لا يقدر بنفسه أصلا و لكن الغير يحمله على السطح في عشر دقائق، كلاهما مشتركان في الوصول إلى السطح بعد مضي عشر دقائق، و مع ذلك يعد الأوّل قادرا و الثاني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فعلى فرض عدم التمكّن من تصفية الماء المذكور بمقدمة اختيارية أصلا، أو تمكن و لكن بمشقة لا تتحمل عادة، فحينئذ لا إشكال في صدق الفاقد عليه، فيتخيّر بين التيمّم و بين الصبر حتى يصير واجدا و يتوضّأ، و لكن الأحوط تعيّن الأخير بملاحظة احتمال كون الظرف في الآية الشريفة مجموع الوقت، و إن كان خلاف الظاهر</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2492065_3650668749"/>
      <w:bookmarkStart w:id="361" w:name="_Toc133"/>
      <w:bookmarkEnd w:id="360"/>
      <w:r>
        <w:rPr>
          <w:rtl w:val="true"/>
        </w:rPr>
        <w:t xml:space="preserve">مسألة </w:t>
      </w:r>
      <w:r>
        <w:rPr>
          <w:rtl w:val="true"/>
        </w:rPr>
        <w:t>[</w:t>
      </w:r>
      <w:r>
        <w:rPr>
          <w:rtl w:val="true"/>
        </w:rPr>
        <w:t>في الخوف و تفاصيله</w:t>
      </w:r>
      <w:r>
        <w:rPr>
          <w:rtl w:val="true"/>
        </w:rPr>
        <w:t>]</w:t>
      </w:r>
      <w:bookmarkEnd w:id="36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الخوف كما قد يجامع الظن، كذلك قد يجامع الشك، بل الوهم أحيانا، و هل المدار في جميع الفروع المتقدّمة مطلق الخوف، أو خصوص قسم خاص منه؟ الظاهر التفصيل بين ما ورد فيه الأدلّة الخاصّة المعلّقة للحكم على عنوان الخوف، كأخبار السبع و اللص و العطش، و ما ورد في المريض و الجريح و الكسير، و بين ما انحصر مدركه في أدلّة نفي الحرج، أو انحصر في دليل لا ضرر، فما كان من قبيل الأوّل فالحكم دائر مدار مطلق الخوف، من غير تخصيص</w:t>
      </w:r>
      <w:bookmarkStart w:id="362" w:name="pg1803_22283"/>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بقسم خاص منه، و ما كان من قبيل الثاني فلا بدّ فيه من البلوغ مرتبة الحرج الذي لا يتحمل عادة، و إن لم يبلغ مرتبة الظن، و ما كان من قبيل الثالث فلا بدّ من بلوغه مرتبة الظن، و إن لم يبلغ مرتبة الحرج الذي لا يتحمل، و قد مرّ وجهه في ما سبق</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2492067_3650668749"/>
      <w:bookmarkStart w:id="364" w:name="_Toc134"/>
      <w:bookmarkEnd w:id="363"/>
      <w:r>
        <w:rPr>
          <w:rtl w:val="true"/>
        </w:rPr>
        <w:t>مسألة</w:t>
      </w:r>
      <w:r>
        <w:rPr>
          <w:rtl w:val="true"/>
        </w:rPr>
        <w:t xml:space="preserve">: </w:t>
      </w:r>
      <w:r>
        <w:rPr>
          <w:rtl w:val="true"/>
        </w:rPr>
        <w:t>هل التيمّم في موارده مشروع رخصة أو عزيمة؟</w:t>
      </w:r>
      <w:bookmarkEnd w:id="364"/>
    </w:p>
    <w:p>
      <w:pPr>
        <w:pStyle w:val="BookText"/>
        <w:rPr/>
      </w:pPr>
      <w:r>
        <w:rPr>
          <w:rFonts w:ascii="Amiri" w:hAnsi="Amiri" w:eastAsia="Amiri" w:cs="Amiri"/>
          <w:color w:val="111111"/>
          <w:sz w:val="28"/>
          <w:sz w:val="28"/>
          <w:szCs w:val="28"/>
          <w:rtl w:val="true"/>
          <w:lang w:bidi="ar-SA"/>
        </w:rPr>
        <w:t>الظاهر التفصيل بين ما كان مشروعية التيمّم فيه لمجرّد كون الوضوء أو الغسل، حرجيين، أو ضرريين ضررا غير لازم التحرّز، من غير أن يترتّب عليهما مفسدة لازمة الاجتناب، كإلقاء النفس في التهلكة أو بعض أقسام الضرر البدني أو المالي، فيكفي حينئذ في صحّة الوضوء، و الغسل، محبوبيتهما الذاتية المستكشفة من إطلاق المادة، و إن ارتفع عنهما الأمر الإيجابي لحكومة لا حرج أو لا ضرر، مضافا إلى بقاء الأمر الاستحبابي المتعلّق بهما، لأجل الغايات المستحبّة الّتي منها الكون على الطهارة، لعدم حكومة القاعدتين المذكورتين على الأوامر الاستحبابية، و بين ما إذا كان مشروعية التيمّم لأجل ترتّب المفسدة اللازمة الاجتناب، على فعل الوضوء و الغسل، فيكونان متعلّقين للنهي العرضي، و لا محالة يتعلّق الأمر التعييني بالتيمّم، هذا و يظهر من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العروة القطع بعدم التخيير، بين التيمّم و بين الوضوء أو الغسل في الشي‌ء من الموارد، و لعلّه اعتمد على الإجماع الّذي حكاه المحقّق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العروة القطع بعدم التخيير، بين التيمّم و بين الوضوء أو الغسل في شي‌ء من الموارد، و لعلّه اعتمد على الإجماع الّذي حكاه المحقّق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الدرر عن سيّد أساتيذه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متى كان التيمّم مشروعا، فالوضوء أو الغسل غير مشروعين</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2492069_3650668749"/>
      <w:bookmarkStart w:id="366" w:name="_Toc135"/>
      <w:bookmarkEnd w:id="365"/>
      <w:r>
        <w:rPr>
          <w:rtl w:val="true"/>
        </w:rPr>
        <w:t>مسألة</w:t>
      </w:r>
      <w:r>
        <w:rPr>
          <w:rtl w:val="true"/>
        </w:rPr>
        <w:t xml:space="preserve">: </w:t>
      </w:r>
      <w:r>
        <w:rPr>
          <w:rtl w:val="true"/>
        </w:rPr>
        <w:t>في الموارد التي يجب فيها التيمّم تعيينا لو خالف و توضّأ أو اغتسل، فهل يصحّ الوضوء و الغسل أو لا؟</w:t>
      </w:r>
      <w:bookmarkEnd w:id="3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ما إذا كانت المقدّمة المتقدّمة منحصرة في الحرام، كما لو كانت الآنية منحصرة في الغصبية، أو الذهب و الفضة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ففرغها في الآنية المباحة من غير الجنسين، فإنّه بعد التفريع ينقلب التكليف إلى الوضوء أو الغسل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الكلام في صور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اتحد فعل الوضوء أو الغسل مع الحرام، كما لو انحصر الماء في المغصوب، أو الآنية في الغصبية، أو الذهب و الفضة، و لم يمكن الغسل أو الوضوء إلّا بانغماس العضو في الآنية دون الاغتراف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المقدمة المقارنة منحصرة في الحرام، كما لو أمكن الاغتراف من الآنية في المثال المذكور، فإنّ الاغترافات المتخلّلة محرّمة و مغايرة وجودا مع أفعال الوضوء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زاحم فعل الوضوء، أو الغسل واجب أهم، كما لو زاحمه حفظ نفس المؤمن مع إمكانه مع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بناء على القول بامتناع اجتماع الأمر و النهي في عدم الأمر على وجه الإطلاق بالوضوء، أو الغسل، للاستحالة الذاتية في الاجتماع حسب الفرض، و غلبة ملاك النهي على ملاك الأمر أيضا كذلك، و أمّا الأمر بهما على وجه الترتّب و الاشتراط بعصيان النهي، لو قلنا به في المتزاحمين فلا يصحّ هنا، لأنّ الوجود الّذي يقع في الخارج مبغوضا و معاقبا عليه لا يمكن أن يتقرّب به، و المفروض إناطة المصلحة في باب العبادات بالتقرّب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الإرشاد إليه في التوصليات عقلا، و شرعا، لإدراك مصلحة الأمر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أنّه لا يكفي الجهة في مقامنا لو قلنا بكفايتها في سائر المقامات، بناء على عدم صحّة الأمر على وجه الترتّب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و أمّا بناء على القول باجتماع الأمر و النهي، فلا إشكال أيضا في عدم صحّة الأمر بالوضوء، أو الغسل على وجه الإطلاق، لاشتراط صحّة الأمر و النهي المطلقين عند هذا القائل بوجود المندوحة، إذ مع عدمها كما هو المفروض في المقام يلزم التكليف بما لا يطاق، و إن لم يكن نفس التكليف محالا، و المفروض أيضا غلبة جانب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بناء على هذا القول في صحّة الأمر على وجه الترتّب على القول به في المتزاحمين المتغايرين في الوجود، كالصلاة و الإزالة، و كفاية الجهة في الصحة بناء على القول بالعدم، و مقتضى القاعدة عند هذا القائل عدم الفرق بين المقام و بين الصلاة و الإزالة، اللّٰهمّ إلّا أن يقوم إجماع، على أنّ الوجود الذي يقع في الخارج مصداقا للعنوان المحرّم، لا يصحّ تطبيق عنوان العبادة و الطاعة عليه، كما ربّما يقال إنّه مفاد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يطاع اللّٰه و يعبد من حيث يعصى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التوقّف على المقدّمة المقارنة المحرّمة، كالاغترافات المتخلّلة من الآنية الغصبية، أو الذهبية، أو الفضيّة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الكلام فيها أنّ الأمر بالوضوء أو الغسل على سبيل الإطلاق، و النهي عن الاغتراف كذلك تكليف بما لا يطاق، و أمّا النهي عن الاغتراف مطلقا، و الأمر بهما مشروطا بعصيان النهي، لا على أن يكون الشرط هو العزم على العصيان، و لا العنوان الانتزاعي،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المكلّف ممّن يعصي، بل على أن يكون نفس العصيان الخارجي و يكون العزم كاشفا عنه، فلا مانع عنه عند القائل بصحّة الأمر على وجه الترتّب في الضد المبتلى بالأهم، و عند القائل بالعدم أيضا يكفي في صحّة الوضوء، و الغسل، وجود الجهة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 قوله بصحّة الأمر بنحو الترتّب، ذهب إلى بطلان الوضوء، و الغسل في المقام، نظرا إلى أنّهما أمران قصديان، فلا يندرج غسل الوجه مثلا تحت عنوان الوضوء، حتى يؤتى به بقصد إلحاق بقية الأجزاء بعنوان الوضوئية، و القصد المذكور ينحل إلى قصد الاغتراف المتخلّل المحرم، بدعوى أنّ القصد إلى الشي‌ء قصد إلى مقدمته، فيكون قبيحا فيندرج تحت كبرى عدم إمكان التقرّب و العبادية بشي‌ء يكون قبيحا و مبعّدا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إلى الشي‌ء مغاير وجودا مع القصد إلى مقدمته، كما أنّه لا يكون قصد المقدمة في مقامنا متولّدا أيضا من قصد ذيها، حتى لا يمكن التقرّب من باب استلزام القبيح، و ذلك لأنّ قصد الوضوء متولّد من الأمر به، و هو متولّد من الاغتراف الّذي هو شرطه بالفرض، و هو متولّد من قصد الاغتراف، فكيف يكون قصد الاغتراف متولّدا من قصد الوضوء، أو متّحدا معه؟</w:t>
      </w:r>
    </w:p>
    <w:p>
      <w:pPr>
        <w:pStyle w:val="BookText"/>
        <w:rPr/>
      </w:pPr>
      <w:r>
        <w:rPr>
          <w:rFonts w:ascii="Amiri" w:hAnsi="Amiri" w:eastAsia="Amiri" w:cs="Amiri"/>
          <w:color w:val="111111"/>
          <w:sz w:val="28"/>
          <w:sz w:val="28"/>
          <w:szCs w:val="28"/>
          <w:rtl w:val="true"/>
          <w:lang w:bidi="ar-SA"/>
        </w:rPr>
        <w:t>و بالجملة فأظن أنّ صحّة الوضوء على حسب القاعدة ممّا لا شبهة، فيها، اللّٰهمّ إلّا أن يقوم الإجماع الذي نقلناه عن السيّد العلّامة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كلّما كان التيمّم مشروعا، فالوضوء غير مشروع، و ممّا ذكرنا في هذه الصورة يظهر الكلام في الصورة الثالثة،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زاحم فعل الوضوء أو الغسل واجبا أهم، كحفظ نفس المؤمن مع إمكانه مع التيمّم، فإنّ الكلام فيها، هو الكلام في الصورة السابقة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التوهّم المتقدّم غير جار هنا، لبطلان توهّم المقدمية في باب الضدين كما تقرّر في محلّه، مع أنّه على فرض الصحّة يجري الجواب المتقدّم حرفا بحرف، هذا مضافا إلى الفرق بين الصورتين من جهة أنّ ترك الأهم في هذه الصورة لا يحتاج إلى</w:t>
      </w:r>
      <w:bookmarkStart w:id="367" w:name="pg1803_22295"/>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العزم، كالاغتراف هناك، بل يكفيه عدم العزم و هو الذي يعبّر عنه بالصارف، ضرورة أنّ عدم علّة الوجود في كل شي‌ء علّة للعدم، 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قاس هذه الصورة بالمتقدّمة، مع أنّ الفرق في غاية الوضوح و لكن الجواد قد يكبو، و الصارم قد ينبو</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492071_3650668749"/>
      <w:bookmarkStart w:id="369" w:name="_Toc136"/>
      <w:bookmarkEnd w:id="368"/>
      <w:r>
        <w:rPr>
          <w:rtl w:val="true"/>
        </w:rPr>
        <w:t xml:space="preserve">مسألة </w:t>
      </w:r>
      <w:r>
        <w:rPr>
          <w:rtl w:val="true"/>
        </w:rPr>
        <w:t>[</w:t>
      </w:r>
      <w:r>
        <w:rPr>
          <w:rtl w:val="true"/>
        </w:rPr>
        <w:t>في بطلان الوضوء من جهة الاتحاد مع الحرام</w:t>
      </w:r>
      <w:r>
        <w:rPr>
          <w:rtl w:val="true"/>
        </w:rPr>
        <w:t>]</w:t>
      </w:r>
      <w:bookmarkEnd w:id="369"/>
    </w:p>
    <w:p>
      <w:pPr>
        <w:pStyle w:val="Heading6"/>
        <w:numPr>
          <w:ilvl w:val="5"/>
          <w:numId w:val="1"/>
        </w:numPr>
        <w:rPr/>
      </w:pPr>
      <w:bookmarkStart w:id="370" w:name="__RefHeading___Toc2492073_3650668749"/>
      <w:bookmarkStart w:id="371" w:name="_Toc137"/>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في الموارد التي قلنا ببطلان الوضوء من جهة الاتحاد مع الحرام، كصورة اتحاده مع الإضرار بالنفس، أو مع الغصب إنّما نقول به مع تنجّز النهي المذكور، و أمّا مع عدم تنجّزه للغفلة، أو النسيان، أو الجهل به موضوعا، أو حكما على وجه يكون الجاهل معذورا عذرا شرعيا، أو عقليا، فالوضوء و إن كان منهيا عنه أيضا، كما في حال العلم و الالتفات لغلبة ملاكه على ملاك الأمر في هذا الحال أيضا، و لكن حيث إنّه لا يؤثّر في قبح الفعل و بعد الفاعل، ضرورة أنّ اتصاف الأفعال بالحسن و القبح، يدور مدار عناوينها الاختيارية المعلومية الملتفت إليها، دون عناوينها المجهولة أو المغفول عنها، فلا مانع من تأثير ملاك الأمر في حسن الفعل و قرب الفاعل إذا أتى بالفعل بهذا الداعي، كما هو واضح، و قد وقع في عبارة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إنه أريد الأمر الظاهري يلزم تكفّل إنشاء واحد لحكمين ظاهري، و واقعي، و استحالته غنيّة عن البيان، و إن أريد الواقعي فلا فرق في استحالة اجتماعه مع النهي، عند القائل بالامتناع بين حالتي العلم، و الجهل، و الغفلة، و الالتفات</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2492075_3650668749"/>
      <w:bookmarkStart w:id="373" w:name="_Toc138"/>
      <w:bookmarkEnd w:id="372"/>
      <w:r>
        <w:rPr>
          <w:rtl w:val="true"/>
        </w:rPr>
        <w:t>تذييل</w:t>
      </w:r>
      <w:r>
        <w:rPr>
          <w:rtl w:val="true"/>
        </w:rPr>
        <w:t xml:space="preserve">: </w:t>
      </w:r>
      <w:r>
        <w:rPr>
          <w:rtl w:val="true"/>
        </w:rPr>
        <w:t>لو عصى و ارتمس في الماء مع كونه مضرّا بنفسه، أو كونه مغصوبا فنوى بخروجه الغسل لم يصحّ</w:t>
      </w:r>
      <w:bookmarkEnd w:id="37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نواه بدخوله، لأنّ جميع أنحاء تصرّفاته حتى</w:t>
      </w:r>
      <w:bookmarkStart w:id="374" w:name="pg1803_22298"/>
    </w:p>
    <w:p>
      <w:pPr>
        <w:pStyle w:val="BookText"/>
        <w:rPr/>
      </w:pPr>
      <w:bookmarkEnd w:id="3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التصرّف الخروجي منهي عنه من الابتداء، و إن سقط عنه بالنسبة إلى الخروج على أسرع وجه يمكن، لعدم قدرته على ترك هذا المقدار، و لكنّه يقع مبغوضا و معاقبا عليه، فلا يصلح أن يقع متقرّبا به و عبادة، و لا يكفي الأمر به إرشادا عقلا، و شرعا في صحّة عباديته، فإنّه نظير الأمر الإرشادي باختيار الخضخضة على الزنا، عند بنائه على عصيان التكليف بحفظ الفرج من باب اختيار أخف القبيحين عند الدوران و لا يجعله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بين التوبة و عدمها كما يظهر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و من بعض المحشّين للعروة تقويته، فلم يظهر له وجه، فإنّ غاية الأمر سقوط فعلية العقاب عن التائب، بل وقوعه موردا لانعام المولى كما هو مقتضى تبديل سيّئاته بالحسنات، و لكنّه لا يجدي ذلك في تصحيح العبادية بعد وقوع الفعل في الخارج مبغوضا قبيحا، و كون الفاعل مستحقّا و إن لم يعاقب فعلا، بل صار موردا للإنعام تفضّلا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492077_3650668749"/>
      <w:bookmarkStart w:id="376" w:name="_Toc139"/>
      <w:bookmarkEnd w:id="375"/>
      <w:r>
        <w:rPr>
          <w:rtl w:val="true"/>
        </w:rPr>
        <w:t>المبحث الثاني</w:t>
      </w:r>
      <w:r>
        <w:rPr>
          <w:rtl w:val="true"/>
        </w:rPr>
        <w:t xml:space="preserve">: </w:t>
      </w:r>
      <w:r>
        <w:rPr>
          <w:rtl w:val="true"/>
        </w:rPr>
        <w:t>في تعيين ما يتيمّم به جنسا و وصفا</w:t>
      </w:r>
      <w:r>
        <w:rPr>
          <w:rtl w:val="true"/>
        </w:rPr>
        <w:t>:</w:t>
      </w:r>
      <w:bookmarkEnd w:id="376"/>
    </w:p>
    <w:p>
      <w:pPr>
        <w:pStyle w:val="Heading4"/>
        <w:numPr>
          <w:ilvl w:val="3"/>
          <w:numId w:val="1"/>
        </w:numPr>
        <w:rPr/>
      </w:pPr>
      <w:bookmarkStart w:id="377" w:name="__RefHeading___Toc2492079_3650668749"/>
      <w:bookmarkStart w:id="378" w:name="_Toc140"/>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و قد اختلف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المشهور أنّه مطلق وجه الأرض ترابا كان، أم حجرا، أم حصى، أم رملا، أم غيرها ممّا يسمّى باسم الأرض و لم يخرج بالاستحالة عن حقيقته كالخزف و المعادن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السيّد المرتضى و بعض آخر أنّه التراب الخالص عن شوب ما لا يسمّى ترابا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و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حالتي الاختيار، و الاضطرار، باختيار القول الثاني في الأوّل، و الأوّل في الثاني، و الأصل في هذا الاختلاف، اختلافهم، في تعيين المراد بالصعيد الواقع في آية التيمّم،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 أنّه مطلق وجه الأرض، أو خصوص التراب الخالص، و أمّا احتمال أنّ المراد به الثاني في حال الاختيار، و الأوّل في حال الاضطرار فممّا يقطع بخلافه، بل لا يصحّ نسبته إلى جاهل فضلا عن فاضل، و كون المراد خصوص التراب الخالص، و يكتفي في حال الاضطرار بمطلق وجه الأرض، من باب قاعدة الميسور غير صحيح أيضا، لعدم كون الحجر، و الحصى، و نحوهما ميسورا للتراب، فالذي يمكن ركون القائل بالتفصيل إليه، أنّ المراد به مطلق وجه الأرض لكن حيث يشترط العلوق، و كون ما يعلق باليد من جنس ما تيمّم به، و هذا المعنى ممّا لا يتحقّق في غير التراب، فلا محيص عن تعيينه في حال الاختيار، و أمّا في حال الاضطرار فيسقط شرطية العلوق، فيكفي مطلق وجه الأرض لقاعدة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الأمر دائر في لفظ الصعيد بين احتمالين لا ثالث لهما، و حيث إنّ أقوال اللغويين في الجانبين متعارضة، و لا يمكن الوثوق بشي‌ء منها، فلا بدّ في تشخيص الحال من تتبّع الأمارات الخارجية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جملتها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القول بمطلق وجه الأرض، مثل أنسبيته بالمعنى الوصفي لهذه اللفظة، فإنّ الاتصاف بالارتفاع و الانخفاض إنّما يصحّ في ما هو من جنس الأمكنة، و هو الأرض في مقامنا، و لا يصحّ بالنسبة إلى ما هو من الأشياء المنقولة، فيقال مكان مرتفع، و مكان منخفض، و أرض مرتفعة، و أرض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منخفضة،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مرتفع، و تراب منخفض، و الظاهر ملاحظة هذه المناسبة في النقل إلى المعنى الجامدي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أنسبيته بقوله تعالى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بمعنى اقصدوا، و المتبادر منه الحركة و المشي دون مجرّد الاستعمال، كما هو المتمشّي في المنقولات التي منها التراب، فلا يقال اقصد الماء أو التراب في مقام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استعملهما، و لكن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اقصد المكان الفلاني في مقام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نحوه، و امش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أنسبيته المعنى الوصفي الذي عرفت انحصار موصوفة في الأمكنة بوصف الطيبوبة الواقع في الآية الشريفة، فإنّ الأمكنة المرتفعة محفوظة من وقوع القاذورات، فإنّ الإنسان يطلب للتخلّي الأمكنة المنخفضة، و لهذا يسمّى الغائط غائطا تسمية للحال باسم المحلّ، و يؤيد ذلك ملاحظة مقابلته في الآية الشريفة، مع لفظ الغائط،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جئتم من المكان المنخفض المتخلّي فيه، فاقصدوا المكان المرتفع الطيّب، فإنّه مضافا إلى خلوّه بنفسه عن القاذورات، تنحدر عنه المياه عند أوان نزول الأمطار، و لكن هذه المؤيدات الثلاثة كلّها من قبيل إثبات اللغة بالاعتبارات الذوقيّة، و هي لا تجدي شيئا ما لم يفد القطع أو الاطمئنان، و مثل ورود تفسير الصعيد بالمكان المرتفع، و الطيّب بالذي ينحدر عنه الماء في خبرين، أحدهما الرضوي، و الآخر ما عن 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ضعيفان سندا و لم يعلم ركون المشهور في فتواهم إلى هذين الخبرين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جملتها ما يقال في تقوية القول بتعيّن التراب، مثل عدم تمشّي تحقّق العلوق الذي يستفاد اشتراطه من بعض الأدلّة إلّا في التراب، و عدم تمشّيه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الرمل، و المدر، و الحصى، و الحجر، كصحيحة زرارة في تفسير قوله تعالى فَلَمْ تَجِدُوا مٰاءً فَتَيَمَّمُوا صَعِيداً طَيِّباً فَامْسَحُوا 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وضع الوضوء عمّن لم يجد الماء، أثبت بعض الغسل مسحا، لأنّه قال 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 بها وَ أَيْدِيكُمْ مِنْهُ أي من ذلك التيمّم، لأنّه علم أنّ ذلك أجمع لم يجر على الوجه، لأنّه يعلق من ذلك الصعيد ببعض الكف و لا يعلق ببعضها، الحديث</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اعتبار كون ما يعلق باليد من جنس ما يتيمّم به، و لا دليل عليه و الحجر و نحوه لا يخلو غالبا من الغبار، و هو كاف في تحقّق العلوق، مع أنّه على فرض الاعتبار إنّما يتمّ في الحجر المتماسك دون المسحوق، كعدم تمشّي العلوق في التراب الندي الذي لا ينتقل منه شي‌ء إلى اليد، هذا مضافا إلى أنّه سيجي‌ء في محلّه إن شاء اللّٰه تعالى إقامة الدليل على عدم اشتراط العلوق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أنّه لو فرض كون الصعيد في الآية مستعملا في مطلق وجه الأرض و لكنّه يجب حمله على خصوص التراب، بقرينة قوله تعالى فَامْسَحُوا بِوُجُوهِكُمْ وَ أَيْدِيكُمْ مِنْهُ كما في سورة المائدة،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للتبعيض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من الدراهم،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بعض الصعيد بوجوهكم، و لا يتمشّى ذلك إلّا في التراب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اشتراط العلوق، أنّه لم لا يجوز أن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ليكون الكلام في قوّة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يدك على الأرض فامسح على وجهك مسحا جائيا من تلك الضربة،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أمرر يدك على الضريح فامسح على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وجهك مسحا جائيا من ذلك الإمرار، مضافا إلى أنّ ما يعلق باليد خصوصا بعد النفض المستحب، يسمّى عند العرف أثرا لا ترابا فلا يصدق عليه بعض الصعيد، فلو حملنا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التبعيض يلزم مسح الوجه و اليدين على الأرض بنحو التمرّغ، و هو خلاف الضرورة، و الإجماع، و النص، فلا محيص عن حملها على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العلوق المذكور في صحيحة زرارة المتقدّمة، ليس المراد به ما يقوله القائلون باشتراط العلوق، فإنّهم يعتبرون استيعابه لتمام الكف، بل المقصود به ما يستصحبه الكف من الاجزاء الصغار العينيّة التي تسقط بالنفض، و المقصود أنّه لمّا لم يمكن عادة استصحاب هذه الأجزاء، بتمام أجزاء الكف حتى يمكن إجراؤها على جميع أجزاء الوجه، و اليدين بحدودهما المقرّرة شرعا في الوضوء، بحيث لا يشذّ عنها شي‌ء و لو بمقدار رأس إبرة، فلهذا أسقط التكليف بالمسح على الصعيد، و أبدل مكانه التكليف بالمسح المتأتي من ناحية التيمّم، أو المتيمّم به، فارتفع المقتضي للاستيعاب، إذ هو إيصال الصعيد إلى جميع الأجزاء و هو غير ممكن بالفرض، و المسح المتأتي من قبله يحصل بمسح البعض، و ذكر قوله يعلق ببعض الكف إنّما هو توطئة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يعلق ببعضها، و ليس عنوانا للموضوع، بل وصف غالبي له فلا ينافي اندراج مثل الحجر تحت عنوان الصعيد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الاستدلال بالنبوي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وصف الطهورية لمطلق وجه الأرض، لكان ذكر خصوص التراب، مع منافاته لمقتضى الامتنان الذي سيق لأجله الكلام لغوا، مع أنّ التفصيل بين المسجدية و الطهورية بإثبات الأولى لمطلق الأرض، و الثانية للتراب قاطع للشركة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الخدشة، في السند، و 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الخاصة، أنّ الاستدلال إنّما يتمّ لو أريد من المسجد خصوص موضع السجود، و أمّا لو أريد مطلق مكان الصلاة، و من الأرض ما يراد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صارعت فلانا فألقيته على الأرض، فلا دلالة فيها، فانّ ذكر التراب حينئذ للإشارة إلى الفرق بين وصفي الطهورية، و المسجدية، باختصاص الأولى لخصوص رقبة الأرض، دون ما يخرج عنها كالعروش و المعادن و الأخشاب و غيرها، و ثبوت الثانية لما يعمّ المذكورات كلّها، و ذكر التراب في مقام التعبير عن الرقبة إمّا لشيوع ذلك في المحاورة، و إمّا للغلبة، و إذا جاءا الاحتمال بطل الاستدلال مع إمكان تأييد الاحتمال الثاني بما ورد في بعض الروايات عقيب الكلام المذكور،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أدركتني الصلاة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أردأ من الاستدلال المذكور، الاستدلال بالأخبار الدالّة على طهورية التراب،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قبيل التمسّك بمفهوم اللقب</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صحيحة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ليس فيها تراب و لا ماء، فانظر أجف موضع تجده فتيمّم منه، فإنّ ذلك توسيع من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ثلج فلينظر لبد سرجه فليتيمّم من غباره، أو شي‌ء مغبّر، و إن كان في حال لا يجد إلّا الطين فلا بأس أن يتيمّم منه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يدل على تأخّر استعمال سائر أقسام وجه الأرض عن التراب، كتأخّره عن الماء، و كتقدّمه على الغبار، و تقدّم الغبار على الطين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أجاب عن هذه الصحيحة بأنّ الحجر داخل في أجف موضع، و أنت خبير بأنّ هذا الجواب إنّما يصحّ لو أريد من الاستدلال بها، إخراج الحجر من جنس ما يتيمّم به رأسا و لو في المرتبة الأخيرة، و أمّا لو أريد إخراجه عنه في المرتبة الأولى، فلا يرتبط به الجواب المذكور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أنّه لا ينافي هذه الصحيحة القول بأنّ الصعيد مطلق وجه الأرض، و لا ما دلّ على إثبات الطهورية لمطلق الأرض،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الماء هو ربّ الأرض،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فاتك الماء لم يفتك الأرض </w:t>
      </w:r>
      <w:r>
        <w:rPr>
          <w:rStyle w:val="FootnoteAnchor"/>
          <w:rtl w:val="true"/>
        </w:rPr>
        <w:footnoteReference w:id="223"/>
      </w:r>
      <w:r>
        <w:rPr>
          <w:rFonts w:ascii="Amiri" w:hAnsi="Amiri" w:eastAsia="Amiri" w:cs="Amiri"/>
          <w:color w:val="111111"/>
          <w:sz w:val="28"/>
          <w:sz w:val="28"/>
          <w:szCs w:val="28"/>
          <w:rtl w:val="true"/>
          <w:lang w:bidi="ar-SA"/>
        </w:rPr>
        <w:t>، و المروي عن الراوندي بسنده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التيمّم بالجص، و النورة، و لا يجوز بالرماد لأنّه لم يخرج عن الأرض، فقيل له أ يتيمّم بالصفا البالية على وجه الأرض؟</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ظهور ذلك كلّه في مساواة التراب و غيره في المرتبة إنّما يكون بالإطلاق، فلا ينافي ما دلّ على التقييد بالترتيب، فيحمل المطلقات على إثبات الطهورية في الجملة، و لو كان في بعض الأقسام مشروطا بالمرتبة المتأخّرة، كما هو الحال في الغبار و الطين في مقابل السلب الكلّي، كما في الرماد، و لعلّه لذا أفتى شيخنا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نجاة العباد بتعيّن التراب الخالص مع التمكّن، و أمضاه العلّامتان الشيرازيان الميرزا محمّد حسن، و الميرزا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علّق المرحوم الحاج الميرزا حسين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لا 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و من هنا يعلم المدرك للقول بالتفصيل بين حالتي الاختيار و الضرورة، بتعيّن التراب في الأوّل، و الاجتزاء بمطلق وجه الأرض في الثاني الذي جعله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المشهور، لو لم يكن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العروة الوثقى من جعل الاحتياط رعاية التراب أوّلا، ثمّ الرمل، ثمّ المدر، ثمّ الحجر لم يعلم له وجه، لعدم الدليل على الترتيب بين الثلاثة الأخيرة، بعد فقد التراب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عدم الماء في صحيحة رفاعة لأجل مدخليته في قوام الموضوع، و أمّا فرض عدم التراب فمحمول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مبتلّة على التراب الجاف، فيبقى ما يصدق عليه اسم التراب مع الرطوبة القليلة داخلا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أجف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الرواية عدم اعتبار الجفاف في التراب، لا الترتيب بينه و بين غيره، و لا أقل من الاحتمال المسقط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المقام بين ما علق التيمّم على الصعيد و ما علقه على التراب، و ما علقه على الأرض، و قد عرفت إجمال الأولى و عدم إمكان الجزم في لفظ الصعيد بشي‌ء من الطرفين، فيدور الأمر في الطائفتين الأخيرتين، بين حمل التراب على الموضوعية، و حمل إطلاق الأرض منزّلا على الغلبة، و بين العمل بهذا الإطلاق و تنزيل التراب على الغالب بحسب نوع الأمكنة، و لا يبعد ترجيح الثاني، خصوصا بملاحظة صدور المطلقات في أرض العراق و الحجاز، و الغالب في الأولى الرمل و في الثانية هو مع الحجارة و الحصى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حمل التراب على الموضوعية ليس عملا بمفهوم اللقب، بل من باب ظهور ترتّب الحكم على هذا العنوان في موضوعيته كما في نظائره، مثل قولهم</w:t>
      </w:r>
      <w:bookmarkStart w:id="379" w:name="pg1803_22322"/>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الطير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إجمال الأدلّة، و عدم إمكان الجزم بأقوائية الظهور في شي‌ء من الجانبين، فلا يخفى أنّ مقتضى القاعدة هو الاحتياط، سواء مع التمكّن من التراب، أم مع تعذّره، و سواء، قلنا بإفادة التيمّم للطهارة من الحدث أم قلنا بعدمها، و سواء قلنا بسقوط الأداء عن فاقد الطهورين و تعيّن القضاء عليه، أم قلنا بوجوب الأداء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التمكّن من التراب و القول بعدم الإفادة، كما هو الظاهر من جعلهم وجدان الماء من أحد النواقض للتيمّم، فلعموم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مع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بتخصيصه في صورة استعمال التراب، و لم نعلمه في غيرها، فليحكم بالبطلان بمقتضى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التمكّن و القول بالإفادة فلكون المقام من باب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تعذر التراب و القول بسقوط الأداء، فللعلم الإجمالي بين وجوب الأداء في الوقت، و القضاء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هذه الصورة مع القول بعدم السقوط فلعموم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الشك في المحصل على المبنيين المتقدّمين، فيجب الصلاة مع التيمّم بالحجر، أو الرمل، أو الحصى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الأصل في جميع الصور الثلاثة المذكورة هو البراءة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492081_3650668749"/>
      <w:bookmarkStart w:id="381" w:name="_Toc141"/>
      <w:bookmarkEnd w:id="380"/>
      <w:r>
        <w:rPr>
          <w:rtl w:val="true"/>
        </w:rPr>
        <w:t>فرع</w:t>
      </w:r>
      <w:r>
        <w:rPr>
          <w:rtl w:val="true"/>
        </w:rPr>
        <w:t xml:space="preserve">: </w:t>
      </w:r>
      <w:r>
        <w:rPr>
          <w:rtl w:val="true"/>
        </w:rPr>
        <w:t>و لا يجوز التيمّم بالمعادن الخارجة عن اسم الأرض بالاستحالة</w:t>
      </w:r>
      <w:bookmarkEnd w:id="38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كالذهب، و الفضة، و الفيروزج، و العقيق، و النحاس، و الصفر و غير ذلك، و إن</w:t>
      </w:r>
      <w:bookmarkStart w:id="382" w:name="pg1803_22325"/>
    </w:p>
    <w:p>
      <w:pPr>
        <w:pStyle w:val="BookText"/>
        <w:rPr/>
      </w:pPr>
      <w:bookmarkEnd w:id="3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أطلق عليه اسم الأرض بنحو من المسامحة حال الانطباع و عدم الانفصال، كما أنّه لا بأس بالتيمّم بالمعادن الباقية تحت اسم الأرض، كحجر الرحى، و طين الرأس، و طين الأرمني إذ ليس المانع صدق المعدنية بل عدم صدق الأرضية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492083_3650668749"/>
      <w:bookmarkStart w:id="384" w:name="_Toc142"/>
      <w:bookmarkEnd w:id="383"/>
      <w:r>
        <w:rPr>
          <w:rtl w:val="true"/>
        </w:rPr>
        <w:t>مسألة</w:t>
      </w:r>
      <w:r>
        <w:rPr>
          <w:rtl w:val="true"/>
        </w:rPr>
        <w:t xml:space="preserve">: </w:t>
      </w:r>
      <w:r>
        <w:rPr>
          <w:rtl w:val="true"/>
        </w:rPr>
        <w:t>لو شكّ في صدق اسم الأرض على شي‌ء</w:t>
      </w:r>
      <w:bookmarkEnd w:id="384"/>
    </w:p>
    <w:p>
      <w:pPr>
        <w:pStyle w:val="BookText"/>
        <w:rPr/>
      </w:pPr>
      <w:r>
        <w:rPr>
          <w:rFonts w:ascii="Amiri" w:hAnsi="Amiri" w:eastAsia="Amiri" w:cs="Amiri"/>
          <w:color w:val="111111"/>
          <w:sz w:val="28"/>
          <w:sz w:val="28"/>
          <w:szCs w:val="28"/>
          <w:rtl w:val="true"/>
          <w:lang w:bidi="ar-SA"/>
        </w:rPr>
        <w:t>فالكلام الكلّي فيه أنّه إمّا أن يكون له حالة سابقة أرضية كالخزف و الآجر، و إمّا أن لا يكون له، كما يتكوّن من الماء بصورة الحجرية في داخل الآلة المعمولة لتسخين الماء، و كحجر المثانة المتكوّن في الجوف، و الأقوى في كلتا الصورتين المنع، أمّا في الصورة الأولى فلأنّ ما يتوهّم مدركا للجواز، إمّا استصحاب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أرضا، و إمّا استصحاب الحكم و هو جواز التيمّم، أمّا الأوّل فمخدوش بعدم الشك الخارجي في البين، و كونه ممحضا في انطباق المفهوم على الخارج المعلوم بحدوده، و في مثله لا يجري الاستصحاب كما قرّر في محلّه، و أمّا الثاني فلمحكوميته للدليل الاجتهادي، و هو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الظاهر من كون التيمّم طهورا تنزيليا 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الثانية فالأمر فيها أوضح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جزئيات هذه الكلّية الخزف، و الآجر، و النورة، و الجص بعد إحراقهما، و رماد التراب و إن كان ربّما يتوهّم الجواز في رماد التراب أخذا بعموم التعليل في خبر السكوني، للمنع من رماد الحطب بأنّه لم يخرج من الأرض، و في الجص بعد الإحراق أخذا بصحيحة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الجص يوقد عليه بالعذرة و عظام الموتى، ثمّ يجصّص به المسجد أ يسجد عليه؟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 على جواز السجود</w:t>
      </w:r>
      <w:bookmarkStart w:id="385" w:name="pg1803_22328"/>
    </w:p>
    <w:p>
      <w:pPr>
        <w:pStyle w:val="BookText"/>
        <w:rPr/>
      </w:pPr>
      <w:bookmarkEnd w:id="3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على الجص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جهة التقرير، و الآخر من جهة رفع المانع الذي توهمه السائل، لكن في الأوّل أنّ مقتضى عموم العلّة عدم الجواز في كل شي‌ء لم يخرج من الأرض، لا الجواز في كل شي‌ء خرج منها، و لذا لا يجوز السجود على الشجر 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غير منطبقة على أصول الإمامية، من عدم تنجيس الشعلة و الدخان المتصاعدين من النجس، و أيضا كيف يكون المنجّس مطهرا، و مع هذا فالاعتماد عليها في غاية الإشكال</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492085_3650668749"/>
      <w:bookmarkStart w:id="387" w:name="_Toc143"/>
      <w:bookmarkEnd w:id="386"/>
      <w:r>
        <w:rPr>
          <w:rtl w:val="true"/>
        </w:rPr>
        <w:t>مسألة</w:t>
      </w:r>
      <w:r>
        <w:rPr>
          <w:rtl w:val="true"/>
        </w:rPr>
        <w:t xml:space="preserve">: </w:t>
      </w:r>
      <w:r>
        <w:rPr>
          <w:rtl w:val="true"/>
        </w:rPr>
        <w:t>يعتبر فيما يتيمّم به أن يكون مباحا</w:t>
      </w:r>
      <w:bookmarkEnd w:id="387"/>
    </w:p>
    <w:p>
      <w:pPr>
        <w:pStyle w:val="BookText"/>
        <w:rPr/>
      </w:pPr>
      <w:r>
        <w:rPr>
          <w:rFonts w:ascii="Amiri" w:hAnsi="Amiri" w:eastAsia="Amiri" w:cs="Amiri"/>
          <w:color w:val="111111"/>
          <w:sz w:val="28"/>
          <w:sz w:val="28"/>
          <w:szCs w:val="28"/>
          <w:rtl w:val="true"/>
          <w:lang w:bidi="ar-SA"/>
        </w:rPr>
        <w:t>و كذا مكانه، و الهواء الّذي يقع فيه التصرف و المسح، فمع غصبية أحد هذه الأمور يبطل التيمّم، لأنّ اتّحاده مع المحرم في الوجود يمنع من التقرب به، و أمّا مع إباحتها كلّها و غصبية مكان المتيمّم، كما لو تمكّن على فرش غصبي مع كون الأرض، و الهواء مباحين، فضرب يديه على الأرض المباحة، و مسح جبهته و يديه، فالأقوى صحّة التيمّم، و لا يقاس هذا الباب بباب الصلاة، فإنّ الأكوان هناك داخلة في مهيّة الصلاة، و هنا خارجة عن مهيّة التيمّم، فاتّحادها مع الكون الغصبي مانع هناك دون هذا الباب، و كذا يعتبر كون ما يتيمّم به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ظهور عدم الخلاف المؤيد بدعوى الإجماع من غير واحد، وصف الصعيد في الآية الشريفة بالطيب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ورد في الرضوي، و المروي عن معاني الأخبار المتقدّم ذكرهما، من تفسير الصعيد بالمكان المرتفع و الطيب بالذي ينحدر عنه السيل، حيث إنّ فيه إشارة إلى مرتبة كاملة من الطهارة، لأنّه مع خلوّه بنفسه عن القاذورات من جهة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الارتفاع، يكون ممرا للسيل الذي من شأنه التطهير على فرض تلويث المحل بها، و لو اشتبه التراب الطاهر بالنجس تيمّم بهما، و لا يقاس ذلك بالمائين المشتبهين، حيث ورد أنّه يهريقهما و يتيمّم، و لو لا النص لكان مقتضى القاعدة فيه أيضا تكرار الصلاة، و الوضوء بعد تطهير المحل أوّلا عند الوضوء بالماء الثاني، و يعتبر أيضا أن لا يكون ممتزجا بما يخرج عن اسم الأرض، لعدم صدق الاسم على الممتزج، هذا مع عدم الاستهلاك، و أمّا معه، فإن لم يتميّز الخليط أصلا فلا إشكال في الجواز، و أمّا مع التميز كما لو وقع عليه شعرة واحدة متميزة، فيمكن الاستشكال حينئذ من جهة الشك في حاجبيته، بناء على لزوم الاستيعاب الحقيقي في ملاصقة الكف لما 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بعد ما فرضتم صدق عنوان الأرض على ما تيمّم به، بسبب استهلاك الخليط عند العرف الذي هو الميزان في تشخيص مفاهيم الألفاظ، فلا محالة يتحقّق الاستيعاب الحقيقي لا المسامحي بالنسبة إليه، ألا ترى أنّه لو كان زيد جمال الدين فلا محالة يكون إكرامه إكرام جمال الدين، و قد يدفع الإشكال بأنّ الخليط بواسطة شدة اعتماد الكف عند الضرب يتدفّن في التراب، أو أنّه ينتقل من مكان إلى آخر بواسطة الحركة الحالّة عند تلك الضربة، فيحصل الاستيعاب الحقيقي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الأمر حصول الشك في تحقّق الامتثال الذي هو مجرى الاشتغال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مطلبين ذكرهما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حصول الاستهلاك التي قلنا بعدم منعه من الاستعمال لو فرض كون الخليط</w:t>
      </w:r>
      <w:bookmarkStart w:id="388" w:name="pg1803_22334"/>
    </w:p>
    <w:p>
      <w:pPr>
        <w:pStyle w:val="BookText"/>
        <w:rPr/>
      </w:pPr>
      <w:bookmarkEnd w:id="3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نجسا أو متنجسا كان مانعا، لأنّ بقاء آثار النجاسة من تنجيس الملاقي و غيره، يمنع من اتّصاف ما تيمّم به بوصف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فرضتم استهلاك الخليط النجس أو المتنجس، و عدم سراية النجاسة منه إلى الأجزاء الترابية، يصدق حقيقة أنّ الضرب وقع على الشي‌ء الطاهر، و لا ينافي ذلك أنّه لو ألقي عليه الماء القليل صار متنجسا، لكفاية هذا المقدار في مقام التنجيس، و عدم كفايته في إخراج التيمّم عن صدق كونه تيمّما على الشي‌ء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الاستهلاك المذكور لو حصل بفعل المكلّف و اختياره منع من الاستعمال، فعدم المنع مخصوص بصورة كونه حاصلا بأمر غير اختياري، و قاس ذلك بما إذا ثبت في ذمّة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إمّا من جهة الفطرة، أو بيع السلم، فدفع في مقام الوفاء حنطة خارجية نقصت عن المن بمقدار عشرة مثاقيل مثلا، فمزج فيه التراب مثلا بهذا المقدار، فإنّه غير مبرئ للذمّة قطعا بخلاف ما إذا حصل الامتزاج بأمر غير اختياري، و على هذا بنى كون المكلّف فاقد الماء لو كان الماء الموجود غير كاف للوضوء أو الغسل، و كان عنده من المياه المضافة ما لو مزجه لم يخرجه عن وصف الإطلاق، هذا و ما ذكره أيضا في غاية الإشكال، إذ كيف يكون الشخص المذكور فاقد الماء مع إمكان تحصيله إيّاه بمقدمة سهلة، و أيضا اللّازم ممّا ذكره أنّه لو رفع الشعرة عن وجه التراب المذكور، ثمّ وضعها لم يجز التيمّم بعده مع جوازه قبل الرفع، و هو ممّا لا يمكن الالتزام به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492087_3650668749"/>
      <w:bookmarkStart w:id="390" w:name="_Toc144"/>
      <w:bookmarkEnd w:id="389"/>
      <w:r>
        <w:rPr>
          <w:rtl w:val="true"/>
        </w:rPr>
        <w:t>مسألة</w:t>
      </w:r>
      <w:r>
        <w:rPr>
          <w:rtl w:val="true"/>
        </w:rPr>
        <w:t xml:space="preserve">: </w:t>
      </w:r>
      <w:r>
        <w:rPr>
          <w:rtl w:val="true"/>
        </w:rPr>
        <w:t>لو تعذّر عليه التيمّم بمطلق ما يسمّى باسم الأرض انتقل إلى التيمّم بالغبار</w:t>
      </w:r>
      <w:bookmarkEnd w:id="39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هذا الحكم أخبار 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المواقف إن لم يكن على وضوء كيف يصنع، و لا يقدر على النزول؟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من لبده أو سرجه أو معرفة دابته، فإنّ فيها غبارا، و يصلّي</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في صحيحتي رفاعة و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ثلج فلينظر لبد سرجه فليتيمّم من غباره أو شي‌ء مغبر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حال لا تقدر إلّا على الطين فتيمّم به، فإنّ اللّٰه أولى بالعذر، إذا لم يكن معك ثوب جاف أو لبد تقدر أن تنفضه، و تتيمّم به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يستفاد منها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مرتبة التيمّم بالغبار عن التيمّم بمطلق ما يسمى أرضا، لمقصورية دلالة الأخبار على صورة تعذّره، و عدم اندراج الغبار تحت اسم الأرض حتى يشمله ما دلّ على جواز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بناء على المختار من عدم الترتّب بين التراب، و سائر ما يسمّى أرضا، و أمّا على القول بالترتّب فيقع الكلام في تقدّم الغبار على الحجر و نحوه، أو العكس، أو التخيير، و حيث إنّ المبنى خلاف التحقيق فلا يهمّنا التكلّم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الغبار بمناسبة الحكم و الموضوع غبار الأجزاء الأرضية، دون مثل الأشنان، و الدقيق، و نحوهما و هو واضح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أفراد ذي الغبار من الثوب، و اللبد، و عرف الدابة، بل</w:t>
      </w:r>
      <w:bookmarkStart w:id="391" w:name="pg1803_22342"/>
    </w:p>
    <w:p>
      <w:pPr>
        <w:pStyle w:val="BookText"/>
        <w:rPr/>
      </w:pPr>
      <w:bookmarkEnd w:id="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و لحية الشخص و غير ذلك، فيجوز على الجميع من غير ترتب بينها لعموم التعليل المذكور في صحيحة زرارة،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فيها غبارا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بحسب إطلاق التعليل المذكور بين الأكثر غبارا و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المدرك قاعدة الميسور لكان المتعيّن تقديم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كون الغبار بارزا للحسّ، فلو كان كامنا يجب مقدمة إبرازه بالنفض ثمّ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إلى أنّه المتبادر من الشي‌ء المغبّر رواية أبي بصير المتقدّمة، و احتمال كون المراد بالأمر بالنفض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التراب خلاف الظاهر، لكونه فرضا نادرا فلا يحمل الكلام عليه، مضافا إلى أنّه يلزم حينئذ تأخّر الطين عن التراب بلا واسطة، و هو خلاف الإجماع، و النص، و لا يكفي ثوران الغبار بعد الضرب، مع كونه كامنا قبله، لخروجه عن صدق التيمّم بالغبار كما هو ظاهر الأخبار، فلو تعذر عليه إلّا على وجوه الثوران المذكور انتقل إلى المرتبة المتأخّرة، و لا وجه لما يظهر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اللازم بالجمع بينهما، بعد الاستظهار المذكور</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492089_3650668749"/>
      <w:bookmarkStart w:id="393" w:name="_Toc145"/>
      <w:bookmarkEnd w:id="392"/>
      <w:r>
        <w:rPr>
          <w:rtl w:val="true"/>
        </w:rPr>
        <w:t>مسألة</w:t>
      </w:r>
      <w:r>
        <w:rPr>
          <w:rtl w:val="true"/>
        </w:rPr>
        <w:t xml:space="preserve">: </w:t>
      </w:r>
      <w:r>
        <w:rPr>
          <w:rtl w:val="true"/>
        </w:rPr>
        <w:t>لو تعذّر عليه التيمّم بالغبار لفقد و نحوه، انتقل إلى المرتبة الثالثة و هو التيمّم بالوحل</w:t>
      </w:r>
      <w:bookmarkEnd w:id="3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مضافا إلى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في حال لا يجد إلّا الطين فلا بأس أن يتيمّم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على تقوّم الموضوع بفقد جنس ما يتيمّم به، ممّا سوى الطين الذي منه الغبار، صريح رواية أبي بصير المتقدمة و رميها بضعف السند كما عن المدارك، و من جهته استشكل في تأخّره عن الغبار في غير المحل، بعد توصيفها بالصحة في الحدائق و غيره، مع أنّ في غيرها غنى و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نعم يعارض ذلك رواية 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الأجمة ليس فيها ماء، و فيها طين ما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فإنّه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راكب و لا يمكنه النزول من خوف و ليس هو على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 على نفسه من سبع أو غيره، و خاف فوت الوقت فليتيمّم يضرب بيده على اللبد، أو البرذعة و يتيمم و يصلّي</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أوجب في مفروض السائل التيمّم بالغبار بعد تعذّر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تأخّره عن الطين، و حمل هذه الفقرة على سؤال مستأنف، و لو مع التمكن من التوضّي على تقدير النزول خلاف الظاهر جدا، كما أنّ حمل الطين على المتلاصق الذي لا يلصق باليد منه شي‌ء عند وضعها عليه، و يطلق عليه اسم الأرض، و يكون من المرتبة الأولى، و حمل الطين في سائر الأخبار على الوحل و هو الذي يلصق باليد عند وضعها عليه، و يخرج عن اسم الأرض و هو المرتبة الثالثة في غاية البعد أيضا، و توهم أنّه لو لا ذلك، لا يمكن عادة مرور الإنسان بل مطلق الحيوان على ذلك المكان، فكيف يفرض السائل مرور الراكب و خوفه من السبع، مدفوع، بأنّه إنّما يتم على تقدير استيعاب الوحلية أعماق الأرض، دون ما إذا لم تتجاوز عن سطحها الظاهر إلّا بمقدار يسير، فالأحسن في الجواب عن الرواية أنّها معرض عنها، مضافا إلى ضعف سندها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كيفية التيمّم في هذه المرتبة كيفيتها في المرتبتين المتقدّمتين، و ما يظهر من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إزالة الطين اللاصق بالكف، عند المسح على الجبهة و اليدين بفرك و نحوه لا دليل عليه، بل ينافيه إطلاق الأخبار</w:t>
      </w:r>
      <w:r>
        <w:rPr>
          <w:rFonts w:eastAsia="Amiri" w:cs="Amiri" w:ascii="Amiri" w:hAnsi="Amiri"/>
          <w:color w:val="111111"/>
          <w:sz w:val="28"/>
          <w:szCs w:val="28"/>
          <w:rtl w:val="true"/>
          <w:lang w:bidi="ar-SA"/>
        </w:rPr>
        <w:t>.</w:t>
      </w:r>
      <w:bookmarkStart w:id="394" w:name="pg1803_22348"/>
    </w:p>
    <w:p>
      <w:pPr>
        <w:pStyle w:val="BookText"/>
        <w:rPr/>
      </w:pPr>
      <w:bookmarkEnd w:id="3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Heading4"/>
        <w:numPr>
          <w:ilvl w:val="3"/>
          <w:numId w:val="1"/>
        </w:numPr>
        <w:rPr/>
      </w:pPr>
      <w:bookmarkStart w:id="395" w:name="__RefHeading___Toc2492091_3650668749"/>
      <w:bookmarkStart w:id="396" w:name="_Toc146"/>
      <w:bookmarkEnd w:id="395"/>
      <w:r>
        <w:rPr>
          <w:rtl w:val="true"/>
        </w:rPr>
        <w:t xml:space="preserve">مسألة </w:t>
      </w:r>
      <w:r>
        <w:rPr>
          <w:rtl w:val="true"/>
        </w:rPr>
        <w:t>[</w:t>
      </w:r>
      <w:r>
        <w:rPr>
          <w:rtl w:val="true"/>
        </w:rPr>
        <w:t>في المسح بالثلج</w:t>
      </w:r>
      <w:r>
        <w:rPr>
          <w:rtl w:val="true"/>
        </w:rPr>
        <w:t>]</w:t>
      </w:r>
      <w:bookmarkEnd w:id="396"/>
    </w:p>
    <w:p>
      <w:pPr>
        <w:pStyle w:val="BookText"/>
        <w:rPr/>
      </w:pPr>
      <w:r>
        <w:rPr>
          <w:rFonts w:ascii="Amiri" w:hAnsi="Amiri" w:eastAsia="Amiri" w:cs="Amiri"/>
          <w:color w:val="111111"/>
          <w:sz w:val="28"/>
          <w:sz w:val="28"/>
          <w:szCs w:val="28"/>
          <w:rtl w:val="true"/>
          <w:lang w:bidi="ar-SA"/>
        </w:rPr>
        <w:t>لو لم يجد من جنس الطهور من الماء، و ما يتيمّم به بمراتبه شيئا، و وجد الثلج و لم يتمكن من تحقيق أقل مسمّى الغسل به، فهل يجب عليه التيمّم به، و يكون مرتبة رابعة كما قال به بعض العلماء، أو يجب عليه المسح و الدلك به، على مواضع الوضوء و الغسل كما قال به آخر، أو لا يجب عليه لإذا و لا ذاك و يكون فاقد الطهورين كما قال به ثالث؟</w:t>
      </w:r>
    </w:p>
    <w:p>
      <w:pPr>
        <w:pStyle w:val="BookText"/>
        <w:rPr/>
      </w:pPr>
      <w:r>
        <w:rPr>
          <w:rFonts w:ascii="Amiri" w:hAnsi="Amiri" w:eastAsia="Amiri" w:cs="Amiri"/>
          <w:color w:val="111111"/>
          <w:sz w:val="28"/>
          <w:sz w:val="28"/>
          <w:szCs w:val="28"/>
          <w:rtl w:val="true"/>
          <w:lang w:bidi="ar-SA"/>
        </w:rPr>
        <w:t>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صورة إمكان تحقّق أقل مسمّى الغسل في كفايته، و اجزائه، و الاستشكال بأنّ ظواهر الأدلّة كون الوضوء و الغسل بما يكون ماء قبل الاستعمال غريب، فإنّ غاية الأمر أنّه ينويهما بعد صيرورته ماء لا قبله، و لكن لما يكون ذلك ملازما غالبا مع الحرج، فلهذا يشرع في حقّه التيمّم أيضا، و على هذا تحمل رواية محمّد بن مسلم، 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في السفر لا يجد إلّا الثلج؟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بالثلج أو ماء النهر</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علي بن جعفر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سألته عن الرجل الجنب أو على غير وضوء لا يكون معه ماء، و هو يصيب ثلجا، و صعيدا، أيّهما أفضل أ يتيمّم أم يمسح بالثلج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الثلج إذا بلّ وجهه و جسده أفضل، و إن لم يقدر على أن يغتسل به فليتيمّم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و أمّا إن لم يتمكن من تحقيق أقلّ مسمّى الغسل، فربما يقال حيث إنّ الواجب عليه حال الاختيار أمران، إمساس الماء، و إجراؤه، فمع عدم التمكّن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الثاني يجب بمقتضى قاعدة الميسور مراعاة الأوّل، و عليه تحمل رواية معاوية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يصيبنا الدمق و الثلج، و نريد أن نتوضأ و لا نجد إلّا ماء جامدا فكيف أتوضّأ؟ أدلك به جلدي؟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فيه مضافا إلى أنّ قضية ذلك تقدّمه على التيمّم بمراتبه لا تأخّره عنها كذلك، و الظاهر اتفاقهم على خلافه، و لهذا أفتوا بتعيّن التيمّم في حقّ من وجد الماء و لم يكن بقدر الكفاية، فإذا لم يعمل بالقاعدة هناك، فكيف يعمل بها بعد تعذّر مراتب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فمحمولة على صورة تحقّق أقلّ الغسل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التيمّم بالثلج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مشروعيته أصلا، بل ربما يستفاد من ظواهر الكتاب و السنّة انحصار الطهور في الماء، و ما يكون من جنس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دلالة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أجنب في سفر و لم يجد إلّا الثلج أو ماء جامدا،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الضرورة يتيمّم، و لا أرى أن يعود إلى هذه الأرض الّتي توبق دينه</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من المحتمل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يجد إلّا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وجدان الماء، فيكون ساكتا عمّا يتيمّم به، و إذا جاء الاحتمال بطل الاستدلال</w:t>
      </w:r>
      <w:r>
        <w:rPr>
          <w:rFonts w:eastAsia="Amiri" w:cs="Amiri" w:ascii="Amiri" w:hAnsi="Amiri"/>
          <w:color w:val="111111"/>
          <w:sz w:val="28"/>
          <w:szCs w:val="28"/>
          <w:rtl w:val="true"/>
          <w:lang w:bidi="ar-SA"/>
        </w:rPr>
        <w:t>.</w:t>
      </w:r>
      <w:bookmarkStart w:id="397" w:name="pg1803_22356"/>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Heading3"/>
        <w:numPr>
          <w:ilvl w:val="2"/>
          <w:numId w:val="1"/>
        </w:numPr>
        <w:rPr/>
      </w:pPr>
      <w:bookmarkStart w:id="398" w:name="__RefHeading___Toc2492093_3650668749"/>
      <w:bookmarkStart w:id="399" w:name="_Toc147"/>
      <w:bookmarkEnd w:id="398"/>
      <w:r>
        <w:rPr>
          <w:rtl w:val="true"/>
        </w:rPr>
        <w:t>المبحث الثالث</w:t>
      </w:r>
      <w:r>
        <w:rPr>
          <w:rtl w:val="true"/>
        </w:rPr>
        <w:t xml:space="preserve">: </w:t>
      </w:r>
      <w:r>
        <w:rPr>
          <w:rtl w:val="true"/>
        </w:rPr>
        <w:t>في كيفية التيمّم</w:t>
      </w:r>
      <w:r>
        <w:rPr>
          <w:rtl w:val="true"/>
        </w:rPr>
        <w:t>:</w:t>
      </w:r>
      <w:bookmarkEnd w:id="399"/>
    </w:p>
    <w:p>
      <w:pPr>
        <w:pStyle w:val="Heading4"/>
        <w:numPr>
          <w:ilvl w:val="3"/>
          <w:numId w:val="1"/>
        </w:numPr>
        <w:rPr/>
      </w:pPr>
      <w:bookmarkStart w:id="400" w:name="__RefHeading___Toc2492095_3650668749"/>
      <w:bookmarkStart w:id="401" w:name="_Toc148"/>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و لنتكلّم قبل الشروع فيها في بيان محلّه،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يستدعي رسم مسائل</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2492097_3650668749"/>
      <w:bookmarkStart w:id="403" w:name="_Toc149"/>
      <w:bookmarkEnd w:id="402"/>
      <w:r>
        <w:rPr>
          <w:rtl w:val="true"/>
        </w:rPr>
        <w:t>مسألة</w:t>
      </w:r>
      <w:r>
        <w:rPr>
          <w:rtl w:val="true"/>
        </w:rPr>
        <w:t xml:space="preserve">: </w:t>
      </w:r>
      <w:r>
        <w:rPr>
          <w:rtl w:val="true"/>
        </w:rPr>
        <w:t>اعلم أنّه لا إشكال في عدم صحّة الإتيان بالتيمّم لأجل الغايات الموقتة قبل حضور أوقاتها</w:t>
      </w:r>
      <w:bookmarkEnd w:id="403"/>
    </w:p>
    <w:p>
      <w:pPr>
        <w:pStyle w:val="BookText"/>
        <w:rPr/>
      </w:pPr>
      <w:r>
        <w:rPr>
          <w:rFonts w:ascii="Amiri" w:hAnsi="Amiri" w:eastAsia="Amiri" w:cs="Amiri"/>
          <w:color w:val="111111"/>
          <w:sz w:val="28"/>
          <w:sz w:val="28"/>
          <w:szCs w:val="28"/>
          <w:rtl w:val="true"/>
          <w:lang w:bidi="ar-SA"/>
        </w:rPr>
        <w:t>و نقل الإجماع عليه لو لم يكن متواترا، فهو في أعلى درجة الاستفاضة كما يعلم بمراجعة الجواهر، إنّما الإشكال في ما في المعتبر، و المنتهى من أنّ ذلك من خواص التيمّم يمتاز به عن الوضوء و الغسل، و الحال أنّ الطهارات الثلاث كلّها مشتركة في انعقاد الإجماع المذكور، و كذلك في صحّة الإتيان بها قبل الأوقات، لأجل غاية أخرى غير موقتة، ثمّ حفظها إلى ما بعد الوقت و الدخول بسببها في صاحبة الوقت، و لو كانت تلك الغاية الأخرى هي الكون على الطهارة، و حتى في التيمّم لعموم دليل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نظرهما إلى مشروعية الوضوء و الغسل لأجل التأهّب للفرض، و عدم مشروعية ذلك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التأهّب و إعداد النفس لإتيان الفريضة في أوّل وقتها مستجمعا للشرائط بنفسه غاية مستقلّة، و إمّا أن يكون راجعا إلى الكون على الطهارة، و على أيّ حال يقوم التيمّم مقامهما، و دعوى قيام الإجماع مع ذلك على المنع فيه دونهما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أيضا استواء الطهارات الثلاث في الجهة العقلية، أعني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امتناع تعلّق الأمر بالمقدمة قبل تعلّق الأمر بذيها، بناء على ما هو ظاهر المشهور</w:t>
      </w:r>
      <w:bookmarkStart w:id="404" w:name="pg1803_22359"/>
    </w:p>
    <w:p>
      <w:pPr>
        <w:pStyle w:val="BookText"/>
        <w:rPr/>
      </w:pPr>
      <w:bookmarkEnd w:id="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من انتفاء الوجوب في الواجبات المشروطة قبل حصول الشرط، فكيف يمكن التقرّب بإتيان مقدماتها بقصد الأمر المقدمي، قبل حصول الشرط، و إن كان المبنى المذكور خلاف التحقيق، فإنّ التحقيق أنّ القيد كما هو ظاهر الأدلّة و إن كان راجعا إلى مفاد الهيئة،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دون مفاد المادة،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لكن مع ذلك لا عذر للعبد لو تهاون في تحصيل المقدمة قبل حضور الوقت، مع علمه بامتناع تحصيلها بعده، مع إحرازه بأصل السلامة بقاء نفسه مع الشرائط إلى ذلك الوقت، و قد قرّر في محلّه بيان ذلك على وجه لا يلزم تخلّف المعلول عن علّته، أو اختلاف الوجود الظلي مع ذي الظل، في كيفيتي الإطلاق و الاشتراط، و على هذا فيستكشف من الإجماعات في مسألتنا أنّ لإعمال القدرة في الوقت مدخلية في مقدميّة الطهارات الثلاث لغاياتها الموقتة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جواز قصد الوجوب التخييري بإتيانها قبل الوقت، لأجل غاية أخرى في صورة إمكان التحصيل بعد الوقت أيضا، و قصد الوجوب التعييني في صورة العدم و 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المقدّمي و إن كان متعلّقا لا محالة بهذا النحو من الوجود و غير منفك عنه، و لكن يستكشف من هذا الإجماع، أنّ إتيان العمل بداعي هذا الوجوب مناف لمقدميته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فاللازم عليه بإرشاد عقله الإتيان به بغير هذا الداعي، و عدم الإتيان به بهذا الداعي لا تعيينا و لا تخييرا</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492099_3650668749"/>
      <w:bookmarkStart w:id="406" w:name="_Toc150"/>
      <w:bookmarkEnd w:id="405"/>
      <w:r>
        <w:rPr>
          <w:rtl w:val="true"/>
        </w:rPr>
        <w:t>مسألة</w:t>
      </w:r>
      <w:r>
        <w:rPr>
          <w:rtl w:val="true"/>
        </w:rPr>
        <w:t xml:space="preserve">: </w:t>
      </w:r>
      <w:r>
        <w:rPr>
          <w:rtl w:val="true"/>
        </w:rPr>
        <w:t>هل يجوز لذوي الأعذار بعد دخول الوقت البدار إلى وظيفتهم و هو التيمّم مطلقا، أو يجب الانتظار</w:t>
      </w:r>
      <w:bookmarkEnd w:id="40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الوقت كذلك، أو الأوّل مع رجاء الزوال،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و الثاني مع عدمه و حصول اليأس؟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الآية الشريفة، فإنّ إطلاقها بل عمومها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قيل إنّها من أدواته، شامل لما إذا أراد المكلّف القيام إلى الصلاة في أوّل الوقت و كان مريضا، أو فاقد الماء و احتمل الزوال لو أخّر، و خصوصا بملاحظة غلبة مواظبتهم في الصدر الأوّل الذي هو زمان صدور الخطاب، على إتيان الصلوات في أوائل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و تحضر الصلاة و ليس معي ماء، و يقال إنّ الماء قريب منّا، فأطلب الماء و أنا في وقت يمينا و شمالا؟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تطلب و لكن تيمّم فإنّي أخاف عليك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فإنّ إطلاقه شامل لما إذا أراد الصلاة في أثناء الطريق، مع احتمال العثور على الماء حين الوصول إلى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بالطلب غلوة سهم أو سهمين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بالأخبار المصرّحة بأنّ من صلّى بتيمّم في سعة الوقت، ثمّ وجد الماء بعد الفراغ في أثناء الوقت لا يجب عليه الإعادة، و لكن الإنصاف أنّها واردة في مقام إجزاء العمل بعد الفراغ عن وقوعه بشرائطه، فلو كان من شرط وقوع التيمّم في السعة اليأس عن زوال العذر، لم تكن هذه الأخبار منافية 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دلالة هذه الأخبار بمنزلة النص غير قابلة للتأويل، و لم يتعرّض لهذه المناقشة الغير البعيدة، و إنّما تعرّض لمناقشة بعيدة مع جوابها، و هي احتمال كونها منزلة على من صلّى في السعة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و لكن بظنّ الضيق، فأجاب بأنّه مخالف للأصل و لظاهر اسناد الفعل إلى الفاعل المختار، و الظاهر أنّ مراده بالأصل أصالة عدم الخطأ، و الغفلة، في أفعال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مجرى لها مع الأدلّة المتقدمة، و بأنّ التيمّم بدل اضطراري شرع لحال الاحتياج و الضرورة، و لا حاجة و لا ضرورة مع السعة، و أنت خبير بما فيه، إذ غاية تقريبه أنّ المسألة من جزئيات مسألة عدم جواز البدار لأولي الأعذار إلى تكاليفهم العذرية، إذا كانت المصلحة الفائتة لازمة غير ممكن الاستيفاء بعد إتيان الفعل العذري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أنّه لا مانع من ورود الترخيص بذلك لمصلحة في نفسه، و أدلّة المقام وافية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الصلاة المقيّدة بالطهارة المائية، طبيعة كلية محدودة بالوقت الكلّي المحدود بما بين الحدين، و لا يتحقق العجز عنها إلّا بالعجز عن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إلى أنّه مع اليأس يكون العجز المذكور محرزا من أوّل الوقت، أنّ مفاد الأدلّة المتقدمة عدم اعتبار العجز بالنسبة إلى هذه الطبيعة الكلية، بل بالنسبة إلى أشخاصها الموزّعة على أجزاء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بصحيحة محمّد بن مسلم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تجد ماء و أردت التيمّم فأخّر التيمّم إلى آخر الوقت، فإن فاتك الماء لم تفتك الأرض</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الماء،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بمنزلة التعليل يكون لسانه الاستحباب أو الإرشاد إلى أنّ مصلحة إدراك الطهارة المائية أهم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بالرعاية، من مصلحة إدراك فضيلة أوّل الوقت، فلا ظهور لها يقاوم الأدلّة المتقدمة، و مثلها عدّة روايات أخر مشتملة على التعليل المذكور، أو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يتيمّم إلّا في آخر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التفصيل فيمن صلّى في السعة ثمّ وجد الماء بالإعادة لو وجده في الوقت، و العدم لو وجده بعد المضي، إذ لو كان الصلاة مع السعة باطلة لما يفرق بين الوجدان في الوقت و خارجه، مضافا إلى ما في بعض تلك الأخبار من الشهادة على الاستحباب،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فاعلا كنت أتوضّأ و أعيد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الإنصاف تمامية دلالة الأخبار الواردة بعدم الإعادة في موضوع من صلّى في السعة، ثمّ وجد الماء قبل انقضاء الوقت، و عدم ورود المناقشة التي ذكرناها من ورودها مورد حكم آخر، إذ الغالب عدم انفكاك موردها عن احتمال العثور على الماء في ما يأتي من أجزاء الوقت، فالحكم بعدم الإعادة مع ترك الاستفصال شاهد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تبقى حسنة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المسافر الماء فليمسك ما دام في الوقت، فإن خاف أن يفوته الوقت، فليتيمّم و ليصلّ في آخر الوقت</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لكن تقييد المطلقات الكثيرة الواردة في مقام البيان، بهذه الرواية مع اضطراب المتن،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نسخها في غاية الإشكال بل المنع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العاجز في أوّل الوقت إمّا عالم ببقاء عذره إلى الآخر، أو عالم بارتفاعه في الوقت، أو شاكّ بين الأمرين، إمّا مع استواء الطرفين، أو مع رجحان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و الظاهر خروج العالم ببقاء العذر عن تحت الأدلّة الآمرة بالتأخير، لأنّ مصبّها صورة الاحتمال، كما يدل عليه قوله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فاتك الماء لم تفتك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بعد لزوم التأخير تعبّدا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صورة الاحتمال فقد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صورة العلم بالارتفاع، فيمكن دعوى خروجه عن مصداق العاجز، فلا يصدق في حقّ من احتبس في مكان ليس فيه ماء و يكون حبسه موقتا إلى ساعة، أنّه غير متمكّن من استعمال الماء، و لا غرو في مدخلية العلم و الجهل، في صدق عنواني القدرة و العجز في حقّ الشخص واقعا، كما نشاهد ذلك في الأمثلة العرفية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بآخر الوقت الذي وقع الخلاف في وجوب انتظاره، و جواز البدار قبله، ليس هو الآخر الحقيقي الدقّي، بل المسامحي العرفي الذي لا ينافيه الاشتغال ببعض المستحبّات بل ببعض المقدّمات القريبة، بمعنى إبقاء الوقت بمقدار إتيان ذلك كما هو واضح، كما أنّه لو صلّى باعتقاد الضيق، أو ظنّه، أو خوفه، ثمّ بان السعة لا يجب عليه الإعادة، حتى على القول بعدم جواز البدار للأخبار المستفيضة، لو لم تكن متواترة، المصرّحة بعدم الإعادة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الحيض،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الحيض،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أبواب الحيض،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الحيض،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الحيض،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الحيض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الاستحاضة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الحيض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البصري هو عبد الرحمن بن أبي عبد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ما يمسك عنه الصائم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أبواب الحيض</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أبواب الحيض،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أبواب الحيض،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أبواب الحيض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الجنازة،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الجنازة،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الجنازة،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الجنازة،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الجنازة، ص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غسل المسّ، ص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التكفين،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التكفين،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أبواب التكفين،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أبواب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التجارة الأخروية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التكفين،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أبواب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التكفين،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أبواب التكفين،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الدفن، ص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 أبواب الدفن، 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 أبواب مقدمات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الدفن،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 أبواب الدفن،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 أبواب الدفن،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 أبواب الدفن،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أبواب الكفّارات،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غسل الميت،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 أبواب الاحتضار،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 أبواب الاحتضار،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 أبواب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التيمم،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التيمّم،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أبواب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من أبواب التيمّم، ص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45585</Words>
  <Characters>186529</Characters>
  <CharactersWithSpaces>230821</CharactersWithSpaces>
  <Paragraphs>1294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2026-08-16T18:51:34Z</dcterms:created>
  <dc:creator>ghaemiyeh.com</dc:creator>
  <dc:description/>
  <dc:language>en-US</dc:language>
  <cp:lastModifiedBy/>
  <dcterms:modified xsi:type="dcterms:W3CDTF">2026-08-16T22:21:42Z</dcterms:modified>
  <cp:revision>1</cp:revision>
  <dc:subject/>
  <dc:title>رساله فی الدماء الثلاثه و احکام الاموات و التیمم</dc:title>
</cp:coreProperties>
</file>

<file path=docProps/custom.xml><?xml version="1.0" encoding="utf-8"?>
<Properties xmlns="http://schemas.openxmlformats.org/officeDocument/2006/custom-properties" xmlns:vt="http://schemas.openxmlformats.org/officeDocument/2006/docPropsVTypes"/>
</file>